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D1C2E" w14:textId="77777777" w:rsidR="00E41FF4" w:rsidRDefault="00230285" w:rsidP="00F92FB8">
      <w:pPr>
        <w:pStyle w:val="En-tte"/>
        <w:spacing w:before="120" w:after="240"/>
        <w:jc w:val="center"/>
        <w:rPr>
          <w:rFonts w:ascii="Arial" w:hAnsi="Arial" w:cs="Arial"/>
          <w:b/>
          <w:bCs/>
          <w:sz w:val="24"/>
        </w:rPr>
      </w:pPr>
      <w:r w:rsidRPr="00C03E1D">
        <w:rPr>
          <w:rFonts w:ascii="Arial" w:hAnsi="Arial" w:cs="Arial"/>
          <w:b/>
          <w:bCs/>
          <w:sz w:val="24"/>
        </w:rPr>
        <w:t>OUTIL D’AI</w:t>
      </w:r>
      <w:r w:rsidR="00305275">
        <w:rPr>
          <w:rFonts w:ascii="Arial" w:hAnsi="Arial" w:cs="Arial"/>
          <w:b/>
          <w:bCs/>
          <w:sz w:val="24"/>
        </w:rPr>
        <w:t>DE AU TRAITEMENT DES DOSSIERS</w:t>
      </w:r>
      <w:r w:rsidR="00E41FF4">
        <w:rPr>
          <w:rFonts w:ascii="Arial" w:hAnsi="Arial" w:cs="Arial"/>
          <w:b/>
          <w:bCs/>
          <w:sz w:val="24"/>
        </w:rPr>
        <w:t> :</w:t>
      </w:r>
    </w:p>
    <w:p w14:paraId="166F133D" w14:textId="77777777" w:rsidR="00EC2165" w:rsidRDefault="00EC2165" w:rsidP="00EC2165">
      <w:pPr>
        <w:pStyle w:val="En-tte"/>
        <w:spacing w:after="120"/>
        <w:jc w:val="center"/>
        <w:rPr>
          <w:rFonts w:ascii="Arial Black" w:hAnsi="Arial Black" w:cs="Arial"/>
          <w:b/>
          <w:bCs/>
          <w:sz w:val="24"/>
        </w:rPr>
      </w:pPr>
      <w:r>
        <w:rPr>
          <w:rFonts w:ascii="Arial Black" w:hAnsi="Arial Black" w:cs="Arial"/>
          <w:b/>
          <w:bCs/>
          <w:sz w:val="24"/>
        </w:rPr>
        <w:t>L’ARTICLE 18.1</w:t>
      </w:r>
    </w:p>
    <w:p w14:paraId="3E41CED2" w14:textId="77777777" w:rsidR="00017010" w:rsidRPr="00017010" w:rsidRDefault="00230285" w:rsidP="00017010">
      <w:pPr>
        <w:pStyle w:val="En-tte"/>
        <w:spacing w:after="480"/>
        <w:jc w:val="center"/>
        <w:rPr>
          <w:rFonts w:ascii="Arial Black" w:hAnsi="Arial Black" w:cs="Arial"/>
          <w:b/>
          <w:bCs/>
          <w:sz w:val="24"/>
        </w:rPr>
      </w:pPr>
      <w:r w:rsidRPr="00D44B80">
        <w:rPr>
          <w:rFonts w:ascii="Arial Black" w:hAnsi="Arial Black" w:cs="Arial"/>
          <w:b/>
          <w:bCs/>
          <w:sz w:val="24"/>
        </w:rPr>
        <w:t>LES QUESTIONS DISCRIMINATOIRES AVANT L’EMBAUCHE</w:t>
      </w:r>
    </w:p>
    <w:p w14:paraId="7DA828F3" w14:textId="77777777" w:rsidR="00760A5E" w:rsidRPr="00017010" w:rsidRDefault="00017010" w:rsidP="00017010">
      <w:pPr>
        <w:pBdr>
          <w:top w:val="single" w:sz="4" w:space="1" w:color="auto"/>
          <w:left w:val="single" w:sz="4" w:space="4" w:color="auto"/>
          <w:bottom w:val="single" w:sz="4" w:space="1" w:color="auto"/>
          <w:right w:val="single" w:sz="4" w:space="4" w:color="auto"/>
        </w:pBdr>
        <w:tabs>
          <w:tab w:val="left" w:pos="2127"/>
        </w:tabs>
        <w:spacing w:before="360" w:after="360" w:line="240" w:lineRule="auto"/>
        <w:ind w:left="2126" w:hanging="2126"/>
        <w:jc w:val="both"/>
        <w:rPr>
          <w:rFonts w:ascii="Arial" w:hAnsi="Arial" w:cs="Arial"/>
          <w:b/>
          <w:sz w:val="24"/>
          <w:szCs w:val="24"/>
        </w:rPr>
      </w:pPr>
      <w:r>
        <w:rPr>
          <w:rFonts w:ascii="Arial" w:hAnsi="Arial" w:cs="Arial"/>
          <w:b/>
          <w:sz w:val="20"/>
          <w:szCs w:val="20"/>
        </w:rPr>
        <w:t xml:space="preserve">MISE EN GARDE : </w:t>
      </w:r>
      <w:r>
        <w:rPr>
          <w:rFonts w:ascii="Arial" w:hAnsi="Arial" w:cs="Arial"/>
          <w:b/>
          <w:sz w:val="20"/>
          <w:szCs w:val="20"/>
        </w:rPr>
        <w:tab/>
        <w:t xml:space="preserve">Cet outil ne tient pas lieu d’avis juridique et ne couvre que les situations les </w:t>
      </w:r>
      <w:r>
        <w:rPr>
          <w:rFonts w:ascii="Arial" w:hAnsi="Arial" w:cs="Arial"/>
          <w:b/>
          <w:sz w:val="20"/>
          <w:szCs w:val="20"/>
        </w:rPr>
        <w:tab/>
        <w:t>plus couramment rencontrées.</w:t>
      </w:r>
    </w:p>
    <w:tbl>
      <w:tblPr>
        <w:tblStyle w:val="Grilledutableau"/>
        <w:tblW w:w="0" w:type="auto"/>
        <w:jc w:val="center"/>
        <w:tblLook w:val="04A0" w:firstRow="1" w:lastRow="0" w:firstColumn="1" w:lastColumn="0" w:noHBand="0" w:noVBand="1"/>
      </w:tblPr>
      <w:tblGrid>
        <w:gridCol w:w="2229"/>
        <w:gridCol w:w="7121"/>
      </w:tblGrid>
      <w:tr w:rsidR="00592FC3" w:rsidRPr="00230285" w14:paraId="5385890D" w14:textId="77777777" w:rsidTr="00B84DBC">
        <w:trPr>
          <w:jc w:val="center"/>
        </w:trPr>
        <w:tc>
          <w:tcPr>
            <w:tcW w:w="2235" w:type="dxa"/>
          </w:tcPr>
          <w:p w14:paraId="3737EA3D"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Cadre légal</w:t>
            </w:r>
          </w:p>
        </w:tc>
        <w:tc>
          <w:tcPr>
            <w:tcW w:w="7311" w:type="dxa"/>
          </w:tcPr>
          <w:p w14:paraId="7721F8A7" w14:textId="77777777" w:rsidR="00592FC3" w:rsidRDefault="00592FC3" w:rsidP="00DD6698">
            <w:pPr>
              <w:spacing w:before="120" w:after="120"/>
              <w:ind w:left="72" w:right="72"/>
              <w:jc w:val="both"/>
              <w:rPr>
                <w:rFonts w:ascii="Arial" w:hAnsi="Arial" w:cs="Arial"/>
                <w:b/>
                <w:i/>
                <w:sz w:val="24"/>
                <w:szCs w:val="24"/>
              </w:rPr>
            </w:pPr>
            <w:r w:rsidRPr="00DD6698">
              <w:rPr>
                <w:rFonts w:ascii="Arial" w:hAnsi="Arial" w:cs="Arial"/>
                <w:b/>
                <w:i/>
                <w:sz w:val="24"/>
                <w:szCs w:val="24"/>
              </w:rPr>
              <w:t>CHARTE DES DR</w:t>
            </w:r>
            <w:r>
              <w:rPr>
                <w:rFonts w:ascii="Arial" w:hAnsi="Arial" w:cs="Arial"/>
                <w:b/>
                <w:i/>
                <w:sz w:val="24"/>
                <w:szCs w:val="24"/>
              </w:rPr>
              <w:t>OITS ET LIBERTÉS DE LA PERSONNE</w:t>
            </w:r>
          </w:p>
          <w:p w14:paraId="6D4D1E58" w14:textId="77777777" w:rsidR="00592FC3" w:rsidRPr="00C871D8" w:rsidRDefault="00592FC3" w:rsidP="0039081F">
            <w:pPr>
              <w:autoSpaceDE w:val="0"/>
              <w:autoSpaceDN w:val="0"/>
              <w:adjustRightInd w:val="0"/>
              <w:spacing w:before="120" w:after="240"/>
              <w:ind w:left="72" w:right="72"/>
              <w:rPr>
                <w:rFonts w:ascii="Arial" w:hAnsi="Arial" w:cs="Arial"/>
                <w:sz w:val="24"/>
                <w:szCs w:val="24"/>
              </w:rPr>
            </w:pPr>
            <w:r w:rsidRPr="00C871D8">
              <w:rPr>
                <w:rFonts w:ascii="Arial" w:hAnsi="Arial" w:cs="Arial"/>
                <w:sz w:val="24"/>
                <w:szCs w:val="24"/>
              </w:rPr>
              <w:t>(</w:t>
            </w:r>
            <w:r w:rsidRPr="009A45A7">
              <w:rPr>
                <w:rFonts w:ascii="Arial" w:hAnsi="Arial" w:cs="Arial"/>
                <w:sz w:val="24"/>
                <w:szCs w:val="24"/>
              </w:rPr>
              <w:t>RLRQ, c. C-12</w:t>
            </w:r>
            <w:r w:rsidRPr="00C871D8">
              <w:rPr>
                <w:rFonts w:ascii="Arial" w:hAnsi="Arial" w:cs="Arial"/>
                <w:sz w:val="24"/>
                <w:szCs w:val="24"/>
              </w:rPr>
              <w:t>)</w:t>
            </w:r>
          </w:p>
          <w:p w14:paraId="42920397" w14:textId="77777777" w:rsidR="00592FC3" w:rsidRPr="00DD6698" w:rsidRDefault="00592FC3" w:rsidP="005C00D0">
            <w:pPr>
              <w:tabs>
                <w:tab w:val="left" w:pos="450"/>
              </w:tabs>
              <w:spacing w:before="120" w:after="120"/>
              <w:ind w:left="72" w:right="72"/>
              <w:jc w:val="both"/>
              <w:rPr>
                <w:rFonts w:ascii="Arial" w:hAnsi="Arial" w:cs="Arial"/>
                <w:sz w:val="24"/>
                <w:szCs w:val="24"/>
              </w:rPr>
            </w:pPr>
            <w:r w:rsidRPr="00DD6698">
              <w:rPr>
                <w:rFonts w:ascii="Arial" w:hAnsi="Arial" w:cs="Arial"/>
                <w:b/>
                <w:sz w:val="24"/>
                <w:szCs w:val="24"/>
              </w:rPr>
              <w:t>10</w:t>
            </w:r>
            <w:r w:rsidRPr="005C00D0">
              <w:rPr>
                <w:rFonts w:ascii="Arial" w:hAnsi="Arial" w:cs="Arial"/>
                <w:b/>
                <w:sz w:val="24"/>
                <w:szCs w:val="24"/>
              </w:rPr>
              <w:t>.</w:t>
            </w:r>
            <w:r>
              <w:rPr>
                <w:rFonts w:ascii="Arial" w:hAnsi="Arial" w:cs="Arial"/>
                <w:sz w:val="24"/>
                <w:szCs w:val="24"/>
              </w:rPr>
              <w:tab/>
            </w:r>
            <w:r w:rsidRPr="00DD6698">
              <w:rPr>
                <w:rFonts w:ascii="Arial" w:hAnsi="Arial" w:cs="Arial"/>
                <w:sz w:val="24"/>
                <w:szCs w:val="24"/>
              </w:rPr>
              <w:t>Toute personne a droit à la reconnaissance et à l’exercice, en pleine égalité, des droits et libertés de la personne, sans distinction, exclusion ou préférence fondée sur la race, la couleur, le sexe,</w:t>
            </w:r>
            <w:r w:rsidR="006C5048">
              <w:rPr>
                <w:rFonts w:ascii="Arial" w:hAnsi="Arial" w:cs="Arial"/>
                <w:sz w:val="24"/>
                <w:szCs w:val="24"/>
              </w:rPr>
              <w:t xml:space="preserve"> l’identité ou l’expression de genre,</w:t>
            </w:r>
            <w:r w:rsidRPr="00DD6698">
              <w:rPr>
                <w:rFonts w:ascii="Arial" w:hAnsi="Arial" w:cs="Arial"/>
                <w:sz w:val="24"/>
                <w:szCs w:val="24"/>
              </w:rPr>
              <w:t xml:space="preserve"> la grossesse, l’orientation sexuelle, l’état civil, l’âge sauf dans la mesure prévue par la loi, la religion, les convictions politiques, la langue, l’origine ethnique ou nationale, la condition sociale, le handicap ou l’utilisation d’un moyen pour pallier ce handicap.</w:t>
            </w:r>
          </w:p>
          <w:p w14:paraId="76A087CD" w14:textId="77777777" w:rsidR="00592FC3" w:rsidRDefault="00592FC3" w:rsidP="005C00D0">
            <w:pPr>
              <w:spacing w:before="120" w:after="240"/>
              <w:ind w:left="72" w:right="72"/>
              <w:jc w:val="both"/>
              <w:rPr>
                <w:rFonts w:ascii="Arial" w:hAnsi="Arial" w:cs="Arial"/>
                <w:sz w:val="24"/>
                <w:szCs w:val="24"/>
              </w:rPr>
            </w:pPr>
            <w:r w:rsidRPr="00DD6698">
              <w:rPr>
                <w:rFonts w:ascii="Arial" w:hAnsi="Arial" w:cs="Arial"/>
                <w:sz w:val="24"/>
                <w:szCs w:val="24"/>
              </w:rPr>
              <w:t>Il y a discrimination lorsqu’une telle distinction, exclusion ou préférence a pour effet de détruire ou de compr</w:t>
            </w:r>
            <w:r>
              <w:rPr>
                <w:rFonts w:ascii="Arial" w:hAnsi="Arial" w:cs="Arial"/>
                <w:sz w:val="24"/>
                <w:szCs w:val="24"/>
              </w:rPr>
              <w:t>omettre ce droit.</w:t>
            </w:r>
          </w:p>
          <w:p w14:paraId="0786BC69" w14:textId="77777777" w:rsidR="00592FC3" w:rsidRPr="00DD6698" w:rsidRDefault="00592FC3" w:rsidP="005C00D0">
            <w:pPr>
              <w:spacing w:before="120" w:after="240"/>
              <w:ind w:left="72" w:right="72"/>
              <w:jc w:val="both"/>
              <w:rPr>
                <w:rFonts w:ascii="Arial" w:hAnsi="Arial" w:cs="Arial"/>
                <w:sz w:val="24"/>
                <w:szCs w:val="24"/>
              </w:rPr>
            </w:pPr>
            <w:r w:rsidRPr="00DD6698">
              <w:rPr>
                <w:rFonts w:ascii="Arial" w:hAnsi="Arial" w:cs="Arial"/>
                <w:b/>
                <w:sz w:val="24"/>
                <w:szCs w:val="24"/>
              </w:rPr>
              <w:t>18.1</w:t>
            </w:r>
            <w:r>
              <w:rPr>
                <w:rFonts w:ascii="Arial" w:hAnsi="Arial" w:cs="Arial"/>
                <w:b/>
                <w:sz w:val="24"/>
                <w:szCs w:val="24"/>
              </w:rPr>
              <w:t>.</w:t>
            </w:r>
            <w:r>
              <w:rPr>
                <w:rFonts w:ascii="Arial" w:hAnsi="Arial" w:cs="Arial"/>
                <w:b/>
                <w:sz w:val="24"/>
                <w:szCs w:val="24"/>
              </w:rPr>
              <w:tab/>
            </w:r>
            <w:r w:rsidRPr="00DD6698">
              <w:rPr>
                <w:rFonts w:ascii="Arial" w:hAnsi="Arial" w:cs="Arial"/>
                <w:sz w:val="24"/>
                <w:szCs w:val="24"/>
              </w:rPr>
              <w:t>Nul ne peut, dans un formulaire de demande d'emploi ou lors d'une entrevue relative à un emploi, requérir d'une personne des renseignements sur les motifs visés dans l'</w:t>
            </w:r>
            <w:hyperlink r:id="rId12" w:anchor="art10_smooth" w:history="1">
              <w:r w:rsidRPr="00DD6698">
                <w:rPr>
                  <w:rStyle w:val="Lienhypertexte"/>
                  <w:rFonts w:ascii="Arial" w:hAnsi="Arial" w:cs="Arial"/>
                  <w:color w:val="auto"/>
                  <w:sz w:val="24"/>
                  <w:szCs w:val="24"/>
                  <w:u w:val="none"/>
                </w:rPr>
                <w:t>article 10</w:t>
              </w:r>
            </w:hyperlink>
            <w:r w:rsidRPr="00DD6698">
              <w:rPr>
                <w:rFonts w:ascii="Arial" w:hAnsi="Arial" w:cs="Arial"/>
                <w:sz w:val="24"/>
                <w:szCs w:val="24"/>
              </w:rPr>
              <w:t xml:space="preserve"> sauf si ces renseignements sont utiles à l'application de l'</w:t>
            </w:r>
            <w:hyperlink r:id="rId13" w:anchor="art20_smooth" w:history="1">
              <w:r w:rsidRPr="00DD6698">
                <w:rPr>
                  <w:rStyle w:val="Lienhypertexte"/>
                  <w:rFonts w:ascii="Arial" w:hAnsi="Arial" w:cs="Arial"/>
                  <w:color w:val="auto"/>
                  <w:sz w:val="24"/>
                  <w:szCs w:val="24"/>
                  <w:u w:val="none"/>
                </w:rPr>
                <w:t>article 20</w:t>
              </w:r>
            </w:hyperlink>
            <w:r w:rsidRPr="00DD6698">
              <w:rPr>
                <w:rFonts w:ascii="Arial" w:hAnsi="Arial" w:cs="Arial"/>
                <w:sz w:val="24"/>
                <w:szCs w:val="24"/>
              </w:rPr>
              <w:t xml:space="preserve"> ou à l'application d'un programme d'accès à l'égalité existant au moment de la demande.</w:t>
            </w:r>
          </w:p>
          <w:p w14:paraId="56F6C236" w14:textId="77777777" w:rsidR="00592FC3" w:rsidRPr="00DD6698" w:rsidRDefault="00592FC3" w:rsidP="00DD6698">
            <w:pPr>
              <w:spacing w:before="120" w:after="120"/>
              <w:ind w:left="72" w:right="72"/>
              <w:jc w:val="both"/>
              <w:rPr>
                <w:rFonts w:ascii="Arial" w:hAnsi="Arial" w:cs="Arial"/>
                <w:sz w:val="24"/>
                <w:szCs w:val="24"/>
              </w:rPr>
            </w:pPr>
            <w:r w:rsidRPr="00017010">
              <w:rPr>
                <w:rFonts w:ascii="Arial" w:hAnsi="Arial" w:cs="Arial"/>
                <w:sz w:val="24"/>
                <w:szCs w:val="24"/>
                <w:u w:val="single"/>
              </w:rPr>
              <w:t>Note</w:t>
            </w:r>
            <w:r w:rsidRPr="00DD6698">
              <w:rPr>
                <w:rFonts w:ascii="Arial" w:hAnsi="Arial" w:cs="Arial"/>
                <w:sz w:val="24"/>
                <w:szCs w:val="24"/>
              </w:rPr>
              <w:t xml:space="preserve"> : les articles </w:t>
            </w:r>
            <w:r w:rsidRPr="00DD6698">
              <w:rPr>
                <w:rFonts w:ascii="Arial" w:hAnsi="Arial" w:cs="Arial"/>
                <w:b/>
                <w:sz w:val="24"/>
                <w:szCs w:val="24"/>
              </w:rPr>
              <w:t>1</w:t>
            </w:r>
            <w:r w:rsidRPr="00DD6698">
              <w:rPr>
                <w:rFonts w:ascii="Arial" w:hAnsi="Arial" w:cs="Arial"/>
                <w:sz w:val="24"/>
                <w:szCs w:val="24"/>
              </w:rPr>
              <w:t xml:space="preserve"> (intégrité -dans le cas où des examens médicaux sont administrés), </w:t>
            </w:r>
            <w:r w:rsidRPr="00DD6698">
              <w:rPr>
                <w:rFonts w:ascii="Arial" w:hAnsi="Arial" w:cs="Arial"/>
                <w:b/>
                <w:sz w:val="24"/>
                <w:szCs w:val="24"/>
              </w:rPr>
              <w:t>4</w:t>
            </w:r>
            <w:r w:rsidRPr="00DD6698">
              <w:rPr>
                <w:rFonts w:ascii="Arial" w:hAnsi="Arial" w:cs="Arial"/>
                <w:sz w:val="24"/>
                <w:szCs w:val="24"/>
              </w:rPr>
              <w:t xml:space="preserve"> (dignité) et </w:t>
            </w:r>
            <w:r w:rsidRPr="00DD6698">
              <w:rPr>
                <w:rFonts w:ascii="Arial" w:hAnsi="Arial" w:cs="Arial"/>
                <w:b/>
                <w:sz w:val="24"/>
                <w:szCs w:val="24"/>
              </w:rPr>
              <w:t>5</w:t>
            </w:r>
            <w:r w:rsidRPr="00DD6698">
              <w:rPr>
                <w:rFonts w:ascii="Arial" w:hAnsi="Arial" w:cs="Arial"/>
                <w:sz w:val="24"/>
                <w:szCs w:val="24"/>
              </w:rPr>
              <w:t xml:space="preserve"> (vie privée) de la </w:t>
            </w:r>
            <w:r w:rsidRPr="00DD6698">
              <w:rPr>
                <w:rFonts w:ascii="Arial" w:hAnsi="Arial" w:cs="Arial"/>
                <w:i/>
                <w:sz w:val="24"/>
                <w:szCs w:val="24"/>
              </w:rPr>
              <w:t>Charte</w:t>
            </w:r>
            <w:r w:rsidRPr="00DD6698">
              <w:rPr>
                <w:rFonts w:ascii="Arial" w:hAnsi="Arial" w:cs="Arial"/>
                <w:sz w:val="24"/>
                <w:szCs w:val="24"/>
              </w:rPr>
              <w:t xml:space="preserve"> peuvent également être invoqués dans le contexte d’un processu</w:t>
            </w:r>
            <w:r>
              <w:rPr>
                <w:rFonts w:ascii="Arial" w:hAnsi="Arial" w:cs="Arial"/>
                <w:sz w:val="24"/>
                <w:szCs w:val="24"/>
              </w:rPr>
              <w:t>s de sélection discriminatoire.</w:t>
            </w:r>
          </w:p>
        </w:tc>
      </w:tr>
      <w:tr w:rsidR="00592FC3" w:rsidRPr="00230285" w14:paraId="28BAE9A2" w14:textId="77777777" w:rsidTr="00B84DBC">
        <w:trPr>
          <w:jc w:val="center"/>
        </w:trPr>
        <w:tc>
          <w:tcPr>
            <w:tcW w:w="2235" w:type="dxa"/>
          </w:tcPr>
          <w:p w14:paraId="44E7A618"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Cadre d’analyse et conditions essentielles</w:t>
            </w:r>
          </w:p>
        </w:tc>
        <w:tc>
          <w:tcPr>
            <w:tcW w:w="7311" w:type="dxa"/>
          </w:tcPr>
          <w:p w14:paraId="05DBAF8E" w14:textId="6503358D" w:rsidR="00592FC3" w:rsidRPr="00DD6698" w:rsidRDefault="00592FC3" w:rsidP="0039081F">
            <w:pPr>
              <w:spacing w:before="120" w:after="240"/>
              <w:ind w:left="72" w:right="72"/>
              <w:jc w:val="both"/>
              <w:rPr>
                <w:rFonts w:ascii="Arial" w:hAnsi="Arial" w:cs="Arial"/>
                <w:sz w:val="24"/>
                <w:szCs w:val="24"/>
              </w:rPr>
            </w:pPr>
            <w:r w:rsidRPr="00DD6698">
              <w:rPr>
                <w:rFonts w:ascii="Arial" w:hAnsi="Arial" w:cs="Arial"/>
                <w:sz w:val="24"/>
                <w:szCs w:val="24"/>
                <w:u w:val="single"/>
              </w:rPr>
              <w:t>Fardeau de preuve d</w:t>
            </w:r>
            <w:r w:rsidR="003E7909">
              <w:rPr>
                <w:rFonts w:ascii="Arial" w:hAnsi="Arial" w:cs="Arial"/>
                <w:sz w:val="24"/>
                <w:szCs w:val="24"/>
                <w:u w:val="single"/>
              </w:rPr>
              <w:t>u demandeur</w:t>
            </w:r>
            <w:r>
              <w:rPr>
                <w:rFonts w:ascii="Arial" w:hAnsi="Arial" w:cs="Arial"/>
                <w:sz w:val="24"/>
                <w:szCs w:val="24"/>
              </w:rPr>
              <w:t> :</w:t>
            </w:r>
          </w:p>
          <w:p w14:paraId="57EA7CFA" w14:textId="77777777" w:rsidR="00592FC3" w:rsidRPr="00DD6698" w:rsidRDefault="00592FC3" w:rsidP="00DD6698">
            <w:pPr>
              <w:spacing w:before="120" w:after="120"/>
              <w:ind w:left="72" w:right="72"/>
              <w:jc w:val="both"/>
              <w:rPr>
                <w:rFonts w:ascii="Arial" w:hAnsi="Arial" w:cs="Arial"/>
                <w:sz w:val="24"/>
                <w:szCs w:val="24"/>
              </w:rPr>
            </w:pPr>
            <w:r w:rsidRPr="00DD6698">
              <w:rPr>
                <w:rFonts w:ascii="Arial" w:hAnsi="Arial" w:cs="Arial"/>
                <w:sz w:val="24"/>
                <w:szCs w:val="24"/>
              </w:rPr>
              <w:t xml:space="preserve">Démontrer qu’une question a été posée portant sur l’un ou l’autre des motifs de discrimination constitue une preuve </w:t>
            </w:r>
            <w:r w:rsidRPr="00DD6698">
              <w:rPr>
                <w:rFonts w:ascii="Arial" w:hAnsi="Arial" w:cs="Arial"/>
                <w:i/>
                <w:sz w:val="24"/>
                <w:szCs w:val="24"/>
              </w:rPr>
              <w:t>prima facie</w:t>
            </w:r>
            <w:r>
              <w:rPr>
                <w:rFonts w:ascii="Arial" w:hAnsi="Arial" w:cs="Arial"/>
                <w:sz w:val="24"/>
                <w:szCs w:val="24"/>
              </w:rPr>
              <w:t xml:space="preserve"> de discrimination.</w:t>
            </w:r>
          </w:p>
          <w:p w14:paraId="59C96AF8" w14:textId="6926C8ED" w:rsidR="00592FC3" w:rsidRDefault="00592FC3" w:rsidP="00DD6698">
            <w:pPr>
              <w:spacing w:before="120" w:after="240"/>
              <w:ind w:left="72" w:right="72"/>
              <w:jc w:val="both"/>
              <w:rPr>
                <w:rFonts w:ascii="Arial" w:hAnsi="Arial" w:cs="Arial"/>
                <w:sz w:val="24"/>
                <w:szCs w:val="24"/>
              </w:rPr>
            </w:pPr>
            <w:r w:rsidRPr="00DD6698">
              <w:rPr>
                <w:rFonts w:ascii="Arial" w:hAnsi="Arial" w:cs="Arial"/>
                <w:sz w:val="24"/>
                <w:szCs w:val="24"/>
              </w:rPr>
              <w:lastRenderedPageBreak/>
              <w:t>Les questions portant sur l’état de santé sont e</w:t>
            </w:r>
            <w:r>
              <w:rPr>
                <w:rFonts w:ascii="Arial" w:hAnsi="Arial" w:cs="Arial"/>
                <w:sz w:val="24"/>
                <w:szCs w:val="24"/>
              </w:rPr>
              <w:t>nglobées par le motif handicap.</w:t>
            </w:r>
          </w:p>
          <w:p w14:paraId="0FF72C14" w14:textId="6AFD1978" w:rsidR="00C249CC" w:rsidRPr="00DD6698" w:rsidRDefault="00C249CC" w:rsidP="00DD6698">
            <w:pPr>
              <w:spacing w:before="120" w:after="240"/>
              <w:ind w:left="72" w:right="72"/>
              <w:jc w:val="both"/>
              <w:rPr>
                <w:rFonts w:ascii="Arial" w:hAnsi="Arial" w:cs="Arial"/>
                <w:sz w:val="24"/>
                <w:szCs w:val="24"/>
              </w:rPr>
            </w:pPr>
            <w:r>
              <w:rPr>
                <w:rFonts w:ascii="Arial" w:hAnsi="Arial" w:cs="Arial"/>
                <w:sz w:val="24"/>
                <w:szCs w:val="24"/>
              </w:rPr>
              <w:t xml:space="preserve">La question peut avoir été posée dans un formulaire, lors d’une entrevue ou par un tiers à qui l’employeur a délégué une partie de son processus de sélection. </w:t>
            </w:r>
          </w:p>
          <w:p w14:paraId="1F19985E" w14:textId="77777777" w:rsidR="00592FC3" w:rsidRPr="00DD6698" w:rsidRDefault="00592FC3" w:rsidP="0039081F">
            <w:pPr>
              <w:spacing w:before="240" w:after="240" w:line="235" w:lineRule="auto"/>
              <w:ind w:left="72" w:right="72"/>
              <w:jc w:val="both"/>
              <w:rPr>
                <w:rFonts w:ascii="Arial" w:hAnsi="Arial" w:cs="Arial"/>
                <w:sz w:val="24"/>
                <w:szCs w:val="24"/>
                <w:u w:val="single"/>
              </w:rPr>
            </w:pPr>
            <w:r w:rsidRPr="00DD6698">
              <w:rPr>
                <w:rFonts w:ascii="Arial" w:hAnsi="Arial" w:cs="Arial"/>
                <w:sz w:val="24"/>
                <w:szCs w:val="24"/>
                <w:u w:val="single"/>
              </w:rPr>
              <w:t>Défense de justification</w:t>
            </w:r>
            <w:r w:rsidRPr="00DD6698">
              <w:rPr>
                <w:rFonts w:ascii="Arial" w:hAnsi="Arial" w:cs="Arial"/>
                <w:sz w:val="24"/>
                <w:szCs w:val="24"/>
              </w:rPr>
              <w:t> :</w:t>
            </w:r>
          </w:p>
          <w:p w14:paraId="33F713AF" w14:textId="77777777" w:rsidR="00592FC3" w:rsidRPr="00DD6698" w:rsidRDefault="00592FC3" w:rsidP="00DD6698">
            <w:pPr>
              <w:spacing w:before="120" w:after="120"/>
              <w:ind w:left="72" w:right="72"/>
              <w:jc w:val="both"/>
              <w:rPr>
                <w:rFonts w:ascii="Arial" w:hAnsi="Arial" w:cs="Arial"/>
                <w:sz w:val="24"/>
                <w:szCs w:val="24"/>
              </w:rPr>
            </w:pPr>
            <w:r>
              <w:rPr>
                <w:rFonts w:ascii="Arial" w:hAnsi="Arial" w:cs="Arial"/>
                <w:sz w:val="24"/>
                <w:szCs w:val="24"/>
              </w:rPr>
              <w:t>L</w:t>
            </w:r>
            <w:r w:rsidRPr="00DD6698">
              <w:rPr>
                <w:rFonts w:ascii="Arial" w:hAnsi="Arial" w:cs="Arial"/>
                <w:sz w:val="24"/>
                <w:szCs w:val="24"/>
              </w:rPr>
              <w:t xml:space="preserve">'employeur doit démontrer que les renseignements sont requis </w:t>
            </w:r>
            <w:r w:rsidRPr="00DD6698">
              <w:rPr>
                <w:rFonts w:ascii="Arial" w:hAnsi="Arial" w:cs="Arial"/>
                <w:sz w:val="24"/>
                <w:szCs w:val="24"/>
                <w:u w:val="single"/>
              </w:rPr>
              <w:t>dans un but rationnellement lié à l'exécution du travail en cause</w:t>
            </w:r>
            <w:r w:rsidRPr="00DD6698">
              <w:rPr>
                <w:rFonts w:ascii="Arial" w:hAnsi="Arial" w:cs="Arial"/>
                <w:sz w:val="24"/>
                <w:szCs w:val="24"/>
              </w:rPr>
              <w:t xml:space="preserve"> et qu'ils sont </w:t>
            </w:r>
            <w:r w:rsidRPr="00DD6698">
              <w:rPr>
                <w:rFonts w:ascii="Arial" w:hAnsi="Arial" w:cs="Arial"/>
                <w:sz w:val="24"/>
                <w:szCs w:val="24"/>
                <w:u w:val="single"/>
              </w:rPr>
              <w:t>raisonnablement nécessaires</w:t>
            </w:r>
            <w:r w:rsidRPr="00DD6698">
              <w:rPr>
                <w:rFonts w:ascii="Arial" w:hAnsi="Arial" w:cs="Arial"/>
                <w:sz w:val="24"/>
                <w:szCs w:val="24"/>
              </w:rPr>
              <w:t xml:space="preserve"> pour réaliser</w:t>
            </w:r>
            <w:r>
              <w:rPr>
                <w:rFonts w:ascii="Arial" w:hAnsi="Arial" w:cs="Arial"/>
                <w:sz w:val="24"/>
                <w:szCs w:val="24"/>
              </w:rPr>
              <w:t xml:space="preserve"> ce but légitime lié au travail.</w:t>
            </w:r>
          </w:p>
        </w:tc>
      </w:tr>
      <w:tr w:rsidR="00592FC3" w:rsidRPr="00230285" w14:paraId="1540C9AD" w14:textId="77777777" w:rsidTr="00B84DBC">
        <w:trPr>
          <w:jc w:val="center"/>
        </w:trPr>
        <w:tc>
          <w:tcPr>
            <w:tcW w:w="2235" w:type="dxa"/>
          </w:tcPr>
          <w:p w14:paraId="25A1A327"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lastRenderedPageBreak/>
              <w:t>Éléments pertinents à considérer en matière de questionnaires médicaux pré-embauche</w:t>
            </w:r>
            <w:r w:rsidRPr="00DD6698">
              <w:rPr>
                <w:rStyle w:val="Appelnotedebasdep"/>
                <w:rFonts w:ascii="Arial" w:hAnsi="Arial" w:cs="Arial"/>
                <w:sz w:val="20"/>
                <w:szCs w:val="24"/>
              </w:rPr>
              <w:footnoteReference w:id="1"/>
            </w:r>
          </w:p>
        </w:tc>
        <w:tc>
          <w:tcPr>
            <w:tcW w:w="7311" w:type="dxa"/>
          </w:tcPr>
          <w:p w14:paraId="44FCC498" w14:textId="77777777" w:rsidR="00592FC3" w:rsidRPr="00DD6698" w:rsidRDefault="00592FC3" w:rsidP="0039081F">
            <w:pPr>
              <w:spacing w:before="120" w:after="240" w:line="235" w:lineRule="auto"/>
              <w:ind w:left="72" w:right="72"/>
              <w:jc w:val="both"/>
              <w:rPr>
                <w:rFonts w:ascii="Arial" w:hAnsi="Arial" w:cs="Arial"/>
                <w:sz w:val="24"/>
                <w:szCs w:val="24"/>
              </w:rPr>
            </w:pPr>
            <w:r w:rsidRPr="00DD6698">
              <w:rPr>
                <w:rFonts w:ascii="Arial" w:hAnsi="Arial" w:cs="Arial"/>
                <w:sz w:val="24"/>
                <w:szCs w:val="24"/>
                <w:u w:val="single"/>
              </w:rPr>
              <w:t>Quant à l’objectif poursuivi par l’employeur en administrant le questionnaire (critère de rationalité)</w:t>
            </w:r>
            <w:r>
              <w:rPr>
                <w:rFonts w:ascii="Arial" w:hAnsi="Arial" w:cs="Arial"/>
                <w:sz w:val="24"/>
                <w:szCs w:val="24"/>
              </w:rPr>
              <w:t> :</w:t>
            </w:r>
          </w:p>
          <w:p w14:paraId="300EC241" w14:textId="77777777" w:rsidR="00592FC3" w:rsidRPr="00DD6698" w:rsidRDefault="00592FC3" w:rsidP="00EC2165">
            <w:pPr>
              <w:spacing w:before="120" w:after="120" w:line="235" w:lineRule="auto"/>
              <w:ind w:left="72" w:right="72"/>
              <w:jc w:val="both"/>
              <w:rPr>
                <w:rFonts w:ascii="Arial" w:hAnsi="Arial" w:cs="Arial"/>
                <w:sz w:val="24"/>
                <w:szCs w:val="24"/>
              </w:rPr>
            </w:pPr>
            <w:r w:rsidRPr="00DD6698">
              <w:rPr>
                <w:rFonts w:ascii="Arial" w:hAnsi="Arial" w:cs="Arial"/>
                <w:sz w:val="24"/>
                <w:szCs w:val="24"/>
              </w:rPr>
              <w:t>La cueillette de l'information médicale ne doit pas être utilisée pour embaucher seulement le candidat en parfaite santé qui représente le</w:t>
            </w:r>
            <w:r>
              <w:rPr>
                <w:rFonts w:ascii="Arial" w:hAnsi="Arial" w:cs="Arial"/>
                <w:sz w:val="24"/>
                <w:szCs w:val="24"/>
              </w:rPr>
              <w:t xml:space="preserve"> moins de risque d'absentéisme.</w:t>
            </w:r>
          </w:p>
          <w:p w14:paraId="413EF295" w14:textId="77777777" w:rsidR="00592FC3" w:rsidRPr="00DD6698" w:rsidRDefault="00592FC3" w:rsidP="0039081F">
            <w:pPr>
              <w:spacing w:before="240" w:after="240" w:line="235" w:lineRule="auto"/>
              <w:ind w:left="72" w:right="72"/>
              <w:jc w:val="both"/>
              <w:rPr>
                <w:rFonts w:ascii="Arial" w:hAnsi="Arial" w:cs="Arial"/>
                <w:sz w:val="24"/>
                <w:szCs w:val="24"/>
              </w:rPr>
            </w:pPr>
            <w:r w:rsidRPr="00DD6698">
              <w:rPr>
                <w:rFonts w:ascii="Arial" w:hAnsi="Arial" w:cs="Arial"/>
                <w:sz w:val="24"/>
                <w:szCs w:val="24"/>
                <w:u w:val="single"/>
              </w:rPr>
              <w:t>Quant au critère de proportionnalité</w:t>
            </w:r>
            <w:r w:rsidRPr="00DD6698">
              <w:rPr>
                <w:rFonts w:ascii="Arial" w:hAnsi="Arial" w:cs="Arial"/>
                <w:sz w:val="24"/>
                <w:szCs w:val="24"/>
              </w:rPr>
              <w:t xml:space="preserve"> (est-ce que les questions posées et le processus d’embauche sont raisonnablement nécessaires pour réaliser ce but légitime lié au travail?), il faut vérifier les points suivants :</w:t>
            </w:r>
          </w:p>
          <w:p w14:paraId="26ED1619" w14:textId="77777777" w:rsidR="00592FC3" w:rsidRPr="00DD6698" w:rsidRDefault="00592FC3" w:rsidP="00A54127">
            <w:pPr>
              <w:pStyle w:val="Paragraphedeliste"/>
              <w:numPr>
                <w:ilvl w:val="0"/>
                <w:numId w:val="4"/>
              </w:numPr>
              <w:spacing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Est-ce que les questions posées sur l’état de santé sont modulées en fonction de l’emploi convoité (ou impose-t-on le même questionnaire à tous les candidats, peu importe l’emploi?)</w:t>
            </w:r>
          </w:p>
          <w:p w14:paraId="707579FF"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 xml:space="preserve">Les questions sont-elles ouvertes et obligent-elles le candidat à révéler plus que ce qui est </w:t>
            </w:r>
            <w:r>
              <w:rPr>
                <w:rFonts w:ascii="Arial" w:hAnsi="Arial" w:cs="Arial"/>
                <w:sz w:val="24"/>
                <w:szCs w:val="24"/>
              </w:rPr>
              <w:t>nécessaire</w:t>
            </w:r>
            <w:r w:rsidRPr="00DD6698">
              <w:rPr>
                <w:rFonts w:ascii="Arial" w:hAnsi="Arial" w:cs="Arial"/>
                <w:sz w:val="24"/>
                <w:szCs w:val="24"/>
              </w:rPr>
              <w:t>? Sont</w:t>
            </w:r>
            <w:r>
              <w:rPr>
                <w:rFonts w:ascii="Arial" w:hAnsi="Arial" w:cs="Arial"/>
                <w:sz w:val="24"/>
                <w:szCs w:val="24"/>
              </w:rPr>
              <w:t>-elles limitées dans le temps?</w:t>
            </w:r>
          </w:p>
          <w:p w14:paraId="65D61F53"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Si l’employeur pose une question au sujet d’une condition médicale, c’est qu’il estime que cette condition présente un risque avec l’ex</w:t>
            </w:r>
            <w:r>
              <w:rPr>
                <w:rFonts w:ascii="Arial" w:hAnsi="Arial" w:cs="Arial"/>
                <w:sz w:val="24"/>
                <w:szCs w:val="24"/>
              </w:rPr>
              <w:t>écution sécuritaire des tâches.</w:t>
            </w:r>
          </w:p>
          <w:p w14:paraId="627C9E5F"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Ce risque est-il réel ou hypo</w:t>
            </w:r>
            <w:r>
              <w:rPr>
                <w:rFonts w:ascii="Arial" w:hAnsi="Arial" w:cs="Arial"/>
                <w:sz w:val="24"/>
                <w:szCs w:val="24"/>
              </w:rPr>
              <w:t xml:space="preserve">thétique? (l’employeur peut-il </w:t>
            </w:r>
            <w:r w:rsidRPr="00DD6698">
              <w:rPr>
                <w:rFonts w:ascii="Arial" w:hAnsi="Arial" w:cs="Arial"/>
                <w:sz w:val="24"/>
                <w:szCs w:val="24"/>
              </w:rPr>
              <w:t>démontrer que le risque repose sur des données scientifiques ou médicales objectives?)</w:t>
            </w:r>
            <w:r>
              <w:rPr>
                <w:rFonts w:ascii="Arial" w:hAnsi="Arial" w:cs="Arial"/>
                <w:sz w:val="24"/>
                <w:szCs w:val="24"/>
              </w:rPr>
              <w:t>.</w:t>
            </w:r>
          </w:p>
          <w:p w14:paraId="61D49FF1"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S’agit-il d’un risque grave ou excessif ou d’un risque minime?</w:t>
            </w:r>
          </w:p>
          <w:p w14:paraId="3508BCF0" w14:textId="77777777" w:rsidR="00592FC3"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lastRenderedPageBreak/>
              <w:t>Si un risque grave existe, l’employeur peut-il mettre en place une mesure susceptible de contenir ce risque, à la limite de la contrainte excessive?</w:t>
            </w:r>
          </w:p>
          <w:p w14:paraId="2B451B9B" w14:textId="77777777" w:rsidR="00592FC3" w:rsidRPr="00592FC3" w:rsidRDefault="00592FC3" w:rsidP="00592FC3">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5C00D0">
              <w:rPr>
                <w:rFonts w:ascii="Arial" w:hAnsi="Arial" w:cs="Arial"/>
                <w:sz w:val="24"/>
                <w:szCs w:val="24"/>
              </w:rPr>
              <w:t>L’employeur a-t-il appliqué la mesure la moins attentatoire aux droits fondamentaux? Par exemple, a-t-il limité l’administration du questionnaire médical aux seuls candidats sélectionnés (offre d’embauche conditionnelle à l’évaluation médicale?).</w:t>
            </w:r>
          </w:p>
        </w:tc>
      </w:tr>
      <w:tr w:rsidR="00EA54B9" w:rsidRPr="00230285" w14:paraId="00E5D5E2" w14:textId="77777777" w:rsidTr="00B84DBC">
        <w:trPr>
          <w:jc w:val="center"/>
        </w:trPr>
        <w:tc>
          <w:tcPr>
            <w:tcW w:w="2235" w:type="dxa"/>
          </w:tcPr>
          <w:p w14:paraId="6259DA83" w14:textId="4D03DD99" w:rsidR="00EA54B9" w:rsidRPr="00DD6698" w:rsidRDefault="00EA54B9" w:rsidP="00F26187">
            <w:pPr>
              <w:spacing w:before="120" w:after="120"/>
              <w:ind w:left="72" w:right="72"/>
              <w:rPr>
                <w:rFonts w:ascii="Arial" w:hAnsi="Arial" w:cs="Arial"/>
                <w:b/>
                <w:sz w:val="24"/>
                <w:szCs w:val="24"/>
              </w:rPr>
            </w:pPr>
            <w:r>
              <w:rPr>
                <w:rFonts w:ascii="Arial" w:hAnsi="Arial" w:cs="Arial"/>
                <w:b/>
                <w:sz w:val="24"/>
                <w:szCs w:val="24"/>
              </w:rPr>
              <w:lastRenderedPageBreak/>
              <w:t>Le</w:t>
            </w:r>
            <w:r w:rsidR="00D61B30">
              <w:rPr>
                <w:rFonts w:ascii="Arial" w:hAnsi="Arial" w:cs="Arial"/>
                <w:b/>
                <w:sz w:val="24"/>
                <w:szCs w:val="24"/>
              </w:rPr>
              <w:t xml:space="preserve">s autres droits qui peuvent être compromis </w:t>
            </w:r>
            <w:r w:rsidR="00BA31CE">
              <w:rPr>
                <w:rFonts w:ascii="Arial" w:hAnsi="Arial" w:cs="Arial"/>
                <w:b/>
                <w:sz w:val="24"/>
                <w:szCs w:val="24"/>
              </w:rPr>
              <w:t>par un questionnaire d’embauche discriminatoire</w:t>
            </w:r>
          </w:p>
        </w:tc>
        <w:tc>
          <w:tcPr>
            <w:tcW w:w="7311" w:type="dxa"/>
          </w:tcPr>
          <w:p w14:paraId="008B63E5" w14:textId="6735EB7B" w:rsidR="00BA31CE" w:rsidRPr="005949A2" w:rsidRDefault="00E75843" w:rsidP="0039081F">
            <w:pPr>
              <w:spacing w:before="120" w:after="240" w:line="235" w:lineRule="auto"/>
              <w:ind w:left="72" w:right="72"/>
              <w:jc w:val="both"/>
              <w:rPr>
                <w:rFonts w:ascii="Arial" w:hAnsi="Arial" w:cs="Arial"/>
                <w:sz w:val="24"/>
                <w:szCs w:val="24"/>
              </w:rPr>
            </w:pPr>
            <w:r w:rsidRPr="005949A2">
              <w:rPr>
                <w:rFonts w:ascii="Arial" w:hAnsi="Arial" w:cs="Arial"/>
                <w:sz w:val="24"/>
                <w:szCs w:val="24"/>
              </w:rPr>
              <w:t>La jurisprudence reconnaît que dans le cadre d’un entretien</w:t>
            </w:r>
            <w:r w:rsidR="003D12A2" w:rsidRPr="005949A2">
              <w:rPr>
                <w:rFonts w:ascii="Arial" w:hAnsi="Arial" w:cs="Arial"/>
                <w:sz w:val="24"/>
                <w:szCs w:val="24"/>
              </w:rPr>
              <w:t xml:space="preserve"> d’embauche, les questions posées sur un des motifs énumérés à l’article 10 de la Charte, qui ne sont pas nécessaires </w:t>
            </w:r>
            <w:r w:rsidR="00F71964" w:rsidRPr="005949A2">
              <w:rPr>
                <w:rFonts w:ascii="Arial" w:hAnsi="Arial" w:cs="Arial"/>
                <w:sz w:val="24"/>
                <w:szCs w:val="24"/>
              </w:rPr>
              <w:t>e</w:t>
            </w:r>
            <w:r w:rsidR="003D12A2" w:rsidRPr="005949A2">
              <w:rPr>
                <w:rFonts w:ascii="Arial" w:hAnsi="Arial" w:cs="Arial"/>
                <w:sz w:val="24"/>
                <w:szCs w:val="24"/>
              </w:rPr>
              <w:t>u égard à la nature et aux exigences de l’emploi, portent atteinte de manière discriminatoire au droit à la sauvegarde de la dignité du candidat</w:t>
            </w:r>
            <w:r w:rsidR="00AA67C7" w:rsidRPr="005949A2">
              <w:rPr>
                <w:rFonts w:ascii="Arial" w:hAnsi="Arial" w:cs="Arial"/>
                <w:sz w:val="24"/>
                <w:szCs w:val="24"/>
              </w:rPr>
              <w:t xml:space="preserve"> </w:t>
            </w:r>
            <w:r w:rsidR="008D5D00" w:rsidRPr="005949A2">
              <w:rPr>
                <w:rFonts w:ascii="Arial" w:hAnsi="Arial" w:cs="Arial"/>
                <w:sz w:val="24"/>
                <w:szCs w:val="24"/>
              </w:rPr>
              <w:t xml:space="preserve">et constituent une intrusion indue dans sa vie privée. </w:t>
            </w:r>
          </w:p>
          <w:p w14:paraId="2C20C9AE" w14:textId="2193B4D2" w:rsidR="00EA54B9" w:rsidRPr="00DD6698" w:rsidRDefault="00453CCA" w:rsidP="0039081F">
            <w:pPr>
              <w:spacing w:before="120" w:after="240" w:line="235" w:lineRule="auto"/>
              <w:ind w:left="72" w:right="72"/>
              <w:jc w:val="both"/>
              <w:rPr>
                <w:rFonts w:ascii="Arial" w:hAnsi="Arial" w:cs="Arial"/>
                <w:sz w:val="24"/>
                <w:szCs w:val="24"/>
                <w:u w:val="single"/>
              </w:rPr>
            </w:pPr>
            <w:r w:rsidRPr="005949A2">
              <w:rPr>
                <w:rFonts w:ascii="Arial" w:hAnsi="Arial" w:cs="Arial"/>
                <w:sz w:val="24"/>
                <w:szCs w:val="24"/>
              </w:rPr>
              <w:t>Les tribunaux ont également reconnu que d</w:t>
            </w:r>
            <w:r w:rsidR="00BA31CE" w:rsidRPr="005949A2">
              <w:rPr>
                <w:rFonts w:ascii="Arial" w:hAnsi="Arial" w:cs="Arial"/>
                <w:sz w:val="24"/>
                <w:szCs w:val="24"/>
              </w:rPr>
              <w:t xml:space="preserve">ans certains cas, les examens médicaux préembauche </w:t>
            </w:r>
            <w:r w:rsidR="00406E6A" w:rsidRPr="005949A2">
              <w:rPr>
                <w:rFonts w:ascii="Arial" w:hAnsi="Arial" w:cs="Arial"/>
                <w:sz w:val="24"/>
                <w:szCs w:val="24"/>
              </w:rPr>
              <w:t xml:space="preserve">étaient </w:t>
            </w:r>
            <w:r w:rsidR="00F71964" w:rsidRPr="005949A2">
              <w:rPr>
                <w:rFonts w:ascii="Arial" w:hAnsi="Arial" w:cs="Arial"/>
                <w:sz w:val="24"/>
                <w:szCs w:val="24"/>
              </w:rPr>
              <w:t>susceptibles de porter atteinte au droit à l’intégrité du candidat</w:t>
            </w:r>
            <w:r w:rsidR="00DA63D1" w:rsidRPr="005949A2">
              <w:rPr>
                <w:rFonts w:ascii="Arial" w:hAnsi="Arial" w:cs="Arial"/>
                <w:sz w:val="24"/>
                <w:szCs w:val="24"/>
              </w:rPr>
              <w:t xml:space="preserve"> (ex : palpation de parties du corps, prises de sang, </w:t>
            </w:r>
            <w:r w:rsidRPr="005949A2">
              <w:rPr>
                <w:rFonts w:ascii="Arial" w:hAnsi="Arial" w:cs="Arial"/>
                <w:sz w:val="24"/>
                <w:szCs w:val="24"/>
              </w:rPr>
              <w:t xml:space="preserve">radiographies, </w:t>
            </w:r>
            <w:r w:rsidR="00DA63D1" w:rsidRPr="005949A2">
              <w:rPr>
                <w:rFonts w:ascii="Arial" w:hAnsi="Arial" w:cs="Arial"/>
                <w:sz w:val="24"/>
                <w:szCs w:val="24"/>
              </w:rPr>
              <w:t>etc</w:t>
            </w:r>
            <w:r w:rsidR="00406E6A" w:rsidRPr="005949A2">
              <w:rPr>
                <w:rFonts w:ascii="Arial" w:hAnsi="Arial" w:cs="Arial"/>
                <w:sz w:val="24"/>
                <w:szCs w:val="24"/>
              </w:rPr>
              <w:t>.</w:t>
            </w:r>
            <w:r w:rsidR="00DA63D1" w:rsidRPr="005949A2">
              <w:rPr>
                <w:rFonts w:ascii="Arial" w:hAnsi="Arial" w:cs="Arial"/>
                <w:sz w:val="24"/>
                <w:szCs w:val="24"/>
              </w:rPr>
              <w:t>)</w:t>
            </w:r>
            <w:r w:rsidR="00BA31CE">
              <w:rPr>
                <w:rFonts w:ascii="Arial" w:hAnsi="Arial" w:cs="Arial"/>
                <w:sz w:val="24"/>
                <w:szCs w:val="24"/>
                <w:u w:val="single"/>
              </w:rPr>
              <w:t xml:space="preserve"> </w:t>
            </w:r>
            <w:r w:rsidR="008D5D00">
              <w:rPr>
                <w:rFonts w:ascii="Arial" w:hAnsi="Arial" w:cs="Arial"/>
                <w:sz w:val="24"/>
                <w:szCs w:val="24"/>
                <w:u w:val="single"/>
              </w:rPr>
              <w:t xml:space="preserve"> </w:t>
            </w:r>
            <w:r w:rsidR="003D12A2">
              <w:rPr>
                <w:rFonts w:ascii="Arial" w:hAnsi="Arial" w:cs="Arial"/>
                <w:sz w:val="24"/>
                <w:szCs w:val="24"/>
                <w:u w:val="single"/>
              </w:rPr>
              <w:t xml:space="preserve">  </w:t>
            </w:r>
          </w:p>
        </w:tc>
      </w:tr>
      <w:tr w:rsidR="00592FC3" w:rsidRPr="00230285" w14:paraId="10DED67B" w14:textId="77777777" w:rsidTr="00B84DBC">
        <w:trPr>
          <w:jc w:val="center"/>
        </w:trPr>
        <w:tc>
          <w:tcPr>
            <w:tcW w:w="2235" w:type="dxa"/>
          </w:tcPr>
          <w:p w14:paraId="7185A672"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Le cas particulier des fausses déclarations à l’embauche</w:t>
            </w:r>
          </w:p>
        </w:tc>
        <w:tc>
          <w:tcPr>
            <w:tcW w:w="7311" w:type="dxa"/>
          </w:tcPr>
          <w:p w14:paraId="2BB30381" w14:textId="0653CCEF" w:rsidR="00592FC3" w:rsidRPr="005949A2" w:rsidRDefault="00592FC3" w:rsidP="00DD6698">
            <w:pPr>
              <w:spacing w:before="120" w:after="120"/>
              <w:ind w:left="72" w:right="72"/>
              <w:jc w:val="both"/>
              <w:rPr>
                <w:rFonts w:ascii="Arial" w:hAnsi="Arial" w:cs="Arial"/>
                <w:iCs/>
                <w:sz w:val="24"/>
                <w:szCs w:val="24"/>
              </w:rPr>
            </w:pPr>
            <w:r w:rsidRPr="00DD6698">
              <w:rPr>
                <w:rFonts w:ascii="Arial" w:hAnsi="Arial" w:cs="Arial"/>
                <w:sz w:val="24"/>
                <w:szCs w:val="24"/>
              </w:rPr>
              <w:t xml:space="preserve">L’employeur ne peut reprocher à un candidat d’avoir fait une fausse déclaration avant l’embauche et le congédier (ou le pénaliser en emploi) si la fausse déclaration porte sur une question que l’employeur ne pouvait lui poser en vertu de l’article 18.1 de la </w:t>
            </w:r>
            <w:r w:rsidRPr="00DD6698">
              <w:rPr>
                <w:rFonts w:ascii="Arial" w:hAnsi="Arial" w:cs="Arial"/>
                <w:i/>
                <w:sz w:val="24"/>
                <w:szCs w:val="24"/>
              </w:rPr>
              <w:t>Charte</w:t>
            </w:r>
            <w:r w:rsidR="005949A2">
              <w:rPr>
                <w:rFonts w:ascii="Arial" w:hAnsi="Arial" w:cs="Arial"/>
                <w:iCs/>
                <w:sz w:val="24"/>
                <w:szCs w:val="24"/>
              </w:rPr>
              <w:t>.</w:t>
            </w:r>
          </w:p>
          <w:p w14:paraId="7FDB5741" w14:textId="6A9E3866" w:rsidR="001027A6" w:rsidRDefault="001027A6" w:rsidP="00DD6698">
            <w:pPr>
              <w:spacing w:before="120" w:after="120"/>
              <w:ind w:left="72" w:right="72"/>
              <w:jc w:val="both"/>
              <w:rPr>
                <w:rFonts w:ascii="Arial" w:hAnsi="Arial" w:cs="Arial"/>
                <w:sz w:val="24"/>
                <w:szCs w:val="24"/>
              </w:rPr>
            </w:pPr>
            <w:r>
              <w:rPr>
                <w:rFonts w:ascii="Arial" w:hAnsi="Arial" w:cs="Arial"/>
                <w:sz w:val="24"/>
                <w:szCs w:val="24"/>
              </w:rPr>
              <w:t xml:space="preserve">Les candidats ont une obligation de transparence et de bonne foi. S’ils ont une condition médicale qui, à leur connaissance, est de nature à préoccuper un futur employeur, ils doivent la divulguer et apporter les nuances nécessaires, même si le questionnaire n’est pas clair. </w:t>
            </w:r>
          </w:p>
          <w:p w14:paraId="2F4F50E3" w14:textId="77777777" w:rsidR="001027A6" w:rsidRPr="00DD6698" w:rsidRDefault="001027A6" w:rsidP="00DD6698">
            <w:pPr>
              <w:spacing w:before="120" w:after="120"/>
              <w:ind w:left="72" w:right="72"/>
              <w:jc w:val="both"/>
              <w:rPr>
                <w:rFonts w:ascii="Arial" w:hAnsi="Arial" w:cs="Arial"/>
                <w:sz w:val="24"/>
                <w:szCs w:val="24"/>
              </w:rPr>
            </w:pPr>
          </w:p>
        </w:tc>
      </w:tr>
      <w:tr w:rsidR="00592FC3" w:rsidRPr="00230285" w14:paraId="23A4EECB" w14:textId="77777777" w:rsidTr="00B84DBC">
        <w:trPr>
          <w:jc w:val="center"/>
        </w:trPr>
        <w:tc>
          <w:tcPr>
            <w:tcW w:w="2235" w:type="dxa"/>
          </w:tcPr>
          <w:p w14:paraId="4FD6E122" w14:textId="77777777" w:rsidR="00592FC3" w:rsidRPr="00DD6698" w:rsidRDefault="00592FC3" w:rsidP="004B1455">
            <w:pPr>
              <w:spacing w:before="120" w:after="120"/>
              <w:ind w:left="72" w:right="72"/>
              <w:rPr>
                <w:rFonts w:ascii="Arial" w:hAnsi="Arial" w:cs="Arial"/>
                <w:b/>
                <w:sz w:val="24"/>
                <w:szCs w:val="24"/>
              </w:rPr>
            </w:pPr>
            <w:r w:rsidRPr="00DD6698">
              <w:rPr>
                <w:rFonts w:ascii="Arial" w:hAnsi="Arial" w:cs="Arial"/>
                <w:b/>
                <w:sz w:val="24"/>
                <w:szCs w:val="24"/>
              </w:rPr>
              <w:t xml:space="preserve">Jurisprudence </w:t>
            </w:r>
            <w:r>
              <w:rPr>
                <w:rFonts w:ascii="Arial" w:hAnsi="Arial" w:cs="Arial"/>
                <w:b/>
                <w:sz w:val="24"/>
                <w:szCs w:val="24"/>
              </w:rPr>
              <w:t>et documents pertinents</w:t>
            </w:r>
          </w:p>
        </w:tc>
        <w:tc>
          <w:tcPr>
            <w:tcW w:w="7311" w:type="dxa"/>
          </w:tcPr>
          <w:p w14:paraId="1A8880E1" w14:textId="18650084" w:rsidR="001027A6" w:rsidRDefault="009E3CE6" w:rsidP="00DD6698">
            <w:pPr>
              <w:spacing w:before="120" w:after="120"/>
              <w:ind w:left="72" w:right="72"/>
              <w:jc w:val="both"/>
              <w:rPr>
                <w:rFonts w:ascii="Arial" w:hAnsi="Arial" w:cs="Arial"/>
                <w:sz w:val="24"/>
                <w:szCs w:val="24"/>
              </w:rPr>
            </w:pPr>
            <w:hyperlink r:id="rId14" w:history="1">
              <w:r w:rsidR="001027A6" w:rsidRPr="005949A2">
                <w:rPr>
                  <w:rStyle w:val="Lienhypertexte"/>
                  <w:rFonts w:ascii="Arial" w:hAnsi="Arial" w:cs="Arial"/>
                  <w:i/>
                  <w:iCs/>
                  <w:sz w:val="24"/>
                  <w:szCs w:val="24"/>
                </w:rPr>
                <w:t>Commission des droits de la personne et des droits de la jeunesse (T.J.R.)</w:t>
              </w:r>
              <w:r w:rsidR="001027A6" w:rsidRPr="005949A2">
                <w:rPr>
                  <w:rStyle w:val="Lienhypertexte"/>
                  <w:rFonts w:ascii="Arial" w:hAnsi="Arial" w:cs="Arial"/>
                  <w:sz w:val="24"/>
                  <w:szCs w:val="24"/>
                </w:rPr>
                <w:t xml:space="preserve"> c. </w:t>
              </w:r>
              <w:r w:rsidR="001027A6" w:rsidRPr="005949A2">
                <w:rPr>
                  <w:rStyle w:val="Lienhypertexte"/>
                  <w:rFonts w:ascii="Arial" w:hAnsi="Arial" w:cs="Arial"/>
                  <w:i/>
                  <w:iCs/>
                  <w:sz w:val="24"/>
                  <w:szCs w:val="24"/>
                </w:rPr>
                <w:t>Procureur général du Québec (Sûreté du Québec)</w:t>
              </w:r>
              <w:r w:rsidR="001027A6" w:rsidRPr="005949A2">
                <w:rPr>
                  <w:rStyle w:val="Lienhypertexte"/>
                  <w:rFonts w:ascii="Arial" w:hAnsi="Arial" w:cs="Arial"/>
                  <w:sz w:val="24"/>
                  <w:szCs w:val="24"/>
                </w:rPr>
                <w:t>, 2022 QCCA 1577</w:t>
              </w:r>
            </w:hyperlink>
          </w:p>
          <w:p w14:paraId="7034D5E7" w14:textId="6962196F" w:rsidR="001027A6" w:rsidRDefault="009E3CE6" w:rsidP="00DD6698">
            <w:pPr>
              <w:spacing w:before="120" w:after="120"/>
              <w:ind w:left="72" w:right="72"/>
              <w:jc w:val="both"/>
              <w:rPr>
                <w:rFonts w:ascii="Arial" w:hAnsi="Arial" w:cs="Arial"/>
                <w:sz w:val="24"/>
                <w:szCs w:val="24"/>
              </w:rPr>
            </w:pPr>
            <w:hyperlink r:id="rId15" w:history="1">
              <w:r w:rsidR="001027A6" w:rsidRPr="005949A2">
                <w:rPr>
                  <w:rStyle w:val="Lienhypertexte"/>
                  <w:rFonts w:ascii="Arial" w:hAnsi="Arial" w:cs="Arial"/>
                  <w:i/>
                  <w:iCs/>
                  <w:sz w:val="24"/>
                  <w:szCs w:val="24"/>
                </w:rPr>
                <w:t>Commission des droits de la personne et des droits de la jeunesse (Samson-Thibault)</w:t>
              </w:r>
              <w:r w:rsidR="001027A6" w:rsidRPr="005949A2">
                <w:rPr>
                  <w:rStyle w:val="Lienhypertexte"/>
                  <w:rFonts w:ascii="Arial" w:hAnsi="Arial" w:cs="Arial"/>
                  <w:sz w:val="24"/>
                  <w:szCs w:val="24"/>
                </w:rPr>
                <w:t xml:space="preserve"> c. </w:t>
              </w:r>
              <w:r w:rsidR="001027A6" w:rsidRPr="005949A2">
                <w:rPr>
                  <w:rStyle w:val="Lienhypertexte"/>
                  <w:rFonts w:ascii="Arial" w:hAnsi="Arial" w:cs="Arial"/>
                  <w:i/>
                  <w:iCs/>
                  <w:sz w:val="24"/>
                  <w:szCs w:val="24"/>
                </w:rPr>
                <w:t>Ville de Québec</w:t>
              </w:r>
              <w:r w:rsidR="001027A6" w:rsidRPr="005949A2">
                <w:rPr>
                  <w:rStyle w:val="Lienhypertexte"/>
                  <w:rFonts w:ascii="Arial" w:hAnsi="Arial" w:cs="Arial"/>
                  <w:sz w:val="24"/>
                  <w:szCs w:val="24"/>
                </w:rPr>
                <w:t>, 2023 QCTDP 2 (CanLII)</w:t>
              </w:r>
            </w:hyperlink>
          </w:p>
          <w:p w14:paraId="411B15EE" w14:textId="75E87CEB" w:rsidR="008C1537" w:rsidRPr="001027A6" w:rsidRDefault="009E3CE6" w:rsidP="00DD6698">
            <w:pPr>
              <w:spacing w:before="120" w:after="120"/>
              <w:ind w:left="72" w:right="72"/>
              <w:jc w:val="both"/>
              <w:rPr>
                <w:rFonts w:ascii="Arial" w:hAnsi="Arial" w:cs="Arial"/>
                <w:sz w:val="24"/>
                <w:szCs w:val="24"/>
              </w:rPr>
            </w:pPr>
            <w:hyperlink r:id="rId16" w:history="1">
              <w:r w:rsidR="008C1537" w:rsidRPr="00311317">
                <w:rPr>
                  <w:rStyle w:val="Lienhypertexte"/>
                  <w:rFonts w:ascii="Arial" w:hAnsi="Arial" w:cs="Arial"/>
                  <w:i/>
                  <w:iCs/>
                  <w:sz w:val="24"/>
                  <w:szCs w:val="24"/>
                </w:rPr>
                <w:t>Commission des droits de la personne et des droits de la jeunesse (M.R.)</w:t>
              </w:r>
              <w:r w:rsidR="008C1537" w:rsidRPr="00311317">
                <w:rPr>
                  <w:rStyle w:val="Lienhypertexte"/>
                  <w:rFonts w:ascii="Arial" w:hAnsi="Arial" w:cs="Arial"/>
                  <w:sz w:val="24"/>
                  <w:szCs w:val="24"/>
                </w:rPr>
                <w:t xml:space="preserve"> c. </w:t>
              </w:r>
              <w:r w:rsidR="008C1537" w:rsidRPr="00311317">
                <w:rPr>
                  <w:rStyle w:val="Lienhypertexte"/>
                  <w:rFonts w:ascii="Arial" w:hAnsi="Arial" w:cs="Arial"/>
                  <w:i/>
                  <w:iCs/>
                  <w:sz w:val="24"/>
                  <w:szCs w:val="24"/>
                </w:rPr>
                <w:t>Société de transport de Montréal (STM)</w:t>
              </w:r>
              <w:r w:rsidR="008C1537" w:rsidRPr="00311317">
                <w:rPr>
                  <w:rStyle w:val="Lienhypertexte"/>
                  <w:rFonts w:ascii="Arial" w:hAnsi="Arial" w:cs="Arial"/>
                  <w:sz w:val="24"/>
                  <w:szCs w:val="24"/>
                </w:rPr>
                <w:t>, 2021 QCTDP 35 (CanLII)</w:t>
              </w:r>
            </w:hyperlink>
          </w:p>
          <w:p w14:paraId="0187B4E4" w14:textId="75BE246E" w:rsidR="006C5048" w:rsidRPr="006C5048" w:rsidRDefault="009E3CE6" w:rsidP="00DD6698">
            <w:pPr>
              <w:spacing w:before="120" w:after="120"/>
              <w:ind w:left="72" w:right="72"/>
              <w:jc w:val="both"/>
              <w:rPr>
                <w:rFonts w:ascii="Arial" w:hAnsi="Arial" w:cs="Arial"/>
                <w:i/>
                <w:sz w:val="24"/>
                <w:szCs w:val="24"/>
              </w:rPr>
            </w:pPr>
            <w:hyperlink r:id="rId17" w:history="1">
              <w:r w:rsidR="006C5048" w:rsidRPr="00372CEB">
                <w:rPr>
                  <w:rStyle w:val="Lienhypertexte"/>
                  <w:rFonts w:ascii="Arial" w:hAnsi="Arial" w:cs="Arial"/>
                  <w:i/>
                  <w:sz w:val="24"/>
                  <w:szCs w:val="24"/>
                  <w:shd w:val="clear" w:color="auto" w:fill="FFFFFF"/>
                </w:rPr>
                <w:t>Commission des droits de la personne et des droits de la jeunesse (A.A.) c. Centre intégré de santé et de services sociaux des Laurentides (Centre de santé et de services sociaux de Thérèse-de-Blainville)</w:t>
              </w:r>
              <w:r w:rsidR="006C5048" w:rsidRPr="00372CEB">
                <w:rPr>
                  <w:rStyle w:val="Lienhypertexte"/>
                  <w:rFonts w:ascii="Arial" w:hAnsi="Arial" w:cs="Arial"/>
                  <w:sz w:val="24"/>
                  <w:szCs w:val="24"/>
                  <w:shd w:val="clear" w:color="auto" w:fill="FFFFFF"/>
                </w:rPr>
                <w:t>, 2017 QCTDP 2 (CanLII).</w:t>
              </w:r>
            </w:hyperlink>
          </w:p>
          <w:p w14:paraId="4E3332A5" w14:textId="77777777" w:rsidR="00592FC3" w:rsidRPr="00DD6698" w:rsidRDefault="009E3CE6" w:rsidP="00DD6698">
            <w:pPr>
              <w:spacing w:before="120" w:after="120"/>
              <w:ind w:left="72" w:right="72"/>
              <w:jc w:val="both"/>
              <w:rPr>
                <w:rFonts w:ascii="Arial" w:hAnsi="Arial" w:cs="Arial"/>
                <w:sz w:val="24"/>
                <w:szCs w:val="24"/>
              </w:rPr>
            </w:pPr>
            <w:hyperlink r:id="rId18" w:history="1">
              <w:r w:rsidR="00592FC3" w:rsidRPr="00372CEB">
                <w:rPr>
                  <w:rStyle w:val="Lienhypertexte"/>
                  <w:rFonts w:ascii="Arial" w:hAnsi="Arial" w:cs="Arial"/>
                  <w:i/>
                  <w:sz w:val="24"/>
                  <w:szCs w:val="24"/>
                </w:rPr>
                <w:t>Syndicat des infirmières, inhalothérapeutes, infirmières auxiliaires du Cœur du Québec (SIIIACQ)</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Centre hospitalier régional de Trois-Rivières</w:t>
              </w:r>
              <w:r w:rsidR="00592FC3" w:rsidRPr="00372CEB">
                <w:rPr>
                  <w:rStyle w:val="Lienhypertexte"/>
                  <w:rFonts w:ascii="Arial" w:hAnsi="Arial" w:cs="Arial"/>
                  <w:sz w:val="24"/>
                  <w:szCs w:val="24"/>
                </w:rPr>
                <w:t>, 2012 QCCA 1867 (CanLII).</w:t>
              </w:r>
            </w:hyperlink>
          </w:p>
          <w:p w14:paraId="1D2AB70A" w14:textId="77777777" w:rsidR="00592FC3" w:rsidRPr="00DD6698" w:rsidRDefault="009E3CE6" w:rsidP="00DD6698">
            <w:pPr>
              <w:spacing w:before="120" w:after="120"/>
              <w:ind w:left="72" w:right="72"/>
              <w:jc w:val="both"/>
              <w:rPr>
                <w:rFonts w:ascii="Arial" w:hAnsi="Arial" w:cs="Arial"/>
                <w:sz w:val="24"/>
                <w:szCs w:val="24"/>
              </w:rPr>
            </w:pPr>
            <w:hyperlink r:id="rId19"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Systématix Technologies de l'information inc.</w:t>
              </w:r>
              <w:r w:rsidR="00592FC3" w:rsidRPr="00372CEB">
                <w:rPr>
                  <w:rStyle w:val="Lienhypertexte"/>
                  <w:rFonts w:ascii="Arial" w:hAnsi="Arial" w:cs="Arial"/>
                  <w:sz w:val="24"/>
                  <w:szCs w:val="24"/>
                </w:rPr>
                <w:t>, 2010 QCTDP 18 (CanLII).</w:t>
              </w:r>
            </w:hyperlink>
          </w:p>
          <w:p w14:paraId="0ABCCA6F" w14:textId="4E14831E" w:rsidR="00592FC3" w:rsidRDefault="009E3CE6" w:rsidP="00DD6698">
            <w:pPr>
              <w:spacing w:before="120" w:after="120"/>
              <w:ind w:left="72" w:right="72"/>
              <w:jc w:val="both"/>
              <w:rPr>
                <w:rStyle w:val="Lienhypertexte"/>
                <w:rFonts w:ascii="Arial" w:hAnsi="Arial" w:cs="Arial"/>
                <w:sz w:val="24"/>
                <w:szCs w:val="24"/>
              </w:rPr>
            </w:pPr>
            <w:hyperlink r:id="rId20"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Bathium Canada inc.</w:t>
              </w:r>
              <w:r w:rsidR="00592FC3" w:rsidRPr="00372CEB">
                <w:rPr>
                  <w:rStyle w:val="Lienhypertexte"/>
                  <w:rFonts w:ascii="Arial" w:hAnsi="Arial" w:cs="Arial"/>
                  <w:sz w:val="24"/>
                  <w:szCs w:val="24"/>
                </w:rPr>
                <w:t>, 2015 QCTDP 13 (CanLII).</w:t>
              </w:r>
            </w:hyperlink>
          </w:p>
          <w:p w14:paraId="32CD6B9D" w14:textId="50C9146B" w:rsidR="00B84DBC" w:rsidRDefault="009E3CE6" w:rsidP="00DD6698">
            <w:pPr>
              <w:spacing w:before="120" w:after="120"/>
              <w:ind w:left="72" w:right="72"/>
              <w:jc w:val="both"/>
              <w:rPr>
                <w:rFonts w:ascii="Arial" w:hAnsi="Arial" w:cs="Arial"/>
                <w:i/>
                <w:iCs/>
                <w:sz w:val="24"/>
                <w:szCs w:val="24"/>
                <w:lang w:val="fr-FR"/>
              </w:rPr>
            </w:pPr>
            <w:hyperlink r:id="rId21" w:history="1">
              <w:r w:rsidR="00B84DBC" w:rsidRPr="009E3CE6">
                <w:rPr>
                  <w:rStyle w:val="Lienhypertexte"/>
                  <w:rFonts w:ascii="Arial" w:hAnsi="Arial" w:cs="Arial"/>
                  <w:i/>
                  <w:iCs/>
                  <w:sz w:val="24"/>
                  <w:szCs w:val="24"/>
                  <w:lang w:val="en-CA"/>
                </w:rPr>
                <w:t xml:space="preserve">Kerdougli c. GE Renewable Energy Canada Inc. </w:t>
              </w:r>
              <w:r w:rsidR="00B84DBC" w:rsidRPr="00311317">
                <w:rPr>
                  <w:rStyle w:val="Lienhypertexte"/>
                  <w:rFonts w:ascii="Arial" w:hAnsi="Arial" w:cs="Arial"/>
                  <w:i/>
                  <w:iCs/>
                  <w:sz w:val="24"/>
                  <w:szCs w:val="24"/>
                  <w:lang w:val="fr-FR"/>
                </w:rPr>
                <w:t>(Alstom réseau Canada inc.), 2018 QCTDP 7 (CanLII),</w:t>
              </w:r>
            </w:hyperlink>
          </w:p>
          <w:p w14:paraId="2375F27A" w14:textId="37644970" w:rsidR="00B84DBC" w:rsidRDefault="009E3CE6" w:rsidP="00DD6698">
            <w:pPr>
              <w:spacing w:before="120" w:after="120"/>
              <w:ind w:left="72" w:right="72"/>
              <w:jc w:val="both"/>
              <w:rPr>
                <w:rFonts w:ascii="Arial" w:hAnsi="Arial" w:cs="Arial"/>
                <w:sz w:val="24"/>
                <w:szCs w:val="24"/>
                <w:lang w:val="fr-FR"/>
              </w:rPr>
            </w:pPr>
            <w:hyperlink r:id="rId22" w:history="1">
              <w:r w:rsidR="00B84DBC" w:rsidRPr="00311317">
                <w:rPr>
                  <w:rStyle w:val="Lienhypertexte"/>
                  <w:rFonts w:ascii="Arial" w:hAnsi="Arial" w:cs="Arial"/>
                  <w:i/>
                  <w:iCs/>
                  <w:sz w:val="24"/>
                  <w:szCs w:val="24"/>
                  <w:lang w:val="fr-FR"/>
                </w:rPr>
                <w:t>Kerdougli</w:t>
              </w:r>
              <w:r w:rsidR="00B84DBC" w:rsidRPr="00311317">
                <w:rPr>
                  <w:rStyle w:val="Lienhypertexte"/>
                  <w:rFonts w:ascii="Arial" w:hAnsi="Arial" w:cs="Arial"/>
                  <w:sz w:val="24"/>
                  <w:szCs w:val="24"/>
                  <w:lang w:val="fr-FR"/>
                </w:rPr>
                <w:t xml:space="preserve"> c. </w:t>
              </w:r>
              <w:r w:rsidR="00B84DBC" w:rsidRPr="00311317">
                <w:rPr>
                  <w:rStyle w:val="Lienhypertexte"/>
                  <w:rFonts w:ascii="Arial" w:hAnsi="Arial" w:cs="Arial"/>
                  <w:i/>
                  <w:iCs/>
                  <w:sz w:val="24"/>
                  <w:szCs w:val="24"/>
                  <w:lang w:val="fr-FR"/>
                </w:rPr>
                <w:t>La Vie en Rose inc.</w:t>
              </w:r>
              <w:r w:rsidR="00B84DBC" w:rsidRPr="00311317">
                <w:rPr>
                  <w:rStyle w:val="Lienhypertexte"/>
                  <w:rFonts w:ascii="Arial" w:hAnsi="Arial" w:cs="Arial"/>
                  <w:sz w:val="24"/>
                  <w:szCs w:val="24"/>
                  <w:lang w:val="fr-FR"/>
                </w:rPr>
                <w:t>, 2018 QCTDP 8 (CanLII),</w:t>
              </w:r>
            </w:hyperlink>
          </w:p>
          <w:p w14:paraId="038A07DB" w14:textId="3859BB55" w:rsidR="00B84DBC" w:rsidRDefault="009E3CE6" w:rsidP="00DD6698">
            <w:pPr>
              <w:spacing w:before="120" w:after="120"/>
              <w:ind w:left="72" w:right="72"/>
              <w:jc w:val="both"/>
              <w:rPr>
                <w:rFonts w:ascii="Arial" w:hAnsi="Arial" w:cs="Arial"/>
                <w:sz w:val="24"/>
                <w:szCs w:val="24"/>
                <w:lang w:val="fr-FR"/>
              </w:rPr>
            </w:pPr>
            <w:hyperlink r:id="rId23" w:history="1">
              <w:r w:rsidR="00B84DBC" w:rsidRPr="00311317">
                <w:rPr>
                  <w:rStyle w:val="Lienhypertexte"/>
                  <w:rFonts w:ascii="Arial" w:hAnsi="Arial" w:cs="Arial"/>
                  <w:i/>
                  <w:iCs/>
                  <w:sz w:val="24"/>
                  <w:szCs w:val="24"/>
                  <w:lang w:val="fr-FR"/>
                </w:rPr>
                <w:t>Commission des droits de la personne et des droits de la jeunesse (Di Campo)</w:t>
              </w:r>
              <w:r w:rsidR="00B84DBC" w:rsidRPr="00311317">
                <w:rPr>
                  <w:rStyle w:val="Lienhypertexte"/>
                  <w:rFonts w:ascii="Arial" w:hAnsi="Arial" w:cs="Arial"/>
                  <w:sz w:val="24"/>
                  <w:szCs w:val="24"/>
                  <w:lang w:val="fr-FR"/>
                </w:rPr>
                <w:t xml:space="preserve"> c. </w:t>
              </w:r>
              <w:r w:rsidR="00B84DBC" w:rsidRPr="00311317">
                <w:rPr>
                  <w:rStyle w:val="Lienhypertexte"/>
                  <w:rFonts w:ascii="Arial" w:hAnsi="Arial" w:cs="Arial"/>
                  <w:i/>
                  <w:iCs/>
                  <w:sz w:val="24"/>
                  <w:szCs w:val="24"/>
                  <w:lang w:val="fr-FR"/>
                </w:rPr>
                <w:t>Éco-Logixx - Grossiste alimentaire et produits d'emballage inc.</w:t>
              </w:r>
              <w:r w:rsidR="00B84DBC" w:rsidRPr="00311317">
                <w:rPr>
                  <w:rStyle w:val="Lienhypertexte"/>
                  <w:rFonts w:ascii="Arial" w:hAnsi="Arial" w:cs="Arial"/>
                  <w:sz w:val="24"/>
                  <w:szCs w:val="24"/>
                  <w:lang w:val="fr-FR"/>
                </w:rPr>
                <w:t>, 2019 QCTDP 16 (CanLII),</w:t>
              </w:r>
            </w:hyperlink>
          </w:p>
          <w:p w14:paraId="07AEC8F6" w14:textId="6D424C4C" w:rsidR="00592FC3" w:rsidRPr="00DD6698" w:rsidRDefault="009E3CE6" w:rsidP="00DD6698">
            <w:pPr>
              <w:spacing w:before="120" w:after="120"/>
              <w:ind w:left="72" w:right="72"/>
              <w:jc w:val="both"/>
              <w:rPr>
                <w:rFonts w:ascii="Arial" w:hAnsi="Arial" w:cs="Arial"/>
                <w:sz w:val="24"/>
                <w:szCs w:val="24"/>
              </w:rPr>
            </w:pPr>
            <w:hyperlink r:id="rId24"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9185-2152 Québec inc. (Radio Lounge Brossard)</w:t>
              </w:r>
              <w:r w:rsidR="00592FC3" w:rsidRPr="00372CEB">
                <w:rPr>
                  <w:rStyle w:val="Lienhypertexte"/>
                  <w:rFonts w:ascii="Arial" w:hAnsi="Arial" w:cs="Arial"/>
                  <w:sz w:val="24"/>
                  <w:szCs w:val="24"/>
                </w:rPr>
                <w:t>, 2015 QCCA 577 (CanLII) (sur la notion de risque).</w:t>
              </w:r>
            </w:hyperlink>
          </w:p>
          <w:p w14:paraId="57604787" w14:textId="77777777" w:rsidR="00592FC3" w:rsidRPr="00DD6698" w:rsidRDefault="009E3CE6" w:rsidP="00DD6698">
            <w:pPr>
              <w:spacing w:before="120" w:after="120"/>
              <w:ind w:left="72" w:right="72"/>
              <w:jc w:val="both"/>
              <w:rPr>
                <w:rFonts w:ascii="Arial" w:hAnsi="Arial" w:cs="Arial"/>
                <w:sz w:val="24"/>
                <w:szCs w:val="24"/>
              </w:rPr>
            </w:pPr>
            <w:hyperlink r:id="rId25" w:history="1">
              <w:r w:rsidR="00592FC3" w:rsidRPr="00372CEB">
                <w:rPr>
                  <w:rStyle w:val="Lienhypertexte"/>
                  <w:rFonts w:ascii="Arial" w:hAnsi="Arial" w:cs="Arial"/>
                  <w:smallCaps/>
                  <w:sz w:val="24"/>
                  <w:szCs w:val="24"/>
                </w:rPr>
                <w:t>Commission des droits de la personne et des droits de la jeunesse</w:t>
              </w:r>
              <w:r w:rsidR="00592FC3" w:rsidRPr="00372CEB">
                <w:rPr>
                  <w:rStyle w:val="Lienhypertexte"/>
                  <w:rFonts w:ascii="Arial" w:hAnsi="Arial" w:cs="Arial"/>
                  <w:sz w:val="24"/>
                  <w:szCs w:val="24"/>
                </w:rPr>
                <w:t xml:space="preserve">, </w:t>
              </w:r>
              <w:r w:rsidR="00592FC3" w:rsidRPr="00372CEB">
                <w:rPr>
                  <w:rStyle w:val="Lienhypertexte"/>
                  <w:rFonts w:ascii="Arial" w:hAnsi="Arial" w:cs="Arial"/>
                  <w:i/>
                  <w:sz w:val="24"/>
                  <w:szCs w:val="24"/>
                </w:rPr>
                <w:t>L’application et l’interprétation de l’article 18.1 de la Charte des droits et libertés de la personne</w:t>
              </w:r>
              <w:r w:rsidR="00592FC3" w:rsidRPr="00372CEB">
                <w:rPr>
                  <w:rStyle w:val="Lienhypertexte"/>
                  <w:rFonts w:ascii="Arial" w:hAnsi="Arial" w:cs="Arial"/>
                  <w:sz w:val="24"/>
                  <w:szCs w:val="24"/>
                </w:rPr>
                <w:t>, Me Stéphanie Fournier, (Cat. 2.128-1.6), février 2016.</w:t>
              </w:r>
            </w:hyperlink>
          </w:p>
        </w:tc>
      </w:tr>
    </w:tbl>
    <w:p w14:paraId="06E6835E" w14:textId="77777777" w:rsidR="00103D6E" w:rsidRPr="00230285" w:rsidRDefault="00103D6E" w:rsidP="001D6CC0">
      <w:pPr>
        <w:pStyle w:val="Pieddepage"/>
        <w:spacing w:before="1680"/>
        <w:rPr>
          <w:rFonts w:ascii="Arial" w:hAnsi="Arial" w:cs="Arial"/>
        </w:rPr>
      </w:pPr>
    </w:p>
    <w:sectPr w:rsidR="00103D6E" w:rsidRPr="00230285" w:rsidSect="00D7143C">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27B00" w14:textId="77777777" w:rsidR="00AB5F33" w:rsidRDefault="00AB5F33" w:rsidP="00BD1177">
      <w:pPr>
        <w:spacing w:after="0" w:line="240" w:lineRule="auto"/>
      </w:pPr>
      <w:r>
        <w:separator/>
      </w:r>
    </w:p>
  </w:endnote>
  <w:endnote w:type="continuationSeparator" w:id="0">
    <w:p w14:paraId="0CC72930" w14:textId="77777777" w:rsidR="00AB5F33" w:rsidRDefault="00AB5F33" w:rsidP="00B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86BD4" w14:textId="77777777" w:rsidR="0047568F" w:rsidRDefault="004756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7271497"/>
      <w:docPartObj>
        <w:docPartGallery w:val="Page Numbers (Bottom of Page)"/>
        <w:docPartUnique/>
      </w:docPartObj>
    </w:sdtPr>
    <w:sdtEndPr>
      <w:rPr>
        <w:rFonts w:ascii="Arial" w:hAnsi="Arial" w:cs="Arial"/>
      </w:rPr>
    </w:sdtEndPr>
    <w:sdtContent>
      <w:p w14:paraId="440B6AD8" w14:textId="77777777" w:rsidR="00760A5E" w:rsidRPr="00D7143C" w:rsidRDefault="00760A5E">
        <w:pPr>
          <w:pStyle w:val="Pieddepage"/>
          <w:jc w:val="right"/>
          <w:rPr>
            <w:rFonts w:ascii="Arial" w:hAnsi="Arial" w:cs="Arial"/>
          </w:rPr>
        </w:pPr>
        <w:r w:rsidRPr="00D7143C">
          <w:rPr>
            <w:rFonts w:ascii="Arial" w:hAnsi="Arial" w:cs="Arial"/>
          </w:rPr>
          <w:fldChar w:fldCharType="begin"/>
        </w:r>
        <w:r w:rsidRPr="00D7143C">
          <w:rPr>
            <w:rFonts w:ascii="Arial" w:hAnsi="Arial" w:cs="Arial"/>
          </w:rPr>
          <w:instrText>PAGE   \* MERGEFORMAT</w:instrText>
        </w:r>
        <w:r w:rsidRPr="00D7143C">
          <w:rPr>
            <w:rFonts w:ascii="Arial" w:hAnsi="Arial" w:cs="Arial"/>
          </w:rPr>
          <w:fldChar w:fldCharType="separate"/>
        </w:r>
        <w:r w:rsidR="00017010" w:rsidRPr="00017010">
          <w:rPr>
            <w:rFonts w:ascii="Arial" w:hAnsi="Arial" w:cs="Arial"/>
            <w:noProof/>
            <w:lang w:val="fr-FR"/>
          </w:rPr>
          <w:t>2</w:t>
        </w:r>
        <w:r w:rsidRPr="00D7143C">
          <w:rPr>
            <w:rFonts w:ascii="Arial" w:hAnsi="Arial" w:cs="Arial"/>
          </w:rPr>
          <w:fldChar w:fldCharType="end"/>
        </w:r>
      </w:p>
    </w:sdtContent>
  </w:sdt>
  <w:p w14:paraId="050EBBBC" w14:textId="77777777" w:rsidR="00760A5E" w:rsidRDefault="00760A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70200"/>
      <w:docPartObj>
        <w:docPartGallery w:val="Page Numbers (Bottom of Page)"/>
        <w:docPartUnique/>
      </w:docPartObj>
    </w:sdtPr>
    <w:sdtEndPr>
      <w:rPr>
        <w:rFonts w:ascii="Arial" w:hAnsi="Arial" w:cs="Arial"/>
      </w:rPr>
    </w:sdtEndPr>
    <w:sdtContent>
      <w:p w14:paraId="6D196B83" w14:textId="77777777" w:rsidR="00760A5E" w:rsidRPr="00DD6698" w:rsidRDefault="00760A5E" w:rsidP="00DD6698">
        <w:pPr>
          <w:pStyle w:val="Pieddepage"/>
          <w:jc w:val="right"/>
          <w:rPr>
            <w:rFonts w:ascii="Arial" w:hAnsi="Arial" w:cs="Arial"/>
          </w:rPr>
        </w:pPr>
        <w:r w:rsidRPr="00DD6698">
          <w:rPr>
            <w:rFonts w:ascii="Arial" w:hAnsi="Arial" w:cs="Arial"/>
          </w:rPr>
          <w:fldChar w:fldCharType="begin"/>
        </w:r>
        <w:r w:rsidRPr="00DD6698">
          <w:rPr>
            <w:rFonts w:ascii="Arial" w:hAnsi="Arial" w:cs="Arial"/>
          </w:rPr>
          <w:instrText>PAGE   \* MERGEFORMAT</w:instrText>
        </w:r>
        <w:r w:rsidRPr="00DD6698">
          <w:rPr>
            <w:rFonts w:ascii="Arial" w:hAnsi="Arial" w:cs="Arial"/>
          </w:rPr>
          <w:fldChar w:fldCharType="separate"/>
        </w:r>
        <w:r w:rsidRPr="00D7143C">
          <w:rPr>
            <w:rFonts w:ascii="Arial" w:hAnsi="Arial" w:cs="Arial"/>
            <w:noProof/>
            <w:lang w:val="fr-FR"/>
          </w:rPr>
          <w:t>1</w:t>
        </w:r>
        <w:r w:rsidRPr="00DD669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79C9A" w14:textId="77777777" w:rsidR="00AB5F33" w:rsidRDefault="00AB5F33" w:rsidP="00BD1177">
      <w:pPr>
        <w:spacing w:after="0" w:line="240" w:lineRule="auto"/>
      </w:pPr>
      <w:r>
        <w:separator/>
      </w:r>
    </w:p>
  </w:footnote>
  <w:footnote w:type="continuationSeparator" w:id="0">
    <w:p w14:paraId="720ACD3F" w14:textId="77777777" w:rsidR="00AB5F33" w:rsidRDefault="00AB5F33" w:rsidP="00BD1177">
      <w:pPr>
        <w:spacing w:after="0" w:line="240" w:lineRule="auto"/>
      </w:pPr>
      <w:r>
        <w:continuationSeparator/>
      </w:r>
    </w:p>
  </w:footnote>
  <w:footnote w:id="1">
    <w:p w14:paraId="357B066B" w14:textId="77777777" w:rsidR="00592FC3" w:rsidRPr="00DD6698" w:rsidRDefault="00592FC3" w:rsidP="005B1501">
      <w:pPr>
        <w:pStyle w:val="Notedebasdepage"/>
        <w:tabs>
          <w:tab w:val="left" w:pos="360"/>
        </w:tabs>
        <w:spacing w:before="80" w:after="80"/>
        <w:ind w:left="360" w:hanging="360"/>
        <w:rPr>
          <w:rFonts w:ascii="Arial" w:hAnsi="Arial" w:cs="Arial"/>
        </w:rPr>
      </w:pPr>
      <w:r w:rsidRPr="00DD6698">
        <w:rPr>
          <w:rStyle w:val="Appelnotedebasdep"/>
          <w:rFonts w:ascii="Arial" w:hAnsi="Arial" w:cs="Arial"/>
        </w:rPr>
        <w:footnoteRef/>
      </w:r>
      <w:r w:rsidRPr="00DD6698">
        <w:rPr>
          <w:rFonts w:ascii="Arial" w:hAnsi="Arial" w:cs="Arial"/>
        </w:rPr>
        <w:t xml:space="preserve"> </w:t>
      </w:r>
      <w:r>
        <w:rPr>
          <w:rFonts w:ascii="Arial" w:hAnsi="Arial" w:cs="Arial"/>
        </w:rPr>
        <w:tab/>
      </w:r>
      <w:r w:rsidRPr="00DD6698">
        <w:rPr>
          <w:rFonts w:ascii="Arial" w:hAnsi="Arial" w:cs="Arial"/>
        </w:rPr>
        <w:t xml:space="preserve">Il importe de souligner que ces critères sont énumérés à titre indicatif et sont appelés à évoluer avec la jurisprudence.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A5DAC" w14:textId="77777777" w:rsidR="0047568F" w:rsidRDefault="004756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46551" w14:textId="116AA270" w:rsidR="00760A5E" w:rsidRPr="001B4E51" w:rsidRDefault="00000086" w:rsidP="00D7143C">
    <w:pPr>
      <w:pStyle w:val="En-tte"/>
      <w:tabs>
        <w:tab w:val="clear" w:pos="4703"/>
        <w:tab w:val="clear" w:pos="9406"/>
        <w:tab w:val="right" w:pos="9360"/>
      </w:tabs>
      <w:rPr>
        <w:rFonts w:ascii="Arial" w:hAnsi="Arial" w:cs="Arial"/>
      </w:rPr>
    </w:pPr>
    <w:r>
      <w:rPr>
        <w:rFonts w:ascii="Arial" w:hAnsi="Arial" w:cs="Arial"/>
        <w:noProof/>
        <w:sz w:val="24"/>
      </w:rPr>
      <w:drawing>
        <wp:inline distT="0" distB="0" distL="0" distR="0" wp14:anchorId="07BE2807" wp14:editId="0AB8E297">
          <wp:extent cx="1288567" cy="360000"/>
          <wp:effectExtent l="0" t="0" r="6985" b="2540"/>
          <wp:docPr id="992558028" name="Image 3"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58028" name="Image 3" descr="Une image contenant Police, text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88567" cy="360000"/>
                  </a:xfrm>
                  <a:prstGeom prst="rect">
                    <a:avLst/>
                  </a:prstGeom>
                </pic:spPr>
              </pic:pic>
            </a:graphicData>
          </a:graphic>
        </wp:inline>
      </w:drawing>
    </w:r>
    <w:r w:rsidR="00760A5E" w:rsidRPr="0063365A">
      <w:rPr>
        <w:rFonts w:ascii="Arial" w:hAnsi="Arial" w:cs="Arial"/>
        <w:sz w:val="24"/>
      </w:rPr>
      <w:tab/>
    </w:r>
    <w:r w:rsidR="008C6EA2">
      <w:rPr>
        <w:rFonts w:ascii="Arial" w:hAnsi="Arial" w:cs="Arial"/>
        <w:sz w:val="24"/>
      </w:rPr>
      <w:t xml:space="preserve">Mise à jour : </w:t>
    </w:r>
    <w:r w:rsidR="005949A2">
      <w:rPr>
        <w:rFonts w:ascii="Arial" w:hAnsi="Arial" w:cs="Arial"/>
        <w:sz w:val="24"/>
      </w:rPr>
      <w:t>M</w:t>
    </w:r>
    <w:r w:rsidR="008C1537">
      <w:rPr>
        <w:rFonts w:ascii="Arial" w:hAnsi="Arial" w:cs="Arial"/>
        <w:sz w:val="24"/>
      </w:rPr>
      <w:t>ai 202</w:t>
    </w:r>
    <w:r w:rsidR="009E3CE6">
      <w:rPr>
        <w:rFonts w:ascii="Arial" w:hAnsi="Arial" w:cs="Arial"/>
        <w:sz w:val="24"/>
      </w:rPr>
      <w:t>4</w:t>
    </w:r>
  </w:p>
  <w:p w14:paraId="703FBFA5" w14:textId="77777777" w:rsidR="00760A5E" w:rsidRPr="00D7143C" w:rsidRDefault="00760A5E" w:rsidP="00D7143C">
    <w:pPr>
      <w:pStyle w:val="En-tte"/>
      <w:tabs>
        <w:tab w:val="clear" w:pos="4703"/>
        <w:tab w:val="clear" w:pos="9406"/>
        <w:tab w:val="right" w:pos="9360"/>
      </w:tabs>
      <w:spacing w:after="480"/>
      <w:rPr>
        <w:rFonts w:ascii="Arial" w:hAnsi="Arial" w:cs="Arial"/>
        <w:b/>
        <w:u w:val="single"/>
      </w:rPr>
    </w:pPr>
    <w:r>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C03D2" w14:textId="77777777" w:rsidR="00760A5E" w:rsidRPr="0063365A" w:rsidRDefault="00760A5E" w:rsidP="009E0DC4">
    <w:pPr>
      <w:pStyle w:val="En-tte"/>
      <w:tabs>
        <w:tab w:val="clear" w:pos="4703"/>
        <w:tab w:val="clear" w:pos="9406"/>
        <w:tab w:val="right" w:pos="9360"/>
      </w:tabs>
      <w:rPr>
        <w:rFonts w:ascii="Arial" w:hAnsi="Arial" w:cs="Arial"/>
        <w:sz w:val="24"/>
      </w:rPr>
    </w:pPr>
    <w:r w:rsidRPr="0063365A">
      <w:rPr>
        <w:rFonts w:ascii="Arial" w:hAnsi="Arial" w:cs="Arial"/>
        <w:sz w:val="24"/>
      </w:rPr>
      <w:t>Me Stéphanie Fournier</w:t>
    </w:r>
    <w:r w:rsidRPr="0063365A">
      <w:rPr>
        <w:rFonts w:ascii="Arial" w:hAnsi="Arial" w:cs="Arial"/>
        <w:sz w:val="24"/>
      </w:rPr>
      <w:tab/>
    </w:r>
    <w:r>
      <w:rPr>
        <w:rFonts w:ascii="Arial" w:hAnsi="Arial" w:cs="Arial"/>
        <w:sz w:val="24"/>
      </w:rPr>
      <w:t>24</w:t>
    </w:r>
    <w:r w:rsidRPr="0063365A">
      <w:rPr>
        <w:rFonts w:ascii="Arial" w:hAnsi="Arial" w:cs="Arial"/>
        <w:sz w:val="24"/>
      </w:rPr>
      <w:t xml:space="preserve"> mai 2016</w:t>
    </w:r>
  </w:p>
  <w:p w14:paraId="72CB8AFE" w14:textId="77777777" w:rsidR="00760A5E" w:rsidRDefault="00760A5E" w:rsidP="009E0DC4">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45DE8"/>
    <w:multiLevelType w:val="hybridMultilevel"/>
    <w:tmpl w:val="AA92433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3244275A"/>
    <w:multiLevelType w:val="hybridMultilevel"/>
    <w:tmpl w:val="CEDA2D7C"/>
    <w:lvl w:ilvl="0" w:tplc="D9B0F1DA">
      <w:start w:val="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F26B63"/>
    <w:multiLevelType w:val="hybridMultilevel"/>
    <w:tmpl w:val="E508166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3" w15:restartNumberingAfterBreak="0">
    <w:nsid w:val="73F7104D"/>
    <w:multiLevelType w:val="hybridMultilevel"/>
    <w:tmpl w:val="160E8022"/>
    <w:lvl w:ilvl="0" w:tplc="0C0C0005">
      <w:start w:val="1"/>
      <w:numFmt w:val="bullet"/>
      <w:lvlText w:val=""/>
      <w:lvlJc w:val="left"/>
      <w:pPr>
        <w:ind w:left="1038" w:hanging="360"/>
      </w:pPr>
      <w:rPr>
        <w:rFonts w:ascii="Wingdings" w:hAnsi="Wingding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num w:numId="1" w16cid:durableId="530456101">
    <w:abstractNumId w:val="1"/>
  </w:num>
  <w:num w:numId="2" w16cid:durableId="862788308">
    <w:abstractNumId w:val="3"/>
  </w:num>
  <w:num w:numId="3" w16cid:durableId="796683750">
    <w:abstractNumId w:val="0"/>
  </w:num>
  <w:num w:numId="4" w16cid:durableId="138930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KiHHdyhRKDi/kaUWdSRS0rdHyIuCk0SX5Rx+PPyvcmKxtMiFXE42yhIyX4PM/xEz7JHuU8YHHN4XGicuAaJMBw==" w:salt="ggheqmxIQBwICSzuOvO2P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8"/>
    <w:rsid w:val="00000086"/>
    <w:rsid w:val="00017010"/>
    <w:rsid w:val="00047D3D"/>
    <w:rsid w:val="000D6B80"/>
    <w:rsid w:val="001027A6"/>
    <w:rsid w:val="00103D6E"/>
    <w:rsid w:val="00111AF0"/>
    <w:rsid w:val="0012540D"/>
    <w:rsid w:val="00152EF1"/>
    <w:rsid w:val="001A1E04"/>
    <w:rsid w:val="001B213D"/>
    <w:rsid w:val="001C2D39"/>
    <w:rsid w:val="001D6CC0"/>
    <w:rsid w:val="00230285"/>
    <w:rsid w:val="00251360"/>
    <w:rsid w:val="002547F8"/>
    <w:rsid w:val="002A38ED"/>
    <w:rsid w:val="002C594F"/>
    <w:rsid w:val="00305275"/>
    <w:rsid w:val="00311317"/>
    <w:rsid w:val="00333CE2"/>
    <w:rsid w:val="00372CEB"/>
    <w:rsid w:val="0039081F"/>
    <w:rsid w:val="003939F2"/>
    <w:rsid w:val="003B2235"/>
    <w:rsid w:val="003B23E9"/>
    <w:rsid w:val="003D12A2"/>
    <w:rsid w:val="003E7909"/>
    <w:rsid w:val="00406E6A"/>
    <w:rsid w:val="00453CCA"/>
    <w:rsid w:val="004557C7"/>
    <w:rsid w:val="0047568F"/>
    <w:rsid w:val="0047752E"/>
    <w:rsid w:val="004A5651"/>
    <w:rsid w:val="004B1455"/>
    <w:rsid w:val="004B160B"/>
    <w:rsid w:val="004D1C94"/>
    <w:rsid w:val="004E2009"/>
    <w:rsid w:val="004E23A1"/>
    <w:rsid w:val="005243D4"/>
    <w:rsid w:val="005312C7"/>
    <w:rsid w:val="00592FC3"/>
    <w:rsid w:val="005930CE"/>
    <w:rsid w:val="005949A2"/>
    <w:rsid w:val="005A7D1B"/>
    <w:rsid w:val="005B1501"/>
    <w:rsid w:val="005B6D35"/>
    <w:rsid w:val="005C00D0"/>
    <w:rsid w:val="006013C3"/>
    <w:rsid w:val="0063365A"/>
    <w:rsid w:val="00646C02"/>
    <w:rsid w:val="006C5048"/>
    <w:rsid w:val="006F152C"/>
    <w:rsid w:val="0072118F"/>
    <w:rsid w:val="00760A5E"/>
    <w:rsid w:val="00785414"/>
    <w:rsid w:val="007D12A4"/>
    <w:rsid w:val="0081280F"/>
    <w:rsid w:val="00827A6D"/>
    <w:rsid w:val="00863967"/>
    <w:rsid w:val="008764EB"/>
    <w:rsid w:val="008C1537"/>
    <w:rsid w:val="008C6EA2"/>
    <w:rsid w:val="008D5D00"/>
    <w:rsid w:val="00947C56"/>
    <w:rsid w:val="00984623"/>
    <w:rsid w:val="009849FA"/>
    <w:rsid w:val="00995620"/>
    <w:rsid w:val="009E0DC4"/>
    <w:rsid w:val="009E3CE6"/>
    <w:rsid w:val="00A11A07"/>
    <w:rsid w:val="00A54127"/>
    <w:rsid w:val="00A5797F"/>
    <w:rsid w:val="00AA67C7"/>
    <w:rsid w:val="00AB5451"/>
    <w:rsid w:val="00AB5F33"/>
    <w:rsid w:val="00AC15DE"/>
    <w:rsid w:val="00AC3ACB"/>
    <w:rsid w:val="00B0421E"/>
    <w:rsid w:val="00B203F1"/>
    <w:rsid w:val="00B36A0B"/>
    <w:rsid w:val="00B84DBC"/>
    <w:rsid w:val="00B873FD"/>
    <w:rsid w:val="00B946EB"/>
    <w:rsid w:val="00B94B68"/>
    <w:rsid w:val="00BA31CE"/>
    <w:rsid w:val="00BD1177"/>
    <w:rsid w:val="00BE11CA"/>
    <w:rsid w:val="00BE5443"/>
    <w:rsid w:val="00BE7E7E"/>
    <w:rsid w:val="00BF2801"/>
    <w:rsid w:val="00C03E1D"/>
    <w:rsid w:val="00C14C68"/>
    <w:rsid w:val="00C249CC"/>
    <w:rsid w:val="00C25A95"/>
    <w:rsid w:val="00C274CD"/>
    <w:rsid w:val="00CA333C"/>
    <w:rsid w:val="00CF45F2"/>
    <w:rsid w:val="00D43078"/>
    <w:rsid w:val="00D44B80"/>
    <w:rsid w:val="00D51FD8"/>
    <w:rsid w:val="00D61B30"/>
    <w:rsid w:val="00D7143C"/>
    <w:rsid w:val="00D826F4"/>
    <w:rsid w:val="00D921A9"/>
    <w:rsid w:val="00DA63D1"/>
    <w:rsid w:val="00DB4E0A"/>
    <w:rsid w:val="00DD6698"/>
    <w:rsid w:val="00E322BB"/>
    <w:rsid w:val="00E41FF4"/>
    <w:rsid w:val="00E55841"/>
    <w:rsid w:val="00E75843"/>
    <w:rsid w:val="00EA54B9"/>
    <w:rsid w:val="00EC2165"/>
    <w:rsid w:val="00F01EFD"/>
    <w:rsid w:val="00F22BCA"/>
    <w:rsid w:val="00F26187"/>
    <w:rsid w:val="00F648F5"/>
    <w:rsid w:val="00F7102D"/>
    <w:rsid w:val="00F71964"/>
    <w:rsid w:val="00F92FB8"/>
    <w:rsid w:val="00FA4316"/>
    <w:rsid w:val="00FE48D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CC118"/>
  <w15:docId w15:val="{7FFC50F4-A8EA-44FD-ABA4-4C49469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11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177"/>
    <w:rPr>
      <w:sz w:val="20"/>
      <w:szCs w:val="20"/>
    </w:rPr>
  </w:style>
  <w:style w:type="character" w:styleId="Appelnotedebasdep">
    <w:name w:val="footnote reference"/>
    <w:basedOn w:val="Policepardfaut"/>
    <w:uiPriority w:val="99"/>
    <w:semiHidden/>
    <w:unhideWhenUsed/>
    <w:rsid w:val="00BD1177"/>
    <w:rPr>
      <w:vertAlign w:val="superscript"/>
    </w:rPr>
  </w:style>
  <w:style w:type="character" w:styleId="Lienhypertexte">
    <w:name w:val="Hyperlink"/>
    <w:basedOn w:val="Policepardfaut"/>
    <w:uiPriority w:val="99"/>
    <w:unhideWhenUsed/>
    <w:rsid w:val="00E322BB"/>
    <w:rPr>
      <w:color w:val="0000FF" w:themeColor="hyperlink"/>
      <w:u w:val="single"/>
    </w:rPr>
  </w:style>
  <w:style w:type="paragraph" w:styleId="Paragraphedeliste">
    <w:name w:val="List Paragraph"/>
    <w:basedOn w:val="Normal"/>
    <w:uiPriority w:val="34"/>
    <w:qFormat/>
    <w:rsid w:val="004B160B"/>
    <w:pPr>
      <w:ind w:left="720"/>
      <w:contextualSpacing/>
    </w:pPr>
  </w:style>
  <w:style w:type="paragraph" w:styleId="En-tte">
    <w:name w:val="header"/>
    <w:basedOn w:val="Normal"/>
    <w:link w:val="En-tteCar"/>
    <w:uiPriority w:val="99"/>
    <w:unhideWhenUsed/>
    <w:rsid w:val="002C594F"/>
    <w:pPr>
      <w:tabs>
        <w:tab w:val="center" w:pos="4703"/>
        <w:tab w:val="right" w:pos="9406"/>
      </w:tabs>
      <w:spacing w:after="0" w:line="240" w:lineRule="auto"/>
    </w:pPr>
  </w:style>
  <w:style w:type="character" w:customStyle="1" w:styleId="En-tteCar">
    <w:name w:val="En-tête Car"/>
    <w:basedOn w:val="Policepardfaut"/>
    <w:link w:val="En-tte"/>
    <w:uiPriority w:val="99"/>
    <w:rsid w:val="002C594F"/>
  </w:style>
  <w:style w:type="paragraph" w:styleId="Pieddepage">
    <w:name w:val="footer"/>
    <w:basedOn w:val="Normal"/>
    <w:link w:val="PieddepageCar"/>
    <w:uiPriority w:val="99"/>
    <w:unhideWhenUsed/>
    <w:rsid w:val="002C59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C594F"/>
  </w:style>
  <w:style w:type="character" w:styleId="Mentionnonrsolue">
    <w:name w:val="Unresolved Mention"/>
    <w:basedOn w:val="Policepardfaut"/>
    <w:uiPriority w:val="99"/>
    <w:semiHidden/>
    <w:unhideWhenUsed/>
    <w:rsid w:val="00372CEB"/>
    <w:rPr>
      <w:color w:val="808080"/>
      <w:shd w:val="clear" w:color="auto" w:fill="E6E6E6"/>
    </w:rPr>
  </w:style>
  <w:style w:type="paragraph" w:styleId="Textedebulles">
    <w:name w:val="Balloon Text"/>
    <w:basedOn w:val="Normal"/>
    <w:link w:val="TextedebullesCar"/>
    <w:uiPriority w:val="99"/>
    <w:semiHidden/>
    <w:unhideWhenUsed/>
    <w:rsid w:val="00B84D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DBC"/>
    <w:rPr>
      <w:rFonts w:ascii="Segoe UI" w:hAnsi="Segoe UI" w:cs="Segoe UI"/>
      <w:sz w:val="18"/>
      <w:szCs w:val="18"/>
    </w:rPr>
  </w:style>
  <w:style w:type="paragraph" w:styleId="Rvision">
    <w:name w:val="Revision"/>
    <w:hidden/>
    <w:uiPriority w:val="99"/>
    <w:semiHidden/>
    <w:rsid w:val="001027A6"/>
    <w:pPr>
      <w:spacing w:after="0" w:line="240" w:lineRule="auto"/>
    </w:pPr>
  </w:style>
  <w:style w:type="character" w:styleId="Lienhypertextesuivivisit">
    <w:name w:val="FollowedHyperlink"/>
    <w:basedOn w:val="Policepardfaut"/>
    <w:uiPriority w:val="99"/>
    <w:semiHidden/>
    <w:unhideWhenUsed/>
    <w:rsid w:val="00311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870017">
      <w:bodyDiv w:val="1"/>
      <w:marLeft w:val="0"/>
      <w:marRight w:val="0"/>
      <w:marTop w:val="0"/>
      <w:marBottom w:val="0"/>
      <w:divBdr>
        <w:top w:val="none" w:sz="0" w:space="0" w:color="auto"/>
        <w:left w:val="none" w:sz="0" w:space="0" w:color="auto"/>
        <w:bottom w:val="none" w:sz="0" w:space="0" w:color="auto"/>
        <w:right w:val="none" w:sz="0" w:space="0" w:color="auto"/>
      </w:divBdr>
      <w:divsChild>
        <w:div w:id="340203796">
          <w:marLeft w:val="0"/>
          <w:marRight w:val="0"/>
          <w:marTop w:val="0"/>
          <w:marBottom w:val="0"/>
          <w:divBdr>
            <w:top w:val="none" w:sz="0" w:space="0" w:color="auto"/>
            <w:left w:val="none" w:sz="0" w:space="0" w:color="auto"/>
            <w:bottom w:val="none" w:sz="0" w:space="0" w:color="auto"/>
            <w:right w:val="none" w:sz="0" w:space="0" w:color="auto"/>
          </w:divBdr>
          <w:divsChild>
            <w:div w:id="1224096626">
              <w:marLeft w:val="0"/>
              <w:marRight w:val="0"/>
              <w:marTop w:val="0"/>
              <w:marBottom w:val="0"/>
              <w:divBdr>
                <w:top w:val="none" w:sz="0" w:space="0" w:color="auto"/>
                <w:left w:val="none" w:sz="0" w:space="0" w:color="auto"/>
                <w:bottom w:val="none" w:sz="0" w:space="0" w:color="auto"/>
                <w:right w:val="none" w:sz="0" w:space="0" w:color="auto"/>
              </w:divBdr>
              <w:divsChild>
                <w:div w:id="1901942562">
                  <w:marLeft w:val="0"/>
                  <w:marRight w:val="0"/>
                  <w:marTop w:val="0"/>
                  <w:marBottom w:val="0"/>
                  <w:divBdr>
                    <w:top w:val="none" w:sz="0" w:space="0" w:color="auto"/>
                    <w:left w:val="none" w:sz="0" w:space="0" w:color="auto"/>
                    <w:bottom w:val="none" w:sz="0" w:space="0" w:color="auto"/>
                    <w:right w:val="none" w:sz="0" w:space="0" w:color="auto"/>
                  </w:divBdr>
                  <w:divsChild>
                    <w:div w:id="728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lii.org/fr/qc/legis/lois/rlrq-c-c-12/derniere/rlrq-c-c-12.html?autocompleteStr=charte%20des%20droi&amp;autocompletePos=1" TargetMode="External"/><Relationship Id="rId18" Type="http://schemas.openxmlformats.org/officeDocument/2006/relationships/hyperlink" Target="https://www.canlii.org/fr/qc/qcca/doc/2012/2012qcca1867/2012qcca186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anlii.org/fr/qc/qctdp/doc/2018/2018qctdp7/2018qctdp7.html" TargetMode="External"/><Relationship Id="rId7" Type="http://schemas.openxmlformats.org/officeDocument/2006/relationships/styles" Target="styles.xml"/><Relationship Id="rId12" Type="http://schemas.openxmlformats.org/officeDocument/2006/relationships/hyperlink" Target="https://www.canlii.org/fr/qc/legis/lois/rlrq-c-c-12/derniere/rlrq-c-c-12.html?autocompleteStr=charte%20des%20droi&amp;autocompletePos=1" TargetMode="External"/><Relationship Id="rId17" Type="http://schemas.openxmlformats.org/officeDocument/2006/relationships/hyperlink" Target="https://www.canlii.org/fr/qc/qctdp/doc/2017/2017qctdp2/2017qctdp2.pdf" TargetMode="External"/><Relationship Id="rId25" Type="http://schemas.openxmlformats.org/officeDocument/2006/relationships/hyperlink" Target="http://www.cdpdj.qc.ca/Publications/formulaire_emploi.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lii.org/fr/qc/qctdp/doc/2021/2021qctdp35/2021qctdp35.html" TargetMode="External"/><Relationship Id="rId20" Type="http://schemas.openxmlformats.org/officeDocument/2006/relationships/hyperlink" Target="https://www.canlii.org/fr/qc/qctdp/doc/2015/2015qctdp13/2015qctdp1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lii.org/fr/qc/qcca/doc/2015/2015qcca577/2015qcca57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anlii.org/fr/qc/qctdp/doc/2023/2023qctdp2/2023qctdp2.html" TargetMode="External"/><Relationship Id="rId23" Type="http://schemas.openxmlformats.org/officeDocument/2006/relationships/hyperlink" Target="https://www.canlii.org/fr/qc/qctdp/doc/2019/2019qctdp16/2019qctdp16.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anlii.org/fr/qc/qctdp/doc/2010/2010qctdp18/2010qctdp18.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lii.org/fr/qc/qcca/doc/2022/2022qcca1577/2022qcca1577.html" TargetMode="External"/><Relationship Id="rId22" Type="http://schemas.openxmlformats.org/officeDocument/2006/relationships/hyperlink" Target="https://www.canlii.org/fr/qc/qctdp/doc/2018/2018qctdp8/2018qctdp8.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2317</Value>
    </TaxCatchAll>
  </documentManagement>
</p:properties>
</file>

<file path=customXml/itemProps1.xml><?xml version="1.0" encoding="utf-8"?>
<ds:datastoreItem xmlns:ds="http://schemas.openxmlformats.org/officeDocument/2006/customXml" ds:itemID="{7E8B0BBC-97CA-4723-AC5E-E3A5ABFB46E5}">
  <ds:schemaRefs>
    <ds:schemaRef ds:uri="Microsoft.SharePoint.Taxonomy.ContentTypeSync"/>
  </ds:schemaRefs>
</ds:datastoreItem>
</file>

<file path=customXml/itemProps2.xml><?xml version="1.0" encoding="utf-8"?>
<ds:datastoreItem xmlns:ds="http://schemas.openxmlformats.org/officeDocument/2006/customXml" ds:itemID="{B042E642-AD24-4140-9052-47BD96E9033B}">
  <ds:schemaRefs>
    <ds:schemaRef ds:uri="http://schemas.microsoft.com/sharepoint/v3/contenttype/forms"/>
  </ds:schemaRefs>
</ds:datastoreItem>
</file>

<file path=customXml/itemProps3.xml><?xml version="1.0" encoding="utf-8"?>
<ds:datastoreItem xmlns:ds="http://schemas.openxmlformats.org/officeDocument/2006/customXml" ds:itemID="{263ED4F3-8C80-4D6D-9DE2-42DEA5F0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19243-5316-4501-A1E8-3790FA75F4B7}">
  <ds:schemaRefs>
    <ds:schemaRef ds:uri="http://schemas.openxmlformats.org/officeDocument/2006/bibliography"/>
  </ds:schemaRefs>
</ds:datastoreItem>
</file>

<file path=customXml/itemProps5.xml><?xml version="1.0" encoding="utf-8"?>
<ds:datastoreItem xmlns:ds="http://schemas.openxmlformats.org/officeDocument/2006/customXml" ds:itemID="{FBA38DEF-4CC5-4476-A223-D40345F58B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45b935-6ec4-4ec3-891d-74039e841052"/>
    <ds:schemaRef ds:uri="http://www.w3.org/XML/1998/namespace"/>
    <ds:schemaRef ds:uri="http://purl.org/dc/dcmitype/"/>
    <ds:schemaRef ds:uri="3cc706f8-daeb-4c57-a93c-fdf45da762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7106</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Questions discriminatoires à l'embauche (article 18.1)</dc:title>
  <dc:creator>Commission des droits de la personne et des droits de la jeunesse</dc:creator>
  <cp:keywords>Embauche; Emploi; Plainte; Enquête; Commission des droits de la personne et des droits de la jeunesse.</cp:keywords>
  <cp:lastModifiedBy>Sophie Ambrosi</cp:lastModifiedBy>
  <cp:revision>2</cp:revision>
  <cp:lastPrinted>2023-06-12T17:53:00Z</cp:lastPrinted>
  <dcterms:created xsi:type="dcterms:W3CDTF">2024-05-28T20:48:00Z</dcterms:created>
  <dcterms:modified xsi:type="dcterms:W3CDTF">2024-05-28T20:48:00Z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Order">
    <vt:r8>151300</vt:r8>
  </property>
  <property fmtid="{D5CDD505-2E9C-101B-9397-08002B2CF9AE}" pid="4" name="ComplianceAssetId">
    <vt:lpwstr/>
  </property>
  <property fmtid="{D5CDD505-2E9C-101B-9397-08002B2CF9AE}" pid="5" name="MediaServiceImageTags">
    <vt:lpwstr/>
  </property>
  <property fmtid="{D5CDD505-2E9C-101B-9397-08002B2CF9AE}" pid="6" name="TypeDocument">
    <vt:lpwstr/>
  </property>
  <property fmtid="{D5CDD505-2E9C-101B-9397-08002B2CF9AE}" pid="7" name="HUBClassification">
    <vt:lpwstr>676</vt:lpwstr>
  </property>
  <property fmtid="{D5CDD505-2E9C-101B-9397-08002B2CF9AE}" pid="8" name="lcf76f155ced4ddcb4097134ff3c332f">
    <vt:lpwstr/>
  </property>
  <property fmtid="{D5CDD505-2E9C-101B-9397-08002B2CF9AE}" pid="9" name="_docset_NoMedatataSyncRequired">
    <vt:lpwstr>False</vt:lpwstr>
  </property>
</Properties>
</file>