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7750F" w14:textId="5740F6C6" w:rsidR="00246E57" w:rsidRPr="007D4CC8" w:rsidRDefault="00395A04" w:rsidP="00246E57">
      <w:pPr>
        <w:pStyle w:val="En-tte"/>
        <w:spacing w:before="120" w:after="240"/>
        <w:jc w:val="center"/>
        <w:rPr>
          <w:rFonts w:ascii="Arial" w:hAnsi="Arial" w:cs="Arial"/>
          <w:b/>
          <w:bCs/>
          <w:sz w:val="24"/>
        </w:rPr>
      </w:pPr>
      <w:r w:rsidRPr="007D4CC8">
        <w:rPr>
          <w:rFonts w:ascii="Arial" w:hAnsi="Arial" w:cs="Arial"/>
          <w:b/>
          <w:bCs/>
          <w:sz w:val="24"/>
        </w:rPr>
        <w:t>OUTIL D’AI</w:t>
      </w:r>
      <w:r w:rsidR="00DC7C21" w:rsidRPr="007D4CC8">
        <w:rPr>
          <w:rFonts w:ascii="Arial" w:hAnsi="Arial" w:cs="Arial"/>
          <w:b/>
          <w:bCs/>
          <w:sz w:val="24"/>
        </w:rPr>
        <w:t>DE AU TRAITEMENT DES DOSSIERS</w:t>
      </w:r>
      <w:r w:rsidRPr="007D4CC8">
        <w:rPr>
          <w:rFonts w:ascii="Arial" w:hAnsi="Arial" w:cs="Arial"/>
          <w:b/>
          <w:bCs/>
          <w:sz w:val="24"/>
        </w:rPr>
        <w:t> :</w:t>
      </w:r>
    </w:p>
    <w:p w14:paraId="29B3E692" w14:textId="4F0B0B3A" w:rsidR="00395A04" w:rsidRPr="007D4CC8" w:rsidRDefault="00246E57" w:rsidP="009533E0">
      <w:pPr>
        <w:pStyle w:val="En-tte"/>
        <w:spacing w:before="120" w:after="240"/>
        <w:jc w:val="center"/>
        <w:rPr>
          <w:rFonts w:ascii="Arial" w:hAnsi="Arial" w:cs="Arial"/>
          <w:b/>
          <w:bCs/>
          <w:sz w:val="24"/>
        </w:rPr>
      </w:pPr>
      <w:r w:rsidRPr="007D4CC8">
        <w:rPr>
          <w:rFonts w:ascii="Arial" w:hAnsi="Arial" w:cs="Arial"/>
          <w:b/>
          <w:bCs/>
          <w:sz w:val="24"/>
        </w:rPr>
        <w:t>CONVICTION</w:t>
      </w:r>
      <w:r w:rsidR="00CA574A" w:rsidRPr="007D4CC8">
        <w:rPr>
          <w:rFonts w:ascii="Arial" w:hAnsi="Arial" w:cs="Arial"/>
          <w:b/>
          <w:bCs/>
          <w:sz w:val="24"/>
        </w:rPr>
        <w:t>S</w:t>
      </w:r>
      <w:r w:rsidRPr="007D4CC8">
        <w:rPr>
          <w:rFonts w:ascii="Arial" w:hAnsi="Arial" w:cs="Arial"/>
          <w:b/>
          <w:bCs/>
          <w:sz w:val="24"/>
        </w:rPr>
        <w:t xml:space="preserve"> POLITIQUE</w:t>
      </w:r>
      <w:r w:rsidR="00CA574A" w:rsidRPr="007D4CC8">
        <w:rPr>
          <w:rFonts w:ascii="Arial" w:hAnsi="Arial" w:cs="Arial"/>
          <w:b/>
          <w:bCs/>
          <w:sz w:val="24"/>
        </w:rPr>
        <w:t>S</w:t>
      </w:r>
    </w:p>
    <w:tbl>
      <w:tblPr>
        <w:tblStyle w:val="Grilledutableau"/>
        <w:tblW w:w="0" w:type="auto"/>
        <w:jc w:val="center"/>
        <w:tblLook w:val="04A0" w:firstRow="1" w:lastRow="0" w:firstColumn="1" w:lastColumn="0" w:noHBand="0" w:noVBand="1"/>
      </w:tblPr>
      <w:tblGrid>
        <w:gridCol w:w="9350"/>
      </w:tblGrid>
      <w:tr w:rsidR="00395A04" w:rsidRPr="00E31D56" w14:paraId="445F34FA" w14:textId="77777777" w:rsidTr="00395A04">
        <w:trPr>
          <w:jc w:val="center"/>
        </w:trPr>
        <w:tc>
          <w:tcPr>
            <w:tcW w:w="9500" w:type="dxa"/>
          </w:tcPr>
          <w:p w14:paraId="75A13445" w14:textId="066CC371" w:rsidR="00395A04" w:rsidRPr="007D4CC8" w:rsidRDefault="00395A04">
            <w:pPr>
              <w:pStyle w:val="En-tte"/>
              <w:tabs>
                <w:tab w:val="left" w:pos="1942"/>
              </w:tabs>
              <w:spacing w:before="120" w:after="120"/>
              <w:ind w:left="1942" w:hanging="1942"/>
              <w:jc w:val="both"/>
              <w:rPr>
                <w:rFonts w:ascii="Arial" w:hAnsi="Arial" w:cs="Arial"/>
                <w:b/>
                <w:bCs/>
              </w:rPr>
            </w:pPr>
            <w:r w:rsidRPr="007D4CC8">
              <w:rPr>
                <w:rFonts w:ascii="Arial" w:hAnsi="Arial" w:cs="Arial"/>
                <w:b/>
              </w:rPr>
              <w:t>MISE EN GARDE :</w:t>
            </w:r>
            <w:r w:rsidRPr="007D4CC8">
              <w:rPr>
                <w:rFonts w:ascii="Arial" w:hAnsi="Arial" w:cs="Arial"/>
                <w:b/>
              </w:rPr>
              <w:tab/>
            </w:r>
            <w:r w:rsidRPr="007D4CC8">
              <w:rPr>
                <w:rFonts w:ascii="Arial" w:hAnsi="Arial" w:cs="Arial"/>
                <w:b/>
              </w:rPr>
              <w:tab/>
            </w:r>
            <w:r w:rsidR="00D06A8D">
              <w:rPr>
                <w:rFonts w:ascii="Arial" w:hAnsi="Arial" w:cs="Arial"/>
                <w:b/>
              </w:rPr>
              <w:t xml:space="preserve">       </w:t>
            </w:r>
            <w:r w:rsidR="0063786E" w:rsidRPr="007D4CC8">
              <w:rPr>
                <w:rFonts w:ascii="Arial" w:hAnsi="Arial" w:cs="Arial"/>
                <w:b/>
              </w:rPr>
              <w:t xml:space="preserve">Cet outil ne tient pas lieu d’avis juridique et ne couvre que les </w:t>
            </w:r>
            <w:r w:rsidR="00D06A8D">
              <w:rPr>
                <w:rFonts w:ascii="Arial" w:hAnsi="Arial" w:cs="Arial"/>
                <w:b/>
              </w:rPr>
              <w:t xml:space="preserve">   </w:t>
            </w:r>
            <w:r w:rsidR="00D06A8D">
              <w:rPr>
                <w:rFonts w:ascii="Arial" w:hAnsi="Arial" w:cs="Arial"/>
                <w:b/>
              </w:rPr>
              <w:tab/>
            </w:r>
            <w:r w:rsidR="0063786E" w:rsidRPr="007D4CC8">
              <w:rPr>
                <w:rFonts w:ascii="Arial" w:hAnsi="Arial" w:cs="Arial"/>
                <w:b/>
              </w:rPr>
              <w:t>situations les plus couramment rencontrées</w:t>
            </w:r>
            <w:r w:rsidR="001F1541" w:rsidRPr="007D4CC8">
              <w:rPr>
                <w:rFonts w:ascii="Arial" w:hAnsi="Arial" w:cs="Arial"/>
                <w:b/>
              </w:rPr>
              <w:t>.</w:t>
            </w:r>
          </w:p>
        </w:tc>
      </w:tr>
    </w:tbl>
    <w:p w14:paraId="138022AE" w14:textId="77777777" w:rsidR="00427AFD" w:rsidRPr="00E31D56" w:rsidRDefault="00427AFD" w:rsidP="005E6240">
      <w:pPr>
        <w:pStyle w:val="En-tte"/>
        <w:spacing w:after="240"/>
        <w:rPr>
          <w:rFonts w:ascii="Times New Roman" w:hAnsi="Times New Roman" w:cs="Times New Roman"/>
          <w:b/>
          <w:sz w:val="24"/>
          <w:szCs w:val="20"/>
        </w:rPr>
      </w:pPr>
    </w:p>
    <w:tbl>
      <w:tblPr>
        <w:tblStyle w:val="Grilledutableau"/>
        <w:tblW w:w="0" w:type="auto"/>
        <w:jc w:val="center"/>
        <w:tblLook w:val="04A0" w:firstRow="1" w:lastRow="0" w:firstColumn="1" w:lastColumn="0" w:noHBand="0" w:noVBand="1"/>
      </w:tblPr>
      <w:tblGrid>
        <w:gridCol w:w="2441"/>
        <w:gridCol w:w="6728"/>
      </w:tblGrid>
      <w:tr w:rsidR="009533E0" w:rsidRPr="00E31D56" w14:paraId="29BB06FB" w14:textId="77777777" w:rsidTr="00CC2B70">
        <w:trPr>
          <w:jc w:val="center"/>
        </w:trPr>
        <w:tc>
          <w:tcPr>
            <w:tcW w:w="2441" w:type="dxa"/>
          </w:tcPr>
          <w:p w14:paraId="35BF281B" w14:textId="77777777" w:rsidR="005E6240" w:rsidRPr="007D4CC8" w:rsidRDefault="005E6240" w:rsidP="000C064F">
            <w:pPr>
              <w:spacing w:before="120" w:after="120"/>
              <w:ind w:left="72" w:right="72"/>
              <w:rPr>
                <w:rFonts w:ascii="Arial" w:hAnsi="Arial" w:cs="Arial"/>
                <w:b/>
                <w:sz w:val="24"/>
                <w:szCs w:val="24"/>
              </w:rPr>
            </w:pPr>
            <w:r w:rsidRPr="007D4CC8">
              <w:rPr>
                <w:rFonts w:ascii="Arial" w:hAnsi="Arial" w:cs="Arial"/>
                <w:b/>
                <w:sz w:val="24"/>
                <w:szCs w:val="24"/>
              </w:rPr>
              <w:t>Cadre légal</w:t>
            </w:r>
          </w:p>
        </w:tc>
        <w:tc>
          <w:tcPr>
            <w:tcW w:w="6728" w:type="dxa"/>
          </w:tcPr>
          <w:p w14:paraId="017264CF" w14:textId="77777777" w:rsidR="005E6240" w:rsidRPr="007D4CC8" w:rsidRDefault="005E6240" w:rsidP="000C064F">
            <w:pPr>
              <w:spacing w:before="120" w:after="120"/>
              <w:ind w:left="72" w:right="72"/>
              <w:jc w:val="both"/>
              <w:rPr>
                <w:rFonts w:ascii="Arial" w:hAnsi="Arial" w:cs="Arial"/>
                <w:b/>
                <w:i/>
              </w:rPr>
            </w:pPr>
            <w:r w:rsidRPr="007D4CC8">
              <w:rPr>
                <w:rFonts w:ascii="Arial" w:hAnsi="Arial" w:cs="Arial"/>
                <w:b/>
                <w:i/>
              </w:rPr>
              <w:t>CHARTE DES DROITS ET LIBERTÉS DE LA PERSONNE</w:t>
            </w:r>
          </w:p>
          <w:p w14:paraId="1C921A3D" w14:textId="77777777" w:rsidR="005E6240" w:rsidRPr="007D4CC8" w:rsidRDefault="005E6240" w:rsidP="00193763">
            <w:pPr>
              <w:autoSpaceDE w:val="0"/>
              <w:autoSpaceDN w:val="0"/>
              <w:adjustRightInd w:val="0"/>
              <w:spacing w:before="120" w:after="240"/>
              <w:ind w:left="72" w:right="72"/>
              <w:jc w:val="both"/>
              <w:rPr>
                <w:rFonts w:ascii="Arial" w:hAnsi="Arial" w:cs="Arial"/>
              </w:rPr>
            </w:pPr>
            <w:r w:rsidRPr="007D4CC8">
              <w:rPr>
                <w:rFonts w:ascii="Arial" w:hAnsi="Arial" w:cs="Arial"/>
              </w:rPr>
              <w:t>(RLRQ, c. C-12)</w:t>
            </w:r>
          </w:p>
          <w:p w14:paraId="65B8236A" w14:textId="77777777" w:rsidR="005E6240" w:rsidRPr="007D4CC8" w:rsidRDefault="005E6240" w:rsidP="000C064F">
            <w:pPr>
              <w:tabs>
                <w:tab w:val="left" w:pos="453"/>
              </w:tabs>
              <w:spacing w:before="120" w:after="120"/>
              <w:ind w:left="72" w:right="72"/>
              <w:jc w:val="both"/>
              <w:rPr>
                <w:rFonts w:ascii="Arial" w:hAnsi="Arial" w:cs="Arial"/>
              </w:rPr>
            </w:pPr>
            <w:r w:rsidRPr="007D4CC8">
              <w:rPr>
                <w:rFonts w:ascii="Arial" w:hAnsi="Arial" w:cs="Arial"/>
                <w:b/>
              </w:rPr>
              <w:t>10.</w:t>
            </w:r>
            <w:r w:rsidRPr="007D4CC8">
              <w:rPr>
                <w:rFonts w:ascii="Arial" w:hAnsi="Arial" w:cs="Arial"/>
              </w:rPr>
              <w:t xml:space="preserve"> Toute personne a droit à la reconnaissance et à l’exercice, en pleine égalité, des droits et libertés de la personne, sans distinction, exclusion ou préférence fondée sur la race, la couleur, le sexe,</w:t>
            </w:r>
            <w:r w:rsidR="00D07EDB" w:rsidRPr="007D4CC8">
              <w:rPr>
                <w:rFonts w:ascii="Arial" w:hAnsi="Arial" w:cs="Arial"/>
              </w:rPr>
              <w:t xml:space="preserve"> l’identité ou l’expression de genre,</w:t>
            </w:r>
            <w:r w:rsidRPr="007D4CC8">
              <w:rPr>
                <w:rFonts w:ascii="Arial" w:hAnsi="Arial" w:cs="Arial"/>
              </w:rPr>
              <w:t xml:space="preserve"> la grossesse, l’orientation sexuelle, l’état civil, l’âge sauf dans la mesure prévue par la loi, la religion, </w:t>
            </w:r>
            <w:r w:rsidRPr="007D4CC8">
              <w:rPr>
                <w:rFonts w:ascii="Arial" w:hAnsi="Arial" w:cs="Arial"/>
                <w:u w:val="single"/>
              </w:rPr>
              <w:t>les convictions politiques</w:t>
            </w:r>
            <w:r w:rsidRPr="007D4CC8">
              <w:rPr>
                <w:rFonts w:ascii="Arial" w:hAnsi="Arial" w:cs="Arial"/>
              </w:rPr>
              <w:t>, la langue, l’origine ethnique ou nationale, la condition sociale, le handicap ou l’utilisation d’un moyen pour pallier ce handicap.</w:t>
            </w:r>
          </w:p>
          <w:p w14:paraId="4EAE70E4" w14:textId="67671A3F" w:rsidR="005E6240" w:rsidRPr="007D4CC8" w:rsidRDefault="005E6240" w:rsidP="000C064F">
            <w:pPr>
              <w:spacing w:before="120" w:after="120"/>
              <w:ind w:left="72" w:right="72"/>
              <w:jc w:val="both"/>
              <w:rPr>
                <w:rFonts w:ascii="Arial" w:hAnsi="Arial" w:cs="Arial"/>
              </w:rPr>
            </w:pPr>
            <w:r w:rsidRPr="007D4CC8">
              <w:rPr>
                <w:rFonts w:ascii="Arial" w:hAnsi="Arial" w:cs="Arial"/>
              </w:rPr>
              <w:t>Il y a discrimination lorsqu’une telle distinction, exclusion ou préférence a pour effet de détruire ou de compromettre ce droit.</w:t>
            </w:r>
          </w:p>
          <w:p w14:paraId="7966DA65" w14:textId="38C908D2" w:rsidR="00AA358F" w:rsidRPr="007D4CC8" w:rsidRDefault="00103ABA" w:rsidP="000C064F">
            <w:pPr>
              <w:spacing w:before="120" w:after="120"/>
              <w:ind w:left="72" w:right="7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358F" w:rsidRPr="007D4CC8">
              <w:rPr>
                <w:rFonts w:ascii="Arial" w:hAnsi="Arial" w:cs="Arial"/>
              </w:rPr>
              <w:t>(Nos soulignés)</w:t>
            </w:r>
          </w:p>
          <w:p w14:paraId="643393D4" w14:textId="09A8238E" w:rsidR="00AA358F" w:rsidRPr="00AA358F" w:rsidRDefault="00AA358F" w:rsidP="007D4CC8">
            <w:pPr>
              <w:spacing w:before="120" w:after="120"/>
              <w:ind w:right="72"/>
              <w:jc w:val="both"/>
              <w:rPr>
                <w:rFonts w:ascii="Arial" w:hAnsi="Arial" w:cs="Arial"/>
                <w:sz w:val="24"/>
                <w:szCs w:val="24"/>
              </w:rPr>
            </w:pPr>
          </w:p>
        </w:tc>
      </w:tr>
      <w:tr w:rsidR="009533E0" w:rsidRPr="00E31D56" w14:paraId="63815F37" w14:textId="77777777" w:rsidTr="00CC2B70">
        <w:trPr>
          <w:jc w:val="center"/>
        </w:trPr>
        <w:tc>
          <w:tcPr>
            <w:tcW w:w="2441" w:type="dxa"/>
          </w:tcPr>
          <w:p w14:paraId="0707924B" w14:textId="532C6746" w:rsidR="005E6240" w:rsidRPr="007D4CC8" w:rsidRDefault="00F22921" w:rsidP="000C064F">
            <w:pPr>
              <w:spacing w:before="120" w:after="120"/>
              <w:ind w:left="72" w:right="72"/>
              <w:rPr>
                <w:rFonts w:ascii="Arial" w:hAnsi="Arial" w:cs="Arial"/>
                <w:b/>
                <w:sz w:val="24"/>
                <w:szCs w:val="24"/>
              </w:rPr>
            </w:pPr>
            <w:r w:rsidRPr="007D4CC8">
              <w:rPr>
                <w:rFonts w:ascii="Arial" w:hAnsi="Arial" w:cs="Arial"/>
                <w:b/>
                <w:sz w:val="24"/>
                <w:szCs w:val="24"/>
              </w:rPr>
              <w:t xml:space="preserve">Protection </w:t>
            </w:r>
          </w:p>
        </w:tc>
        <w:tc>
          <w:tcPr>
            <w:tcW w:w="6728" w:type="dxa"/>
          </w:tcPr>
          <w:p w14:paraId="5A55CC00" w14:textId="326BD257" w:rsidR="00451ECE" w:rsidRPr="007D4CC8" w:rsidRDefault="00614DB9" w:rsidP="00310C0D">
            <w:pPr>
              <w:spacing w:before="120" w:after="120"/>
              <w:ind w:right="72"/>
              <w:jc w:val="both"/>
              <w:rPr>
                <w:rFonts w:ascii="Arial" w:hAnsi="Arial" w:cs="Arial"/>
              </w:rPr>
            </w:pPr>
            <w:r w:rsidRPr="007D4CC8">
              <w:rPr>
                <w:rFonts w:ascii="Arial" w:hAnsi="Arial" w:cs="Arial"/>
              </w:rPr>
              <w:t xml:space="preserve">Au </w:t>
            </w:r>
            <w:r w:rsidR="003426B8" w:rsidRPr="007D4CC8">
              <w:rPr>
                <w:rFonts w:ascii="Arial" w:hAnsi="Arial" w:cs="Arial"/>
              </w:rPr>
              <w:t>Québec</w:t>
            </w:r>
            <w:r w:rsidR="00860D5F" w:rsidRPr="007D4CC8">
              <w:rPr>
                <w:rFonts w:ascii="Arial" w:hAnsi="Arial" w:cs="Arial"/>
              </w:rPr>
              <w:t>,</w:t>
            </w:r>
            <w:r w:rsidR="003426B8" w:rsidRPr="007D4CC8">
              <w:rPr>
                <w:rFonts w:ascii="Arial" w:hAnsi="Arial" w:cs="Arial"/>
              </w:rPr>
              <w:t xml:space="preserve"> </w:t>
            </w:r>
            <w:r w:rsidRPr="007D4CC8">
              <w:rPr>
                <w:rFonts w:ascii="Arial" w:hAnsi="Arial" w:cs="Arial"/>
              </w:rPr>
              <w:t>aucune</w:t>
            </w:r>
            <w:r w:rsidR="004E3311" w:rsidRPr="007D4CC8">
              <w:rPr>
                <w:rFonts w:ascii="Arial" w:hAnsi="Arial" w:cs="Arial"/>
              </w:rPr>
              <w:t xml:space="preserve"> </w:t>
            </w:r>
            <w:r w:rsidR="003426B8" w:rsidRPr="007D4CC8">
              <w:rPr>
                <w:rFonts w:ascii="Arial" w:hAnsi="Arial" w:cs="Arial"/>
              </w:rPr>
              <w:t xml:space="preserve">définition précise </w:t>
            </w:r>
            <w:r w:rsidR="00AB15D3" w:rsidRPr="007D4CC8">
              <w:rPr>
                <w:rFonts w:ascii="Arial" w:hAnsi="Arial" w:cs="Arial"/>
              </w:rPr>
              <w:t xml:space="preserve">du </w:t>
            </w:r>
            <w:r w:rsidR="003426B8" w:rsidRPr="007D4CC8">
              <w:rPr>
                <w:rFonts w:ascii="Arial" w:hAnsi="Arial" w:cs="Arial"/>
              </w:rPr>
              <w:t>motif</w:t>
            </w:r>
            <w:r w:rsidR="005C3E96" w:rsidRPr="007D4CC8">
              <w:rPr>
                <w:rFonts w:ascii="Arial" w:hAnsi="Arial" w:cs="Arial"/>
              </w:rPr>
              <w:t xml:space="preserve"> </w:t>
            </w:r>
            <w:r w:rsidR="003426B8" w:rsidRPr="007D4CC8">
              <w:rPr>
                <w:rFonts w:ascii="Arial" w:hAnsi="Arial" w:cs="Arial"/>
              </w:rPr>
              <w:t>«</w:t>
            </w:r>
            <w:r w:rsidR="005C3E96" w:rsidRPr="007D4CC8">
              <w:rPr>
                <w:rFonts w:ascii="Arial" w:hAnsi="Arial" w:cs="Arial"/>
              </w:rPr>
              <w:t xml:space="preserve"> </w:t>
            </w:r>
            <w:r w:rsidR="003426B8" w:rsidRPr="007D4CC8">
              <w:rPr>
                <w:rFonts w:ascii="Arial" w:hAnsi="Arial" w:cs="Arial"/>
              </w:rPr>
              <w:t xml:space="preserve">convictions politiques » </w:t>
            </w:r>
            <w:r w:rsidR="00E56515" w:rsidRPr="007D4CC8">
              <w:rPr>
                <w:rFonts w:ascii="Arial" w:hAnsi="Arial" w:cs="Arial"/>
              </w:rPr>
              <w:t>n’</w:t>
            </w:r>
            <w:r w:rsidR="003426B8" w:rsidRPr="007D4CC8">
              <w:rPr>
                <w:rFonts w:ascii="Arial" w:hAnsi="Arial" w:cs="Arial"/>
              </w:rPr>
              <w:t xml:space="preserve">a été </w:t>
            </w:r>
            <w:r w:rsidR="00E56515" w:rsidRPr="007D4CC8">
              <w:rPr>
                <w:rFonts w:ascii="Arial" w:hAnsi="Arial" w:cs="Arial"/>
              </w:rPr>
              <w:t xml:space="preserve">retenue </w:t>
            </w:r>
            <w:r w:rsidR="003426B8" w:rsidRPr="007D4CC8">
              <w:rPr>
                <w:rFonts w:ascii="Arial" w:hAnsi="Arial" w:cs="Arial"/>
              </w:rPr>
              <w:t xml:space="preserve">par la jurisprudence. </w:t>
            </w:r>
            <w:r w:rsidR="00451ECE" w:rsidRPr="007D4CC8">
              <w:rPr>
                <w:rFonts w:ascii="Arial" w:hAnsi="Arial" w:cs="Arial"/>
              </w:rPr>
              <w:t xml:space="preserve">On a </w:t>
            </w:r>
            <w:r w:rsidR="00D52B4D" w:rsidRPr="007D4CC8">
              <w:rPr>
                <w:rFonts w:ascii="Arial" w:hAnsi="Arial" w:cs="Arial"/>
              </w:rPr>
              <w:t>toutefois</w:t>
            </w:r>
            <w:r w:rsidR="00451ECE" w:rsidRPr="007D4CC8">
              <w:rPr>
                <w:rFonts w:ascii="Arial" w:hAnsi="Arial" w:cs="Arial"/>
              </w:rPr>
              <w:t xml:space="preserve"> souligné que ce motif réfère aux « débats sur l’organisation ou le fonctionnement de la société, ses buts ou sa nature ». </w:t>
            </w:r>
            <w:r w:rsidR="00451ECE" w:rsidRPr="007D4CC8">
              <w:rPr>
                <w:rFonts w:ascii="Arial" w:eastAsia="Calibri" w:hAnsi="Arial" w:cs="Arial"/>
                <w:i/>
              </w:rPr>
              <w:t xml:space="preserve">Morel </w:t>
            </w:r>
            <w:r w:rsidR="00451ECE" w:rsidRPr="007D4CC8">
              <w:rPr>
                <w:rFonts w:ascii="Arial" w:eastAsia="Calibri" w:hAnsi="Arial" w:cs="Arial"/>
              </w:rPr>
              <w:t xml:space="preserve">c. </w:t>
            </w:r>
            <w:r w:rsidR="00451ECE" w:rsidRPr="007D4CC8">
              <w:rPr>
                <w:rFonts w:ascii="Arial" w:eastAsia="Calibri" w:hAnsi="Arial" w:cs="Arial"/>
                <w:i/>
              </w:rPr>
              <w:t>Saint-Sylvestre (Paroisse)</w:t>
            </w:r>
            <w:r w:rsidR="00451ECE" w:rsidRPr="007D4CC8">
              <w:rPr>
                <w:rFonts w:ascii="Arial" w:eastAsia="Calibri" w:hAnsi="Arial" w:cs="Arial"/>
              </w:rPr>
              <w:t xml:space="preserve">, </w:t>
            </w:r>
            <w:hyperlink r:id="rId11" w:history="1">
              <w:r w:rsidR="00451ECE" w:rsidRPr="007D4CC8">
                <w:rPr>
                  <w:rStyle w:val="Lienhypertexte"/>
                  <w:rFonts w:ascii="Arial" w:hAnsi="Arial" w:cs="Arial"/>
                </w:rPr>
                <w:t>[1987] R.L. 242 (C.A)</w:t>
              </w:r>
            </w:hyperlink>
            <w:r w:rsidR="00451ECE" w:rsidRPr="007D4CC8">
              <w:rPr>
                <w:rFonts w:ascii="Arial" w:eastAsia="Calibri" w:hAnsi="Arial" w:cs="Arial"/>
              </w:rPr>
              <w:t>.</w:t>
            </w:r>
          </w:p>
          <w:p w14:paraId="35980F90" w14:textId="65CE4B7D" w:rsidR="00860D5F" w:rsidRPr="007D4CC8" w:rsidRDefault="005E02DF" w:rsidP="00310C0D">
            <w:pPr>
              <w:spacing w:before="120" w:after="120"/>
              <w:ind w:right="72"/>
              <w:jc w:val="both"/>
              <w:rPr>
                <w:rFonts w:ascii="Arial" w:hAnsi="Arial" w:cs="Arial"/>
              </w:rPr>
            </w:pPr>
            <w:r w:rsidRPr="007D4CC8">
              <w:rPr>
                <w:rFonts w:ascii="Arial" w:hAnsi="Arial" w:cs="Arial"/>
              </w:rPr>
              <w:t>L</w:t>
            </w:r>
            <w:r w:rsidR="00451ECE" w:rsidRPr="007D4CC8">
              <w:rPr>
                <w:rFonts w:ascii="Arial" w:hAnsi="Arial" w:cs="Arial"/>
              </w:rPr>
              <w:t>es tribunaux</w:t>
            </w:r>
            <w:r w:rsidR="008A6AEE" w:rsidRPr="007D4CC8">
              <w:rPr>
                <w:rFonts w:ascii="Arial" w:hAnsi="Arial" w:cs="Arial"/>
              </w:rPr>
              <w:t xml:space="preserve"> rappellent également qu’</w:t>
            </w:r>
            <w:r w:rsidR="004E3311" w:rsidRPr="007D4CC8">
              <w:rPr>
                <w:rFonts w:ascii="Arial" w:hAnsi="Arial" w:cs="Arial"/>
              </w:rPr>
              <w:t>u</w:t>
            </w:r>
            <w:r w:rsidR="003426B8" w:rsidRPr="007D4CC8">
              <w:rPr>
                <w:rFonts w:ascii="Arial" w:hAnsi="Arial" w:cs="Arial"/>
              </w:rPr>
              <w:t>ne interprétation large et libérale doit</w:t>
            </w:r>
            <w:r w:rsidR="0079609D" w:rsidRPr="007D4CC8">
              <w:rPr>
                <w:rFonts w:ascii="Arial" w:hAnsi="Arial" w:cs="Arial"/>
              </w:rPr>
              <w:t xml:space="preserve"> </w:t>
            </w:r>
            <w:r w:rsidR="003426B8" w:rsidRPr="007D4CC8">
              <w:rPr>
                <w:rFonts w:ascii="Arial" w:hAnsi="Arial" w:cs="Arial"/>
              </w:rPr>
              <w:t>prévaloir</w:t>
            </w:r>
            <w:r w:rsidR="0079609D" w:rsidRPr="007D4CC8">
              <w:rPr>
                <w:rFonts w:ascii="Arial" w:hAnsi="Arial" w:cs="Arial"/>
              </w:rPr>
              <w:t xml:space="preserve"> </w:t>
            </w:r>
            <w:r w:rsidR="00614DB9" w:rsidRPr="007D4CC8">
              <w:rPr>
                <w:rFonts w:ascii="Arial" w:hAnsi="Arial" w:cs="Arial"/>
              </w:rPr>
              <w:t>« </w:t>
            </w:r>
            <w:r w:rsidR="00310C0D" w:rsidRPr="007D4CC8">
              <w:rPr>
                <w:rFonts w:ascii="Arial" w:hAnsi="Arial" w:cs="Arial"/>
              </w:rPr>
              <w:t>[…]</w:t>
            </w:r>
            <w:r w:rsidR="004E3311" w:rsidRPr="007D4CC8">
              <w:rPr>
                <w:rFonts w:ascii="Arial" w:hAnsi="Arial" w:cs="Arial"/>
              </w:rPr>
              <w:t xml:space="preserve"> </w:t>
            </w:r>
            <w:r w:rsidR="00310C0D" w:rsidRPr="007D4CC8">
              <w:rPr>
                <w:rFonts w:ascii="Arial" w:hAnsi="Arial" w:cs="Arial"/>
              </w:rPr>
              <w:t>L</w:t>
            </w:r>
            <w:r w:rsidR="00310C0D" w:rsidRPr="007D4CC8">
              <w:rPr>
                <w:rFonts w:ascii="Arial" w:hAnsi="Arial" w:cs="Arial"/>
                <w:color w:val="000000" w:themeColor="text1"/>
                <w:shd w:val="clear" w:color="auto" w:fill="FFFFFF"/>
              </w:rPr>
              <w:t>'interdiction de discrimination fondée sur les convictions politiques ne s'applique pas seulement aux membres des partis politiques reconnus. D'ailleurs, une personne peut fort bien avoir des convictions politiques profondes et discriminer à l'égard d'une personne ayant des convictions différentes des siennes sans</w:t>
            </w:r>
            <w:r w:rsidR="00310C0D" w:rsidRPr="007D4CC8">
              <w:rPr>
                <w:rFonts w:ascii="Arial" w:hAnsi="Arial" w:cs="Arial"/>
                <w:color w:val="000000" w:themeColor="text1"/>
              </w:rPr>
              <w:t xml:space="preserve"> </w:t>
            </w:r>
            <w:r w:rsidR="00310C0D" w:rsidRPr="007D4CC8">
              <w:rPr>
                <w:rFonts w:ascii="Arial" w:hAnsi="Arial" w:cs="Arial"/>
                <w:color w:val="000000" w:themeColor="text1"/>
                <w:shd w:val="clear" w:color="auto" w:fill="FFFFFF"/>
              </w:rPr>
              <w:t>pour autant être membre d'aucun parti politique ni même avoir des</w:t>
            </w:r>
            <w:r w:rsidR="00310C0D" w:rsidRPr="007D4CC8">
              <w:rPr>
                <w:rFonts w:ascii="Arial" w:hAnsi="Arial" w:cs="Arial"/>
                <w:color w:val="000000" w:themeColor="text1"/>
              </w:rPr>
              <w:t xml:space="preserve"> </w:t>
            </w:r>
            <w:r w:rsidR="00310C0D" w:rsidRPr="007D4CC8">
              <w:rPr>
                <w:rFonts w:ascii="Arial" w:hAnsi="Arial" w:cs="Arial"/>
                <w:color w:val="000000" w:themeColor="text1"/>
                <w:shd w:val="clear" w:color="auto" w:fill="FFFFFF"/>
              </w:rPr>
              <w:t>allégeances politiques connues</w:t>
            </w:r>
            <w:r w:rsidR="00614DB9" w:rsidRPr="007D4CC8">
              <w:rPr>
                <w:rFonts w:ascii="Arial" w:hAnsi="Arial" w:cs="Arial"/>
                <w:color w:val="000000" w:themeColor="text1"/>
                <w:shd w:val="clear" w:color="auto" w:fill="FFFFFF"/>
              </w:rPr>
              <w:t> »</w:t>
            </w:r>
            <w:r w:rsidR="00310C0D" w:rsidRPr="007D4CC8">
              <w:rPr>
                <w:rFonts w:ascii="Arial" w:hAnsi="Arial" w:cs="Arial"/>
                <w:color w:val="000000" w:themeColor="text1"/>
                <w:shd w:val="clear" w:color="auto" w:fill="FFFFFF"/>
              </w:rPr>
              <w:t>.</w:t>
            </w:r>
            <w:r w:rsidR="00310C0D" w:rsidRPr="007D4CC8">
              <w:rPr>
                <w:rFonts w:ascii="Arial" w:hAnsi="Arial" w:cs="Arial"/>
                <w:i/>
                <w:iCs/>
              </w:rPr>
              <w:t xml:space="preserve"> Morin c. Commission scolaire des Manoirs</w:t>
            </w:r>
            <w:r w:rsidR="00310C0D" w:rsidRPr="007D4CC8">
              <w:rPr>
                <w:rFonts w:ascii="Arial" w:hAnsi="Arial" w:cs="Arial"/>
              </w:rPr>
              <w:t xml:space="preserve">, </w:t>
            </w:r>
            <w:hyperlink r:id="rId12" w:history="1">
              <w:r w:rsidR="00310C0D" w:rsidRPr="007D4CC8">
                <w:rPr>
                  <w:rStyle w:val="Lienhypertexte"/>
                  <w:rFonts w:ascii="Arial" w:hAnsi="Arial" w:cs="Arial"/>
                </w:rPr>
                <w:t>1994 CanLII 3040 (QCTDP)</w:t>
              </w:r>
            </w:hyperlink>
            <w:r w:rsidR="00310C0D" w:rsidRPr="007D4CC8">
              <w:rPr>
                <w:rFonts w:ascii="Arial" w:hAnsi="Arial" w:cs="Arial"/>
              </w:rPr>
              <w:t>.</w:t>
            </w:r>
          </w:p>
          <w:p w14:paraId="78D6CCF2" w14:textId="499E5528" w:rsidR="00F77924" w:rsidRPr="00A037EB" w:rsidRDefault="008559E2" w:rsidP="00A037EB">
            <w:pPr>
              <w:ind w:right="74"/>
              <w:jc w:val="both"/>
              <w:rPr>
                <w:rFonts w:ascii="Times New Roman" w:hAnsi="Times New Roman" w:cs="Times New Roman"/>
              </w:rPr>
            </w:pPr>
            <w:r>
              <w:rPr>
                <w:rFonts w:ascii="Times New Roman" w:hAnsi="Times New Roman" w:cs="Times New Roman"/>
              </w:rPr>
              <w:t xml:space="preserve"> </w:t>
            </w:r>
          </w:p>
        </w:tc>
      </w:tr>
      <w:tr w:rsidR="009533E0" w:rsidRPr="00E31D56" w14:paraId="1ED473C4" w14:textId="77777777" w:rsidTr="00CC2B70">
        <w:trPr>
          <w:jc w:val="center"/>
        </w:trPr>
        <w:tc>
          <w:tcPr>
            <w:tcW w:w="2441" w:type="dxa"/>
          </w:tcPr>
          <w:p w14:paraId="3104A9D4" w14:textId="61A49CA5" w:rsidR="00F22921" w:rsidRPr="007D4CC8" w:rsidRDefault="009533E0" w:rsidP="00F22921">
            <w:pPr>
              <w:spacing w:before="120" w:after="120"/>
              <w:ind w:left="72" w:right="72"/>
              <w:rPr>
                <w:rFonts w:ascii="Arial" w:hAnsi="Arial" w:cs="Arial"/>
                <w:b/>
                <w:sz w:val="24"/>
                <w:szCs w:val="24"/>
              </w:rPr>
            </w:pPr>
            <w:r w:rsidRPr="007D4CC8">
              <w:rPr>
                <w:rFonts w:ascii="Arial" w:hAnsi="Arial" w:cs="Arial"/>
                <w:b/>
                <w:sz w:val="24"/>
                <w:szCs w:val="24"/>
              </w:rPr>
              <w:lastRenderedPageBreak/>
              <w:t>P</w:t>
            </w:r>
            <w:r w:rsidR="00103ABA">
              <w:rPr>
                <w:rFonts w:ascii="Arial" w:hAnsi="Arial" w:cs="Arial"/>
                <w:b/>
                <w:sz w:val="24"/>
                <w:szCs w:val="24"/>
              </w:rPr>
              <w:t>rincipes et critères d’application</w:t>
            </w:r>
          </w:p>
        </w:tc>
        <w:tc>
          <w:tcPr>
            <w:tcW w:w="6728" w:type="dxa"/>
          </w:tcPr>
          <w:p w14:paraId="3ED04BFA" w14:textId="1526EA45" w:rsidR="009533E0" w:rsidRPr="007D4CC8" w:rsidRDefault="009533E0" w:rsidP="009533E0">
            <w:pPr>
              <w:spacing w:before="240" w:after="120"/>
              <w:ind w:right="74"/>
              <w:jc w:val="both"/>
              <w:rPr>
                <w:rFonts w:ascii="Arial" w:hAnsi="Arial" w:cs="Arial"/>
              </w:rPr>
            </w:pPr>
            <w:r w:rsidRPr="007D4CC8">
              <w:rPr>
                <w:rFonts w:ascii="Arial" w:hAnsi="Arial" w:cs="Arial"/>
              </w:rPr>
              <w:t>Plus prolifique, la jurisprudence de la Colombie</w:t>
            </w:r>
            <w:r w:rsidR="000E4327" w:rsidRPr="007D4CC8">
              <w:rPr>
                <w:rFonts w:ascii="Arial" w:hAnsi="Arial" w:cs="Arial"/>
              </w:rPr>
              <w:t>-Britannique</w:t>
            </w:r>
            <w:r w:rsidRPr="007D4CC8">
              <w:rPr>
                <w:rFonts w:ascii="Arial" w:hAnsi="Arial" w:cs="Arial"/>
              </w:rPr>
              <w:t xml:space="preserve"> a énoncé des principes et critères d’application</w:t>
            </w:r>
            <w:r w:rsidR="000E4327" w:rsidRPr="007D4CC8">
              <w:rPr>
                <w:rFonts w:ascii="Arial" w:hAnsi="Arial" w:cs="Arial"/>
              </w:rPr>
              <w:t xml:space="preserve"> du motif «</w:t>
            </w:r>
            <w:r w:rsidR="004A15D3" w:rsidRPr="007D4CC8">
              <w:rPr>
                <w:rFonts w:ascii="Arial" w:hAnsi="Arial" w:cs="Arial"/>
              </w:rPr>
              <w:t> </w:t>
            </w:r>
            <w:r w:rsidR="00740802" w:rsidRPr="007D4CC8">
              <w:rPr>
                <w:rFonts w:ascii="Arial" w:hAnsi="Arial" w:cs="Arial"/>
              </w:rPr>
              <w:t>political bel</w:t>
            </w:r>
            <w:r w:rsidR="004A15D3" w:rsidRPr="007D4CC8">
              <w:rPr>
                <w:rFonts w:ascii="Arial" w:hAnsi="Arial" w:cs="Arial"/>
              </w:rPr>
              <w:t>ief </w:t>
            </w:r>
            <w:r w:rsidR="000E4327" w:rsidRPr="007D4CC8">
              <w:rPr>
                <w:rFonts w:ascii="Arial" w:hAnsi="Arial" w:cs="Arial"/>
              </w:rPr>
              <w:t>»</w:t>
            </w:r>
            <w:r w:rsidRPr="007D4CC8">
              <w:rPr>
                <w:rFonts w:ascii="Arial" w:hAnsi="Arial" w:cs="Arial"/>
              </w:rPr>
              <w:t> (Traduction libre):</w:t>
            </w:r>
          </w:p>
          <w:p w14:paraId="0CFD3746" w14:textId="571AEBAE" w:rsidR="00F22921" w:rsidRPr="007D4CC8" w:rsidRDefault="00F22921" w:rsidP="009533E0">
            <w:pPr>
              <w:pStyle w:val="Paragraphedeliste"/>
              <w:numPr>
                <w:ilvl w:val="0"/>
                <w:numId w:val="14"/>
              </w:numPr>
              <w:spacing w:before="240" w:after="120"/>
              <w:ind w:right="74"/>
              <w:jc w:val="both"/>
              <w:rPr>
                <w:rFonts w:ascii="Arial" w:hAnsi="Arial" w:cs="Arial"/>
              </w:rPr>
            </w:pPr>
            <w:r w:rsidRPr="007D4CC8">
              <w:rPr>
                <w:rFonts w:ascii="Arial" w:hAnsi="Arial" w:cs="Arial"/>
              </w:rPr>
              <w:t>être déterminée en fonction des faits et des circonstances de chaque affaire;</w:t>
            </w:r>
          </w:p>
          <w:p w14:paraId="693E3C2A" w14:textId="3A7BBF59" w:rsidR="00F22921" w:rsidRPr="007D4CC8" w:rsidRDefault="00F22921" w:rsidP="009533E0">
            <w:pPr>
              <w:pStyle w:val="Paragraphedeliste"/>
              <w:numPr>
                <w:ilvl w:val="0"/>
                <w:numId w:val="14"/>
              </w:numPr>
              <w:spacing w:before="240" w:after="120"/>
              <w:ind w:right="74"/>
              <w:jc w:val="both"/>
              <w:rPr>
                <w:rFonts w:ascii="Arial" w:hAnsi="Arial" w:cs="Arial"/>
              </w:rPr>
            </w:pPr>
            <w:r w:rsidRPr="007D4CC8">
              <w:rPr>
                <w:rFonts w:ascii="Arial" w:hAnsi="Arial" w:cs="Arial"/>
              </w:rPr>
              <w:t xml:space="preserve">recevoir une définition libérale, ne se limitant pas à des convictions politiques partisanes, mais avec des limites raisonnables </w:t>
            </w:r>
          </w:p>
          <w:p w14:paraId="1396F8E4" w14:textId="1883561E" w:rsidR="00F22921" w:rsidRPr="007D4CC8" w:rsidRDefault="00F22921" w:rsidP="009533E0">
            <w:pPr>
              <w:pStyle w:val="Paragraphedeliste"/>
              <w:numPr>
                <w:ilvl w:val="0"/>
                <w:numId w:val="14"/>
              </w:numPr>
              <w:spacing w:before="240" w:after="120"/>
              <w:ind w:right="74"/>
              <w:jc w:val="both"/>
              <w:rPr>
                <w:rFonts w:ascii="Arial" w:hAnsi="Arial" w:cs="Arial"/>
              </w:rPr>
            </w:pPr>
            <w:r w:rsidRPr="007D4CC8">
              <w:rPr>
                <w:rFonts w:ascii="Arial" w:hAnsi="Arial" w:cs="Arial"/>
              </w:rPr>
              <w:t>avoir un fondement factuel, tel que la nature de la conviction en jeu</w:t>
            </w:r>
            <w:r w:rsidR="009533E0" w:rsidRPr="007D4CC8">
              <w:rPr>
                <w:rFonts w:ascii="Arial" w:hAnsi="Arial" w:cs="Arial"/>
              </w:rPr>
              <w:t xml:space="preserve">. </w:t>
            </w:r>
            <w:r w:rsidRPr="007D4CC8">
              <w:rPr>
                <w:rFonts w:ascii="Arial" w:hAnsi="Arial" w:cs="Arial"/>
              </w:rPr>
              <w:t>Une telle base factuelle devrait inclure un niveau raisonnable de cohérence et de cohésion afin de garantir une tangibilité suffisante à la conviction;</w:t>
            </w:r>
          </w:p>
          <w:p w14:paraId="4E416E7F" w14:textId="0CFEF344" w:rsidR="00F22921" w:rsidRPr="007D4CC8" w:rsidRDefault="00F22921" w:rsidP="009533E0">
            <w:pPr>
              <w:pStyle w:val="Paragraphedeliste"/>
              <w:numPr>
                <w:ilvl w:val="0"/>
                <w:numId w:val="14"/>
              </w:numPr>
              <w:spacing w:before="240" w:after="120"/>
              <w:ind w:right="74"/>
              <w:jc w:val="both"/>
              <w:rPr>
                <w:rFonts w:ascii="Arial" w:hAnsi="Arial" w:cs="Arial"/>
              </w:rPr>
            </w:pPr>
            <w:r w:rsidRPr="007D4CC8">
              <w:rPr>
                <w:rFonts w:ascii="Arial" w:hAnsi="Arial" w:cs="Arial"/>
              </w:rPr>
              <w:t>en être véritablement une. Ce ne doit pas être une idée passagère, ni une position prise par commodité ou avantage dans les circonstances dans lesquelles le conflit se produit. Il doit être plus large que les intérêts personnels d’un individu; et</w:t>
            </w:r>
          </w:p>
          <w:p w14:paraId="1AF4079B" w14:textId="65574751" w:rsidR="009533E0" w:rsidRPr="00E31D56" w:rsidRDefault="00F22921" w:rsidP="009533E0">
            <w:pPr>
              <w:pStyle w:val="Paragraphedeliste"/>
              <w:numPr>
                <w:ilvl w:val="0"/>
                <w:numId w:val="14"/>
              </w:numPr>
              <w:spacing w:before="240" w:after="120"/>
              <w:ind w:right="74"/>
              <w:jc w:val="both"/>
              <w:rPr>
                <w:rFonts w:ascii="Times New Roman" w:hAnsi="Times New Roman" w:cs="Times New Roman"/>
              </w:rPr>
            </w:pPr>
            <w:r w:rsidRPr="007D4CC8">
              <w:rPr>
                <w:rFonts w:ascii="Arial" w:hAnsi="Arial" w:cs="Arial"/>
              </w:rPr>
              <w:t xml:space="preserve">être au cœur du concept de système de coopération sociale proposé par une personne, allant au-delà, en règle générale, de questions telles que les décisions opérationnelles qu'un employeur ou </w:t>
            </w:r>
            <w:r w:rsidR="009533E0" w:rsidRPr="007D4CC8">
              <w:rPr>
                <w:rFonts w:ascii="Arial" w:hAnsi="Arial" w:cs="Arial"/>
              </w:rPr>
              <w:t>qu’</w:t>
            </w:r>
            <w:r w:rsidRPr="007D4CC8">
              <w:rPr>
                <w:rFonts w:ascii="Arial" w:hAnsi="Arial" w:cs="Arial"/>
              </w:rPr>
              <w:t>une autre entité peut prendre.</w:t>
            </w:r>
          </w:p>
        </w:tc>
      </w:tr>
      <w:tr w:rsidR="009533E0" w:rsidRPr="00103ABA" w14:paraId="0FD5DD53" w14:textId="77777777" w:rsidTr="00CC2B70">
        <w:trPr>
          <w:jc w:val="center"/>
        </w:trPr>
        <w:tc>
          <w:tcPr>
            <w:tcW w:w="2441" w:type="dxa"/>
          </w:tcPr>
          <w:p w14:paraId="3A3F6DC1" w14:textId="031A506B" w:rsidR="00F22921" w:rsidRPr="007D4CC8" w:rsidRDefault="00F22921" w:rsidP="00F22921">
            <w:pPr>
              <w:spacing w:before="120" w:after="120"/>
              <w:ind w:left="72" w:right="72"/>
              <w:rPr>
                <w:rFonts w:ascii="Arial" w:hAnsi="Arial" w:cs="Arial"/>
                <w:b/>
                <w:sz w:val="24"/>
                <w:szCs w:val="24"/>
              </w:rPr>
            </w:pPr>
            <w:r w:rsidRPr="007D4CC8">
              <w:rPr>
                <w:rFonts w:ascii="Arial" w:hAnsi="Arial" w:cs="Arial"/>
                <w:b/>
                <w:sz w:val="24"/>
                <w:szCs w:val="24"/>
              </w:rPr>
              <w:t>E</w:t>
            </w:r>
            <w:r w:rsidR="00103ABA" w:rsidRPr="007D4CC8">
              <w:rPr>
                <w:rFonts w:ascii="Arial" w:hAnsi="Arial" w:cs="Arial"/>
                <w:b/>
                <w:sz w:val="24"/>
                <w:szCs w:val="24"/>
              </w:rPr>
              <w:t>xemples d’application</w:t>
            </w:r>
          </w:p>
        </w:tc>
        <w:tc>
          <w:tcPr>
            <w:tcW w:w="6728" w:type="dxa"/>
          </w:tcPr>
          <w:p w14:paraId="735808EC" w14:textId="77777777" w:rsidR="00163FF7" w:rsidRPr="007D4CC8" w:rsidRDefault="00163FF7" w:rsidP="00163FF7">
            <w:pPr>
              <w:spacing w:before="120" w:after="120"/>
              <w:ind w:right="72"/>
              <w:jc w:val="both"/>
              <w:rPr>
                <w:rFonts w:ascii="Arial" w:hAnsi="Arial" w:cs="Arial"/>
              </w:rPr>
            </w:pPr>
            <w:r w:rsidRPr="007D4CC8">
              <w:rPr>
                <w:rFonts w:ascii="Arial" w:hAnsi="Arial" w:cs="Arial"/>
              </w:rPr>
              <w:t xml:space="preserve">Exemples de convictions politiques: </w:t>
            </w:r>
          </w:p>
          <w:p w14:paraId="135B2DBD" w14:textId="77777777" w:rsidR="00163FF7" w:rsidRPr="007D4CC8" w:rsidRDefault="00163FF7" w:rsidP="00163FF7">
            <w:pPr>
              <w:pStyle w:val="Paragraphedeliste"/>
              <w:numPr>
                <w:ilvl w:val="0"/>
                <w:numId w:val="20"/>
              </w:numPr>
              <w:ind w:left="750" w:right="74"/>
              <w:jc w:val="both"/>
              <w:rPr>
                <w:rFonts w:ascii="Arial" w:hAnsi="Arial" w:cs="Arial"/>
                <w:iCs/>
              </w:rPr>
            </w:pPr>
            <w:r w:rsidRPr="007D4CC8">
              <w:rPr>
                <w:rFonts w:ascii="Arial" w:hAnsi="Arial" w:cs="Arial"/>
                <w:iCs/>
              </w:rPr>
              <w:t>les convictions relatives aux options politiques prises dans le cadre du référendum de 1980;</w:t>
            </w:r>
          </w:p>
          <w:p w14:paraId="2BF663A2" w14:textId="77777777" w:rsidR="00163FF7" w:rsidRPr="007D4CC8" w:rsidRDefault="00163FF7" w:rsidP="00163FF7">
            <w:pPr>
              <w:pStyle w:val="Paragraphedeliste"/>
              <w:numPr>
                <w:ilvl w:val="0"/>
                <w:numId w:val="20"/>
              </w:numPr>
              <w:ind w:left="750" w:right="74"/>
              <w:jc w:val="both"/>
              <w:rPr>
                <w:rFonts w:ascii="Arial" w:hAnsi="Arial" w:cs="Arial"/>
                <w:iCs/>
              </w:rPr>
            </w:pPr>
            <w:r w:rsidRPr="007D4CC8">
              <w:rPr>
                <w:rFonts w:ascii="Arial" w:hAnsi="Arial" w:cs="Arial"/>
                <w:iCs/>
              </w:rPr>
              <w:t>une opinion formulée quant à une décision ministérielle assimilée à une politique gouvernementale;</w:t>
            </w:r>
          </w:p>
          <w:p w14:paraId="26590BA1" w14:textId="77777777" w:rsidR="00163FF7" w:rsidRPr="007D4CC8" w:rsidRDefault="00163FF7" w:rsidP="00163FF7">
            <w:pPr>
              <w:pStyle w:val="Paragraphedeliste"/>
              <w:numPr>
                <w:ilvl w:val="0"/>
                <w:numId w:val="20"/>
              </w:numPr>
              <w:ind w:left="750" w:right="74"/>
              <w:jc w:val="both"/>
              <w:rPr>
                <w:rFonts w:ascii="Arial" w:hAnsi="Arial" w:cs="Arial"/>
                <w:iCs/>
              </w:rPr>
            </w:pPr>
            <w:r w:rsidRPr="007D4CC8">
              <w:rPr>
                <w:rFonts w:ascii="Arial" w:hAnsi="Arial" w:cs="Arial"/>
                <w:iCs/>
              </w:rPr>
              <w:t>des convictions relatives à l’organisation et au fonctionnement de la société exprimées dans le cadre d’une manifestation marquant la Journée internationale contre la brutalité policière;</w:t>
            </w:r>
          </w:p>
          <w:p w14:paraId="411FE7CB" w14:textId="77777777" w:rsidR="00163FF7" w:rsidRPr="007D4CC8" w:rsidRDefault="00163FF7" w:rsidP="00163FF7">
            <w:pPr>
              <w:pStyle w:val="Paragraphedeliste"/>
              <w:numPr>
                <w:ilvl w:val="0"/>
                <w:numId w:val="20"/>
              </w:numPr>
              <w:ind w:left="750" w:right="74"/>
              <w:jc w:val="both"/>
              <w:rPr>
                <w:rFonts w:ascii="Arial" w:hAnsi="Arial" w:cs="Arial"/>
                <w:iCs/>
              </w:rPr>
            </w:pPr>
            <w:r w:rsidRPr="007D4CC8">
              <w:rPr>
                <w:rFonts w:ascii="Arial" w:hAnsi="Arial" w:cs="Arial"/>
                <w:iCs/>
              </w:rPr>
              <w:t>des convictions exprimées en manifestant contre la mondialisation capitaliste;</w:t>
            </w:r>
          </w:p>
          <w:p w14:paraId="0AE554FB" w14:textId="77777777" w:rsidR="00AA358F" w:rsidRPr="007D4CC8" w:rsidRDefault="00163FF7" w:rsidP="00AA358F">
            <w:pPr>
              <w:pStyle w:val="Paragraphedeliste"/>
              <w:numPr>
                <w:ilvl w:val="0"/>
                <w:numId w:val="20"/>
              </w:numPr>
              <w:ind w:left="750" w:right="74"/>
              <w:jc w:val="both"/>
              <w:rPr>
                <w:rFonts w:ascii="Arial" w:hAnsi="Arial" w:cs="Arial"/>
              </w:rPr>
            </w:pPr>
            <w:r w:rsidRPr="007D4CC8">
              <w:rPr>
                <w:rFonts w:ascii="Arial" w:hAnsi="Arial" w:cs="Arial"/>
                <w:iCs/>
              </w:rPr>
              <w:t>une prise de positions relatives à l’organisation des commissions scolaires en lien avec le programme d’un parti politique;</w:t>
            </w:r>
          </w:p>
          <w:p w14:paraId="49819732" w14:textId="302794D7" w:rsidR="00163FF7" w:rsidRPr="00BD40CA" w:rsidRDefault="00163FF7" w:rsidP="00AA358F">
            <w:pPr>
              <w:pStyle w:val="Paragraphedeliste"/>
              <w:numPr>
                <w:ilvl w:val="0"/>
                <w:numId w:val="20"/>
              </w:numPr>
              <w:ind w:left="750" w:right="74"/>
              <w:jc w:val="both"/>
              <w:rPr>
                <w:rFonts w:ascii="Arial" w:hAnsi="Arial" w:cs="Arial"/>
              </w:rPr>
            </w:pPr>
            <w:r w:rsidRPr="007D4CC8">
              <w:rPr>
                <w:rFonts w:ascii="Arial" w:hAnsi="Arial" w:cs="Arial"/>
                <w:iCs/>
              </w:rPr>
              <w:t>ou encore le port du carré rouge dans le cadre de la grève étudiante du printemps 2012</w:t>
            </w:r>
            <w:r w:rsidR="00653D37">
              <w:rPr>
                <w:rFonts w:ascii="Arial" w:hAnsi="Arial" w:cs="Arial"/>
                <w:iCs/>
              </w:rPr>
              <w:t>;</w:t>
            </w:r>
          </w:p>
          <w:p w14:paraId="27FF3A84" w14:textId="76075505" w:rsidR="00BD40CA" w:rsidRPr="007D4CC8" w:rsidRDefault="00BD40CA" w:rsidP="00AA358F">
            <w:pPr>
              <w:pStyle w:val="Paragraphedeliste"/>
              <w:numPr>
                <w:ilvl w:val="0"/>
                <w:numId w:val="20"/>
              </w:numPr>
              <w:ind w:left="750" w:right="74"/>
              <w:jc w:val="both"/>
              <w:rPr>
                <w:rFonts w:ascii="Arial" w:hAnsi="Arial" w:cs="Arial"/>
              </w:rPr>
            </w:pPr>
            <w:r>
              <w:rPr>
                <w:rFonts w:ascii="Arial" w:hAnsi="Arial" w:cs="Arial"/>
                <w:iCs/>
              </w:rPr>
              <w:t>le fait de se porter candidat à une élection</w:t>
            </w:r>
            <w:r w:rsidR="00653D37">
              <w:rPr>
                <w:rFonts w:ascii="Arial" w:hAnsi="Arial" w:cs="Arial"/>
                <w:iCs/>
              </w:rPr>
              <w:t>.</w:t>
            </w:r>
          </w:p>
          <w:p w14:paraId="0525833C" w14:textId="5A124993" w:rsidR="00163FF7" w:rsidRPr="007D4CC8" w:rsidRDefault="00163FF7" w:rsidP="00AA358F">
            <w:pPr>
              <w:spacing w:before="240" w:after="120"/>
              <w:ind w:right="74"/>
              <w:jc w:val="both"/>
              <w:rPr>
                <w:rFonts w:ascii="Arial" w:hAnsi="Arial" w:cs="Arial"/>
              </w:rPr>
            </w:pPr>
            <w:r w:rsidRPr="007D4CC8">
              <w:rPr>
                <w:rFonts w:ascii="Arial" w:hAnsi="Arial" w:cs="Arial"/>
              </w:rPr>
              <w:t>Ex</w:t>
            </w:r>
            <w:r w:rsidR="00A037EB" w:rsidRPr="007D4CC8">
              <w:rPr>
                <w:rFonts w:ascii="Arial" w:hAnsi="Arial" w:cs="Arial"/>
              </w:rPr>
              <w:t xml:space="preserve">emples </w:t>
            </w:r>
            <w:r w:rsidRPr="007D4CC8">
              <w:rPr>
                <w:rFonts w:ascii="Arial" w:hAnsi="Arial" w:cs="Arial"/>
              </w:rPr>
              <w:t>jurisprudentiel</w:t>
            </w:r>
            <w:r w:rsidR="00A037EB" w:rsidRPr="007D4CC8">
              <w:rPr>
                <w:rFonts w:ascii="Arial" w:hAnsi="Arial" w:cs="Arial"/>
              </w:rPr>
              <w:t>s</w:t>
            </w:r>
            <w:r w:rsidRPr="007D4CC8">
              <w:rPr>
                <w:rFonts w:ascii="Arial" w:hAnsi="Arial" w:cs="Arial"/>
              </w:rPr>
              <w:t> :</w:t>
            </w:r>
          </w:p>
          <w:p w14:paraId="4BFA9552" w14:textId="3602E26D" w:rsidR="00F22921" w:rsidRPr="007D4CC8" w:rsidRDefault="00AA358F" w:rsidP="00F22921">
            <w:pPr>
              <w:pStyle w:val="Paragraphedeliste"/>
              <w:numPr>
                <w:ilvl w:val="0"/>
                <w:numId w:val="1"/>
              </w:numPr>
              <w:spacing w:before="240" w:after="120"/>
              <w:ind w:left="403" w:right="74" w:hanging="329"/>
              <w:contextualSpacing w:val="0"/>
              <w:jc w:val="both"/>
              <w:rPr>
                <w:rFonts w:ascii="Arial" w:hAnsi="Arial" w:cs="Arial"/>
              </w:rPr>
            </w:pPr>
            <w:r w:rsidRPr="007D4CC8">
              <w:rPr>
                <w:rFonts w:ascii="Arial" w:hAnsi="Arial" w:cs="Arial"/>
              </w:rPr>
              <w:t>d</w:t>
            </w:r>
            <w:r w:rsidR="00F22921" w:rsidRPr="007D4CC8">
              <w:rPr>
                <w:rFonts w:ascii="Arial" w:hAnsi="Arial" w:cs="Arial"/>
              </w:rPr>
              <w:t xml:space="preserve">es autorités (policiers) qui empêchent une manifestation pacifique dû, en partie, aux convictions politiques des </w:t>
            </w:r>
            <w:r w:rsidR="00F22921" w:rsidRPr="007D4CC8">
              <w:rPr>
                <w:rFonts w:ascii="Arial" w:hAnsi="Arial" w:cs="Arial"/>
              </w:rPr>
              <w:lastRenderedPageBreak/>
              <w:t>manifestants ou de l’idéologie promu</w:t>
            </w:r>
            <w:r w:rsidR="00752FC7" w:rsidRPr="007D4CC8">
              <w:rPr>
                <w:rFonts w:ascii="Arial" w:hAnsi="Arial" w:cs="Arial"/>
              </w:rPr>
              <w:t>e</w:t>
            </w:r>
            <w:r w:rsidR="00F22921" w:rsidRPr="007D4CC8">
              <w:rPr>
                <w:rFonts w:ascii="Arial" w:hAnsi="Arial" w:cs="Arial"/>
              </w:rPr>
              <w:t xml:space="preserve"> par la manifestation (ex. : anticapitaliste, écologiste, </w:t>
            </w:r>
            <w:r w:rsidRPr="007D4CC8">
              <w:rPr>
                <w:rFonts w:ascii="Arial" w:hAnsi="Arial" w:cs="Arial"/>
              </w:rPr>
              <w:t>anarchiste…</w:t>
            </w:r>
            <w:r w:rsidR="00F22921" w:rsidRPr="007D4CC8">
              <w:rPr>
                <w:rFonts w:ascii="Arial" w:hAnsi="Arial" w:cs="Arial"/>
              </w:rPr>
              <w:t>)</w:t>
            </w:r>
            <w:r w:rsidR="00224C64" w:rsidRPr="007D4CC8">
              <w:rPr>
                <w:rFonts w:ascii="Arial" w:hAnsi="Arial" w:cs="Arial"/>
              </w:rPr>
              <w:t xml:space="preserve"> : </w:t>
            </w:r>
            <w:r w:rsidR="00A75C50" w:rsidRPr="007D4CC8">
              <w:rPr>
                <w:rFonts w:ascii="Arial" w:hAnsi="Arial" w:cs="Arial"/>
                <w:i/>
                <w:iCs/>
              </w:rPr>
              <w:t xml:space="preserve">Paquette </w:t>
            </w:r>
            <w:r w:rsidR="00A75C50" w:rsidRPr="007D4CC8">
              <w:rPr>
                <w:rFonts w:ascii="Arial" w:hAnsi="Arial" w:cs="Arial"/>
              </w:rPr>
              <w:t>c.</w:t>
            </w:r>
            <w:r w:rsidR="00A75C50" w:rsidRPr="007D4CC8">
              <w:rPr>
                <w:rFonts w:ascii="Arial" w:hAnsi="Arial" w:cs="Arial"/>
                <w:i/>
                <w:iCs/>
              </w:rPr>
              <w:t xml:space="preserve"> Ville de Montréal, </w:t>
            </w:r>
            <w:hyperlink r:id="rId13" w:history="1">
              <w:r w:rsidR="00A75C50" w:rsidRPr="007D4CC8">
                <w:rPr>
                  <w:rStyle w:val="Lienhypertexte"/>
                  <w:rFonts w:ascii="Arial" w:hAnsi="Arial" w:cs="Arial"/>
                </w:rPr>
                <w:t>2019 QCCS 1796</w:t>
              </w:r>
            </w:hyperlink>
            <w:r w:rsidR="00821320">
              <w:rPr>
                <w:rStyle w:val="Lienhypertexte"/>
                <w:rFonts w:ascii="Arial" w:hAnsi="Arial" w:cs="Arial"/>
              </w:rPr>
              <w:t>;</w:t>
            </w:r>
          </w:p>
          <w:p w14:paraId="6418A77D" w14:textId="106F4DAF" w:rsidR="00740637" w:rsidRPr="007D4CC8" w:rsidRDefault="00AA358F" w:rsidP="00F22921">
            <w:pPr>
              <w:pStyle w:val="Paragraphedeliste"/>
              <w:numPr>
                <w:ilvl w:val="0"/>
                <w:numId w:val="1"/>
              </w:numPr>
              <w:spacing w:before="240" w:after="120"/>
              <w:ind w:left="403" w:right="74" w:hanging="329"/>
              <w:contextualSpacing w:val="0"/>
              <w:jc w:val="both"/>
              <w:rPr>
                <w:rFonts w:ascii="Arial" w:hAnsi="Arial" w:cs="Arial"/>
              </w:rPr>
            </w:pPr>
            <w:r w:rsidRPr="007D4CC8">
              <w:rPr>
                <w:rFonts w:ascii="Arial" w:hAnsi="Arial" w:cs="Arial"/>
              </w:rPr>
              <w:t>l</w:t>
            </w:r>
            <w:r w:rsidR="00740637" w:rsidRPr="007D4CC8">
              <w:rPr>
                <w:rFonts w:ascii="Arial" w:hAnsi="Arial" w:cs="Arial"/>
              </w:rPr>
              <w:t>es convictions syndicales sont de l’ordre des convictions politiques</w:t>
            </w:r>
            <w:r w:rsidR="00CA488B" w:rsidRPr="007D4CC8">
              <w:rPr>
                <w:rFonts w:ascii="Arial" w:hAnsi="Arial" w:cs="Arial"/>
              </w:rPr>
              <w:t xml:space="preserve">, à moins que ce ne soit </w:t>
            </w:r>
            <w:r w:rsidR="004F47C5" w:rsidRPr="007D4CC8">
              <w:rPr>
                <w:rFonts w:ascii="Arial" w:hAnsi="Arial" w:cs="Arial"/>
              </w:rPr>
              <w:t>qu’une divergence d’opinion</w:t>
            </w:r>
            <w:r w:rsidR="00752FC7" w:rsidRPr="007D4CC8">
              <w:rPr>
                <w:rFonts w:ascii="Arial" w:hAnsi="Arial" w:cs="Arial"/>
              </w:rPr>
              <w:t>s</w:t>
            </w:r>
            <w:r w:rsidR="004F47C5" w:rsidRPr="007D4CC8">
              <w:rPr>
                <w:rFonts w:ascii="Arial" w:hAnsi="Arial" w:cs="Arial"/>
              </w:rPr>
              <w:t xml:space="preserve"> quant à l’action syndicale appropriée à prendre selon les circonstances</w:t>
            </w:r>
            <w:r w:rsidR="00557F30" w:rsidRPr="007D4CC8">
              <w:rPr>
                <w:rFonts w:ascii="Arial" w:hAnsi="Arial" w:cs="Arial"/>
              </w:rPr>
              <w:t xml:space="preserve"> : </w:t>
            </w:r>
            <w:r w:rsidR="00740637" w:rsidRPr="007D4CC8">
              <w:rPr>
                <w:rFonts w:ascii="Arial" w:hAnsi="Arial" w:cs="Arial"/>
                <w:i/>
              </w:rPr>
              <w:t>Rondeau</w:t>
            </w:r>
            <w:r w:rsidR="00740637" w:rsidRPr="007D4CC8">
              <w:rPr>
                <w:rFonts w:ascii="Arial" w:hAnsi="Arial" w:cs="Arial"/>
              </w:rPr>
              <w:t xml:space="preserve"> c. </w:t>
            </w:r>
            <w:r w:rsidR="00740637" w:rsidRPr="007D4CC8">
              <w:rPr>
                <w:rFonts w:ascii="Arial" w:hAnsi="Arial" w:cs="Arial"/>
                <w:i/>
              </w:rPr>
              <w:t>Syndicat des employé(e)s du Centre de services sociaux du Montréal métropolitain</w:t>
            </w:r>
            <w:r w:rsidR="00740637" w:rsidRPr="007D4CC8">
              <w:rPr>
                <w:rFonts w:ascii="Arial" w:hAnsi="Arial" w:cs="Arial"/>
              </w:rPr>
              <w:t xml:space="preserve">, </w:t>
            </w:r>
            <w:hyperlink r:id="rId14" w:history="1">
              <w:r w:rsidR="00C723FF" w:rsidRPr="007D4CC8">
                <w:rPr>
                  <w:rStyle w:val="Lienhypertexte"/>
                  <w:rFonts w:ascii="Arial" w:hAnsi="Arial" w:cs="Arial"/>
                </w:rPr>
                <w:t xml:space="preserve">1995 CanLII 3167 </w:t>
              </w:r>
              <w:r w:rsidR="00740637" w:rsidRPr="007D4CC8">
                <w:rPr>
                  <w:rStyle w:val="Lienhypertexte"/>
                  <w:rFonts w:ascii="Arial" w:hAnsi="Arial" w:cs="Arial"/>
                </w:rPr>
                <w:t>(</w:t>
              </w:r>
              <w:r w:rsidR="00C723FF" w:rsidRPr="007D4CC8">
                <w:rPr>
                  <w:rStyle w:val="Lienhypertexte"/>
                  <w:rFonts w:ascii="Arial" w:hAnsi="Arial" w:cs="Arial"/>
                </w:rPr>
                <w:t>QC TDP</w:t>
              </w:r>
              <w:r w:rsidR="00740637" w:rsidRPr="007D4CC8">
                <w:rPr>
                  <w:rStyle w:val="Lienhypertexte"/>
                  <w:rFonts w:ascii="Arial" w:hAnsi="Arial" w:cs="Arial"/>
                </w:rPr>
                <w:t>)</w:t>
              </w:r>
            </w:hyperlink>
            <w:r w:rsidR="00821320">
              <w:t>;</w:t>
            </w:r>
          </w:p>
          <w:p w14:paraId="3278191E" w14:textId="45CF1CA2" w:rsidR="00F22921" w:rsidRPr="007D4CC8" w:rsidRDefault="00AA358F" w:rsidP="00F22921">
            <w:pPr>
              <w:pStyle w:val="Paragraphedeliste"/>
              <w:numPr>
                <w:ilvl w:val="0"/>
                <w:numId w:val="1"/>
              </w:numPr>
              <w:spacing w:before="240" w:after="120"/>
              <w:ind w:left="403" w:right="74" w:hanging="329"/>
              <w:contextualSpacing w:val="0"/>
              <w:jc w:val="both"/>
              <w:rPr>
                <w:rFonts w:ascii="Arial" w:hAnsi="Arial" w:cs="Arial"/>
              </w:rPr>
            </w:pPr>
            <w:r w:rsidRPr="007D4CC8">
              <w:rPr>
                <w:rFonts w:ascii="Arial" w:hAnsi="Arial" w:cs="Arial"/>
              </w:rPr>
              <w:t>l</w:t>
            </w:r>
            <w:r w:rsidR="00F22921" w:rsidRPr="007D4CC8">
              <w:rPr>
                <w:rFonts w:ascii="Arial" w:hAnsi="Arial" w:cs="Arial"/>
              </w:rPr>
              <w:t>e refus de laisser un groupe environnementaliste participer à un événement communautaire</w:t>
            </w:r>
            <w:r w:rsidR="008F0FBF" w:rsidRPr="007D4CC8">
              <w:rPr>
                <w:rFonts w:ascii="Arial" w:hAnsi="Arial" w:cs="Arial"/>
              </w:rPr>
              <w:t> :</w:t>
            </w:r>
            <w:r w:rsidR="00F22921" w:rsidRPr="007D4CC8">
              <w:rPr>
                <w:rFonts w:ascii="Arial" w:hAnsi="Arial" w:cs="Arial"/>
              </w:rPr>
              <w:t xml:space="preserve"> </w:t>
            </w:r>
            <w:r w:rsidR="00F22921" w:rsidRPr="007D4CC8">
              <w:rPr>
                <w:rFonts w:ascii="Arial" w:hAnsi="Arial" w:cs="Arial"/>
                <w:i/>
                <w:iCs/>
              </w:rPr>
              <w:t>Comité des Citoyens Espaces Verts LaSalle Inc</w:t>
            </w:r>
            <w:r w:rsidR="00F22921" w:rsidRPr="007D4CC8">
              <w:rPr>
                <w:rFonts w:ascii="Arial" w:hAnsi="Arial" w:cs="Arial"/>
              </w:rPr>
              <w:t xml:space="preserve">. v. </w:t>
            </w:r>
            <w:r w:rsidR="00F22921" w:rsidRPr="007D4CC8">
              <w:rPr>
                <w:rFonts w:ascii="Arial" w:hAnsi="Arial" w:cs="Arial"/>
                <w:i/>
                <w:iCs/>
              </w:rPr>
              <w:t>Cité de LaSalle</w:t>
            </w:r>
            <w:r w:rsidR="00F22921" w:rsidRPr="007D4CC8">
              <w:rPr>
                <w:rFonts w:ascii="Arial" w:hAnsi="Arial" w:cs="Arial"/>
              </w:rPr>
              <w:t>, (1981), 3 CHRR D/659 (CPQ) au par</w:t>
            </w:r>
            <w:r w:rsidR="00103ABA">
              <w:rPr>
                <w:rFonts w:ascii="Arial" w:hAnsi="Arial" w:cs="Arial"/>
              </w:rPr>
              <w:t>.</w:t>
            </w:r>
            <w:r w:rsidR="00F22921" w:rsidRPr="007D4CC8">
              <w:rPr>
                <w:rFonts w:ascii="Arial" w:hAnsi="Arial" w:cs="Arial"/>
              </w:rPr>
              <w:t xml:space="preserve"> 5938;</w:t>
            </w:r>
          </w:p>
          <w:p w14:paraId="40E3B4F2" w14:textId="07A40195" w:rsidR="00F22921" w:rsidRPr="008D106D" w:rsidRDefault="009D55D7" w:rsidP="00F22921">
            <w:pPr>
              <w:pStyle w:val="Paragraphedeliste"/>
              <w:numPr>
                <w:ilvl w:val="0"/>
                <w:numId w:val="1"/>
              </w:numPr>
              <w:spacing w:before="240" w:after="120"/>
              <w:ind w:left="403" w:right="74" w:hanging="329"/>
              <w:contextualSpacing w:val="0"/>
              <w:jc w:val="both"/>
              <w:rPr>
                <w:rStyle w:val="Lienhypertexte"/>
                <w:rFonts w:ascii="Arial" w:hAnsi="Arial" w:cs="Arial"/>
                <w:color w:val="auto"/>
                <w:u w:val="none"/>
              </w:rPr>
            </w:pPr>
            <w:r w:rsidRPr="007D4CC8">
              <w:rPr>
                <w:rFonts w:ascii="Arial" w:hAnsi="Arial" w:cs="Arial"/>
                <w:color w:val="000000" w:themeColor="text1"/>
              </w:rPr>
              <w:t xml:space="preserve">un </w:t>
            </w:r>
            <w:r w:rsidR="00AA358F" w:rsidRPr="007D4CC8">
              <w:rPr>
                <w:rFonts w:ascii="Arial" w:hAnsi="Arial" w:cs="Arial"/>
                <w:color w:val="000000" w:themeColor="text1"/>
              </w:rPr>
              <w:t>b</w:t>
            </w:r>
            <w:r w:rsidR="00F22921" w:rsidRPr="007D4CC8">
              <w:rPr>
                <w:rFonts w:ascii="Arial" w:hAnsi="Arial" w:cs="Arial"/>
                <w:color w:val="000000" w:themeColor="text1"/>
              </w:rPr>
              <w:t>lâme concernant les propos d’un pharmacien à l’égard d’une modification législative visant à accorder de plus grandes responsabilités aux techniciens en pharmacie.</w:t>
            </w:r>
            <w:r w:rsidR="00F22921" w:rsidRPr="007D4CC8">
              <w:rPr>
                <w:rFonts w:ascii="Arial" w:hAnsi="Arial" w:cs="Arial"/>
                <w:i/>
                <w:iCs/>
              </w:rPr>
              <w:t xml:space="preserve"> Wali v. Jace Holdings</w:t>
            </w:r>
            <w:r w:rsidR="00F22921" w:rsidRPr="007D4CC8">
              <w:rPr>
                <w:rFonts w:ascii="Arial" w:hAnsi="Arial" w:cs="Arial"/>
              </w:rPr>
              <w:t xml:space="preserve">, </w:t>
            </w:r>
            <w:hyperlink r:id="rId15" w:history="1">
              <w:r w:rsidR="00F22921" w:rsidRPr="007D4CC8">
                <w:rPr>
                  <w:rStyle w:val="Lienhypertexte"/>
                  <w:rFonts w:ascii="Arial" w:hAnsi="Arial" w:cs="Arial"/>
                </w:rPr>
                <w:t>2012 BCHRT 389</w:t>
              </w:r>
            </w:hyperlink>
            <w:r w:rsidR="00821320">
              <w:rPr>
                <w:rStyle w:val="Lienhypertexte"/>
                <w:rFonts w:ascii="Arial" w:hAnsi="Arial" w:cs="Arial"/>
              </w:rPr>
              <w:t>;</w:t>
            </w:r>
          </w:p>
          <w:p w14:paraId="2E626553" w14:textId="1010B179" w:rsidR="00C52FDF" w:rsidRPr="007D4CC8" w:rsidRDefault="00653D37" w:rsidP="00F22921">
            <w:pPr>
              <w:pStyle w:val="Paragraphedeliste"/>
              <w:numPr>
                <w:ilvl w:val="0"/>
                <w:numId w:val="1"/>
              </w:numPr>
              <w:spacing w:before="240" w:after="120"/>
              <w:ind w:left="403" w:right="74" w:hanging="329"/>
              <w:contextualSpacing w:val="0"/>
              <w:jc w:val="both"/>
              <w:rPr>
                <w:rFonts w:ascii="Arial" w:hAnsi="Arial" w:cs="Arial"/>
              </w:rPr>
            </w:pPr>
            <w:r>
              <w:rPr>
                <w:rFonts w:ascii="Arial" w:hAnsi="Arial" w:cs="Arial"/>
              </w:rPr>
              <w:t xml:space="preserve">l’exclusion d’un membre d’un </w:t>
            </w:r>
            <w:r w:rsidR="00EB6839">
              <w:rPr>
                <w:rFonts w:ascii="Arial" w:hAnsi="Arial" w:cs="Arial"/>
              </w:rPr>
              <w:t>comité consultatif d</w:t>
            </w:r>
            <w:r w:rsidR="002938BE">
              <w:rPr>
                <w:rFonts w:ascii="Arial" w:hAnsi="Arial" w:cs="Arial"/>
              </w:rPr>
              <w:t>’un</w:t>
            </w:r>
            <w:r w:rsidR="00EB6839">
              <w:rPr>
                <w:rFonts w:ascii="Arial" w:hAnsi="Arial" w:cs="Arial"/>
              </w:rPr>
              <w:t xml:space="preserve"> l’arrondissement</w:t>
            </w:r>
            <w:r w:rsidR="002938BE">
              <w:rPr>
                <w:rFonts w:ascii="Arial" w:hAnsi="Arial" w:cs="Arial"/>
              </w:rPr>
              <w:t xml:space="preserve"> municipal (par le nouveau maire de celui-ci) </w:t>
            </w:r>
            <w:r w:rsidR="00E1671B">
              <w:rPr>
                <w:rFonts w:ascii="Arial" w:hAnsi="Arial" w:cs="Arial"/>
              </w:rPr>
              <w:t xml:space="preserve">après qu’il se soit présenté </w:t>
            </w:r>
            <w:r w:rsidR="002938BE">
              <w:rPr>
                <w:rFonts w:ascii="Arial" w:hAnsi="Arial" w:cs="Arial"/>
              </w:rPr>
              <w:t xml:space="preserve">sans succès </w:t>
            </w:r>
            <w:r w:rsidR="00E1671B">
              <w:rPr>
                <w:rFonts w:ascii="Arial" w:hAnsi="Arial" w:cs="Arial"/>
              </w:rPr>
              <w:t xml:space="preserve">comme candidat à </w:t>
            </w:r>
            <w:r w:rsidR="00843411">
              <w:rPr>
                <w:rFonts w:ascii="Arial" w:hAnsi="Arial" w:cs="Arial"/>
              </w:rPr>
              <w:t>la mairie de l’arrondissement dans le cadre des élections municip</w:t>
            </w:r>
            <w:r w:rsidR="001B3734">
              <w:rPr>
                <w:rFonts w:ascii="Arial" w:hAnsi="Arial" w:cs="Arial"/>
              </w:rPr>
              <w:t xml:space="preserve">ales, </w:t>
            </w:r>
            <w:r w:rsidR="00821320" w:rsidRPr="00821320">
              <w:rPr>
                <w:rFonts w:ascii="Arial" w:hAnsi="Arial" w:cs="Arial"/>
                <w:i/>
                <w:iCs/>
              </w:rPr>
              <w:t>Commission des droits de la personne et des droits de la jeunesse (Lussier) c. Ville de Montréal (arrondissement d'Outremont)</w:t>
            </w:r>
            <w:r w:rsidR="00821320" w:rsidRPr="00821320">
              <w:rPr>
                <w:rFonts w:ascii="Arial" w:hAnsi="Arial" w:cs="Arial"/>
              </w:rPr>
              <w:t>,</w:t>
            </w:r>
            <w:r w:rsidR="00821320">
              <w:rPr>
                <w:rFonts w:ascii="Open Sans" w:hAnsi="Open Sans" w:cs="Open Sans"/>
                <w:color w:val="212529"/>
                <w:sz w:val="21"/>
                <w:szCs w:val="21"/>
              </w:rPr>
              <w:t xml:space="preserve"> </w:t>
            </w:r>
            <w:hyperlink r:id="rId16" w:history="1">
              <w:r w:rsidR="001B3734" w:rsidRPr="00821320">
                <w:rPr>
                  <w:rStyle w:val="Lienhypertexte"/>
                  <w:rFonts w:ascii="Arial" w:hAnsi="Arial" w:cs="Arial"/>
                </w:rPr>
                <w:t>2022 QCTDP 9</w:t>
              </w:r>
            </w:hyperlink>
            <w:r w:rsidR="00821320">
              <w:rPr>
                <w:rFonts w:ascii="Arial" w:hAnsi="Arial" w:cs="Arial"/>
              </w:rPr>
              <w:t>.</w:t>
            </w:r>
          </w:p>
        </w:tc>
      </w:tr>
      <w:tr w:rsidR="00F012B2" w:rsidRPr="00E31D56" w14:paraId="5E45EF10" w14:textId="77777777" w:rsidTr="00CC2B70">
        <w:trPr>
          <w:jc w:val="center"/>
        </w:trPr>
        <w:tc>
          <w:tcPr>
            <w:tcW w:w="2441" w:type="dxa"/>
          </w:tcPr>
          <w:p w14:paraId="4E25E394" w14:textId="7510B320" w:rsidR="00F012B2" w:rsidRPr="007D4CC8" w:rsidRDefault="00E91620" w:rsidP="00F22921">
            <w:pPr>
              <w:spacing w:before="120" w:after="120"/>
              <w:ind w:left="72" w:right="72"/>
              <w:rPr>
                <w:rFonts w:ascii="Arial" w:hAnsi="Arial" w:cs="Arial"/>
                <w:b/>
                <w:sz w:val="24"/>
                <w:szCs w:val="24"/>
              </w:rPr>
            </w:pPr>
            <w:r w:rsidRPr="007D4CC8">
              <w:rPr>
                <w:rFonts w:ascii="Arial" w:hAnsi="Arial" w:cs="Arial"/>
                <w:b/>
                <w:sz w:val="24"/>
                <w:szCs w:val="24"/>
              </w:rPr>
              <w:lastRenderedPageBreak/>
              <w:t xml:space="preserve">La justification de la discrimination par </w:t>
            </w:r>
            <w:r w:rsidRPr="007D4CC8">
              <w:rPr>
                <w:rFonts w:ascii="Arial" w:hAnsi="Arial" w:cs="Arial"/>
                <w:b/>
                <w:bCs/>
                <w:iCs/>
                <w:sz w:val="24"/>
                <w:szCs w:val="24"/>
              </w:rPr>
              <w:t>le caractère politique d’une institution à but non lucratif</w:t>
            </w:r>
          </w:p>
        </w:tc>
        <w:tc>
          <w:tcPr>
            <w:tcW w:w="6728" w:type="dxa"/>
          </w:tcPr>
          <w:p w14:paraId="5FE60E1B" w14:textId="77777777" w:rsidR="00A037EB" w:rsidRPr="007D4CC8" w:rsidRDefault="00A037EB" w:rsidP="00A037EB">
            <w:pPr>
              <w:spacing w:before="120" w:after="120"/>
              <w:ind w:right="72"/>
              <w:jc w:val="both"/>
              <w:rPr>
                <w:rFonts w:ascii="Arial" w:hAnsi="Arial" w:cs="Arial"/>
                <w:iCs/>
              </w:rPr>
            </w:pPr>
            <w:r w:rsidRPr="007D4CC8">
              <w:rPr>
                <w:rFonts w:ascii="Arial" w:hAnsi="Arial" w:cs="Arial"/>
                <w:iCs/>
              </w:rPr>
              <w:t>L’article 20 de la Charte prévoit notamment qu’une distinction, exclusion ou préférence justifiée par le caractère politique d’une institution à but non lucratif est réputée non discriminatoire :</w:t>
            </w:r>
          </w:p>
          <w:p w14:paraId="17B81919" w14:textId="77777777" w:rsidR="00A037EB" w:rsidRPr="007D4CC8" w:rsidRDefault="00A037EB" w:rsidP="00A037EB">
            <w:pPr>
              <w:numPr>
                <w:ilvl w:val="0"/>
                <w:numId w:val="18"/>
              </w:numPr>
              <w:spacing w:before="120" w:after="120"/>
              <w:ind w:right="72"/>
              <w:jc w:val="both"/>
              <w:rPr>
                <w:rFonts w:ascii="Arial" w:hAnsi="Arial" w:cs="Arial"/>
                <w:iCs/>
              </w:rPr>
            </w:pPr>
            <w:r w:rsidRPr="007D4CC8">
              <w:rPr>
                <w:rFonts w:ascii="Arial" w:hAnsi="Arial" w:cs="Arial"/>
                <w:iCs/>
              </w:rPr>
              <w:t>L’institution mise en cause est-elle à but non lucratif?</w:t>
            </w:r>
          </w:p>
          <w:p w14:paraId="0CA78E28" w14:textId="77777777" w:rsidR="00A037EB" w:rsidRPr="007D4CC8" w:rsidRDefault="00A037EB" w:rsidP="00A037EB">
            <w:pPr>
              <w:numPr>
                <w:ilvl w:val="0"/>
                <w:numId w:val="18"/>
              </w:numPr>
              <w:spacing w:before="120" w:after="120"/>
              <w:ind w:right="72"/>
              <w:jc w:val="both"/>
              <w:rPr>
                <w:rFonts w:ascii="Arial" w:hAnsi="Arial" w:cs="Arial"/>
                <w:iCs/>
              </w:rPr>
            </w:pPr>
            <w:r w:rsidRPr="007D4CC8">
              <w:rPr>
                <w:rFonts w:ascii="Arial" w:hAnsi="Arial" w:cs="Arial"/>
                <w:iCs/>
              </w:rPr>
              <w:t>La distinction relative aux convictions politiques est-elle justifiée par le caractère politique de cette institution et par sa vocation particulière?</w:t>
            </w:r>
          </w:p>
          <w:p w14:paraId="1E9892D6" w14:textId="7B3E01A3" w:rsidR="00C552A6" w:rsidRPr="007D4CC8" w:rsidRDefault="00A037EB" w:rsidP="001D4CE7">
            <w:pPr>
              <w:spacing w:before="120" w:after="120"/>
              <w:ind w:right="72"/>
              <w:jc w:val="both"/>
              <w:rPr>
                <w:rFonts w:ascii="Arial" w:hAnsi="Arial" w:cs="Arial"/>
                <w:iCs/>
              </w:rPr>
            </w:pPr>
            <w:r w:rsidRPr="007D4CC8">
              <w:rPr>
                <w:rFonts w:ascii="Arial" w:hAnsi="Arial" w:cs="Arial"/>
                <w:iCs/>
              </w:rPr>
              <w:t xml:space="preserve">Par exemple, la jurisprudence a reconnu qu’un syndicat peut exiger de ses conseillers syndicaux qu’ils adhèrent à ses orientations politiques : </w:t>
            </w:r>
            <w:r w:rsidRPr="007D4CC8">
              <w:rPr>
                <w:rFonts w:ascii="Arial" w:hAnsi="Arial" w:cs="Arial"/>
                <w:i/>
                <w:iCs/>
              </w:rPr>
              <w:t xml:space="preserve">Lusignan </w:t>
            </w:r>
            <w:r w:rsidRPr="007D4CC8">
              <w:rPr>
                <w:rFonts w:ascii="Arial" w:hAnsi="Arial" w:cs="Arial"/>
                <w:iCs/>
              </w:rPr>
              <w:t xml:space="preserve">c. </w:t>
            </w:r>
            <w:r w:rsidRPr="007D4CC8">
              <w:rPr>
                <w:rFonts w:ascii="Arial" w:hAnsi="Arial" w:cs="Arial"/>
                <w:i/>
                <w:iCs/>
              </w:rPr>
              <w:t>Confédération des syndicats nationaux</w:t>
            </w:r>
            <w:r w:rsidRPr="007D4CC8">
              <w:rPr>
                <w:rFonts w:ascii="Arial" w:hAnsi="Arial" w:cs="Arial"/>
                <w:iCs/>
              </w:rPr>
              <w:t>, [1992] R.J.Q. 684 (C.S.).</w:t>
            </w:r>
          </w:p>
        </w:tc>
      </w:tr>
      <w:tr w:rsidR="009533E0" w:rsidRPr="00103ABA" w14:paraId="06B48986" w14:textId="77777777" w:rsidTr="00CC2B70">
        <w:trPr>
          <w:jc w:val="center"/>
        </w:trPr>
        <w:tc>
          <w:tcPr>
            <w:tcW w:w="2441" w:type="dxa"/>
          </w:tcPr>
          <w:p w14:paraId="42F9200E" w14:textId="77777777" w:rsidR="00F22921" w:rsidRPr="007D4CC8" w:rsidRDefault="00F22921" w:rsidP="00F22921">
            <w:pPr>
              <w:spacing w:before="120" w:after="120"/>
              <w:ind w:left="72" w:right="72"/>
              <w:rPr>
                <w:rFonts w:ascii="Arial" w:hAnsi="Arial" w:cs="Arial"/>
                <w:b/>
                <w:sz w:val="24"/>
                <w:szCs w:val="24"/>
              </w:rPr>
            </w:pPr>
            <w:r w:rsidRPr="007D4CC8">
              <w:rPr>
                <w:rFonts w:ascii="Arial" w:hAnsi="Arial" w:cs="Arial"/>
                <w:b/>
                <w:sz w:val="24"/>
                <w:szCs w:val="24"/>
              </w:rPr>
              <w:t>Jurisprudence et documents pertinents</w:t>
            </w:r>
          </w:p>
        </w:tc>
        <w:tc>
          <w:tcPr>
            <w:tcW w:w="6728" w:type="dxa"/>
          </w:tcPr>
          <w:p w14:paraId="32E8E886" w14:textId="569B79FE" w:rsidR="00E96F69" w:rsidRPr="00821320" w:rsidRDefault="00A8306A" w:rsidP="00F22921">
            <w:pPr>
              <w:spacing w:before="120" w:after="120"/>
              <w:ind w:right="72"/>
              <w:jc w:val="both"/>
              <w:rPr>
                <w:rFonts w:ascii="Arial" w:hAnsi="Arial" w:cs="Arial"/>
              </w:rPr>
            </w:pPr>
            <w:hyperlink r:id="rId17" w:history="1">
              <w:r w:rsidR="008C57B9" w:rsidRPr="00821320">
                <w:rPr>
                  <w:rStyle w:val="Lienhypertexte"/>
                  <w:rFonts w:ascii="Arial" w:hAnsi="Arial" w:cs="Arial"/>
                  <w:i/>
                  <w:iCs/>
                </w:rPr>
                <w:t xml:space="preserve">Sévigny </w:t>
              </w:r>
              <w:r w:rsidR="008C57B9" w:rsidRPr="00821320">
                <w:rPr>
                  <w:rStyle w:val="Lienhypertexte"/>
                  <w:rFonts w:ascii="Arial" w:hAnsi="Arial" w:cs="Arial"/>
                </w:rPr>
                <w:t xml:space="preserve">c. </w:t>
              </w:r>
              <w:r w:rsidR="008C57B9" w:rsidRPr="00821320">
                <w:rPr>
                  <w:rStyle w:val="Lienhypertexte"/>
                  <w:rFonts w:ascii="Arial" w:hAnsi="Arial" w:cs="Arial"/>
                  <w:i/>
                  <w:iCs/>
                </w:rPr>
                <w:t>Ville de Montréal</w:t>
              </w:r>
              <w:r w:rsidR="008C57B9" w:rsidRPr="00821320">
                <w:rPr>
                  <w:rStyle w:val="Lienhypertexte"/>
                  <w:rFonts w:ascii="Arial" w:hAnsi="Arial" w:cs="Arial"/>
                </w:rPr>
                <w:t>, 2023 QCCS 515</w:t>
              </w:r>
              <w:r w:rsidR="00F33137" w:rsidRPr="008D106D">
                <w:rPr>
                  <w:rStyle w:val="Lienhypertexte"/>
                  <w:rFonts w:ascii="Arial" w:hAnsi="Arial" w:cs="Arial"/>
                </w:rPr>
                <w:t>.</w:t>
              </w:r>
            </w:hyperlink>
          </w:p>
          <w:p w14:paraId="2402BEC8" w14:textId="708ED75C" w:rsidR="00F22921" w:rsidRPr="007D4CC8" w:rsidRDefault="00A8306A" w:rsidP="00F22921">
            <w:pPr>
              <w:spacing w:before="120" w:after="120"/>
              <w:ind w:right="72"/>
              <w:jc w:val="both"/>
              <w:rPr>
                <w:rFonts w:ascii="Arial" w:hAnsi="Arial" w:cs="Arial"/>
                <w:lang w:val="en-CA"/>
              </w:rPr>
            </w:pPr>
            <w:hyperlink r:id="rId18" w:history="1">
              <w:r w:rsidR="00F22921" w:rsidRPr="007D4CC8">
                <w:rPr>
                  <w:rStyle w:val="Lienhypertexte"/>
                  <w:rFonts w:ascii="Arial" w:hAnsi="Arial" w:cs="Arial"/>
                  <w:i/>
                  <w:iCs/>
                  <w:lang w:val="en-CA"/>
                </w:rPr>
                <w:t xml:space="preserve">Pozsar </w:t>
              </w:r>
              <w:r w:rsidR="00F22921" w:rsidRPr="007D4CC8">
                <w:rPr>
                  <w:rStyle w:val="Lienhypertexte"/>
                  <w:rFonts w:ascii="Arial" w:hAnsi="Arial" w:cs="Arial"/>
                  <w:lang w:val="en-CA"/>
                </w:rPr>
                <w:t>v.</w:t>
              </w:r>
              <w:r w:rsidR="00F22921" w:rsidRPr="007D4CC8">
                <w:rPr>
                  <w:rStyle w:val="Lienhypertexte"/>
                  <w:rFonts w:ascii="Arial" w:hAnsi="Arial" w:cs="Arial"/>
                  <w:i/>
                  <w:iCs/>
                  <w:lang w:val="en-CA"/>
                </w:rPr>
                <w:t xml:space="preserve"> City of Maple Ridge</w:t>
              </w:r>
              <w:r w:rsidR="00F22921" w:rsidRPr="007D4CC8">
                <w:rPr>
                  <w:rStyle w:val="Lienhypertexte"/>
                  <w:rFonts w:ascii="Arial" w:hAnsi="Arial" w:cs="Arial"/>
                  <w:lang w:val="en-CA"/>
                </w:rPr>
                <w:t>, 2018 BCHRT 107.</w:t>
              </w:r>
            </w:hyperlink>
            <w:r w:rsidR="00F22921" w:rsidRPr="007D4CC8">
              <w:rPr>
                <w:rFonts w:ascii="Arial" w:hAnsi="Arial" w:cs="Arial"/>
                <w:lang w:val="en-CA"/>
              </w:rPr>
              <w:t xml:space="preserve"> </w:t>
            </w:r>
          </w:p>
          <w:p w14:paraId="2E9B7DB1" w14:textId="1734C5BB" w:rsidR="00F22921" w:rsidRPr="007D4CC8" w:rsidRDefault="00A8306A" w:rsidP="00F22921">
            <w:pPr>
              <w:spacing w:before="120" w:after="120"/>
              <w:ind w:right="72"/>
              <w:jc w:val="both"/>
              <w:rPr>
                <w:rFonts w:ascii="Arial" w:hAnsi="Arial" w:cs="Arial"/>
              </w:rPr>
            </w:pPr>
            <w:hyperlink r:id="rId19" w:history="1">
              <w:r w:rsidR="00F22921" w:rsidRPr="007D4CC8">
                <w:rPr>
                  <w:rStyle w:val="Lienhypertexte"/>
                  <w:rFonts w:ascii="Arial" w:hAnsi="Arial" w:cs="Arial"/>
                  <w:i/>
                  <w:iCs/>
                </w:rPr>
                <w:t xml:space="preserve">Morin </w:t>
              </w:r>
              <w:r w:rsidR="00F22921" w:rsidRPr="007D4CC8">
                <w:rPr>
                  <w:rStyle w:val="Lienhypertexte"/>
                  <w:rFonts w:ascii="Arial" w:hAnsi="Arial" w:cs="Arial"/>
                </w:rPr>
                <w:t>c.</w:t>
              </w:r>
              <w:r w:rsidR="00F22921" w:rsidRPr="007D4CC8">
                <w:rPr>
                  <w:rStyle w:val="Lienhypertexte"/>
                  <w:rFonts w:ascii="Arial" w:hAnsi="Arial" w:cs="Arial"/>
                  <w:i/>
                  <w:iCs/>
                </w:rPr>
                <w:t xml:space="preserve"> Commission scolaire des Manoirs</w:t>
              </w:r>
              <w:r w:rsidR="00F22921" w:rsidRPr="007D4CC8">
                <w:rPr>
                  <w:rStyle w:val="Lienhypertexte"/>
                  <w:rFonts w:ascii="Arial" w:hAnsi="Arial" w:cs="Arial"/>
                </w:rPr>
                <w:t>, 1994 CanLII 3040 (QCTDP)</w:t>
              </w:r>
            </w:hyperlink>
            <w:r w:rsidR="00F22921" w:rsidRPr="007D4CC8">
              <w:rPr>
                <w:rFonts w:ascii="Arial" w:hAnsi="Arial" w:cs="Arial"/>
              </w:rPr>
              <w:t>.</w:t>
            </w:r>
            <w:r w:rsidR="00F22921" w:rsidRPr="007D4CC8">
              <w:rPr>
                <w:rFonts w:ascii="Arial" w:hAnsi="Arial" w:cs="Arial"/>
                <w:i/>
                <w:iCs/>
              </w:rPr>
              <w:t xml:space="preserve"> </w:t>
            </w:r>
          </w:p>
          <w:p w14:paraId="09CFDF41" w14:textId="3D15BA83" w:rsidR="00F22921" w:rsidRPr="002E5041" w:rsidRDefault="00B20629" w:rsidP="007D4CC8">
            <w:pPr>
              <w:spacing w:before="120" w:after="120"/>
              <w:ind w:right="72"/>
              <w:jc w:val="both"/>
              <w:rPr>
                <w:rFonts w:ascii="Arial" w:hAnsi="Arial" w:cs="Arial"/>
                <w:iCs/>
              </w:rPr>
            </w:pPr>
            <w:r w:rsidRPr="007D4CC8">
              <w:rPr>
                <w:rFonts w:ascii="Arial" w:hAnsi="Arial" w:cs="Arial"/>
                <w:i/>
                <w:iCs/>
              </w:rPr>
              <w:lastRenderedPageBreak/>
              <w:t xml:space="preserve">Lusignan </w:t>
            </w:r>
            <w:r w:rsidRPr="007D4CC8">
              <w:rPr>
                <w:rFonts w:ascii="Arial" w:hAnsi="Arial" w:cs="Arial"/>
                <w:iCs/>
              </w:rPr>
              <w:t xml:space="preserve">c. </w:t>
            </w:r>
            <w:r w:rsidRPr="007D4CC8">
              <w:rPr>
                <w:rFonts w:ascii="Arial" w:hAnsi="Arial" w:cs="Arial"/>
                <w:i/>
                <w:iCs/>
              </w:rPr>
              <w:t>Confédération des syndicats nationaux</w:t>
            </w:r>
            <w:r w:rsidRPr="007D4CC8">
              <w:rPr>
                <w:rFonts w:ascii="Arial" w:hAnsi="Arial" w:cs="Arial"/>
                <w:iCs/>
              </w:rPr>
              <w:t>, [1992] R.J.Q. 684 (C.S.).</w:t>
            </w:r>
            <w:r w:rsidR="002F03E1" w:rsidRPr="007D4CC8">
              <w:rPr>
                <w:rFonts w:ascii="Arial" w:hAnsi="Arial" w:cs="Arial"/>
                <w:iCs/>
                <w:smallCaps/>
                <w:color w:val="FF0000"/>
              </w:rPr>
              <w:t xml:space="preserve"> </w:t>
            </w:r>
          </w:p>
        </w:tc>
      </w:tr>
    </w:tbl>
    <w:p w14:paraId="649C120A" w14:textId="77777777" w:rsidR="00103D6E" w:rsidRPr="00E31D56" w:rsidRDefault="00103D6E" w:rsidP="000C064F">
      <w:pPr>
        <w:shd w:val="clear" w:color="auto" w:fill="FFFFFF"/>
        <w:spacing w:after="0" w:line="240" w:lineRule="auto"/>
        <w:ind w:right="720"/>
        <w:jc w:val="both"/>
        <w:rPr>
          <w:rFonts w:ascii="Times New Roman" w:hAnsi="Times New Roman" w:cs="Times New Roman"/>
          <w:sz w:val="24"/>
          <w:szCs w:val="24"/>
        </w:rPr>
      </w:pPr>
    </w:p>
    <w:sectPr w:rsidR="00103D6E" w:rsidRPr="00E31D56" w:rsidSect="004B5C1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CDD1D" w14:textId="77777777" w:rsidR="00F12493" w:rsidRDefault="00F12493" w:rsidP="00BD1177">
      <w:pPr>
        <w:spacing w:after="0" w:line="240" w:lineRule="auto"/>
      </w:pPr>
      <w:r>
        <w:separator/>
      </w:r>
    </w:p>
  </w:endnote>
  <w:endnote w:type="continuationSeparator" w:id="0">
    <w:p w14:paraId="199CEDD7" w14:textId="77777777" w:rsidR="00F12493" w:rsidRDefault="00F12493" w:rsidP="00BD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4BE19" w14:textId="77777777" w:rsidR="007F3688" w:rsidRDefault="007F36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8656846"/>
      <w:docPartObj>
        <w:docPartGallery w:val="Page Numbers (Bottom of Page)"/>
        <w:docPartUnique/>
      </w:docPartObj>
    </w:sdtPr>
    <w:sdtEndPr>
      <w:rPr>
        <w:rFonts w:ascii="Arial" w:hAnsi="Arial" w:cs="Arial"/>
      </w:rPr>
    </w:sdtEndPr>
    <w:sdtContent>
      <w:p w14:paraId="6FEC3E63" w14:textId="77777777" w:rsidR="004B5C1E" w:rsidRPr="004B5C1E" w:rsidRDefault="004B5C1E" w:rsidP="004B5C1E">
        <w:pPr>
          <w:pStyle w:val="Pieddepage"/>
          <w:jc w:val="right"/>
          <w:rPr>
            <w:rFonts w:ascii="Arial" w:hAnsi="Arial" w:cs="Arial"/>
          </w:rPr>
        </w:pPr>
        <w:r w:rsidRPr="004B5C1E">
          <w:rPr>
            <w:rFonts w:ascii="Arial" w:hAnsi="Arial" w:cs="Arial"/>
          </w:rPr>
          <w:fldChar w:fldCharType="begin"/>
        </w:r>
        <w:r w:rsidRPr="004B5C1E">
          <w:rPr>
            <w:rFonts w:ascii="Arial" w:hAnsi="Arial" w:cs="Arial"/>
          </w:rPr>
          <w:instrText>PAGE   \* MERGEFORMAT</w:instrText>
        </w:r>
        <w:r w:rsidRPr="004B5C1E">
          <w:rPr>
            <w:rFonts w:ascii="Arial" w:hAnsi="Arial" w:cs="Arial"/>
          </w:rPr>
          <w:fldChar w:fldCharType="separate"/>
        </w:r>
        <w:r w:rsidR="00A300B8" w:rsidRPr="00A300B8">
          <w:rPr>
            <w:rFonts w:ascii="Arial" w:hAnsi="Arial" w:cs="Arial"/>
            <w:noProof/>
            <w:lang w:val="fr-FR"/>
          </w:rPr>
          <w:t>2</w:t>
        </w:r>
        <w:r w:rsidRPr="004B5C1E">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0BE48" w14:textId="77777777" w:rsidR="007F3688" w:rsidRDefault="007F36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8E0C5" w14:textId="77777777" w:rsidR="00F12493" w:rsidRDefault="00F12493" w:rsidP="00BD1177">
      <w:pPr>
        <w:spacing w:after="0" w:line="240" w:lineRule="auto"/>
      </w:pPr>
      <w:r>
        <w:separator/>
      </w:r>
    </w:p>
  </w:footnote>
  <w:footnote w:type="continuationSeparator" w:id="0">
    <w:p w14:paraId="1C251D65" w14:textId="77777777" w:rsidR="00F12493" w:rsidRDefault="00F12493" w:rsidP="00BD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54208" w14:textId="77777777" w:rsidR="007F3688" w:rsidRDefault="007F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B104D" w14:textId="70DB55E9" w:rsidR="004B5C1E" w:rsidRPr="0063365A" w:rsidRDefault="00760A4C" w:rsidP="00395A04">
    <w:pPr>
      <w:pStyle w:val="En-tte"/>
      <w:tabs>
        <w:tab w:val="clear" w:pos="4703"/>
        <w:tab w:val="clear" w:pos="9406"/>
        <w:tab w:val="right" w:pos="9360"/>
      </w:tabs>
      <w:rPr>
        <w:rFonts w:ascii="Arial" w:hAnsi="Arial" w:cs="Arial"/>
        <w:sz w:val="24"/>
      </w:rPr>
    </w:pPr>
    <w:r>
      <w:rPr>
        <w:rFonts w:ascii="Arial" w:hAnsi="Arial" w:cs="Arial"/>
        <w:noProof/>
        <w:sz w:val="24"/>
      </w:rPr>
      <w:drawing>
        <wp:inline distT="0" distB="0" distL="0" distR="0" wp14:anchorId="0D882FAF" wp14:editId="42FA551E">
          <wp:extent cx="1288565" cy="360000"/>
          <wp:effectExtent l="0" t="0" r="6985" b="2540"/>
          <wp:docPr id="594572720" name="Image 1"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572720" name="Image 1" descr="Logo de la Commission des droits de la personne et des droits de la jeunesse."/>
                  <pic:cNvPicPr/>
                </pic:nvPicPr>
                <pic:blipFill>
                  <a:blip r:embed="rId1">
                    <a:extLst>
                      <a:ext uri="{28A0092B-C50C-407E-A947-70E740481C1C}">
                        <a14:useLocalDpi xmlns:a14="http://schemas.microsoft.com/office/drawing/2010/main" val="0"/>
                      </a:ext>
                    </a:extLst>
                  </a:blip>
                  <a:stretch>
                    <a:fillRect/>
                  </a:stretch>
                </pic:blipFill>
                <pic:spPr>
                  <a:xfrm>
                    <a:off x="0" y="0"/>
                    <a:ext cx="1288565" cy="360000"/>
                  </a:xfrm>
                  <a:prstGeom prst="rect">
                    <a:avLst/>
                  </a:prstGeom>
                </pic:spPr>
              </pic:pic>
            </a:graphicData>
          </a:graphic>
        </wp:inline>
      </w:drawing>
    </w:r>
    <w:r w:rsidR="004B5C1E" w:rsidRPr="0063365A">
      <w:rPr>
        <w:rFonts w:ascii="Arial" w:hAnsi="Arial" w:cs="Arial"/>
        <w:sz w:val="24"/>
      </w:rPr>
      <w:tab/>
    </w:r>
    <w:r w:rsidR="001F1541">
      <w:rPr>
        <w:rFonts w:ascii="Arial" w:hAnsi="Arial" w:cs="Arial"/>
        <w:sz w:val="24"/>
      </w:rPr>
      <w:t xml:space="preserve">Mise à jour : </w:t>
    </w:r>
    <w:r w:rsidR="00C237CB">
      <w:rPr>
        <w:rFonts w:ascii="Arial" w:hAnsi="Arial" w:cs="Arial"/>
        <w:sz w:val="24"/>
      </w:rPr>
      <w:t>Mai 20</w:t>
    </w:r>
    <w:r w:rsidR="00FE20E0">
      <w:rPr>
        <w:rFonts w:ascii="Arial" w:hAnsi="Arial" w:cs="Arial"/>
        <w:sz w:val="24"/>
      </w:rPr>
      <w:t>24</w:t>
    </w:r>
  </w:p>
  <w:p w14:paraId="12DD32FE" w14:textId="77777777" w:rsidR="004B5C1E" w:rsidRPr="00395A04" w:rsidRDefault="004B5C1E" w:rsidP="00395A04">
    <w:pPr>
      <w:pStyle w:val="En-tte"/>
      <w:tabs>
        <w:tab w:val="clear" w:pos="4703"/>
        <w:tab w:val="clear" w:pos="9406"/>
        <w:tab w:val="right" w:pos="9360"/>
      </w:tabs>
      <w:spacing w:after="480"/>
      <w:rPr>
        <w:rFonts w:ascii="Arial" w:hAnsi="Arial" w:cs="Arial"/>
        <w:b/>
        <w:u w:val="single"/>
      </w:rPr>
    </w:pPr>
    <w:r w:rsidRPr="0063365A">
      <w:rPr>
        <w:rFonts w:ascii="Arial" w:hAnsi="Arial" w:cs="Arial"/>
        <w:b/>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364AB" w14:textId="77777777" w:rsidR="007F3688" w:rsidRDefault="007F36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337AA"/>
    <w:multiLevelType w:val="hybridMultilevel"/>
    <w:tmpl w:val="7EAA9BE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AAE6287"/>
    <w:multiLevelType w:val="hybridMultilevel"/>
    <w:tmpl w:val="543AA4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416B6A"/>
    <w:multiLevelType w:val="hybridMultilevel"/>
    <w:tmpl w:val="31B68D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20712A"/>
    <w:multiLevelType w:val="hybridMultilevel"/>
    <w:tmpl w:val="3E62B632"/>
    <w:lvl w:ilvl="0" w:tplc="0C0C0001">
      <w:start w:val="1"/>
      <w:numFmt w:val="bullet"/>
      <w:lvlText w:val=""/>
      <w:lvlJc w:val="left"/>
      <w:pPr>
        <w:ind w:left="-724" w:hanging="360"/>
      </w:pPr>
      <w:rPr>
        <w:rFonts w:ascii="Symbol" w:hAnsi="Symbol" w:hint="default"/>
      </w:rPr>
    </w:lvl>
    <w:lvl w:ilvl="1" w:tplc="0C0C0003">
      <w:start w:val="1"/>
      <w:numFmt w:val="bullet"/>
      <w:lvlText w:val="o"/>
      <w:lvlJc w:val="left"/>
      <w:pPr>
        <w:ind w:left="-4" w:hanging="360"/>
      </w:pPr>
      <w:rPr>
        <w:rFonts w:ascii="Courier New" w:hAnsi="Courier New" w:cs="Courier New" w:hint="default"/>
      </w:rPr>
    </w:lvl>
    <w:lvl w:ilvl="2" w:tplc="0C0C0005" w:tentative="1">
      <w:start w:val="1"/>
      <w:numFmt w:val="bullet"/>
      <w:lvlText w:val=""/>
      <w:lvlJc w:val="left"/>
      <w:pPr>
        <w:ind w:left="716" w:hanging="360"/>
      </w:pPr>
      <w:rPr>
        <w:rFonts w:ascii="Wingdings" w:hAnsi="Wingdings" w:hint="default"/>
      </w:rPr>
    </w:lvl>
    <w:lvl w:ilvl="3" w:tplc="0C0C0001" w:tentative="1">
      <w:start w:val="1"/>
      <w:numFmt w:val="bullet"/>
      <w:lvlText w:val=""/>
      <w:lvlJc w:val="left"/>
      <w:pPr>
        <w:ind w:left="1436" w:hanging="360"/>
      </w:pPr>
      <w:rPr>
        <w:rFonts w:ascii="Symbol" w:hAnsi="Symbol" w:hint="default"/>
      </w:rPr>
    </w:lvl>
    <w:lvl w:ilvl="4" w:tplc="0C0C0003" w:tentative="1">
      <w:start w:val="1"/>
      <w:numFmt w:val="bullet"/>
      <w:lvlText w:val="o"/>
      <w:lvlJc w:val="left"/>
      <w:pPr>
        <w:ind w:left="2156" w:hanging="360"/>
      </w:pPr>
      <w:rPr>
        <w:rFonts w:ascii="Courier New" w:hAnsi="Courier New" w:cs="Courier New" w:hint="default"/>
      </w:rPr>
    </w:lvl>
    <w:lvl w:ilvl="5" w:tplc="0C0C0005" w:tentative="1">
      <w:start w:val="1"/>
      <w:numFmt w:val="bullet"/>
      <w:lvlText w:val=""/>
      <w:lvlJc w:val="left"/>
      <w:pPr>
        <w:ind w:left="2876" w:hanging="360"/>
      </w:pPr>
      <w:rPr>
        <w:rFonts w:ascii="Wingdings" w:hAnsi="Wingdings" w:hint="default"/>
      </w:rPr>
    </w:lvl>
    <w:lvl w:ilvl="6" w:tplc="0C0C0001" w:tentative="1">
      <w:start w:val="1"/>
      <w:numFmt w:val="bullet"/>
      <w:lvlText w:val=""/>
      <w:lvlJc w:val="left"/>
      <w:pPr>
        <w:ind w:left="3596" w:hanging="360"/>
      </w:pPr>
      <w:rPr>
        <w:rFonts w:ascii="Symbol" w:hAnsi="Symbol" w:hint="default"/>
      </w:rPr>
    </w:lvl>
    <w:lvl w:ilvl="7" w:tplc="0C0C0003" w:tentative="1">
      <w:start w:val="1"/>
      <w:numFmt w:val="bullet"/>
      <w:lvlText w:val="o"/>
      <w:lvlJc w:val="left"/>
      <w:pPr>
        <w:ind w:left="4316" w:hanging="360"/>
      </w:pPr>
      <w:rPr>
        <w:rFonts w:ascii="Courier New" w:hAnsi="Courier New" w:cs="Courier New" w:hint="default"/>
      </w:rPr>
    </w:lvl>
    <w:lvl w:ilvl="8" w:tplc="0C0C0005" w:tentative="1">
      <w:start w:val="1"/>
      <w:numFmt w:val="bullet"/>
      <w:lvlText w:val=""/>
      <w:lvlJc w:val="left"/>
      <w:pPr>
        <w:ind w:left="5036" w:hanging="360"/>
      </w:pPr>
      <w:rPr>
        <w:rFonts w:ascii="Wingdings" w:hAnsi="Wingdings" w:hint="default"/>
      </w:rPr>
    </w:lvl>
  </w:abstractNum>
  <w:abstractNum w:abstractNumId="4" w15:restartNumberingAfterBreak="0">
    <w:nsid w:val="13B126EA"/>
    <w:multiLevelType w:val="hybridMultilevel"/>
    <w:tmpl w:val="2036FBC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175708B8"/>
    <w:multiLevelType w:val="hybridMultilevel"/>
    <w:tmpl w:val="681429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C23735"/>
    <w:multiLevelType w:val="hybridMultilevel"/>
    <w:tmpl w:val="59DEF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F26C91"/>
    <w:multiLevelType w:val="hybridMultilevel"/>
    <w:tmpl w:val="9EC8FD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AF2EAB"/>
    <w:multiLevelType w:val="hybridMultilevel"/>
    <w:tmpl w:val="0B564F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8E35DEB"/>
    <w:multiLevelType w:val="hybridMultilevel"/>
    <w:tmpl w:val="ADAC17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B955A2"/>
    <w:multiLevelType w:val="hybridMultilevel"/>
    <w:tmpl w:val="D2467638"/>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1" w15:restartNumberingAfterBreak="0">
    <w:nsid w:val="4E124083"/>
    <w:multiLevelType w:val="hybridMultilevel"/>
    <w:tmpl w:val="2B0E2F4E"/>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4EAC63A0"/>
    <w:multiLevelType w:val="hybridMultilevel"/>
    <w:tmpl w:val="40487828"/>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4F16413D"/>
    <w:multiLevelType w:val="hybridMultilevel"/>
    <w:tmpl w:val="2690D1CE"/>
    <w:lvl w:ilvl="0" w:tplc="0C0C0001">
      <w:start w:val="1"/>
      <w:numFmt w:val="bullet"/>
      <w:lvlText w:val=""/>
      <w:lvlJc w:val="left"/>
      <w:pPr>
        <w:ind w:left="1468" w:hanging="360"/>
      </w:pPr>
      <w:rPr>
        <w:rFonts w:ascii="Symbol" w:hAnsi="Symbol" w:hint="default"/>
      </w:rPr>
    </w:lvl>
    <w:lvl w:ilvl="1" w:tplc="0C0C0003" w:tentative="1">
      <w:start w:val="1"/>
      <w:numFmt w:val="bullet"/>
      <w:lvlText w:val="o"/>
      <w:lvlJc w:val="left"/>
      <w:pPr>
        <w:ind w:left="2188" w:hanging="360"/>
      </w:pPr>
      <w:rPr>
        <w:rFonts w:ascii="Courier New" w:hAnsi="Courier New" w:cs="Courier New" w:hint="default"/>
      </w:rPr>
    </w:lvl>
    <w:lvl w:ilvl="2" w:tplc="0C0C0005" w:tentative="1">
      <w:start w:val="1"/>
      <w:numFmt w:val="bullet"/>
      <w:lvlText w:val=""/>
      <w:lvlJc w:val="left"/>
      <w:pPr>
        <w:ind w:left="2908" w:hanging="360"/>
      </w:pPr>
      <w:rPr>
        <w:rFonts w:ascii="Wingdings" w:hAnsi="Wingdings" w:hint="default"/>
      </w:rPr>
    </w:lvl>
    <w:lvl w:ilvl="3" w:tplc="0C0C0001" w:tentative="1">
      <w:start w:val="1"/>
      <w:numFmt w:val="bullet"/>
      <w:lvlText w:val=""/>
      <w:lvlJc w:val="left"/>
      <w:pPr>
        <w:ind w:left="3628" w:hanging="360"/>
      </w:pPr>
      <w:rPr>
        <w:rFonts w:ascii="Symbol" w:hAnsi="Symbol" w:hint="default"/>
      </w:rPr>
    </w:lvl>
    <w:lvl w:ilvl="4" w:tplc="0C0C0003" w:tentative="1">
      <w:start w:val="1"/>
      <w:numFmt w:val="bullet"/>
      <w:lvlText w:val="o"/>
      <w:lvlJc w:val="left"/>
      <w:pPr>
        <w:ind w:left="4348" w:hanging="360"/>
      </w:pPr>
      <w:rPr>
        <w:rFonts w:ascii="Courier New" w:hAnsi="Courier New" w:cs="Courier New" w:hint="default"/>
      </w:rPr>
    </w:lvl>
    <w:lvl w:ilvl="5" w:tplc="0C0C0005" w:tentative="1">
      <w:start w:val="1"/>
      <w:numFmt w:val="bullet"/>
      <w:lvlText w:val=""/>
      <w:lvlJc w:val="left"/>
      <w:pPr>
        <w:ind w:left="5068" w:hanging="360"/>
      </w:pPr>
      <w:rPr>
        <w:rFonts w:ascii="Wingdings" w:hAnsi="Wingdings" w:hint="default"/>
      </w:rPr>
    </w:lvl>
    <w:lvl w:ilvl="6" w:tplc="0C0C0001" w:tentative="1">
      <w:start w:val="1"/>
      <w:numFmt w:val="bullet"/>
      <w:lvlText w:val=""/>
      <w:lvlJc w:val="left"/>
      <w:pPr>
        <w:ind w:left="5788" w:hanging="360"/>
      </w:pPr>
      <w:rPr>
        <w:rFonts w:ascii="Symbol" w:hAnsi="Symbol" w:hint="default"/>
      </w:rPr>
    </w:lvl>
    <w:lvl w:ilvl="7" w:tplc="0C0C0003" w:tentative="1">
      <w:start w:val="1"/>
      <w:numFmt w:val="bullet"/>
      <w:lvlText w:val="o"/>
      <w:lvlJc w:val="left"/>
      <w:pPr>
        <w:ind w:left="6508" w:hanging="360"/>
      </w:pPr>
      <w:rPr>
        <w:rFonts w:ascii="Courier New" w:hAnsi="Courier New" w:cs="Courier New" w:hint="default"/>
      </w:rPr>
    </w:lvl>
    <w:lvl w:ilvl="8" w:tplc="0C0C0005" w:tentative="1">
      <w:start w:val="1"/>
      <w:numFmt w:val="bullet"/>
      <w:lvlText w:val=""/>
      <w:lvlJc w:val="left"/>
      <w:pPr>
        <w:ind w:left="7228" w:hanging="360"/>
      </w:pPr>
      <w:rPr>
        <w:rFonts w:ascii="Wingdings" w:hAnsi="Wingdings" w:hint="default"/>
      </w:rPr>
    </w:lvl>
  </w:abstractNum>
  <w:abstractNum w:abstractNumId="14" w15:restartNumberingAfterBreak="0">
    <w:nsid w:val="58EC31BE"/>
    <w:multiLevelType w:val="hybridMultilevel"/>
    <w:tmpl w:val="E5F21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DD0776"/>
    <w:multiLevelType w:val="hybridMultilevel"/>
    <w:tmpl w:val="C128D82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5CD40651"/>
    <w:multiLevelType w:val="hybridMultilevel"/>
    <w:tmpl w:val="12744EA0"/>
    <w:lvl w:ilvl="0" w:tplc="A8F0B47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EFF310F"/>
    <w:multiLevelType w:val="hybridMultilevel"/>
    <w:tmpl w:val="AB30C76C"/>
    <w:lvl w:ilvl="0" w:tplc="828E242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D61342"/>
    <w:multiLevelType w:val="hybridMultilevel"/>
    <w:tmpl w:val="E084A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12C7ABE"/>
    <w:multiLevelType w:val="hybridMultilevel"/>
    <w:tmpl w:val="5ED0AA9C"/>
    <w:lvl w:ilvl="0" w:tplc="0C0C0001">
      <w:start w:val="1"/>
      <w:numFmt w:val="bullet"/>
      <w:lvlText w:val=""/>
      <w:lvlJc w:val="left"/>
      <w:pPr>
        <w:ind w:left="-364" w:hanging="360"/>
      </w:pPr>
      <w:rPr>
        <w:rFonts w:ascii="Symbol" w:hAnsi="Symbol" w:hint="default"/>
      </w:rPr>
    </w:lvl>
    <w:lvl w:ilvl="1" w:tplc="0C0C0003" w:tentative="1">
      <w:start w:val="1"/>
      <w:numFmt w:val="bullet"/>
      <w:lvlText w:val="o"/>
      <w:lvlJc w:val="left"/>
      <w:pPr>
        <w:ind w:left="356" w:hanging="360"/>
      </w:pPr>
      <w:rPr>
        <w:rFonts w:ascii="Courier New" w:hAnsi="Courier New" w:cs="Courier New" w:hint="default"/>
      </w:rPr>
    </w:lvl>
    <w:lvl w:ilvl="2" w:tplc="0C0C0005" w:tentative="1">
      <w:start w:val="1"/>
      <w:numFmt w:val="bullet"/>
      <w:lvlText w:val=""/>
      <w:lvlJc w:val="left"/>
      <w:pPr>
        <w:ind w:left="1076" w:hanging="360"/>
      </w:pPr>
      <w:rPr>
        <w:rFonts w:ascii="Wingdings" w:hAnsi="Wingdings" w:hint="default"/>
      </w:rPr>
    </w:lvl>
    <w:lvl w:ilvl="3" w:tplc="0C0C0001" w:tentative="1">
      <w:start w:val="1"/>
      <w:numFmt w:val="bullet"/>
      <w:lvlText w:val=""/>
      <w:lvlJc w:val="left"/>
      <w:pPr>
        <w:ind w:left="1796" w:hanging="360"/>
      </w:pPr>
      <w:rPr>
        <w:rFonts w:ascii="Symbol" w:hAnsi="Symbol" w:hint="default"/>
      </w:rPr>
    </w:lvl>
    <w:lvl w:ilvl="4" w:tplc="0C0C0003" w:tentative="1">
      <w:start w:val="1"/>
      <w:numFmt w:val="bullet"/>
      <w:lvlText w:val="o"/>
      <w:lvlJc w:val="left"/>
      <w:pPr>
        <w:ind w:left="2516" w:hanging="360"/>
      </w:pPr>
      <w:rPr>
        <w:rFonts w:ascii="Courier New" w:hAnsi="Courier New" w:cs="Courier New" w:hint="default"/>
      </w:rPr>
    </w:lvl>
    <w:lvl w:ilvl="5" w:tplc="0C0C0005" w:tentative="1">
      <w:start w:val="1"/>
      <w:numFmt w:val="bullet"/>
      <w:lvlText w:val=""/>
      <w:lvlJc w:val="left"/>
      <w:pPr>
        <w:ind w:left="3236" w:hanging="360"/>
      </w:pPr>
      <w:rPr>
        <w:rFonts w:ascii="Wingdings" w:hAnsi="Wingdings" w:hint="default"/>
      </w:rPr>
    </w:lvl>
    <w:lvl w:ilvl="6" w:tplc="0C0C0001" w:tentative="1">
      <w:start w:val="1"/>
      <w:numFmt w:val="bullet"/>
      <w:lvlText w:val=""/>
      <w:lvlJc w:val="left"/>
      <w:pPr>
        <w:ind w:left="3956" w:hanging="360"/>
      </w:pPr>
      <w:rPr>
        <w:rFonts w:ascii="Symbol" w:hAnsi="Symbol" w:hint="default"/>
      </w:rPr>
    </w:lvl>
    <w:lvl w:ilvl="7" w:tplc="0C0C0003" w:tentative="1">
      <w:start w:val="1"/>
      <w:numFmt w:val="bullet"/>
      <w:lvlText w:val="o"/>
      <w:lvlJc w:val="left"/>
      <w:pPr>
        <w:ind w:left="4676" w:hanging="360"/>
      </w:pPr>
      <w:rPr>
        <w:rFonts w:ascii="Courier New" w:hAnsi="Courier New" w:cs="Courier New" w:hint="default"/>
      </w:rPr>
    </w:lvl>
    <w:lvl w:ilvl="8" w:tplc="0C0C0005" w:tentative="1">
      <w:start w:val="1"/>
      <w:numFmt w:val="bullet"/>
      <w:lvlText w:val=""/>
      <w:lvlJc w:val="left"/>
      <w:pPr>
        <w:ind w:left="5396" w:hanging="360"/>
      </w:pPr>
      <w:rPr>
        <w:rFonts w:ascii="Wingdings" w:hAnsi="Wingdings" w:hint="default"/>
      </w:rPr>
    </w:lvl>
  </w:abstractNum>
  <w:abstractNum w:abstractNumId="20" w15:restartNumberingAfterBreak="0">
    <w:nsid w:val="74F34FC9"/>
    <w:multiLevelType w:val="hybridMultilevel"/>
    <w:tmpl w:val="372870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8355584"/>
    <w:multiLevelType w:val="hybridMultilevel"/>
    <w:tmpl w:val="E9D422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BB3662D"/>
    <w:multiLevelType w:val="hybridMultilevel"/>
    <w:tmpl w:val="568ED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12685020">
    <w:abstractNumId w:val="3"/>
  </w:num>
  <w:num w:numId="2" w16cid:durableId="1230385983">
    <w:abstractNumId w:val="10"/>
  </w:num>
  <w:num w:numId="3" w16cid:durableId="1595819144">
    <w:abstractNumId w:val="20"/>
  </w:num>
  <w:num w:numId="4" w16cid:durableId="285892103">
    <w:abstractNumId w:val="18"/>
  </w:num>
  <w:num w:numId="5" w16cid:durableId="608120404">
    <w:abstractNumId w:val="6"/>
  </w:num>
  <w:num w:numId="6" w16cid:durableId="89208113">
    <w:abstractNumId w:val="1"/>
  </w:num>
  <w:num w:numId="7" w16cid:durableId="275915535">
    <w:abstractNumId w:val="11"/>
  </w:num>
  <w:num w:numId="8" w16cid:durableId="1890340454">
    <w:abstractNumId w:val="12"/>
  </w:num>
  <w:num w:numId="9" w16cid:durableId="1168519459">
    <w:abstractNumId w:val="15"/>
  </w:num>
  <w:num w:numId="10" w16cid:durableId="2068868311">
    <w:abstractNumId w:val="0"/>
  </w:num>
  <w:num w:numId="11" w16cid:durableId="1470896785">
    <w:abstractNumId w:val="19"/>
  </w:num>
  <w:num w:numId="12" w16cid:durableId="14119149">
    <w:abstractNumId w:val="2"/>
  </w:num>
  <w:num w:numId="13" w16cid:durableId="1572422920">
    <w:abstractNumId w:val="14"/>
  </w:num>
  <w:num w:numId="14" w16cid:durableId="965964080">
    <w:abstractNumId w:val="22"/>
  </w:num>
  <w:num w:numId="15" w16cid:durableId="2092005343">
    <w:abstractNumId w:val="17"/>
  </w:num>
  <w:num w:numId="16" w16cid:durableId="1689529145">
    <w:abstractNumId w:val="16"/>
  </w:num>
  <w:num w:numId="17" w16cid:durableId="1160467087">
    <w:abstractNumId w:val="4"/>
  </w:num>
  <w:num w:numId="18" w16cid:durableId="1434788274">
    <w:abstractNumId w:val="8"/>
  </w:num>
  <w:num w:numId="19" w16cid:durableId="998122210">
    <w:abstractNumId w:val="21"/>
  </w:num>
  <w:num w:numId="20" w16cid:durableId="866797193">
    <w:abstractNumId w:val="13"/>
  </w:num>
  <w:num w:numId="21" w16cid:durableId="2022507348">
    <w:abstractNumId w:val="5"/>
  </w:num>
  <w:num w:numId="22" w16cid:durableId="1112552687">
    <w:abstractNumId w:val="9"/>
  </w:num>
  <w:num w:numId="23" w16cid:durableId="1109934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cumentProtection w:edit="readOnly" w:formatting="1" w:enforcement="1" w:cryptProviderType="rsaAES" w:cryptAlgorithmClass="hash" w:cryptAlgorithmType="typeAny" w:cryptAlgorithmSid="14" w:cryptSpinCount="100000" w:hash="VwxJm0OJx3HfZL9zn0s6mNfy3jfg1yvlOcJr6ugmBC9m1lrGK7UcUqyO23SFzlInYPQxnNZujJlPr9SVC2jwuQ==" w:salt="G9BTkOi1YwjD1kKN7JLu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68"/>
    <w:rsid w:val="0001697B"/>
    <w:rsid w:val="00016AE6"/>
    <w:rsid w:val="0004016B"/>
    <w:rsid w:val="0004340A"/>
    <w:rsid w:val="00060A31"/>
    <w:rsid w:val="00070686"/>
    <w:rsid w:val="00070716"/>
    <w:rsid w:val="000733EB"/>
    <w:rsid w:val="00090CB8"/>
    <w:rsid w:val="000C064F"/>
    <w:rsid w:val="000D0715"/>
    <w:rsid w:val="000E2DE5"/>
    <w:rsid w:val="000E4327"/>
    <w:rsid w:val="000F5B67"/>
    <w:rsid w:val="00100CFD"/>
    <w:rsid w:val="00103ABA"/>
    <w:rsid w:val="00103D6E"/>
    <w:rsid w:val="001134B2"/>
    <w:rsid w:val="001136FE"/>
    <w:rsid w:val="00114473"/>
    <w:rsid w:val="00121413"/>
    <w:rsid w:val="001233E4"/>
    <w:rsid w:val="00142AAE"/>
    <w:rsid w:val="00163FF7"/>
    <w:rsid w:val="0016751B"/>
    <w:rsid w:val="00181FA3"/>
    <w:rsid w:val="00182EAF"/>
    <w:rsid w:val="00193763"/>
    <w:rsid w:val="001B3734"/>
    <w:rsid w:val="001D4CE7"/>
    <w:rsid w:val="001F1541"/>
    <w:rsid w:val="001F270D"/>
    <w:rsid w:val="001F49D6"/>
    <w:rsid w:val="00215886"/>
    <w:rsid w:val="0022480E"/>
    <w:rsid w:val="00224C64"/>
    <w:rsid w:val="00226C8A"/>
    <w:rsid w:val="00246E57"/>
    <w:rsid w:val="00262573"/>
    <w:rsid w:val="002938BE"/>
    <w:rsid w:val="002A6746"/>
    <w:rsid w:val="002A69CA"/>
    <w:rsid w:val="002B30B2"/>
    <w:rsid w:val="002C0D17"/>
    <w:rsid w:val="002C4C4A"/>
    <w:rsid w:val="002D0F37"/>
    <w:rsid w:val="002E0540"/>
    <w:rsid w:val="002E5041"/>
    <w:rsid w:val="002F03E1"/>
    <w:rsid w:val="00301851"/>
    <w:rsid w:val="003026A6"/>
    <w:rsid w:val="00305B96"/>
    <w:rsid w:val="003109CF"/>
    <w:rsid w:val="00310C0D"/>
    <w:rsid w:val="003262C3"/>
    <w:rsid w:val="003426B8"/>
    <w:rsid w:val="0034778C"/>
    <w:rsid w:val="003679A0"/>
    <w:rsid w:val="003742A7"/>
    <w:rsid w:val="003768B3"/>
    <w:rsid w:val="00395A04"/>
    <w:rsid w:val="003B23E9"/>
    <w:rsid w:val="003D09E4"/>
    <w:rsid w:val="004125DB"/>
    <w:rsid w:val="00415AC5"/>
    <w:rsid w:val="00416422"/>
    <w:rsid w:val="00427AFD"/>
    <w:rsid w:val="00433BF1"/>
    <w:rsid w:val="004479BD"/>
    <w:rsid w:val="00451ECE"/>
    <w:rsid w:val="004A15D3"/>
    <w:rsid w:val="004B5C1E"/>
    <w:rsid w:val="004C23C1"/>
    <w:rsid w:val="004E1368"/>
    <w:rsid w:val="004E27E6"/>
    <w:rsid w:val="004E3311"/>
    <w:rsid w:val="004F47C5"/>
    <w:rsid w:val="005167A7"/>
    <w:rsid w:val="00521830"/>
    <w:rsid w:val="005260BB"/>
    <w:rsid w:val="00552459"/>
    <w:rsid w:val="00554EF3"/>
    <w:rsid w:val="00557F30"/>
    <w:rsid w:val="00562D9C"/>
    <w:rsid w:val="005633F2"/>
    <w:rsid w:val="00571D62"/>
    <w:rsid w:val="00581751"/>
    <w:rsid w:val="005A4650"/>
    <w:rsid w:val="005A71C2"/>
    <w:rsid w:val="005B3CD5"/>
    <w:rsid w:val="005B593B"/>
    <w:rsid w:val="005C3E96"/>
    <w:rsid w:val="005D4FA6"/>
    <w:rsid w:val="005D58F3"/>
    <w:rsid w:val="005E02DF"/>
    <w:rsid w:val="005E6240"/>
    <w:rsid w:val="005F2246"/>
    <w:rsid w:val="006013C3"/>
    <w:rsid w:val="00602622"/>
    <w:rsid w:val="00604D09"/>
    <w:rsid w:val="00605486"/>
    <w:rsid w:val="00614DB9"/>
    <w:rsid w:val="00633B30"/>
    <w:rsid w:val="00637380"/>
    <w:rsid w:val="0063786E"/>
    <w:rsid w:val="00644C00"/>
    <w:rsid w:val="00653D37"/>
    <w:rsid w:val="00662793"/>
    <w:rsid w:val="0067287D"/>
    <w:rsid w:val="00676ECB"/>
    <w:rsid w:val="006969A1"/>
    <w:rsid w:val="006A4D0E"/>
    <w:rsid w:val="006B24A9"/>
    <w:rsid w:val="006B670F"/>
    <w:rsid w:val="006E062D"/>
    <w:rsid w:val="006E0CF0"/>
    <w:rsid w:val="006F4443"/>
    <w:rsid w:val="00726B22"/>
    <w:rsid w:val="00735D26"/>
    <w:rsid w:val="00736621"/>
    <w:rsid w:val="00740637"/>
    <w:rsid w:val="00740802"/>
    <w:rsid w:val="00752FC7"/>
    <w:rsid w:val="00754917"/>
    <w:rsid w:val="00756483"/>
    <w:rsid w:val="00756CF4"/>
    <w:rsid w:val="00757296"/>
    <w:rsid w:val="00760A4C"/>
    <w:rsid w:val="00783AA5"/>
    <w:rsid w:val="00785414"/>
    <w:rsid w:val="00786920"/>
    <w:rsid w:val="00791CE2"/>
    <w:rsid w:val="0079609D"/>
    <w:rsid w:val="007A5A23"/>
    <w:rsid w:val="007B4522"/>
    <w:rsid w:val="007D4CC8"/>
    <w:rsid w:val="007F3688"/>
    <w:rsid w:val="00821320"/>
    <w:rsid w:val="0082644C"/>
    <w:rsid w:val="00827A6D"/>
    <w:rsid w:val="0083370A"/>
    <w:rsid w:val="00834F92"/>
    <w:rsid w:val="008371A5"/>
    <w:rsid w:val="00843411"/>
    <w:rsid w:val="008552EE"/>
    <w:rsid w:val="008559E2"/>
    <w:rsid w:val="00860D5F"/>
    <w:rsid w:val="0086272C"/>
    <w:rsid w:val="00897112"/>
    <w:rsid w:val="008A51AC"/>
    <w:rsid w:val="008A6AEE"/>
    <w:rsid w:val="008C1DE1"/>
    <w:rsid w:val="008C57B9"/>
    <w:rsid w:val="008D106D"/>
    <w:rsid w:val="008F0FBF"/>
    <w:rsid w:val="008F46BF"/>
    <w:rsid w:val="00904A2A"/>
    <w:rsid w:val="00907AA3"/>
    <w:rsid w:val="00913B6A"/>
    <w:rsid w:val="009533E0"/>
    <w:rsid w:val="00965A75"/>
    <w:rsid w:val="009A0341"/>
    <w:rsid w:val="009B6B5D"/>
    <w:rsid w:val="009C72B9"/>
    <w:rsid w:val="009D0CEC"/>
    <w:rsid w:val="009D55D7"/>
    <w:rsid w:val="009F43E4"/>
    <w:rsid w:val="00A037EB"/>
    <w:rsid w:val="00A11A07"/>
    <w:rsid w:val="00A15B0C"/>
    <w:rsid w:val="00A25A76"/>
    <w:rsid w:val="00A300B8"/>
    <w:rsid w:val="00A30196"/>
    <w:rsid w:val="00A47201"/>
    <w:rsid w:val="00A674BF"/>
    <w:rsid w:val="00A70F80"/>
    <w:rsid w:val="00A73F03"/>
    <w:rsid w:val="00A75C50"/>
    <w:rsid w:val="00A90064"/>
    <w:rsid w:val="00A93E9D"/>
    <w:rsid w:val="00A9490E"/>
    <w:rsid w:val="00AA358F"/>
    <w:rsid w:val="00AA5191"/>
    <w:rsid w:val="00AB15D3"/>
    <w:rsid w:val="00AB5451"/>
    <w:rsid w:val="00AC2B5C"/>
    <w:rsid w:val="00AC373B"/>
    <w:rsid w:val="00AC3ACB"/>
    <w:rsid w:val="00AC67AB"/>
    <w:rsid w:val="00AD06FF"/>
    <w:rsid w:val="00AD16C4"/>
    <w:rsid w:val="00B20629"/>
    <w:rsid w:val="00B20E1E"/>
    <w:rsid w:val="00B36A0B"/>
    <w:rsid w:val="00B37772"/>
    <w:rsid w:val="00B46CE9"/>
    <w:rsid w:val="00B46E3C"/>
    <w:rsid w:val="00B66492"/>
    <w:rsid w:val="00B75A67"/>
    <w:rsid w:val="00B7642E"/>
    <w:rsid w:val="00B82274"/>
    <w:rsid w:val="00B83904"/>
    <w:rsid w:val="00B94B68"/>
    <w:rsid w:val="00BB2C39"/>
    <w:rsid w:val="00BD1177"/>
    <w:rsid w:val="00BD40CA"/>
    <w:rsid w:val="00BD77B1"/>
    <w:rsid w:val="00BE029E"/>
    <w:rsid w:val="00BE122D"/>
    <w:rsid w:val="00BF02D3"/>
    <w:rsid w:val="00C066ED"/>
    <w:rsid w:val="00C21BC4"/>
    <w:rsid w:val="00C237CB"/>
    <w:rsid w:val="00C4346C"/>
    <w:rsid w:val="00C52FDF"/>
    <w:rsid w:val="00C552A6"/>
    <w:rsid w:val="00C618D7"/>
    <w:rsid w:val="00C723FF"/>
    <w:rsid w:val="00C916CA"/>
    <w:rsid w:val="00CA333C"/>
    <w:rsid w:val="00CA488B"/>
    <w:rsid w:val="00CA574A"/>
    <w:rsid w:val="00CC2B70"/>
    <w:rsid w:val="00CF0664"/>
    <w:rsid w:val="00CF07CF"/>
    <w:rsid w:val="00CF71D1"/>
    <w:rsid w:val="00D008B7"/>
    <w:rsid w:val="00D0504F"/>
    <w:rsid w:val="00D06A8D"/>
    <w:rsid w:val="00D07EDB"/>
    <w:rsid w:val="00D249B3"/>
    <w:rsid w:val="00D266C0"/>
    <w:rsid w:val="00D327E5"/>
    <w:rsid w:val="00D36E75"/>
    <w:rsid w:val="00D37078"/>
    <w:rsid w:val="00D405F3"/>
    <w:rsid w:val="00D41CED"/>
    <w:rsid w:val="00D52B4D"/>
    <w:rsid w:val="00D6100A"/>
    <w:rsid w:val="00D72576"/>
    <w:rsid w:val="00D770F9"/>
    <w:rsid w:val="00D85B1E"/>
    <w:rsid w:val="00D91C3B"/>
    <w:rsid w:val="00D94F99"/>
    <w:rsid w:val="00D954AE"/>
    <w:rsid w:val="00DA3476"/>
    <w:rsid w:val="00DA6A0E"/>
    <w:rsid w:val="00DB2283"/>
    <w:rsid w:val="00DB4E0A"/>
    <w:rsid w:val="00DC7C21"/>
    <w:rsid w:val="00DD3819"/>
    <w:rsid w:val="00DE5FA0"/>
    <w:rsid w:val="00E1671B"/>
    <w:rsid w:val="00E16C7F"/>
    <w:rsid w:val="00E31D56"/>
    <w:rsid w:val="00E32AB7"/>
    <w:rsid w:val="00E358A1"/>
    <w:rsid w:val="00E41514"/>
    <w:rsid w:val="00E56515"/>
    <w:rsid w:val="00E5797B"/>
    <w:rsid w:val="00E62690"/>
    <w:rsid w:val="00E91620"/>
    <w:rsid w:val="00E96F69"/>
    <w:rsid w:val="00EB6839"/>
    <w:rsid w:val="00EC1353"/>
    <w:rsid w:val="00ED389C"/>
    <w:rsid w:val="00EE1BAB"/>
    <w:rsid w:val="00F012B2"/>
    <w:rsid w:val="00F12493"/>
    <w:rsid w:val="00F22921"/>
    <w:rsid w:val="00F32DC4"/>
    <w:rsid w:val="00F33137"/>
    <w:rsid w:val="00F61028"/>
    <w:rsid w:val="00F648F5"/>
    <w:rsid w:val="00F65B22"/>
    <w:rsid w:val="00F77924"/>
    <w:rsid w:val="00F8155C"/>
    <w:rsid w:val="00F815F4"/>
    <w:rsid w:val="00F934F8"/>
    <w:rsid w:val="00FA3839"/>
    <w:rsid w:val="00FA4316"/>
    <w:rsid w:val="00FA7EBF"/>
    <w:rsid w:val="00FB5FB2"/>
    <w:rsid w:val="00FC1E80"/>
    <w:rsid w:val="00FE20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D1D5"/>
  <w15:docId w15:val="{B72D9C6B-C989-4F73-8BD3-8BD2168C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D1177"/>
    <w:pPr>
      <w:spacing w:after="0" w:line="240" w:lineRule="auto"/>
    </w:pPr>
    <w:rPr>
      <w:sz w:val="20"/>
      <w:szCs w:val="20"/>
    </w:rPr>
  </w:style>
  <w:style w:type="character" w:customStyle="1" w:styleId="NotedebasdepageCar">
    <w:name w:val="Note de bas de page Car"/>
    <w:basedOn w:val="Policepardfaut"/>
    <w:link w:val="Notedebasdepage"/>
    <w:uiPriority w:val="99"/>
    <w:rsid w:val="00BD1177"/>
    <w:rPr>
      <w:sz w:val="20"/>
      <w:szCs w:val="20"/>
    </w:rPr>
  </w:style>
  <w:style w:type="character" w:styleId="Appelnotedebasdep">
    <w:name w:val="footnote reference"/>
    <w:basedOn w:val="Policepardfaut"/>
    <w:uiPriority w:val="99"/>
    <w:semiHidden/>
    <w:unhideWhenUsed/>
    <w:rsid w:val="00BD1177"/>
    <w:rPr>
      <w:vertAlign w:val="superscript"/>
    </w:rPr>
  </w:style>
  <w:style w:type="paragraph" w:styleId="En-tte">
    <w:name w:val="header"/>
    <w:basedOn w:val="Normal"/>
    <w:link w:val="En-tteCar"/>
    <w:uiPriority w:val="99"/>
    <w:unhideWhenUsed/>
    <w:rsid w:val="00395A04"/>
    <w:pPr>
      <w:tabs>
        <w:tab w:val="center" w:pos="4703"/>
        <w:tab w:val="right" w:pos="9406"/>
      </w:tabs>
      <w:spacing w:after="0" w:line="240" w:lineRule="auto"/>
    </w:pPr>
  </w:style>
  <w:style w:type="character" w:customStyle="1" w:styleId="En-tteCar">
    <w:name w:val="En-tête Car"/>
    <w:basedOn w:val="Policepardfaut"/>
    <w:link w:val="En-tte"/>
    <w:uiPriority w:val="99"/>
    <w:rsid w:val="00395A04"/>
  </w:style>
  <w:style w:type="paragraph" w:styleId="Pieddepage">
    <w:name w:val="footer"/>
    <w:basedOn w:val="Normal"/>
    <w:link w:val="PieddepageCar"/>
    <w:uiPriority w:val="99"/>
    <w:unhideWhenUsed/>
    <w:rsid w:val="00395A0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95A04"/>
  </w:style>
  <w:style w:type="paragraph" w:styleId="Paragraphedeliste">
    <w:name w:val="List Paragraph"/>
    <w:basedOn w:val="Normal"/>
    <w:uiPriority w:val="34"/>
    <w:qFormat/>
    <w:rsid w:val="000C064F"/>
    <w:pPr>
      <w:ind w:left="720"/>
      <w:contextualSpacing/>
    </w:pPr>
  </w:style>
  <w:style w:type="character" w:styleId="Lienhypertexte">
    <w:name w:val="Hyperlink"/>
    <w:basedOn w:val="Policepardfaut"/>
    <w:uiPriority w:val="99"/>
    <w:unhideWhenUsed/>
    <w:rsid w:val="00A300B8"/>
    <w:rPr>
      <w:color w:val="0000FF" w:themeColor="hyperlink"/>
      <w:u w:val="single"/>
    </w:rPr>
  </w:style>
  <w:style w:type="paragraph" w:customStyle="1" w:styleId="paragraphe">
    <w:name w:val="paragraphe"/>
    <w:basedOn w:val="Normal"/>
    <w:rsid w:val="0063738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aij-result-title-detailed">
    <w:name w:val="caij-result-title-detailed"/>
    <w:basedOn w:val="Policepardfaut"/>
    <w:rsid w:val="00637380"/>
  </w:style>
  <w:style w:type="paragraph" w:styleId="Textedebulles">
    <w:name w:val="Balloon Text"/>
    <w:basedOn w:val="Normal"/>
    <w:link w:val="TextedebullesCar"/>
    <w:uiPriority w:val="99"/>
    <w:semiHidden/>
    <w:unhideWhenUsed/>
    <w:rsid w:val="00246E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E57"/>
    <w:rPr>
      <w:rFonts w:ascii="Segoe UI" w:hAnsi="Segoe UI" w:cs="Segoe UI"/>
      <w:sz w:val="18"/>
      <w:szCs w:val="18"/>
    </w:rPr>
  </w:style>
  <w:style w:type="character" w:styleId="Marquedecommentaire">
    <w:name w:val="annotation reference"/>
    <w:basedOn w:val="Policepardfaut"/>
    <w:uiPriority w:val="99"/>
    <w:semiHidden/>
    <w:unhideWhenUsed/>
    <w:rsid w:val="00E56515"/>
    <w:rPr>
      <w:sz w:val="16"/>
      <w:szCs w:val="16"/>
    </w:rPr>
  </w:style>
  <w:style w:type="paragraph" w:styleId="Commentaire">
    <w:name w:val="annotation text"/>
    <w:basedOn w:val="Normal"/>
    <w:link w:val="CommentaireCar"/>
    <w:uiPriority w:val="99"/>
    <w:unhideWhenUsed/>
    <w:rsid w:val="00E56515"/>
    <w:pPr>
      <w:spacing w:line="240" w:lineRule="auto"/>
    </w:pPr>
    <w:rPr>
      <w:sz w:val="20"/>
      <w:szCs w:val="20"/>
    </w:rPr>
  </w:style>
  <w:style w:type="character" w:customStyle="1" w:styleId="CommentaireCar">
    <w:name w:val="Commentaire Car"/>
    <w:basedOn w:val="Policepardfaut"/>
    <w:link w:val="Commentaire"/>
    <w:uiPriority w:val="99"/>
    <w:rsid w:val="00E56515"/>
    <w:rPr>
      <w:sz w:val="20"/>
      <w:szCs w:val="20"/>
    </w:rPr>
  </w:style>
  <w:style w:type="paragraph" w:styleId="Objetducommentaire">
    <w:name w:val="annotation subject"/>
    <w:basedOn w:val="Commentaire"/>
    <w:next w:val="Commentaire"/>
    <w:link w:val="ObjetducommentaireCar"/>
    <w:uiPriority w:val="99"/>
    <w:semiHidden/>
    <w:unhideWhenUsed/>
    <w:rsid w:val="00E56515"/>
    <w:rPr>
      <w:b/>
      <w:bCs/>
    </w:rPr>
  </w:style>
  <w:style w:type="character" w:customStyle="1" w:styleId="ObjetducommentaireCar">
    <w:name w:val="Objet du commentaire Car"/>
    <w:basedOn w:val="CommentaireCar"/>
    <w:link w:val="Objetducommentaire"/>
    <w:uiPriority w:val="99"/>
    <w:semiHidden/>
    <w:rsid w:val="00E56515"/>
    <w:rPr>
      <w:b/>
      <w:bCs/>
      <w:sz w:val="20"/>
      <w:szCs w:val="20"/>
    </w:rPr>
  </w:style>
  <w:style w:type="character" w:styleId="Mentionnonrsolue">
    <w:name w:val="Unresolved Mention"/>
    <w:basedOn w:val="Policepardfaut"/>
    <w:uiPriority w:val="99"/>
    <w:semiHidden/>
    <w:unhideWhenUsed/>
    <w:rsid w:val="00C723FF"/>
    <w:rPr>
      <w:color w:val="605E5C"/>
      <w:shd w:val="clear" w:color="auto" w:fill="E1DFDD"/>
    </w:rPr>
  </w:style>
  <w:style w:type="character" w:styleId="Lienhypertextesuivivisit">
    <w:name w:val="FollowedHyperlink"/>
    <w:basedOn w:val="Policepardfaut"/>
    <w:uiPriority w:val="99"/>
    <w:semiHidden/>
    <w:unhideWhenUsed/>
    <w:rsid w:val="004125DB"/>
    <w:rPr>
      <w:color w:val="800080" w:themeColor="followedHyperlink"/>
      <w:u w:val="single"/>
    </w:rPr>
  </w:style>
  <w:style w:type="paragraph" w:styleId="Rvision">
    <w:name w:val="Revision"/>
    <w:hidden/>
    <w:uiPriority w:val="99"/>
    <w:semiHidden/>
    <w:rsid w:val="00C23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870017">
      <w:bodyDiv w:val="1"/>
      <w:marLeft w:val="0"/>
      <w:marRight w:val="0"/>
      <w:marTop w:val="0"/>
      <w:marBottom w:val="0"/>
      <w:divBdr>
        <w:top w:val="none" w:sz="0" w:space="0" w:color="auto"/>
        <w:left w:val="none" w:sz="0" w:space="0" w:color="auto"/>
        <w:bottom w:val="none" w:sz="0" w:space="0" w:color="auto"/>
        <w:right w:val="none" w:sz="0" w:space="0" w:color="auto"/>
      </w:divBdr>
      <w:divsChild>
        <w:div w:id="340203796">
          <w:marLeft w:val="0"/>
          <w:marRight w:val="0"/>
          <w:marTop w:val="0"/>
          <w:marBottom w:val="0"/>
          <w:divBdr>
            <w:top w:val="none" w:sz="0" w:space="0" w:color="auto"/>
            <w:left w:val="none" w:sz="0" w:space="0" w:color="auto"/>
            <w:bottom w:val="none" w:sz="0" w:space="0" w:color="auto"/>
            <w:right w:val="none" w:sz="0" w:space="0" w:color="auto"/>
          </w:divBdr>
          <w:divsChild>
            <w:div w:id="1224096626">
              <w:marLeft w:val="0"/>
              <w:marRight w:val="0"/>
              <w:marTop w:val="0"/>
              <w:marBottom w:val="0"/>
              <w:divBdr>
                <w:top w:val="none" w:sz="0" w:space="0" w:color="auto"/>
                <w:left w:val="none" w:sz="0" w:space="0" w:color="auto"/>
                <w:bottom w:val="none" w:sz="0" w:space="0" w:color="auto"/>
                <w:right w:val="none" w:sz="0" w:space="0" w:color="auto"/>
              </w:divBdr>
              <w:divsChild>
                <w:div w:id="1901942562">
                  <w:marLeft w:val="0"/>
                  <w:marRight w:val="0"/>
                  <w:marTop w:val="0"/>
                  <w:marBottom w:val="0"/>
                  <w:divBdr>
                    <w:top w:val="none" w:sz="0" w:space="0" w:color="auto"/>
                    <w:left w:val="none" w:sz="0" w:space="0" w:color="auto"/>
                    <w:bottom w:val="none" w:sz="0" w:space="0" w:color="auto"/>
                    <w:right w:val="none" w:sz="0" w:space="0" w:color="auto"/>
                  </w:divBdr>
                  <w:divsChild>
                    <w:div w:id="728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lii.org/fr/qc/qccs/doc/2019/2019qccs1796/2019qccs1796.html" TargetMode="External"/><Relationship Id="rId18" Type="http://schemas.openxmlformats.org/officeDocument/2006/relationships/hyperlink" Target="https://www.canlii.org/en/bc/bchrt/doc/2018/2018bchrt107/2018bchrt107.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anlii.org/fr/qc/qctdp/doc/1994/1994canlii3040/1994canlii3040.html" TargetMode="External"/><Relationship Id="rId17" Type="http://schemas.openxmlformats.org/officeDocument/2006/relationships/hyperlink" Target="file:///C:\Users\dufoma\AppData\Local\Microsoft\Windows\INetCache\Content.Outlook\6Y93IC8B\2023%20QCCS%20515%20(CanLII)%20|%20S&#233;vigny%20c.%20Ville%20de%20Montr&#233;al%20|%20CanLI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dufoma\AppData\Local\Microsoft\Windows\INetCache\Content.Outlook\6Y93IC8B\Commission%20des%20droits%20de%20la%20personne%20et%20des%20droits%20de%20la%20jeunesse%20(Lussier)%20c.%20Ville%20de%20Montr&#233;al%20(arrondissement%20d'Outremo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toyens.soquij.qc.ca/php/decision.php?ID=371731E704C2247912AA354689252228&amp;captchaToken=03AOLTBLTkuvMdTwJmPVXYF6dfwFWgjAS_WcelQAhV0qj4vLnq1wsUIE1pCWtYXIkehCZ7AYHpCR2Qts2hXtxipMWYVwiNBdCHovGXuzDBazZhpBsYt4xxTOJFEseVAAyktdgZME5v9yxV5nfKolon8BBycDKa50UnUEEmFgllTtHPwkSy13lB1yJ7Dw7E3T655hvhrB8K33-3gNk6uLC1_a_Yey8Y6CpmclUbA3F0G7gpN1Utik8kr7BpuSFDkzuocAxwJESh9ZOfQ8l37m7tRkbdUg8JQkdL_SuPzBaLnHSPWxlIZbypoBcQDJf5Mc2zJL1akzo7WRDQSKGIRwqBSo3OW5CBhxmR80yldskkhIx5t7XXF_sy4RLNfLTg4hUDE2rT1kkAeZJj6WepnKJ2IFYadpCGZUS8gO8A9eTFCXt4jrAWAEt1UzOV2gwwtlvvwdJs9toQikK2BNc9XaMJhFZZjhW84i2SIQVa8PXPmq4sPVsc6SUA-t4_8Q71R3XOlfl4iONuyvH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anlii.org/en/bc/bchrt/doc/2012/2012bchrt389/2012bchrt389.html" TargetMode="External"/><Relationship Id="rId23" Type="http://schemas.openxmlformats.org/officeDocument/2006/relationships/footer" Target="footer2.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www.canlii.org/fr/qc/qctdp/doc/1994/1994canlii3040/1994canlii304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lii.org/fr/qc/qctdp/doc/1995/1995canlii3167/1995canlii3167.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Value>676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Props1.xml><?xml version="1.0" encoding="utf-8"?>
<ds:datastoreItem xmlns:ds="http://schemas.openxmlformats.org/officeDocument/2006/customXml" ds:itemID="{4BF3197C-C18F-4C55-8F6E-C90C9BE84916}">
  <ds:schemaRefs>
    <ds:schemaRef ds:uri="http://schemas.openxmlformats.org/officeDocument/2006/bibliography"/>
  </ds:schemaRefs>
</ds:datastoreItem>
</file>

<file path=customXml/itemProps2.xml><?xml version="1.0" encoding="utf-8"?>
<ds:datastoreItem xmlns:ds="http://schemas.openxmlformats.org/officeDocument/2006/customXml" ds:itemID="{8A36E71B-520B-49CC-B6F7-D23BEE254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F1FBA8-7580-4A9B-A008-323340E5D289}">
  <ds:schemaRefs>
    <ds:schemaRef ds:uri="http://schemas.microsoft.com/sharepoint/v3/contenttype/forms"/>
  </ds:schemaRefs>
</ds:datastoreItem>
</file>

<file path=customXml/itemProps4.xml><?xml version="1.0" encoding="utf-8"?>
<ds:datastoreItem xmlns:ds="http://schemas.openxmlformats.org/officeDocument/2006/customXml" ds:itemID="{08D53496-6840-4EF8-A7E1-1924C4AC8AB5}"/>
</file>

<file path=customXml/itemProps5.xml><?xml version="1.0" encoding="utf-8"?>
<ds:datastoreItem xmlns:ds="http://schemas.openxmlformats.org/officeDocument/2006/customXml" ds:itemID="{FB96997B-6A3D-4BCC-891F-CCBD373D4B5B}"/>
</file>

<file path=docProps/app.xml><?xml version="1.0" encoding="utf-8"?>
<Properties xmlns="http://schemas.openxmlformats.org/officeDocument/2006/extended-properties" xmlns:vt="http://schemas.openxmlformats.org/officeDocument/2006/docPropsVTypes">
  <Template>Normal</Template>
  <TotalTime>3</TotalTime>
  <Pages>4</Pages>
  <Words>1201</Words>
  <Characters>6610</Characters>
  <Application>Microsoft Office Word</Application>
  <DocSecurity>8</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CDPDJ</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d'aide au traitement des dossiers : Convictions politiques</dc:title>
  <dc:creator>Commission des droits de la personne et des droits de la jeunesse</dc:creator>
  <cp:keywords>Convictions politiques; Discrimination; Plainte; Commission des droits de la personne et des droits de la jeunesse; Charte des droits et libertés de la personne; Québec</cp:keywords>
  <cp:lastModifiedBy>Sophie Ambrosi</cp:lastModifiedBy>
  <cp:revision>4</cp:revision>
  <dcterms:created xsi:type="dcterms:W3CDTF">2024-06-21T17:23:00Z</dcterms:created>
  <dcterms:modified xsi:type="dcterms:W3CDTF">2024-06-21T17:26:00Z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Order">
    <vt:r8>160300</vt:r8>
  </property>
  <property fmtid="{D5CDD505-2E9C-101B-9397-08002B2CF9AE}" pid="4" name="ComplianceAssetId">
    <vt:lpwstr/>
  </property>
  <property fmtid="{D5CDD505-2E9C-101B-9397-08002B2CF9AE}" pid="5" name="MediaServiceImageTags">
    <vt:lpwstr/>
  </property>
  <property fmtid="{D5CDD505-2E9C-101B-9397-08002B2CF9AE}" pid="6" name="lcf76f155ced4ddcb4097134ff3c332f">
    <vt:lpwstr/>
  </property>
  <property fmtid="{D5CDD505-2E9C-101B-9397-08002B2CF9AE}" pid="7" name="TypeDocument">
    <vt:lpwstr/>
  </property>
  <property fmtid="{D5CDD505-2E9C-101B-9397-08002B2CF9AE}" pid="8" name="HUBClassification">
    <vt:lpwstr>676</vt:lpwstr>
  </property>
</Properties>
</file>