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EDD2" w14:textId="21F8DFEF" w:rsidR="00513322" w:rsidRPr="003814DF" w:rsidRDefault="00513322" w:rsidP="00513322">
      <w:pPr>
        <w:spacing w:before="240" w:after="300" w:line="540" w:lineRule="atLeast"/>
        <w:outlineLvl w:val="0"/>
        <w:rPr>
          <w:rStyle w:val="TitreCar"/>
        </w:rPr>
      </w:pPr>
      <w:bookmarkStart w:id="0" w:name="_Toc163800399"/>
      <w:r w:rsidRPr="00513322">
        <w:rPr>
          <w:rFonts w:ascii="Aptos Light" w:eastAsia="Calibri" w:hAnsi="Aptos Light" w:cs="Aptos"/>
          <w:color w:val="00002B"/>
          <w:sz w:val="32"/>
          <w:szCs w:val="32"/>
        </w:rPr>
        <w:t>Résumé des conclusions et recommandations</w:t>
      </w:r>
      <w:r w:rsidRPr="00513322">
        <w:rPr>
          <w:rFonts w:ascii="Aptos Light" w:eastAsia="Calibri" w:hAnsi="Aptos Light" w:cs="Aptos"/>
          <w:b/>
          <w:bCs/>
          <w:color w:val="00002B"/>
          <w:sz w:val="32"/>
          <w:szCs w:val="32"/>
        </w:rPr>
        <w:br/>
      </w:r>
      <w:r w:rsidRPr="003814DF">
        <w:rPr>
          <w:rStyle w:val="TitreCar"/>
        </w:rPr>
        <w:t xml:space="preserve">Enquête individuelle en droits de la jeunesse – </w:t>
      </w:r>
      <w:r w:rsidR="00A913CA">
        <w:rPr>
          <w:rStyle w:val="TitreCar"/>
        </w:rPr>
        <w:t>Saguenay</w:t>
      </w:r>
      <w:r w:rsidR="00E14440">
        <w:rPr>
          <w:rStyle w:val="TitreCar"/>
        </w:rPr>
        <w:t xml:space="preserve"> (mai 2025)</w:t>
      </w:r>
    </w:p>
    <w:bookmarkEnd w:id="0"/>
    <w:p w14:paraId="7CF5492F" w14:textId="248E8150" w:rsidR="00513322" w:rsidRPr="00513322" w:rsidRDefault="002425CE" w:rsidP="00513322">
      <w:pPr>
        <w:spacing w:after="90" w:line="280" w:lineRule="atLeast"/>
        <w:rPr>
          <w:rFonts w:eastAsia="Calibri"/>
        </w:rPr>
      </w:pPr>
      <w:r>
        <w:rPr>
          <w:rFonts w:eastAsia="Calibri" w:cs="Arial"/>
        </w:rPr>
        <w:t>Décision du comité des enquêtes</w:t>
      </w:r>
      <w:r w:rsidR="0022762A">
        <w:rPr>
          <w:rFonts w:eastAsia="Calibri" w:cs="Arial"/>
        </w:rPr>
        <w:t xml:space="preserve">, </w:t>
      </w:r>
      <w:r>
        <w:rPr>
          <w:rFonts w:eastAsia="Calibri" w:cs="Arial"/>
        </w:rPr>
        <w:t xml:space="preserve">séance du </w:t>
      </w:r>
      <w:r w:rsidR="00085597">
        <w:rPr>
          <w:rFonts w:eastAsia="Calibri" w:cs="Arial"/>
        </w:rPr>
        <w:t>1</w:t>
      </w:r>
      <w:r w:rsidR="00085597" w:rsidRPr="00085597">
        <w:rPr>
          <w:rFonts w:eastAsia="Calibri" w:cs="Arial"/>
          <w:vertAlign w:val="superscript"/>
        </w:rPr>
        <w:t>er</w:t>
      </w:r>
      <w:r w:rsidR="00085597">
        <w:rPr>
          <w:rFonts w:eastAsia="Calibri" w:cs="Arial"/>
        </w:rPr>
        <w:t xml:space="preserve"> mai</w:t>
      </w:r>
      <w:r w:rsidR="00513322" w:rsidRPr="00513322">
        <w:rPr>
          <w:rFonts w:eastAsia="Calibri" w:cs="Arial"/>
        </w:rPr>
        <w:t xml:space="preserve"> 202</w:t>
      </w:r>
      <w:r w:rsidR="00085597">
        <w:rPr>
          <w:rFonts w:eastAsia="Calibri" w:cs="Arial"/>
        </w:rPr>
        <w:t>5</w:t>
      </w:r>
    </w:p>
    <w:p w14:paraId="69057D3E" w14:textId="77777777" w:rsidR="00513322" w:rsidRPr="003814DF" w:rsidRDefault="00513322" w:rsidP="003814DF">
      <w:pPr>
        <w:pStyle w:val="Titre2"/>
      </w:pPr>
      <w:r w:rsidRPr="003814DF">
        <w:t>Résumé de l’enquête</w:t>
      </w:r>
    </w:p>
    <w:p w14:paraId="343DABE8" w14:textId="2EE42FBA" w:rsidR="00A913CA" w:rsidRPr="00A913CA" w:rsidRDefault="00A913CA" w:rsidP="00A913CA">
      <w:pPr>
        <w:pStyle w:val="Paragraphedeliste"/>
        <w:numPr>
          <w:ilvl w:val="0"/>
          <w:numId w:val="1"/>
        </w:numPr>
        <w:spacing w:after="0" w:line="240" w:lineRule="auto"/>
        <w:rPr>
          <w:szCs w:val="22"/>
        </w:rPr>
      </w:pPr>
      <w:r w:rsidRPr="00A913CA">
        <w:rPr>
          <w:b/>
          <w:bCs/>
        </w:rPr>
        <w:t>Le 17 janvier 2024,</w:t>
      </w:r>
      <w:r w:rsidRPr="00A913CA">
        <w:rPr>
          <w:bCs/>
          <w:lang w:val="fr-FR"/>
        </w:rPr>
        <w:t xml:space="preserve"> la Commission reçoit une demande d’intervention dans le</w:t>
      </w:r>
      <w:r>
        <w:rPr>
          <w:bCs/>
          <w:lang w:val="fr-FR"/>
        </w:rPr>
        <w:t>s</w:t>
      </w:r>
      <w:r w:rsidRPr="00A913CA">
        <w:rPr>
          <w:bCs/>
          <w:lang w:val="fr-FR"/>
        </w:rPr>
        <w:t xml:space="preserve"> dossier</w:t>
      </w:r>
      <w:r>
        <w:rPr>
          <w:bCs/>
          <w:lang w:val="fr-FR"/>
        </w:rPr>
        <w:t>s</w:t>
      </w:r>
      <w:r w:rsidRPr="00A913CA">
        <w:rPr>
          <w:bCs/>
          <w:lang w:val="fr-FR"/>
        </w:rPr>
        <w:t xml:space="preserve"> de </w:t>
      </w:r>
      <w:r>
        <w:rPr>
          <w:bCs/>
          <w:lang w:val="fr-FR"/>
        </w:rPr>
        <w:t xml:space="preserve">deux </w:t>
      </w:r>
      <w:r w:rsidRPr="00A913CA">
        <w:rPr>
          <w:bCs/>
          <w:lang w:val="fr-FR"/>
        </w:rPr>
        <w:t>enfant</w:t>
      </w:r>
      <w:r>
        <w:rPr>
          <w:bCs/>
          <w:lang w:val="fr-FR"/>
        </w:rPr>
        <w:t xml:space="preserve">s </w:t>
      </w:r>
      <w:r w:rsidRPr="00A913CA">
        <w:rPr>
          <w:bCs/>
          <w:lang w:val="fr-FR"/>
        </w:rPr>
        <w:t>membre</w:t>
      </w:r>
      <w:r>
        <w:rPr>
          <w:bCs/>
          <w:lang w:val="fr-FR"/>
        </w:rPr>
        <w:t>s</w:t>
      </w:r>
      <w:r w:rsidRPr="00A913CA">
        <w:rPr>
          <w:bCs/>
          <w:lang w:val="fr-FR"/>
        </w:rPr>
        <w:t xml:space="preserve"> d’une fratrie.</w:t>
      </w:r>
    </w:p>
    <w:p w14:paraId="58B6C9DA" w14:textId="418F8E3B" w:rsidR="00A913CA" w:rsidRPr="00A913CA" w:rsidRDefault="00A913CA" w:rsidP="00A913CA">
      <w:pPr>
        <w:pStyle w:val="Paragraphedeliste"/>
        <w:numPr>
          <w:ilvl w:val="0"/>
          <w:numId w:val="1"/>
        </w:numPr>
        <w:spacing w:after="0" w:line="240" w:lineRule="auto"/>
        <w:rPr>
          <w:szCs w:val="22"/>
        </w:rPr>
      </w:pPr>
      <w:r w:rsidRPr="00A913CA">
        <w:rPr>
          <w:b/>
          <w:bCs/>
        </w:rPr>
        <w:t xml:space="preserve">Le 1er février 2024, </w:t>
      </w:r>
      <w:r w:rsidRPr="00870EBE">
        <w:t xml:space="preserve">la Commission transmet un avis d’enquête à </w:t>
      </w:r>
      <w:r>
        <w:t>la</w:t>
      </w:r>
      <w:r w:rsidRPr="00870EBE">
        <w:t xml:space="preserve"> Directrice de la protection de la jeunesse du </w:t>
      </w:r>
      <w:r w:rsidRPr="008E02EA">
        <w:t>Centre intégré universitaire de santé et de</w:t>
      </w:r>
      <w:r>
        <w:t xml:space="preserve"> </w:t>
      </w:r>
      <w:r w:rsidRPr="008E02EA">
        <w:t>services sociaux</w:t>
      </w:r>
      <w:r>
        <w:t xml:space="preserve"> </w:t>
      </w:r>
      <w:r w:rsidRPr="00870EBE">
        <w:t>du Saguenay-Lac</w:t>
      </w:r>
      <w:r>
        <w:t>-</w:t>
      </w:r>
      <w:r w:rsidRPr="00870EBE">
        <w:t>S</w:t>
      </w:r>
      <w:r>
        <w:t>ain</w:t>
      </w:r>
      <w:r w:rsidRPr="00870EBE">
        <w:t>t-Jean</w:t>
      </w:r>
      <w:r>
        <w:t xml:space="preserve"> (ci-après « </w:t>
      </w:r>
      <w:r w:rsidRPr="00A913CA">
        <w:rPr>
          <w:b/>
          <w:bCs/>
        </w:rPr>
        <w:t>DPJ du CIUSSS du Saguenay-Lac-Saint-Jean</w:t>
      </w:r>
      <w:r>
        <w:t> »)</w:t>
      </w:r>
      <w:r w:rsidRPr="00870EBE">
        <w:t xml:space="preserve">, partie mise en cause. </w:t>
      </w:r>
    </w:p>
    <w:p w14:paraId="087D46AA" w14:textId="77777777" w:rsidR="00A913CA" w:rsidRPr="00A913CA" w:rsidRDefault="00A913CA" w:rsidP="00A913CA">
      <w:pPr>
        <w:pStyle w:val="Paragraphedeliste"/>
        <w:numPr>
          <w:ilvl w:val="0"/>
          <w:numId w:val="1"/>
        </w:numPr>
        <w:spacing w:after="0" w:line="240" w:lineRule="auto"/>
        <w:rPr>
          <w:szCs w:val="22"/>
        </w:rPr>
      </w:pPr>
      <w:r w:rsidRPr="00A913CA">
        <w:rPr>
          <w:b/>
          <w:bCs/>
        </w:rPr>
        <w:t>L’enquête concerne</w:t>
      </w:r>
      <w:r w:rsidRPr="00AC3234">
        <w:t xml:space="preserve"> principalement l’évaluation de la présomption de compromission selon les critères de la </w:t>
      </w:r>
      <w:r w:rsidRPr="00E16DAA">
        <w:t>LPJ</w:t>
      </w:r>
      <w:r w:rsidRPr="00AC3234">
        <w:t xml:space="preserve"> ainsi que le délai de traitement et la prise de mesures de protection de façon diligente durant le processus de rétention et d’évaluation du signalement</w:t>
      </w:r>
      <w:r>
        <w:t xml:space="preserve"> en abus sexuel. </w:t>
      </w:r>
    </w:p>
    <w:p w14:paraId="66A8803E" w14:textId="1B4FA4FE" w:rsidR="00A913CA" w:rsidRPr="00A913CA" w:rsidRDefault="00A913CA" w:rsidP="00A913CA">
      <w:pPr>
        <w:pStyle w:val="Paragraphedeliste"/>
        <w:numPr>
          <w:ilvl w:val="0"/>
          <w:numId w:val="1"/>
        </w:numPr>
        <w:spacing w:after="0" w:line="240" w:lineRule="auto"/>
        <w:rPr>
          <w:szCs w:val="22"/>
        </w:rPr>
      </w:pPr>
      <w:r w:rsidRPr="00A913CA">
        <w:rPr>
          <w:b/>
          <w:bCs/>
          <w:lang w:eastAsia="fr-CA"/>
        </w:rPr>
        <w:t>Le 18 avril 2024,</w:t>
      </w:r>
      <w:r w:rsidRPr="002D2122">
        <w:rPr>
          <w:lang w:eastAsia="fr-CA"/>
        </w:rPr>
        <w:t xml:space="preserve"> </w:t>
      </w:r>
      <w:r w:rsidRPr="002D2122">
        <w:t xml:space="preserve">la </w:t>
      </w:r>
      <w:r w:rsidRPr="00DF14FD">
        <w:t xml:space="preserve">Commission fait parvenir l’exposé factuel à la DPJ du CIUSSS du </w:t>
      </w:r>
      <w:r w:rsidRPr="00870EBE">
        <w:t>Saguenay-Lac</w:t>
      </w:r>
      <w:r>
        <w:t>-</w:t>
      </w:r>
      <w:r w:rsidRPr="00870EBE">
        <w:t>S</w:t>
      </w:r>
      <w:r>
        <w:t>ain</w:t>
      </w:r>
      <w:r w:rsidRPr="00870EBE">
        <w:t>t-Jean</w:t>
      </w:r>
      <w:r w:rsidRPr="00DF14FD">
        <w:t xml:space="preserve"> ainsi qu’aux parents de</w:t>
      </w:r>
      <w:r>
        <w:t xml:space="preserve">s deux </w:t>
      </w:r>
      <w:r w:rsidRPr="00DF14FD">
        <w:t>enfant</w:t>
      </w:r>
      <w:r>
        <w:t xml:space="preserve">s </w:t>
      </w:r>
      <w:r w:rsidRPr="00DF14FD">
        <w:t>afin d’obtenir leurs commentaires.</w:t>
      </w:r>
    </w:p>
    <w:p w14:paraId="75E31FDD" w14:textId="77777777" w:rsidR="00513322" w:rsidRPr="003814DF" w:rsidRDefault="00513322" w:rsidP="003814DF">
      <w:pPr>
        <w:pStyle w:val="Titre2"/>
      </w:pPr>
      <w:r w:rsidRPr="003814DF">
        <w:t xml:space="preserve">Conclusions </w:t>
      </w:r>
    </w:p>
    <w:p w14:paraId="254A6ADB" w14:textId="28968DD4" w:rsidR="00513322" w:rsidRPr="003814DF" w:rsidRDefault="00513322" w:rsidP="00513322">
      <w:pPr>
        <w:spacing w:before="180" w:after="90" w:line="260" w:lineRule="atLeast"/>
        <w:outlineLvl w:val="2"/>
        <w:rPr>
          <w:rFonts w:eastAsia="Calibri" w:cs="Aptos"/>
          <w:b/>
          <w:bCs/>
          <w:caps/>
          <w:szCs w:val="22"/>
        </w:rPr>
      </w:pPr>
      <w:r w:rsidRPr="003814DF">
        <w:rPr>
          <w:rFonts w:eastAsia="Calibri" w:cs="Aptos"/>
          <w:b/>
          <w:bCs/>
          <w:caps/>
          <w:szCs w:val="22"/>
        </w:rPr>
        <w:t>CONSID</w:t>
      </w:r>
      <w:r w:rsidR="00FD0A69">
        <w:rPr>
          <w:rFonts w:eastAsia="Calibri" w:cs="Aptos"/>
          <w:b/>
          <w:bCs/>
          <w:caps/>
          <w:szCs w:val="22"/>
        </w:rPr>
        <w:t>É</w:t>
      </w:r>
      <w:r w:rsidRPr="003814DF">
        <w:rPr>
          <w:rFonts w:eastAsia="Calibri" w:cs="Aptos"/>
          <w:b/>
          <w:bCs/>
          <w:caps/>
          <w:szCs w:val="22"/>
        </w:rPr>
        <w:t xml:space="preserve">RANT </w:t>
      </w:r>
    </w:p>
    <w:p w14:paraId="6FB14F5F" w14:textId="72A415DB" w:rsidR="00A913CA" w:rsidRPr="00A913CA" w:rsidRDefault="2F739370" w:rsidP="66DC84F9">
      <w:pPr>
        <w:pStyle w:val="Paragraphedeliste"/>
        <w:numPr>
          <w:ilvl w:val="0"/>
          <w:numId w:val="2"/>
        </w:numPr>
        <w:rPr>
          <w:rFonts w:asciiTheme="minorHAnsi" w:hAnsiTheme="minorHAnsi"/>
          <w:lang w:eastAsia="fr-CA"/>
        </w:rPr>
      </w:pPr>
      <w:proofErr w:type="gramStart"/>
      <w:r w:rsidRPr="66DC84F9">
        <w:rPr>
          <w:rFonts w:cs="Times New Roman"/>
        </w:rPr>
        <w:t>qu’</w:t>
      </w:r>
      <w:r w:rsidR="00A913CA" w:rsidRPr="66DC84F9">
        <w:rPr>
          <w:rFonts w:cs="Times New Roman"/>
          <w:lang w:val="fr-FR"/>
        </w:rPr>
        <w:t>un</w:t>
      </w:r>
      <w:proofErr w:type="gramEnd"/>
      <w:r w:rsidR="00A913CA" w:rsidRPr="66DC84F9">
        <w:rPr>
          <w:rFonts w:cs="Times New Roman"/>
          <w:lang w:val="fr-FR"/>
        </w:rPr>
        <w:t xml:space="preserve"> signalement </w:t>
      </w:r>
      <w:proofErr w:type="gramStart"/>
      <w:r w:rsidR="00A913CA" w:rsidRPr="66DC84F9">
        <w:rPr>
          <w:rFonts w:cs="Times New Roman"/>
          <w:lang w:val="fr-FR"/>
        </w:rPr>
        <w:t>a</w:t>
      </w:r>
      <w:proofErr w:type="gramEnd"/>
      <w:r w:rsidR="00A913CA" w:rsidRPr="66DC84F9">
        <w:rPr>
          <w:rFonts w:cs="Times New Roman"/>
          <w:lang w:val="fr-FR"/>
        </w:rPr>
        <w:t xml:space="preserve"> été </w:t>
      </w:r>
      <w:r w:rsidR="00A913CA" w:rsidRPr="66DC84F9">
        <w:rPr>
          <w:rFonts w:cs="Times New Roman"/>
        </w:rPr>
        <w:t>reçu en ce qui a trait, comme alinéa principal, à l’article 38 d)1 de la LPJ, à savoir une situation d’abus sexuels (gestes à caractère sexuel sans contact de la part d’une autre personne) ;</w:t>
      </w:r>
    </w:p>
    <w:p w14:paraId="61C6E946" w14:textId="7EE61FA7" w:rsidR="00A913CA" w:rsidRPr="00A913CA" w:rsidRDefault="00A913CA" w:rsidP="66DC84F9">
      <w:pPr>
        <w:pStyle w:val="Paragraphedeliste"/>
        <w:numPr>
          <w:ilvl w:val="0"/>
          <w:numId w:val="2"/>
        </w:numPr>
        <w:rPr>
          <w:rFonts w:asciiTheme="minorHAnsi" w:hAnsiTheme="minorHAnsi"/>
          <w:lang w:eastAsia="fr-CA"/>
        </w:rPr>
      </w:pPr>
      <w:proofErr w:type="gramStart"/>
      <w:r w:rsidRPr="66DC84F9">
        <w:rPr>
          <w:rFonts w:cs="Times New Roman"/>
          <w:lang w:val="fr-FR"/>
        </w:rPr>
        <w:t>que</w:t>
      </w:r>
      <w:proofErr w:type="gramEnd"/>
      <w:r w:rsidRPr="66DC84F9">
        <w:rPr>
          <w:rFonts w:cs="Times New Roman"/>
          <w:lang w:val="fr-FR"/>
        </w:rPr>
        <w:t xml:space="preserve"> le signalement </w:t>
      </w:r>
      <w:proofErr w:type="gramStart"/>
      <w:r w:rsidRPr="66DC84F9">
        <w:rPr>
          <w:rFonts w:cs="Times New Roman"/>
          <w:lang w:val="fr-FR"/>
        </w:rPr>
        <w:t>a</w:t>
      </w:r>
      <w:proofErr w:type="gramEnd"/>
      <w:r w:rsidRPr="66DC84F9">
        <w:rPr>
          <w:rFonts w:cs="Times New Roman"/>
          <w:lang w:val="fr-FR"/>
        </w:rPr>
        <w:t xml:space="preserve"> été retenu </w:t>
      </w:r>
      <w:r w:rsidR="1830BE9B" w:rsidRPr="66DC84F9">
        <w:rPr>
          <w:rFonts w:cs="Times New Roman"/>
        </w:rPr>
        <w:t>quatre jours plus tard</w:t>
      </w:r>
      <w:r w:rsidRPr="66DC84F9">
        <w:rPr>
          <w:rFonts w:cs="Times New Roman"/>
        </w:rPr>
        <w:t xml:space="preserve"> avec un code de priorité 3 soit la cote de priorisation la moins urgente ;</w:t>
      </w:r>
    </w:p>
    <w:p w14:paraId="6120B493" w14:textId="405CD928" w:rsidR="00A913CA" w:rsidRPr="00A913CA" w:rsidRDefault="00A913CA" w:rsidP="66DC84F9">
      <w:pPr>
        <w:pStyle w:val="Paragraphedeliste"/>
        <w:numPr>
          <w:ilvl w:val="0"/>
          <w:numId w:val="2"/>
        </w:numPr>
        <w:rPr>
          <w:rFonts w:asciiTheme="minorHAnsi" w:hAnsiTheme="minorHAnsi"/>
          <w:lang w:eastAsia="fr-CA"/>
        </w:rPr>
      </w:pPr>
      <w:proofErr w:type="gramStart"/>
      <w:r w:rsidRPr="66DC84F9">
        <w:rPr>
          <w:rFonts w:cs="Times New Roman"/>
        </w:rPr>
        <w:t>la</w:t>
      </w:r>
      <w:proofErr w:type="gramEnd"/>
      <w:r w:rsidRPr="66DC84F9">
        <w:rPr>
          <w:rFonts w:cs="Times New Roman"/>
        </w:rPr>
        <w:t xml:space="preserve"> vulnérabilité des enfants en raison de leur âge au moment de la réception et rétention du signalement d’abus sexuels ; </w:t>
      </w:r>
    </w:p>
    <w:p w14:paraId="6319B260" w14:textId="77777777" w:rsidR="00A913CA" w:rsidRPr="00A913CA" w:rsidRDefault="00A913CA" w:rsidP="00A913CA">
      <w:pPr>
        <w:pStyle w:val="Paragraphedeliste"/>
        <w:numPr>
          <w:ilvl w:val="0"/>
          <w:numId w:val="2"/>
        </w:numPr>
        <w:rPr>
          <w:rFonts w:asciiTheme="minorHAnsi" w:hAnsiTheme="minorHAnsi"/>
          <w:szCs w:val="22"/>
          <w:lang w:eastAsia="fr-CA"/>
        </w:rPr>
      </w:pPr>
      <w:proofErr w:type="gramStart"/>
      <w:r w:rsidRPr="00A913CA">
        <w:rPr>
          <w:rFonts w:cs="Times New Roman"/>
          <w:lang w:val="fr-FR"/>
        </w:rPr>
        <w:t>que</w:t>
      </w:r>
      <w:proofErr w:type="gramEnd"/>
      <w:r w:rsidRPr="00A913CA">
        <w:rPr>
          <w:rFonts w:cs="Times New Roman"/>
          <w:lang w:val="fr-FR"/>
        </w:rPr>
        <w:t xml:space="preserve"> le signalement fait état </w:t>
      </w:r>
      <w:r w:rsidRPr="00A913CA">
        <w:rPr>
          <w:rFonts w:cs="Times New Roman"/>
        </w:rPr>
        <w:t xml:space="preserve">que le conjoint de la mère exhibe ses parties génitales devant les enfants, regarde fixement l’un d’eux lorsque ce dernier est nu et qu’un des enfants a nommé ne pas se sentir bien sous le regard de monsieur ; </w:t>
      </w:r>
    </w:p>
    <w:p w14:paraId="712B06B9" w14:textId="77777777" w:rsidR="00A913CA" w:rsidRPr="00A913CA" w:rsidRDefault="00A913CA" w:rsidP="00A913CA">
      <w:pPr>
        <w:pStyle w:val="Paragraphedeliste"/>
        <w:numPr>
          <w:ilvl w:val="0"/>
          <w:numId w:val="2"/>
        </w:numPr>
        <w:rPr>
          <w:rFonts w:asciiTheme="minorHAnsi" w:hAnsiTheme="minorHAnsi"/>
          <w:szCs w:val="22"/>
          <w:lang w:eastAsia="fr-CA"/>
        </w:rPr>
      </w:pPr>
      <w:proofErr w:type="gramStart"/>
      <w:r w:rsidRPr="00A913CA">
        <w:rPr>
          <w:rFonts w:cs="Times New Roman"/>
          <w:lang w:val="fr-FR"/>
        </w:rPr>
        <w:t>qu’il</w:t>
      </w:r>
      <w:proofErr w:type="gramEnd"/>
      <w:r w:rsidRPr="00A913CA">
        <w:rPr>
          <w:rFonts w:cs="Times New Roman"/>
          <w:lang w:val="fr-FR"/>
        </w:rPr>
        <w:t xml:space="preserve"> </w:t>
      </w:r>
      <w:proofErr w:type="gramStart"/>
      <w:r w:rsidRPr="00A913CA">
        <w:rPr>
          <w:rFonts w:cs="Times New Roman"/>
          <w:lang w:val="fr-FR"/>
        </w:rPr>
        <w:t>est</w:t>
      </w:r>
      <w:proofErr w:type="gramEnd"/>
      <w:r w:rsidRPr="00A913CA">
        <w:rPr>
          <w:rFonts w:cs="Times New Roman"/>
          <w:lang w:val="fr-FR"/>
        </w:rPr>
        <w:t xml:space="preserve"> </w:t>
      </w:r>
      <w:r w:rsidRPr="00A913CA">
        <w:rPr>
          <w:rFonts w:cs="Times New Roman"/>
        </w:rPr>
        <w:t>mentionné au rapport de signalement que la mère démontre une banalisation de la situation ;</w:t>
      </w:r>
    </w:p>
    <w:p w14:paraId="7CEB1974" w14:textId="18CCC2E7" w:rsidR="00A913CA" w:rsidRPr="00A913CA" w:rsidRDefault="00A913CA" w:rsidP="637840E0">
      <w:pPr>
        <w:pStyle w:val="Paragraphedeliste"/>
        <w:numPr>
          <w:ilvl w:val="0"/>
          <w:numId w:val="2"/>
        </w:numPr>
        <w:rPr>
          <w:rFonts w:asciiTheme="minorHAnsi" w:hAnsiTheme="minorHAnsi"/>
          <w:lang w:eastAsia="fr-CA"/>
        </w:rPr>
      </w:pPr>
      <w:proofErr w:type="gramStart"/>
      <w:r w:rsidRPr="637840E0">
        <w:rPr>
          <w:rFonts w:cs="Times New Roman"/>
          <w:lang w:val="fr-FR"/>
        </w:rPr>
        <w:t>que</w:t>
      </w:r>
      <w:proofErr w:type="gramEnd"/>
      <w:r w:rsidRPr="637840E0">
        <w:rPr>
          <w:rFonts w:cs="Times New Roman"/>
          <w:lang w:val="fr-FR"/>
        </w:rPr>
        <w:t xml:space="preserve"> la </w:t>
      </w:r>
      <w:r w:rsidRPr="637840E0">
        <w:rPr>
          <w:rFonts w:cs="Times New Roman"/>
        </w:rPr>
        <w:t xml:space="preserve">DPJ estime que le fait que la mère réside avec les enfants chez </w:t>
      </w:r>
      <w:r w:rsidR="00DF4699" w:rsidRPr="637840E0">
        <w:rPr>
          <w:rFonts w:cs="Times New Roman"/>
        </w:rPr>
        <w:t xml:space="preserve">un membre de la </w:t>
      </w:r>
      <w:proofErr w:type="gramStart"/>
      <w:r w:rsidR="00DF4699" w:rsidRPr="637840E0">
        <w:rPr>
          <w:rFonts w:cs="Times New Roman"/>
        </w:rPr>
        <w:t xml:space="preserve">famille </w:t>
      </w:r>
      <w:r w:rsidRPr="637840E0">
        <w:rPr>
          <w:rFonts w:cs="Times New Roman"/>
        </w:rPr>
        <w:t xml:space="preserve"> constitue</w:t>
      </w:r>
      <w:proofErr w:type="gramEnd"/>
      <w:r w:rsidRPr="637840E0">
        <w:rPr>
          <w:rFonts w:cs="Times New Roman"/>
        </w:rPr>
        <w:t xml:space="preserve"> un filet de sécurité alors que ce dernier n’est pas au courant de la situation et que les enfants demeurent en contact avec le conjoint de la mère ;</w:t>
      </w:r>
    </w:p>
    <w:p w14:paraId="6DB0A8B8" w14:textId="77777777" w:rsidR="00EB1D63" w:rsidRPr="00EB1D63" w:rsidRDefault="00A913CA" w:rsidP="00EB1D63">
      <w:pPr>
        <w:pStyle w:val="Paragraphedeliste"/>
        <w:numPr>
          <w:ilvl w:val="0"/>
          <w:numId w:val="2"/>
        </w:numPr>
        <w:rPr>
          <w:rFonts w:asciiTheme="minorHAnsi" w:hAnsiTheme="minorHAnsi"/>
          <w:szCs w:val="22"/>
          <w:lang w:eastAsia="fr-CA"/>
        </w:rPr>
      </w:pPr>
      <w:proofErr w:type="gramStart"/>
      <w:r w:rsidRPr="00A913CA">
        <w:rPr>
          <w:rFonts w:cs="Times New Roman"/>
          <w:lang w:val="fr-FR"/>
        </w:rPr>
        <w:t>que</w:t>
      </w:r>
      <w:proofErr w:type="gramEnd"/>
      <w:r w:rsidRPr="00A913CA">
        <w:rPr>
          <w:rFonts w:cs="Times New Roman"/>
          <w:lang w:val="fr-FR"/>
        </w:rPr>
        <w:t xml:space="preserve"> le rapport de signalement conclue qu’un des enfants ne vit pas d’impact de la situation alors que le signalement mentionne qu’il imite le comportement du conjoint de la mère ; </w:t>
      </w:r>
    </w:p>
    <w:p w14:paraId="7D8E9F23" w14:textId="6E41CF0A" w:rsidR="00A913CA" w:rsidRPr="00EB1D63" w:rsidRDefault="00A913CA" w:rsidP="00EB1D63">
      <w:pPr>
        <w:pStyle w:val="Paragraphedeliste"/>
        <w:numPr>
          <w:ilvl w:val="0"/>
          <w:numId w:val="2"/>
        </w:numPr>
        <w:rPr>
          <w:rFonts w:asciiTheme="minorHAnsi" w:hAnsiTheme="minorHAnsi"/>
          <w:szCs w:val="22"/>
          <w:lang w:eastAsia="fr-CA"/>
        </w:rPr>
      </w:pPr>
      <w:proofErr w:type="gramStart"/>
      <w:r w:rsidRPr="00EB1D63">
        <w:rPr>
          <w:rFonts w:cs="Times New Roman"/>
          <w:lang w:val="fr-FR"/>
        </w:rPr>
        <w:lastRenderedPageBreak/>
        <w:t>que</w:t>
      </w:r>
      <w:proofErr w:type="gramEnd"/>
      <w:r w:rsidRPr="00EB1D63">
        <w:rPr>
          <w:rFonts w:cs="Times New Roman"/>
          <w:lang w:val="fr-FR"/>
        </w:rPr>
        <w:t xml:space="preserve"> l’article 38.2 de la LPJ prévoit que les facteurs suivants </w:t>
      </w:r>
      <w:r w:rsidRPr="00EB1D63">
        <w:rPr>
          <w:rFonts w:cs="Times New Roman"/>
        </w:rPr>
        <w:t xml:space="preserve">doivent notamment être pris en considération </w:t>
      </w:r>
      <w:r w:rsidRPr="00EB1D63">
        <w:rPr>
          <w:rFonts w:cs="Times New Roman"/>
          <w:lang w:val="fr-FR"/>
        </w:rPr>
        <w:t xml:space="preserve">dans l’évaluation d’un signalement </w:t>
      </w:r>
      <w:r w:rsidRPr="00EB1D63">
        <w:rPr>
          <w:rFonts w:cs="Times New Roman"/>
        </w:rPr>
        <w:t>:</w:t>
      </w:r>
    </w:p>
    <w:p w14:paraId="637BFE2B" w14:textId="77777777" w:rsidR="00A913CA" w:rsidRPr="000E2CAE" w:rsidRDefault="00A913CA" w:rsidP="00A913CA">
      <w:pPr>
        <w:ind w:left="708"/>
        <w:rPr>
          <w:rFonts w:cs="Times New Roman"/>
        </w:rPr>
      </w:pPr>
      <w:r w:rsidRPr="000E2CAE">
        <w:rPr>
          <w:rFonts w:cs="Times New Roman"/>
          <w:i/>
          <w:iCs/>
        </w:rPr>
        <w:t>a</w:t>
      </w:r>
      <w:r w:rsidRPr="000E2CAE">
        <w:rPr>
          <w:rFonts w:cs="Times New Roman"/>
        </w:rPr>
        <w:t>) </w:t>
      </w:r>
      <w:r w:rsidRPr="000E2CAE">
        <w:rPr>
          <w:rFonts w:cs="Times New Roman"/>
          <w:i/>
          <w:iCs/>
        </w:rPr>
        <w:t> </w:t>
      </w:r>
      <w:r w:rsidRPr="000E2CAE">
        <w:rPr>
          <w:rFonts w:cs="Times New Roman"/>
        </w:rPr>
        <w:t>la nature, la gravité, la chronicité et la fréquence des faits signalés;</w:t>
      </w:r>
    </w:p>
    <w:p w14:paraId="26D2AC96" w14:textId="77777777" w:rsidR="00A913CA" w:rsidRPr="000E2CAE" w:rsidRDefault="00A913CA" w:rsidP="00A913CA">
      <w:pPr>
        <w:ind w:left="708"/>
        <w:rPr>
          <w:rFonts w:cs="Times New Roman"/>
        </w:rPr>
      </w:pPr>
      <w:r w:rsidRPr="000E2CAE">
        <w:rPr>
          <w:rFonts w:cs="Times New Roman"/>
          <w:i/>
          <w:iCs/>
        </w:rPr>
        <w:t>b</w:t>
      </w:r>
      <w:r w:rsidRPr="000E2CAE">
        <w:rPr>
          <w:rFonts w:cs="Times New Roman"/>
        </w:rPr>
        <w:t>) </w:t>
      </w:r>
      <w:r w:rsidRPr="000E2CAE">
        <w:rPr>
          <w:rFonts w:cs="Times New Roman"/>
          <w:i/>
          <w:iCs/>
        </w:rPr>
        <w:t> </w:t>
      </w:r>
      <w:r w:rsidRPr="000E2CAE">
        <w:rPr>
          <w:rFonts w:cs="Times New Roman"/>
        </w:rPr>
        <w:t>l’âge et les caractéristiques personnelles de l’enfant;</w:t>
      </w:r>
    </w:p>
    <w:p w14:paraId="7B33BEB8" w14:textId="77777777" w:rsidR="00A913CA" w:rsidRPr="000E2CAE" w:rsidRDefault="00A913CA" w:rsidP="00A913CA">
      <w:pPr>
        <w:ind w:left="708"/>
        <w:rPr>
          <w:rFonts w:cs="Times New Roman"/>
        </w:rPr>
      </w:pPr>
      <w:r w:rsidRPr="000E2CAE">
        <w:rPr>
          <w:rFonts w:cs="Times New Roman"/>
          <w:i/>
          <w:iCs/>
        </w:rPr>
        <w:t>c</w:t>
      </w:r>
      <w:r w:rsidRPr="000E2CAE">
        <w:rPr>
          <w:rFonts w:cs="Times New Roman"/>
        </w:rPr>
        <w:t>) </w:t>
      </w:r>
      <w:r w:rsidRPr="000E2CAE">
        <w:rPr>
          <w:rFonts w:cs="Times New Roman"/>
          <w:i/>
          <w:iCs/>
        </w:rPr>
        <w:t> </w:t>
      </w:r>
      <w:r w:rsidRPr="000E2CAE">
        <w:rPr>
          <w:rFonts w:cs="Times New Roman"/>
        </w:rPr>
        <w:t>la capacité et la volonté des parents de mettre fin à la situation qui compromet la sécurité ou le développement de l’enfant;</w:t>
      </w:r>
    </w:p>
    <w:p w14:paraId="0B289CF2" w14:textId="77777777" w:rsidR="00A913CA" w:rsidRDefault="00A913CA" w:rsidP="00A913CA">
      <w:pPr>
        <w:ind w:left="708"/>
        <w:rPr>
          <w:rFonts w:cs="Times New Roman"/>
        </w:rPr>
      </w:pPr>
      <w:r w:rsidRPr="000E2CAE">
        <w:rPr>
          <w:rFonts w:cs="Times New Roman"/>
          <w:i/>
          <w:iCs/>
        </w:rPr>
        <w:t>d</w:t>
      </w:r>
      <w:r w:rsidRPr="000E2CAE">
        <w:rPr>
          <w:rFonts w:cs="Times New Roman"/>
        </w:rPr>
        <w:t>) </w:t>
      </w:r>
      <w:r w:rsidRPr="000E2CAE">
        <w:rPr>
          <w:rFonts w:cs="Times New Roman"/>
          <w:i/>
          <w:iCs/>
        </w:rPr>
        <w:t> </w:t>
      </w:r>
      <w:r w:rsidRPr="000E2CAE">
        <w:rPr>
          <w:rFonts w:cs="Times New Roman"/>
        </w:rPr>
        <w:t>les ressources du milieu pour venir en aide à l’enfant et à ses parents.</w:t>
      </w:r>
    </w:p>
    <w:p w14:paraId="2E6B4BDB" w14:textId="436CA33C" w:rsidR="00EB1D63" w:rsidRDefault="00A913CA" w:rsidP="00EB1D63">
      <w:pPr>
        <w:pStyle w:val="Paragraphedeliste"/>
        <w:numPr>
          <w:ilvl w:val="0"/>
          <w:numId w:val="7"/>
        </w:numPr>
        <w:rPr>
          <w:rFonts w:cs="Times New Roman"/>
        </w:rPr>
      </w:pPr>
      <w:proofErr w:type="gramStart"/>
      <w:r w:rsidRPr="637840E0">
        <w:rPr>
          <w:rFonts w:cs="Times New Roman"/>
          <w:lang w:val="fr-FR"/>
        </w:rPr>
        <w:t>que</w:t>
      </w:r>
      <w:proofErr w:type="gramEnd"/>
      <w:r w:rsidRPr="637840E0">
        <w:rPr>
          <w:rFonts w:cs="Times New Roman"/>
          <w:lang w:val="fr-FR"/>
        </w:rPr>
        <w:t xml:space="preserve"> </w:t>
      </w:r>
      <w:r w:rsidRPr="637840E0">
        <w:rPr>
          <w:rFonts w:cs="Times New Roman"/>
        </w:rPr>
        <w:t xml:space="preserve">le dossier </w:t>
      </w:r>
      <w:proofErr w:type="gramStart"/>
      <w:r w:rsidRPr="637840E0">
        <w:rPr>
          <w:rFonts w:cs="Times New Roman"/>
        </w:rPr>
        <w:t>a</w:t>
      </w:r>
      <w:proofErr w:type="gramEnd"/>
      <w:r w:rsidRPr="637840E0">
        <w:rPr>
          <w:rFonts w:cs="Times New Roman"/>
        </w:rPr>
        <w:t xml:space="preserve"> été assigné à un intervenant du service de l’évaluation/</w:t>
      </w:r>
      <w:proofErr w:type="gramStart"/>
      <w:r w:rsidRPr="637840E0">
        <w:rPr>
          <w:rFonts w:cs="Times New Roman"/>
        </w:rPr>
        <w:t>orientation  et</w:t>
      </w:r>
      <w:proofErr w:type="gramEnd"/>
      <w:r w:rsidRPr="637840E0">
        <w:rPr>
          <w:rFonts w:cs="Times New Roman"/>
        </w:rPr>
        <w:t xml:space="preserve"> l’entente multisectorielle </w:t>
      </w:r>
      <w:r w:rsidR="08C03D3E" w:rsidRPr="637840E0">
        <w:rPr>
          <w:rFonts w:cs="Times New Roman"/>
        </w:rPr>
        <w:t xml:space="preserve">a été </w:t>
      </w:r>
      <w:r w:rsidRPr="637840E0">
        <w:rPr>
          <w:rFonts w:cs="Times New Roman"/>
        </w:rPr>
        <w:t xml:space="preserve">déclenchée le </w:t>
      </w:r>
      <w:r w:rsidR="68B784D9" w:rsidRPr="637840E0">
        <w:rPr>
          <w:rFonts w:cs="Times New Roman"/>
        </w:rPr>
        <w:t>lendemain</w:t>
      </w:r>
      <w:r w:rsidRPr="637840E0">
        <w:rPr>
          <w:rFonts w:cs="Times New Roman"/>
        </w:rPr>
        <w:t>, soit 13 jours après la réception du signalement ;</w:t>
      </w:r>
    </w:p>
    <w:p w14:paraId="1C13574A" w14:textId="77777777" w:rsidR="00EB1D63" w:rsidRPr="00EB1D63" w:rsidRDefault="00A913CA" w:rsidP="00EB1D63">
      <w:pPr>
        <w:pStyle w:val="Paragraphedeliste"/>
        <w:numPr>
          <w:ilvl w:val="0"/>
          <w:numId w:val="7"/>
        </w:numPr>
        <w:rPr>
          <w:rFonts w:cs="Times New Roman"/>
        </w:rPr>
      </w:pPr>
      <w:proofErr w:type="gramStart"/>
      <w:r w:rsidRPr="00EB1D63">
        <w:rPr>
          <w:rFonts w:cs="Times New Roman"/>
          <w:lang w:val="fr-FR"/>
        </w:rPr>
        <w:t>que</w:t>
      </w:r>
      <w:proofErr w:type="gramEnd"/>
      <w:r w:rsidRPr="00EB1D63">
        <w:rPr>
          <w:rFonts w:cs="Times New Roman"/>
          <w:lang w:val="fr-FR"/>
        </w:rPr>
        <w:t xml:space="preserve"> la DPJ reconnait que ce délai d’attente n’est pas souhaitable et l’explique par le nombre élevé de situations en attente d’évaluation à ce moment et par son manque de personnel pour suffire à la demande ;</w:t>
      </w:r>
    </w:p>
    <w:p w14:paraId="4BA1F235" w14:textId="49E7D33F" w:rsidR="00EB1D63" w:rsidRDefault="00A913CA" w:rsidP="00EB1D63">
      <w:pPr>
        <w:pStyle w:val="Paragraphedeliste"/>
        <w:numPr>
          <w:ilvl w:val="0"/>
          <w:numId w:val="7"/>
        </w:numPr>
        <w:rPr>
          <w:rFonts w:cs="Times New Roman"/>
        </w:rPr>
      </w:pPr>
      <w:proofErr w:type="gramStart"/>
      <w:r w:rsidRPr="65EC9BDD">
        <w:rPr>
          <w:rFonts w:cs="Times New Roman"/>
          <w:lang w:val="fr-FR"/>
        </w:rPr>
        <w:t>que</w:t>
      </w:r>
      <w:proofErr w:type="gramEnd"/>
      <w:r w:rsidRPr="65EC9BDD">
        <w:rPr>
          <w:rFonts w:cs="Times New Roman"/>
          <w:lang w:val="fr-FR"/>
        </w:rPr>
        <w:t xml:space="preserve"> </w:t>
      </w:r>
      <w:r w:rsidRPr="65EC9BDD">
        <w:rPr>
          <w:rFonts w:cs="Times New Roman"/>
        </w:rPr>
        <w:t>ce n’est qu</w:t>
      </w:r>
      <w:r w:rsidR="00AA6B81" w:rsidRPr="65EC9BDD">
        <w:rPr>
          <w:rFonts w:cs="Times New Roman"/>
        </w:rPr>
        <w:t xml:space="preserve">e 26 jours </w:t>
      </w:r>
      <w:proofErr w:type="gramStart"/>
      <w:r w:rsidR="00AA6B81" w:rsidRPr="65EC9BDD">
        <w:rPr>
          <w:rFonts w:cs="Times New Roman"/>
        </w:rPr>
        <w:t xml:space="preserve">suivant </w:t>
      </w:r>
      <w:r w:rsidR="00E055EA" w:rsidRPr="65EC9BDD">
        <w:rPr>
          <w:rFonts w:cs="Times New Roman"/>
        </w:rPr>
        <w:t xml:space="preserve"> la</w:t>
      </w:r>
      <w:proofErr w:type="gramEnd"/>
      <w:r w:rsidR="00E055EA" w:rsidRPr="65EC9BDD">
        <w:rPr>
          <w:rFonts w:cs="Times New Roman"/>
        </w:rPr>
        <w:t xml:space="preserve"> ré</w:t>
      </w:r>
      <w:r w:rsidR="009E79A5" w:rsidRPr="65EC9BDD">
        <w:rPr>
          <w:rFonts w:cs="Times New Roman"/>
        </w:rPr>
        <w:t>tention</w:t>
      </w:r>
      <w:r w:rsidR="00E055EA" w:rsidRPr="65EC9BDD">
        <w:rPr>
          <w:rFonts w:cs="Times New Roman"/>
        </w:rPr>
        <w:t xml:space="preserve"> du signalement </w:t>
      </w:r>
      <w:r w:rsidRPr="65EC9BDD">
        <w:rPr>
          <w:rFonts w:cs="Times New Roman"/>
        </w:rPr>
        <w:t xml:space="preserve">qu’une entente provisoire est convenue et qu’il est interdit au conjoint de la mère d’être en contact avec les enfants pendant une durée de trente (30) jours ; </w:t>
      </w:r>
    </w:p>
    <w:p w14:paraId="5DF771BD" w14:textId="069E82E0" w:rsidR="00EB1D63" w:rsidRDefault="00A913CA" w:rsidP="00EB1D63">
      <w:pPr>
        <w:pStyle w:val="Paragraphedeliste"/>
        <w:numPr>
          <w:ilvl w:val="0"/>
          <w:numId w:val="7"/>
        </w:numPr>
        <w:rPr>
          <w:rFonts w:cs="Times New Roman"/>
        </w:rPr>
      </w:pPr>
      <w:proofErr w:type="gramStart"/>
      <w:r w:rsidRPr="65EC9BDD">
        <w:rPr>
          <w:rFonts w:cs="Times New Roman"/>
        </w:rPr>
        <w:t>que</w:t>
      </w:r>
      <w:proofErr w:type="gramEnd"/>
      <w:r w:rsidRPr="65EC9BDD">
        <w:rPr>
          <w:rFonts w:cs="Times New Roman"/>
        </w:rPr>
        <w:t xml:space="preserve"> </w:t>
      </w:r>
      <w:r w:rsidR="00AA6B81" w:rsidRPr="65EC9BDD">
        <w:rPr>
          <w:rFonts w:cs="Times New Roman"/>
        </w:rPr>
        <w:t xml:space="preserve">pendant cette période, </w:t>
      </w:r>
      <w:r w:rsidRPr="65EC9BDD">
        <w:rPr>
          <w:rFonts w:cs="Times New Roman"/>
        </w:rPr>
        <w:t xml:space="preserve">les enfants sont demeurés dans le milieu maternel sans filet de sécurité en contact avec le conjoint de la </w:t>
      </w:r>
      <w:proofErr w:type="gramStart"/>
      <w:r w:rsidRPr="65EC9BDD">
        <w:rPr>
          <w:rFonts w:cs="Times New Roman"/>
        </w:rPr>
        <w:t xml:space="preserve">mère </w:t>
      </w:r>
      <w:r w:rsidR="037EE896" w:rsidRPr="65EC9BDD">
        <w:rPr>
          <w:rFonts w:cs="Times New Roman"/>
        </w:rPr>
        <w:t xml:space="preserve"> </w:t>
      </w:r>
      <w:r w:rsidRPr="65EC9BDD">
        <w:rPr>
          <w:rFonts w:cs="Times New Roman"/>
        </w:rPr>
        <w:t>;</w:t>
      </w:r>
      <w:proofErr w:type="gramEnd"/>
      <w:r w:rsidRPr="65EC9BDD">
        <w:rPr>
          <w:rFonts w:cs="Times New Roman"/>
        </w:rPr>
        <w:t xml:space="preserve"> </w:t>
      </w:r>
    </w:p>
    <w:p w14:paraId="6F189F33" w14:textId="77777777" w:rsidR="00EB1D63" w:rsidRDefault="00A913CA" w:rsidP="00EB1D63">
      <w:pPr>
        <w:pStyle w:val="Paragraphedeliste"/>
        <w:numPr>
          <w:ilvl w:val="0"/>
          <w:numId w:val="7"/>
        </w:numPr>
        <w:rPr>
          <w:rFonts w:cs="Times New Roman"/>
        </w:rPr>
      </w:pPr>
      <w:proofErr w:type="gramStart"/>
      <w:r w:rsidRPr="00EB1D63">
        <w:rPr>
          <w:rFonts w:cs="Times New Roman"/>
        </w:rPr>
        <w:t>que</w:t>
      </w:r>
      <w:proofErr w:type="gramEnd"/>
      <w:r w:rsidRPr="00EB1D63">
        <w:rPr>
          <w:rFonts w:cs="Times New Roman"/>
        </w:rPr>
        <w:t xml:space="preserve"> le délai de 26 jours entre le signalement et la mesure de protection n’apparaît pas diligent conformément à l’article 4.4 b) et n’a pas permis de mettre un terme à la situation de compromission et éviter qu’elle ne se reproduise conformément à l’article 2 de la LPJ ;</w:t>
      </w:r>
    </w:p>
    <w:p w14:paraId="2582A1ED" w14:textId="77777777" w:rsidR="00EB1D63" w:rsidRDefault="00A913CA" w:rsidP="00EB1D63">
      <w:pPr>
        <w:pStyle w:val="Paragraphedeliste"/>
        <w:numPr>
          <w:ilvl w:val="0"/>
          <w:numId w:val="7"/>
        </w:numPr>
        <w:rPr>
          <w:rFonts w:cs="Times New Roman"/>
        </w:rPr>
      </w:pPr>
      <w:proofErr w:type="gramStart"/>
      <w:r w:rsidRPr="00EB1D63">
        <w:rPr>
          <w:rFonts w:cs="Times New Roman"/>
        </w:rPr>
        <w:t>que</w:t>
      </w:r>
      <w:proofErr w:type="gramEnd"/>
      <w:r w:rsidRPr="00EB1D63">
        <w:rPr>
          <w:rFonts w:cs="Times New Roman"/>
        </w:rPr>
        <w:t xml:space="preserve"> la DPJ a reconnu que des mesures de protection auraient pu être prises dès la rétention du signalement ;</w:t>
      </w:r>
    </w:p>
    <w:p w14:paraId="77C34F8B" w14:textId="3BFAF480" w:rsidR="00A913CA" w:rsidRPr="00EB1D63" w:rsidRDefault="00A913CA" w:rsidP="00EB1D63">
      <w:pPr>
        <w:pStyle w:val="Paragraphedeliste"/>
        <w:numPr>
          <w:ilvl w:val="0"/>
          <w:numId w:val="7"/>
        </w:numPr>
        <w:rPr>
          <w:rFonts w:cs="Times New Roman"/>
        </w:rPr>
      </w:pPr>
      <w:proofErr w:type="gramStart"/>
      <w:r w:rsidRPr="00EB1D63">
        <w:rPr>
          <w:rFonts w:cs="Times New Roman"/>
        </w:rPr>
        <w:t>que</w:t>
      </w:r>
      <w:proofErr w:type="gramEnd"/>
      <w:r w:rsidRPr="00EB1D63">
        <w:rPr>
          <w:rFonts w:cs="Times New Roman"/>
        </w:rPr>
        <w:t xml:space="preserve"> la DPJ s’est engagée à intervenir auprès de la gestionnaire du service de la </w:t>
      </w:r>
      <w:r w:rsidRPr="00EB1D63">
        <w:rPr>
          <w:rFonts w:cs="Times New Roman"/>
          <w:i/>
          <w:iCs/>
        </w:rPr>
        <w:t>Réception et traitement des signalements</w:t>
      </w:r>
      <w:r w:rsidRPr="00EB1D63">
        <w:rPr>
          <w:rFonts w:cs="Times New Roman"/>
        </w:rPr>
        <w:t xml:space="preserve"> afin qu’une attention particulière soit portée aux situations d’abus sexuels ; </w:t>
      </w:r>
    </w:p>
    <w:p w14:paraId="0CAAC89C" w14:textId="1F8AC942" w:rsidR="00A913CA" w:rsidRPr="00286917" w:rsidRDefault="00A913CA" w:rsidP="00A913CA">
      <w:pPr>
        <w:pStyle w:val="Paragraphedeliste"/>
        <w:numPr>
          <w:ilvl w:val="0"/>
          <w:numId w:val="2"/>
        </w:numPr>
        <w:rPr>
          <w:rFonts w:asciiTheme="minorHAnsi" w:hAnsiTheme="minorHAnsi"/>
          <w:szCs w:val="22"/>
          <w:lang w:eastAsia="fr-CA"/>
        </w:rPr>
      </w:pPr>
      <w:proofErr w:type="gramStart"/>
      <w:r>
        <w:rPr>
          <w:rFonts w:cs="Times New Roman"/>
        </w:rPr>
        <w:t>q</w:t>
      </w:r>
      <w:r w:rsidRPr="005632F2">
        <w:rPr>
          <w:rFonts w:cs="Times New Roman"/>
        </w:rPr>
        <w:t>ue</w:t>
      </w:r>
      <w:proofErr w:type="gramEnd"/>
      <w:r w:rsidRPr="005632F2">
        <w:rPr>
          <w:rFonts w:cs="Times New Roman"/>
        </w:rPr>
        <w:t xml:space="preserve"> la DPJ a affirmé qu’elle devait s’assurer qu’une mesure de protection ou un filet de protection soit mis en place durant l’attente d’assignation à l’évaluation/orientation</w:t>
      </w:r>
      <w:r>
        <w:rPr>
          <w:rFonts w:cs="Times New Roman"/>
        </w:rPr>
        <w:t xml:space="preserve"> ;</w:t>
      </w:r>
    </w:p>
    <w:p w14:paraId="1A5EF0C3" w14:textId="77777777" w:rsidR="00513322" w:rsidRPr="003814DF" w:rsidRDefault="00513322" w:rsidP="00513322">
      <w:pPr>
        <w:spacing w:before="180" w:after="90" w:line="260" w:lineRule="atLeast"/>
        <w:outlineLvl w:val="2"/>
        <w:rPr>
          <w:rFonts w:eastAsia="Calibri" w:cs="Aptos"/>
          <w:b/>
          <w:bCs/>
          <w:caps/>
          <w:szCs w:val="22"/>
          <w:lang w:eastAsia="fr-CA"/>
        </w:rPr>
      </w:pPr>
      <w:r w:rsidRPr="003814DF">
        <w:rPr>
          <w:rFonts w:eastAsia="Calibri" w:cs="Aptos"/>
          <w:b/>
          <w:bCs/>
          <w:caps/>
          <w:szCs w:val="22"/>
          <w:lang w:eastAsia="fr-CA"/>
        </w:rPr>
        <w:t>Pour ces motifs,</w:t>
      </w:r>
    </w:p>
    <w:p w14:paraId="67DD036B" w14:textId="3BC72E8A" w:rsidR="00286917" w:rsidRDefault="00EB1D63" w:rsidP="00EB1D63">
      <w:pPr>
        <w:rPr>
          <w:rFonts w:cs="Times New Roman"/>
        </w:rPr>
      </w:pPr>
      <w:r w:rsidRPr="00953CD6">
        <w:rPr>
          <w:rFonts w:cs="Times New Roman"/>
          <w:lang w:val="fr-FR"/>
        </w:rPr>
        <w:t>La Commission</w:t>
      </w:r>
      <w:r>
        <w:rPr>
          <w:rFonts w:cs="Times New Roman"/>
          <w:lang w:val="fr-FR"/>
        </w:rPr>
        <w:t xml:space="preserve"> a raison de croire</w:t>
      </w:r>
      <w:r w:rsidRPr="00953CD6">
        <w:rPr>
          <w:rFonts w:cs="Times New Roman"/>
          <w:lang w:val="fr-FR"/>
        </w:rPr>
        <w:t xml:space="preserve"> que les droits </w:t>
      </w:r>
      <w:r w:rsidRPr="00953CD6">
        <w:rPr>
          <w:rFonts w:cs="Times New Roman"/>
        </w:rPr>
        <w:t>de</w:t>
      </w:r>
      <w:r>
        <w:rPr>
          <w:rFonts w:cs="Times New Roman"/>
        </w:rPr>
        <w:t xml:space="preserve">s deux enfants prévus aux articles </w:t>
      </w:r>
      <w:r w:rsidRPr="00953CD6">
        <w:rPr>
          <w:rFonts w:cs="Times New Roman"/>
        </w:rPr>
        <w:t>2 al. 1, 3, 4.4</w:t>
      </w:r>
      <w:r>
        <w:rPr>
          <w:rFonts w:cs="Times New Roman"/>
        </w:rPr>
        <w:t xml:space="preserve"> </w:t>
      </w:r>
      <w:r w:rsidRPr="00953CD6">
        <w:rPr>
          <w:rFonts w:cs="Times New Roman"/>
        </w:rPr>
        <w:t xml:space="preserve">(b), 8 et 38.2 de la </w:t>
      </w:r>
      <w:r w:rsidRPr="00421CE9">
        <w:rPr>
          <w:rFonts w:cs="Times New Roman"/>
          <w:i/>
          <w:iCs/>
        </w:rPr>
        <w:t>Loi sur la protection de la jeunesse</w:t>
      </w:r>
      <w:r w:rsidRPr="00953CD6">
        <w:rPr>
          <w:rFonts w:cs="Times New Roman"/>
        </w:rPr>
        <w:t xml:space="preserve"> </w:t>
      </w:r>
      <w:r>
        <w:rPr>
          <w:rFonts w:cs="Times New Roman"/>
        </w:rPr>
        <w:t>ont été lésés p</w:t>
      </w:r>
      <w:r w:rsidRPr="00953CD6">
        <w:rPr>
          <w:rFonts w:cs="Times New Roman"/>
        </w:rPr>
        <w:t xml:space="preserve">ar la Directrice de la protection de la jeunesse </w:t>
      </w:r>
      <w:r>
        <w:rPr>
          <w:rFonts w:cs="Times New Roman"/>
        </w:rPr>
        <w:t xml:space="preserve">du </w:t>
      </w:r>
      <w:r w:rsidRPr="0030287D">
        <w:rPr>
          <w:rFonts w:cs="Times New Roman"/>
        </w:rPr>
        <w:t>CIUSSS du Saguenay-Lac-Saint-Jean</w:t>
      </w:r>
      <w:r>
        <w:rPr>
          <w:rFonts w:cs="Times New Roman"/>
        </w:rPr>
        <w:t>.</w:t>
      </w:r>
      <w:r w:rsidR="006E5881">
        <w:br/>
      </w:r>
    </w:p>
    <w:p w14:paraId="1A71E9D1" w14:textId="77777777" w:rsidR="00EB1D63" w:rsidRDefault="00EB1D63" w:rsidP="00EB1D63">
      <w:pPr>
        <w:rPr>
          <w:rFonts w:cs="Times New Roman"/>
        </w:rPr>
      </w:pPr>
    </w:p>
    <w:p w14:paraId="367DE0E4" w14:textId="77777777" w:rsidR="00EB1D63" w:rsidRPr="00EB1D63" w:rsidRDefault="00EB1D63" w:rsidP="00EB1D63">
      <w:pPr>
        <w:rPr>
          <w:rFonts w:cs="Times New Roman"/>
        </w:rPr>
      </w:pPr>
    </w:p>
    <w:p w14:paraId="32C3FE23" w14:textId="77777777" w:rsidR="00513322" w:rsidRPr="00513322" w:rsidRDefault="00513322" w:rsidP="003814DF">
      <w:pPr>
        <w:pStyle w:val="Titre2"/>
      </w:pPr>
      <w:r w:rsidRPr="00513322">
        <w:lastRenderedPageBreak/>
        <w:t>Recommandations</w:t>
      </w:r>
    </w:p>
    <w:p w14:paraId="416E12E9" w14:textId="4B82F7AF" w:rsidR="006E5881" w:rsidRPr="006E5881" w:rsidRDefault="006E5881" w:rsidP="006E5881">
      <w:pPr>
        <w:rPr>
          <w:rFonts w:cs="Arial"/>
          <w:lang w:eastAsia="fr-CA"/>
        </w:rPr>
      </w:pPr>
      <w:r w:rsidRPr="006E5881">
        <w:rPr>
          <w:rFonts w:cs="Arial"/>
          <w:lang w:eastAsia="fr-CA"/>
        </w:rPr>
        <w:t>La Commission</w:t>
      </w:r>
      <w:r>
        <w:rPr>
          <w:rFonts w:cs="Arial"/>
          <w:lang w:eastAsia="fr-CA"/>
        </w:rPr>
        <w:t xml:space="preserve"> recommande </w:t>
      </w:r>
      <w:r w:rsidRPr="006E5881">
        <w:rPr>
          <w:rFonts w:cs="Arial"/>
          <w:lang w:eastAsia="fr-CA"/>
        </w:rPr>
        <w:t>à</w:t>
      </w:r>
      <w:r w:rsidR="00EB1D63">
        <w:rPr>
          <w:rFonts w:cs="Arial"/>
          <w:lang w:eastAsia="fr-CA"/>
        </w:rPr>
        <w:t xml:space="preserve"> la </w:t>
      </w:r>
      <w:r w:rsidR="00EB1D63">
        <w:rPr>
          <w:rFonts w:cs="Times New Roman"/>
        </w:rPr>
        <w:t>DPJ</w:t>
      </w:r>
      <w:r w:rsidR="00EB1D63" w:rsidRPr="00953CD6">
        <w:rPr>
          <w:rFonts w:cs="Times New Roman"/>
        </w:rPr>
        <w:t xml:space="preserve"> </w:t>
      </w:r>
      <w:r w:rsidR="00EB1D63">
        <w:rPr>
          <w:rFonts w:cs="Times New Roman"/>
        </w:rPr>
        <w:t xml:space="preserve">du </w:t>
      </w:r>
      <w:r w:rsidR="00EB1D63" w:rsidRPr="0030287D">
        <w:rPr>
          <w:rFonts w:cs="Times New Roman"/>
        </w:rPr>
        <w:t>CIUSSS du Saguenay-Lac-Saint-Jean</w:t>
      </w:r>
      <w:r w:rsidR="00EB1D63">
        <w:rPr>
          <w:rFonts w:cs="Times New Roman"/>
        </w:rPr>
        <w:t> </w:t>
      </w:r>
      <w:r w:rsidR="00EB1D63" w:rsidRPr="000906C9">
        <w:rPr>
          <w:rFonts w:cs="Arial"/>
          <w:lang w:eastAsia="fr-CA"/>
        </w:rPr>
        <w:t>ce qui suit</w:t>
      </w:r>
      <w:r w:rsidRPr="006E5881">
        <w:rPr>
          <w:rFonts w:cs="Arial"/>
          <w:lang w:eastAsia="fr-CA"/>
        </w:rPr>
        <w:t>:</w:t>
      </w:r>
    </w:p>
    <w:p w14:paraId="36D85155" w14:textId="77777777" w:rsidR="006E5881" w:rsidRPr="006E5881" w:rsidRDefault="006E5881" w:rsidP="006E5881">
      <w:pPr>
        <w:ind w:firstLine="360"/>
        <w:rPr>
          <w:rFonts w:cs="Arial"/>
          <w:b/>
          <w:bCs/>
          <w:lang w:eastAsia="fr-CA"/>
        </w:rPr>
      </w:pPr>
      <w:r w:rsidRPr="006E5881">
        <w:rPr>
          <w:rFonts w:cs="Arial"/>
          <w:b/>
          <w:bCs/>
          <w:lang w:eastAsia="fr-CA"/>
        </w:rPr>
        <w:t xml:space="preserve">Recommandation 1 </w:t>
      </w:r>
    </w:p>
    <w:p w14:paraId="23B4F7CE" w14:textId="3BE7FA40" w:rsidR="006E5881" w:rsidRDefault="00EB1D63" w:rsidP="006E5881">
      <w:pPr>
        <w:pStyle w:val="Paragraphedeliste"/>
        <w:numPr>
          <w:ilvl w:val="0"/>
          <w:numId w:val="2"/>
        </w:numPr>
      </w:pPr>
      <w:r w:rsidRPr="00EB1D63">
        <w:t>Prendre les mesures qu’elle estime appropriées afin de revoir l’organisation des services pour garantir le respect des droits de l’enfant lorsque l’institution traverse des phases plus difficiles au niveau du roulement du personnel et des ressources, par exemple une vigie, afin de s’assurer que les enfants, notamment ceux dont l’intégrité physique et/ou psychologique pourrait être menacée, obtiennent un minimum de services afin d’assurer leur sécurité.</w:t>
      </w:r>
    </w:p>
    <w:p w14:paraId="70937013" w14:textId="77777777" w:rsidR="006E5881" w:rsidRPr="006E5881" w:rsidRDefault="006E5881" w:rsidP="006E5881">
      <w:pPr>
        <w:ind w:left="360"/>
        <w:rPr>
          <w:rFonts w:cs="Arial"/>
          <w:b/>
          <w:bCs/>
          <w:lang w:eastAsia="fr-CA"/>
        </w:rPr>
      </w:pPr>
      <w:r w:rsidRPr="006E5881">
        <w:rPr>
          <w:rFonts w:cs="Arial"/>
          <w:b/>
          <w:bCs/>
          <w:lang w:eastAsia="fr-CA"/>
        </w:rPr>
        <w:t xml:space="preserve">Recommandation 2 </w:t>
      </w:r>
    </w:p>
    <w:p w14:paraId="633F8BBA" w14:textId="5185F35E" w:rsidR="006E5881" w:rsidRPr="006E5881" w:rsidRDefault="00EB1D63" w:rsidP="006E5881">
      <w:pPr>
        <w:pStyle w:val="Paragraphedeliste"/>
        <w:numPr>
          <w:ilvl w:val="0"/>
          <w:numId w:val="2"/>
        </w:numPr>
        <w:rPr>
          <w:rFonts w:cs="Arial"/>
          <w:lang w:eastAsia="fr-CA"/>
        </w:rPr>
      </w:pPr>
      <w:r w:rsidRPr="00EB1D63">
        <w:rPr>
          <w:rFonts w:cs="Arial"/>
          <w:lang w:eastAsia="fr-CA"/>
        </w:rPr>
        <w:t>S’assurer que les critères de la Loi sur la protection de la jeunesse et les outils cliniques pertinents soient appliqués dans le choix du code de priorité à attribuer aux situations d’abus sexuels</w:t>
      </w:r>
    </w:p>
    <w:p w14:paraId="17E03E1B" w14:textId="77777777" w:rsidR="006E5881" w:rsidRPr="006E5881" w:rsidRDefault="006E5881" w:rsidP="006E5881">
      <w:pPr>
        <w:ind w:left="360"/>
        <w:rPr>
          <w:rFonts w:cs="Arial"/>
          <w:b/>
          <w:bCs/>
          <w:lang w:eastAsia="fr-CA"/>
        </w:rPr>
      </w:pPr>
      <w:r w:rsidRPr="006E5881">
        <w:rPr>
          <w:rFonts w:cs="Arial"/>
          <w:b/>
          <w:bCs/>
          <w:lang w:eastAsia="fr-CA"/>
        </w:rPr>
        <w:t xml:space="preserve">Recommandation 3 </w:t>
      </w:r>
    </w:p>
    <w:p w14:paraId="10BB5BFE" w14:textId="31A69D07" w:rsidR="006E5881" w:rsidRPr="002A05D4" w:rsidRDefault="00EB1D63" w:rsidP="006E5881">
      <w:pPr>
        <w:pStyle w:val="Paragraphedeliste"/>
        <w:numPr>
          <w:ilvl w:val="0"/>
          <w:numId w:val="2"/>
        </w:numPr>
      </w:pPr>
      <w:r w:rsidRPr="00EB1D63">
        <w:t>Offrir une formation continue à son personnel, intervenants et gestionnaires, sur les critères de l’article 38.2 de la LPJ et leur application dans l’analyse de la présomption de compromission.</w:t>
      </w:r>
    </w:p>
    <w:p w14:paraId="7EC4CC01" w14:textId="77777777" w:rsidR="006E5881" w:rsidRPr="006E5881" w:rsidRDefault="006E5881" w:rsidP="006E5881">
      <w:pPr>
        <w:ind w:left="360"/>
        <w:rPr>
          <w:rFonts w:cs="Arial"/>
          <w:b/>
          <w:bCs/>
          <w:lang w:eastAsia="fr-CA"/>
        </w:rPr>
      </w:pPr>
      <w:r w:rsidRPr="006E5881">
        <w:rPr>
          <w:rFonts w:cs="Arial"/>
          <w:b/>
          <w:bCs/>
          <w:lang w:eastAsia="fr-CA"/>
        </w:rPr>
        <w:t xml:space="preserve">Recommandation 4 </w:t>
      </w:r>
    </w:p>
    <w:p w14:paraId="7023B094" w14:textId="10CEB4DB" w:rsidR="00EB1D63" w:rsidRDefault="00EB1D63" w:rsidP="006E5881">
      <w:pPr>
        <w:pStyle w:val="Paragraphedeliste"/>
        <w:numPr>
          <w:ilvl w:val="0"/>
          <w:numId w:val="2"/>
        </w:numPr>
        <w:spacing w:after="0" w:line="240" w:lineRule="auto"/>
      </w:pPr>
      <w:r w:rsidRPr="00EB1D63">
        <w:t>Offrir une formation continue à son personnel, intervenants et gestionnaires, sur l’impact des comportements sexuels problématiques sur les enfants</w:t>
      </w:r>
    </w:p>
    <w:p w14:paraId="44F93CD3" w14:textId="77777777" w:rsidR="00EB1D63" w:rsidRDefault="00EB1D63" w:rsidP="00EB1D63">
      <w:pPr>
        <w:pStyle w:val="Paragraphedeliste"/>
        <w:spacing w:after="0" w:line="240" w:lineRule="auto"/>
      </w:pPr>
    </w:p>
    <w:p w14:paraId="6160B7B9" w14:textId="53FAA108" w:rsidR="00EB1D63" w:rsidRDefault="00EB1D63" w:rsidP="00EB1D63">
      <w:pPr>
        <w:ind w:firstLine="360"/>
      </w:pPr>
      <w:r w:rsidRPr="00EB1D63">
        <w:rPr>
          <w:rFonts w:cs="Arial"/>
          <w:b/>
          <w:bCs/>
          <w:lang w:eastAsia="fr-CA"/>
        </w:rPr>
        <w:t xml:space="preserve">Recommandation </w:t>
      </w:r>
      <w:r>
        <w:rPr>
          <w:rFonts w:cs="Arial"/>
          <w:b/>
          <w:bCs/>
          <w:lang w:eastAsia="fr-CA"/>
        </w:rPr>
        <w:t>5</w:t>
      </w:r>
    </w:p>
    <w:p w14:paraId="5ED32D0F" w14:textId="218A989E" w:rsidR="006E5881" w:rsidRDefault="00EB1D63" w:rsidP="006E5881">
      <w:pPr>
        <w:pStyle w:val="Paragraphedeliste"/>
        <w:numPr>
          <w:ilvl w:val="0"/>
          <w:numId w:val="2"/>
        </w:numPr>
        <w:spacing w:after="0" w:line="240" w:lineRule="auto"/>
      </w:pPr>
      <w:r w:rsidRPr="00EB1D63">
        <w:t>Prendre les moyens afin de s’assurer qu’une mesure de protection ou un filet de protection soit mis en place de façon diligente durant l’attente d’assignation à l’évaluation/orientation dans les cas de signalement d’abus sexuel</w:t>
      </w:r>
    </w:p>
    <w:p w14:paraId="707EB1A1" w14:textId="0FEAE582" w:rsidR="00731748" w:rsidRPr="009C29E3" w:rsidRDefault="00731748" w:rsidP="009C29E3">
      <w:pPr>
        <w:pStyle w:val="Paragraphedeliste"/>
        <w:numPr>
          <w:ilvl w:val="0"/>
          <w:numId w:val="2"/>
        </w:numPr>
        <w:spacing w:after="90" w:line="280" w:lineRule="atLeast"/>
        <w:rPr>
          <w:rFonts w:eastAsia="Calibri"/>
        </w:rPr>
      </w:pPr>
      <w:r w:rsidRPr="009C29E3">
        <w:rPr>
          <w:rFonts w:eastAsia="Calibri"/>
        </w:rPr>
        <w:t>Informer la commission de la mise en œuvre des recommandations, et ce, dans les trois mois de la réception des présentes recommandations.</w:t>
      </w:r>
    </w:p>
    <w:p w14:paraId="75EAB67A" w14:textId="77777777" w:rsidR="00753204" w:rsidRDefault="00753204" w:rsidP="00753204">
      <w:pPr>
        <w:spacing w:after="90" w:line="280" w:lineRule="atLeast"/>
        <w:rPr>
          <w:rFonts w:eastAsia="Calibri"/>
        </w:rPr>
      </w:pPr>
    </w:p>
    <w:p w14:paraId="32598906" w14:textId="2D3BB83C" w:rsidR="00753204" w:rsidRPr="00753204" w:rsidRDefault="00753204" w:rsidP="00753204">
      <w:pPr>
        <w:suppressAutoHyphens w:val="0"/>
        <w:autoSpaceDE/>
        <w:autoSpaceDN/>
        <w:adjustRightInd/>
        <w:spacing w:after="160" w:line="259" w:lineRule="auto"/>
        <w:textAlignment w:val="auto"/>
        <w:rPr>
          <w:rFonts w:eastAsia="Calibri"/>
        </w:rPr>
      </w:pPr>
      <w:r>
        <w:rPr>
          <w:rFonts w:eastAsia="Calibri"/>
        </w:rPr>
        <w:br w:type="page"/>
      </w:r>
    </w:p>
    <w:p w14:paraId="2FEA6879" w14:textId="77777777" w:rsidR="00753204" w:rsidRPr="00513322" w:rsidRDefault="00753204" w:rsidP="00753204">
      <w:pPr>
        <w:pStyle w:val="Titre2"/>
      </w:pPr>
      <w:r w:rsidRPr="00513322">
        <w:lastRenderedPageBreak/>
        <w:t>A</w:t>
      </w:r>
      <w:r>
        <w:t>NNEXE</w:t>
      </w:r>
      <w:r w:rsidRPr="00513322">
        <w:t xml:space="preserve"> </w:t>
      </w:r>
    </w:p>
    <w:p w14:paraId="4EB6B3C3" w14:textId="77777777" w:rsidR="00753204" w:rsidRPr="00F360BE" w:rsidRDefault="00753204" w:rsidP="00753204">
      <w:pPr>
        <w:spacing w:after="90" w:line="280" w:lineRule="atLeast"/>
        <w:rPr>
          <w:rFonts w:eastAsia="Calibri"/>
        </w:rPr>
      </w:pPr>
      <w:proofErr w:type="gramStart"/>
      <w:r w:rsidRPr="00513322">
        <w:rPr>
          <w:rFonts w:eastAsia="Calibri"/>
        </w:rPr>
        <w:t>chapitre</w:t>
      </w:r>
      <w:proofErr w:type="gramEnd"/>
      <w:r>
        <w:rPr>
          <w:rFonts w:eastAsia="Calibri"/>
        </w:rPr>
        <w:t> </w:t>
      </w:r>
      <w:r w:rsidRPr="00513322">
        <w:rPr>
          <w:rFonts w:eastAsia="Calibri"/>
        </w:rPr>
        <w:t>P-34.1</w:t>
      </w:r>
      <w:r>
        <w:rPr>
          <w:rFonts w:eastAsia="Calibri"/>
        </w:rPr>
        <w:br/>
      </w:r>
      <w:r w:rsidRPr="00F360BE">
        <w:rPr>
          <w:rFonts w:eastAsia="Calibri" w:cs="Aptos"/>
          <w:b/>
          <w:bCs/>
          <w:caps/>
          <w:szCs w:val="22"/>
        </w:rPr>
        <w:t>LOI SUR LA PROTECTION DE LA JEUNESSE (Extraits)</w:t>
      </w:r>
    </w:p>
    <w:p w14:paraId="1595DAB0" w14:textId="77777777" w:rsidR="00742562" w:rsidRPr="00646DB8" w:rsidRDefault="00742562" w:rsidP="00742562">
      <w:pPr>
        <w:rPr>
          <w:b/>
          <w:bCs/>
          <w:lang w:eastAsia="fr-CA"/>
        </w:rPr>
      </w:pPr>
      <w:r w:rsidRPr="00646DB8">
        <w:rPr>
          <w:b/>
          <w:bCs/>
          <w:lang w:eastAsia="fr-CA"/>
        </w:rPr>
        <w:t xml:space="preserve">ANNEXE – </w:t>
      </w:r>
    </w:p>
    <w:p w14:paraId="30F35380" w14:textId="77777777" w:rsidR="00742562" w:rsidRPr="00646DB8" w:rsidRDefault="00742562" w:rsidP="00742562">
      <w:pPr>
        <w:rPr>
          <w:lang w:eastAsia="fr-CA"/>
        </w:rPr>
      </w:pPr>
      <w:bookmarkStart w:id="1" w:name="_Int_W0RQ9His"/>
      <w:proofErr w:type="gramStart"/>
      <w:r w:rsidRPr="36DA8F3B">
        <w:rPr>
          <w:lang w:eastAsia="fr-CA"/>
        </w:rPr>
        <w:t>chapitre</w:t>
      </w:r>
      <w:bookmarkEnd w:id="1"/>
      <w:proofErr w:type="gramEnd"/>
      <w:r w:rsidRPr="36DA8F3B">
        <w:rPr>
          <w:lang w:eastAsia="fr-CA"/>
        </w:rPr>
        <w:t> P-34.1</w:t>
      </w:r>
    </w:p>
    <w:p w14:paraId="01D72CDF" w14:textId="77777777" w:rsidR="00742562" w:rsidRPr="00192072" w:rsidRDefault="00742562" w:rsidP="00742562">
      <w:pPr>
        <w:rPr>
          <w:rFonts w:cs="Arial"/>
          <w:b/>
          <w:caps/>
          <w:lang w:eastAsia="fr-CA"/>
        </w:rPr>
      </w:pPr>
      <w:r w:rsidRPr="00192072">
        <w:rPr>
          <w:rFonts w:cs="Arial"/>
          <w:b/>
          <w:caps/>
          <w:lang w:eastAsia="fr-CA"/>
        </w:rPr>
        <w:t>Loi sur la protection de la jeunesse</w:t>
      </w:r>
    </w:p>
    <w:p w14:paraId="36E1128C" w14:textId="77777777" w:rsidR="00742562" w:rsidRDefault="00742562" w:rsidP="00742562">
      <w:pPr>
        <w:rPr>
          <w:lang w:eastAsia="fr-CA"/>
        </w:rPr>
      </w:pPr>
      <w:r w:rsidRPr="00646DB8">
        <w:rPr>
          <w:lang w:eastAsia="fr-CA"/>
        </w:rPr>
        <w:t>(Extraits)</w:t>
      </w:r>
    </w:p>
    <w:p w14:paraId="05C90C0E" w14:textId="77777777" w:rsidR="00EB1D63" w:rsidRDefault="00EB1D63" w:rsidP="00EB1D63">
      <w:pPr>
        <w:rPr>
          <w:lang w:eastAsia="fr-CA"/>
        </w:rPr>
      </w:pPr>
      <w:r w:rsidRPr="00490389">
        <w:rPr>
          <w:b/>
          <w:bCs/>
          <w:lang w:eastAsia="fr-CA"/>
        </w:rPr>
        <w:t>CHAPITRE I</w:t>
      </w:r>
      <w:r>
        <w:rPr>
          <w:b/>
          <w:bCs/>
          <w:lang w:eastAsia="fr-CA"/>
        </w:rPr>
        <w:br/>
      </w:r>
      <w:r w:rsidRPr="00490389">
        <w:rPr>
          <w:lang w:eastAsia="fr-CA"/>
        </w:rPr>
        <w:t>INTERPRÉTATION ET APPLICATION</w:t>
      </w:r>
    </w:p>
    <w:p w14:paraId="0CE01F33" w14:textId="77777777" w:rsidR="00EB1D63" w:rsidRPr="00490389" w:rsidRDefault="00EB1D63" w:rsidP="00EB1D63">
      <w:pPr>
        <w:rPr>
          <w:b/>
          <w:bCs/>
          <w:lang w:eastAsia="fr-CA"/>
        </w:rPr>
      </w:pPr>
      <w:r>
        <w:rPr>
          <w:lang w:eastAsia="fr-CA"/>
        </w:rPr>
        <w:t>[…]</w:t>
      </w:r>
    </w:p>
    <w:p w14:paraId="0D199E27" w14:textId="77777777" w:rsidR="00EB1D63" w:rsidRPr="00052D69" w:rsidRDefault="00EB1D63" w:rsidP="00EB1D63">
      <w:pPr>
        <w:rPr>
          <w:lang w:eastAsia="fr-CA"/>
        </w:rPr>
      </w:pPr>
      <w:hyperlink r:id="rId12" w:anchor="se:2" w:history="1">
        <w:r w:rsidRPr="00052D69">
          <w:rPr>
            <w:rStyle w:val="Lienhypertexte"/>
            <w:b/>
            <w:bCs/>
            <w:lang w:eastAsia="fr-CA"/>
          </w:rPr>
          <w:t>2.</w:t>
        </w:r>
      </w:hyperlink>
      <w:r w:rsidRPr="00052D69">
        <w:rPr>
          <w:lang w:eastAsia="fr-CA"/>
        </w:rPr>
        <w:t> La présente loi a pour objet la protection de l’enfant dont la sécurité ou le développement est ou peut être considéré comme compromis. Elle a aussi pour objet de mettre fin à la situation qui compromet la sécurité ou le développement de l’enfant et d’éviter qu’elle ne se reproduise.</w:t>
      </w:r>
    </w:p>
    <w:p w14:paraId="2AD5019B" w14:textId="77777777" w:rsidR="00EB1D63" w:rsidRPr="00052D69" w:rsidRDefault="00EB1D63" w:rsidP="00EB1D63">
      <w:pPr>
        <w:rPr>
          <w:lang w:eastAsia="fr-CA"/>
        </w:rPr>
      </w:pPr>
      <w:r w:rsidRPr="00052D69">
        <w:rPr>
          <w:lang w:eastAsia="fr-CA"/>
        </w:rPr>
        <w:t>En outre, elle complète les dispositions du Code civil portant sur l’adoption d’un enfant domicilié au Québec ou hors du Québec.</w:t>
      </w:r>
    </w:p>
    <w:p w14:paraId="48AB5D11" w14:textId="77777777" w:rsidR="00EB1D63" w:rsidRDefault="00EB1D63" w:rsidP="00EB1D63">
      <w:pPr>
        <w:rPr>
          <w:lang w:eastAsia="fr-CA"/>
        </w:rPr>
      </w:pPr>
      <w:r w:rsidRPr="00052D69">
        <w:rPr>
          <w:lang w:eastAsia="fr-CA"/>
        </w:rPr>
        <w:t>Enfin, en ces matières, la présente loi prévoit, au chapitre V.1, des dispositions particulières aux autochtones, lesquelles ajoutent ou dérogent à ses autres dispositions.</w:t>
      </w:r>
    </w:p>
    <w:p w14:paraId="711E3322" w14:textId="77777777" w:rsidR="00EB1D63" w:rsidRPr="00052D69" w:rsidRDefault="00EB1D63" w:rsidP="00EB1D63">
      <w:pPr>
        <w:rPr>
          <w:lang w:eastAsia="fr-CA"/>
        </w:rPr>
      </w:pPr>
      <w:r>
        <w:rPr>
          <w:lang w:eastAsia="fr-CA"/>
        </w:rPr>
        <w:t>[…]</w:t>
      </w:r>
    </w:p>
    <w:p w14:paraId="2E9C9703" w14:textId="77777777" w:rsidR="00EB1D63" w:rsidRDefault="00EB1D63" w:rsidP="00EB1D63">
      <w:r w:rsidRPr="00B806B9">
        <w:rPr>
          <w:b/>
          <w:bCs/>
        </w:rPr>
        <w:t>CHAPITRE II</w:t>
      </w:r>
      <w:r>
        <w:rPr>
          <w:b/>
          <w:bCs/>
        </w:rPr>
        <w:br/>
      </w:r>
      <w:r w:rsidRPr="00B806B9">
        <w:t>PRINCIPES GÉNÉRAUX, DROITS DE L’ENFANT ET DE SES PARENTS ET RESPONSABILITÉS DES PARENTS</w:t>
      </w:r>
    </w:p>
    <w:p w14:paraId="485A2B13" w14:textId="77777777" w:rsidR="00EB1D63" w:rsidRPr="00052D69" w:rsidRDefault="00EB1D63" w:rsidP="00EB1D63">
      <w:r w:rsidRPr="00052D69">
        <w:rPr>
          <w:b/>
          <w:bCs/>
        </w:rPr>
        <w:t>SECTION I</w:t>
      </w:r>
      <w:r>
        <w:rPr>
          <w:b/>
          <w:bCs/>
        </w:rPr>
        <w:br/>
      </w:r>
      <w:r w:rsidRPr="00052D69">
        <w:t>PRINCIPES GÉNÉRAUX</w:t>
      </w:r>
    </w:p>
    <w:p w14:paraId="463361B3" w14:textId="77777777" w:rsidR="00EB1D63" w:rsidRDefault="00EB1D63" w:rsidP="00EB1D63">
      <w:r>
        <w:t>[…]</w:t>
      </w:r>
    </w:p>
    <w:p w14:paraId="3C37FC26" w14:textId="77777777" w:rsidR="00EB1D63" w:rsidRPr="00C26271" w:rsidRDefault="00EB1D63" w:rsidP="00EB1D63">
      <w:hyperlink r:id="rId13" w:anchor="se:3" w:history="1">
        <w:r w:rsidRPr="00C26271">
          <w:rPr>
            <w:rStyle w:val="Lienhypertexte"/>
            <w:b/>
            <w:bCs/>
          </w:rPr>
          <w:t>3.</w:t>
        </w:r>
      </w:hyperlink>
      <w:r w:rsidRPr="00C26271">
        <w:t> L’intérêt de l’enfant est la considération primordiale dans l’application de la présente loi. Les décisions prises en vertu de celle-ci doivent l’être dans l’intérêt de l’enfant et dans le respect de ses droits.</w:t>
      </w:r>
    </w:p>
    <w:p w14:paraId="4AD11BC4" w14:textId="77777777" w:rsidR="00EB1D63" w:rsidRDefault="00EB1D63" w:rsidP="00EB1D63">
      <w:r w:rsidRPr="00C26271">
        <w:t>Sont pris en considération, outre les besoins moraux, intellectuels, affectifs et physiques de l’enfant, son âge, sa santé, son caractère, son milieu familial incluant les conditions socioéconomiques dans lesquelles il vit, et les autres aspects de sa situation.</w:t>
      </w:r>
    </w:p>
    <w:p w14:paraId="5322FF80" w14:textId="77777777" w:rsidR="00EB1D63" w:rsidRDefault="00EB1D63" w:rsidP="00EB1D63">
      <w:r>
        <w:t>[…]</w:t>
      </w:r>
    </w:p>
    <w:p w14:paraId="00B0AE6A" w14:textId="77777777" w:rsidR="00EB1D63" w:rsidRPr="00DA630C" w:rsidRDefault="00EB1D63" w:rsidP="00EB1D63">
      <w:hyperlink r:id="rId14" w:anchor="se:4_4" w:history="1">
        <w:r w:rsidRPr="00DA630C">
          <w:rPr>
            <w:rStyle w:val="Lienhypertexte"/>
            <w:b/>
            <w:bCs/>
          </w:rPr>
          <w:t>4.4.</w:t>
        </w:r>
      </w:hyperlink>
      <w:r w:rsidRPr="00DA630C">
        <w:t> Les personnes à qui la présente loi confie des responsabilités envers l’enfant ainsi que celles appelées à prendre des décisions à son sujet en vertu de cette loi doivent, lors de leurs interventions:</w:t>
      </w:r>
    </w:p>
    <w:p w14:paraId="151FD4FA" w14:textId="77777777" w:rsidR="00EB1D63" w:rsidRPr="00DA630C" w:rsidRDefault="00EB1D63" w:rsidP="00EB1D63">
      <w:r w:rsidRPr="00DA630C">
        <w:rPr>
          <w:i/>
          <w:iCs/>
        </w:rPr>
        <w:lastRenderedPageBreak/>
        <w:t>a</w:t>
      </w:r>
      <w:r w:rsidRPr="00DA630C">
        <w:t>) </w:t>
      </w:r>
      <w:r w:rsidRPr="00DA630C">
        <w:rPr>
          <w:i/>
          <w:iCs/>
        </w:rPr>
        <w:t> </w:t>
      </w:r>
      <w:r w:rsidRPr="00DA630C">
        <w:t>traiter l’enfant et ses parents avec courtoisie, équité et compréhension, dans le respect de leur dignité et de leur autonomie;</w:t>
      </w:r>
    </w:p>
    <w:p w14:paraId="013A44B4" w14:textId="77777777" w:rsidR="00EB1D63" w:rsidRPr="00DA630C" w:rsidRDefault="00EB1D63" w:rsidP="00EB1D63">
      <w:r w:rsidRPr="00DA630C">
        <w:rPr>
          <w:i/>
          <w:iCs/>
        </w:rPr>
        <w:t>b</w:t>
      </w:r>
      <w:r w:rsidRPr="00DA630C">
        <w:t>) </w:t>
      </w:r>
      <w:r w:rsidRPr="00DA630C">
        <w:rPr>
          <w:i/>
          <w:iCs/>
        </w:rPr>
        <w:t> </w:t>
      </w:r>
      <w:r w:rsidRPr="00DA630C">
        <w:t>agir avec diligence pour assurer la sécurité ou le développement de l’enfant, compte tenu que la notion de temps chez l’enfant est différente de celle des adultes;</w:t>
      </w:r>
    </w:p>
    <w:p w14:paraId="336A701E" w14:textId="77777777" w:rsidR="00EB1D63" w:rsidRPr="00DA630C" w:rsidRDefault="00EB1D63" w:rsidP="00EB1D63">
      <w:r w:rsidRPr="00DA630C">
        <w:rPr>
          <w:i/>
          <w:iCs/>
        </w:rPr>
        <w:t>c</w:t>
      </w:r>
      <w:r w:rsidRPr="00DA630C">
        <w:t>) </w:t>
      </w:r>
      <w:r w:rsidRPr="00DA630C">
        <w:rPr>
          <w:i/>
          <w:iCs/>
        </w:rPr>
        <w:t> </w:t>
      </w:r>
      <w:r w:rsidRPr="00DA630C">
        <w:t>prendre en considération la proximité de la ressource choisie;</w:t>
      </w:r>
    </w:p>
    <w:p w14:paraId="155BEC02" w14:textId="77777777" w:rsidR="00EB1D63" w:rsidRPr="00DA630C" w:rsidRDefault="00EB1D63" w:rsidP="00EB1D63">
      <w:r w:rsidRPr="00DA630C">
        <w:rPr>
          <w:i/>
          <w:iCs/>
        </w:rPr>
        <w:t>d</w:t>
      </w:r>
      <w:r w:rsidRPr="00DA630C">
        <w:t>) </w:t>
      </w:r>
      <w:r w:rsidRPr="00DA630C">
        <w:rPr>
          <w:i/>
          <w:iCs/>
        </w:rPr>
        <w:t> </w:t>
      </w:r>
      <w:r w:rsidRPr="00DA630C">
        <w:t>tenir compte des caractéristiques des communautés ethnoculturelles, notamment dans le choix du milieu de vie substitut de l’enfant.</w:t>
      </w:r>
    </w:p>
    <w:p w14:paraId="0279B96F" w14:textId="77777777" w:rsidR="00EB1D63" w:rsidRDefault="00EB1D63" w:rsidP="00EB1D63">
      <w:r>
        <w:t>[…]</w:t>
      </w:r>
    </w:p>
    <w:p w14:paraId="12CB8D5A" w14:textId="77777777" w:rsidR="00EB1D63" w:rsidRPr="007E16C0" w:rsidRDefault="00EB1D63" w:rsidP="00EB1D63">
      <w:pPr>
        <w:spacing w:after="0" w:line="240" w:lineRule="auto"/>
        <w:rPr>
          <w:lang w:eastAsia="fr-CA"/>
        </w:rPr>
      </w:pPr>
      <w:r w:rsidRPr="007E16C0">
        <w:rPr>
          <w:b/>
          <w:bCs/>
          <w:lang w:eastAsia="fr-CA"/>
        </w:rPr>
        <w:t>SECTION II</w:t>
      </w:r>
    </w:p>
    <w:p w14:paraId="25FA67C0" w14:textId="77777777" w:rsidR="00EB1D63" w:rsidRDefault="00EB1D63" w:rsidP="00EB1D63">
      <w:pPr>
        <w:spacing w:after="0" w:line="240" w:lineRule="auto"/>
        <w:rPr>
          <w:lang w:eastAsia="fr-CA"/>
        </w:rPr>
      </w:pPr>
      <w:r w:rsidRPr="007E16C0">
        <w:rPr>
          <w:lang w:eastAsia="fr-CA"/>
        </w:rPr>
        <w:t>DROITS DE L’ENFANT ET DE SES PARENTS</w:t>
      </w:r>
    </w:p>
    <w:p w14:paraId="126B081F" w14:textId="77777777" w:rsidR="00EB1D63" w:rsidRDefault="00EB1D63" w:rsidP="00EB1D63">
      <w:r>
        <w:t>[…]</w:t>
      </w:r>
      <w:r>
        <w:br/>
      </w:r>
      <w:hyperlink r:id="rId15" w:anchor="se:8" w:history="1">
        <w:r w:rsidRPr="00CC1AAC">
          <w:rPr>
            <w:rStyle w:val="Lienhypertexte"/>
            <w:b/>
            <w:bCs/>
          </w:rPr>
          <w:br/>
          <w:t>8.</w:t>
        </w:r>
      </w:hyperlink>
      <w:r w:rsidRPr="00CC1AAC">
        <w:t> L’enfant et ses parents ont le droit de recevoir des services de santé et des services sociaux adéquats sur les plans à la fois scientifique, humain et social, avec continuité, de façon personnalisée et avec l’intensité requise, en tenant compte des dispositions législatives et réglementaires relatives à l’organisation et au fonctionnement de l’établissement qui dispense ces services ainsi que des ressources humaines, matérielles et financières dont il dispose.</w:t>
      </w:r>
    </w:p>
    <w:p w14:paraId="2F2338CC" w14:textId="77777777" w:rsidR="00EB1D63" w:rsidRDefault="00EB1D63" w:rsidP="00EB1D63">
      <w:r>
        <w:t>[…]</w:t>
      </w:r>
    </w:p>
    <w:p w14:paraId="7546B20A" w14:textId="77777777" w:rsidR="00EB1D63" w:rsidRPr="009606E6" w:rsidRDefault="00EB1D63" w:rsidP="00EB1D63">
      <w:pPr>
        <w:rPr>
          <w:b/>
          <w:bCs/>
        </w:rPr>
      </w:pPr>
      <w:r w:rsidRPr="009606E6">
        <w:rPr>
          <w:b/>
          <w:bCs/>
        </w:rPr>
        <w:t>CHAPITRE IV</w:t>
      </w:r>
      <w:r>
        <w:rPr>
          <w:b/>
          <w:bCs/>
        </w:rPr>
        <w:br/>
      </w:r>
      <w:r w:rsidRPr="009606E6">
        <w:t>INTERVENTION SOCIALE</w:t>
      </w:r>
    </w:p>
    <w:p w14:paraId="342911DC" w14:textId="77777777" w:rsidR="00EB1D63" w:rsidRDefault="00EB1D63" w:rsidP="00EB1D63">
      <w:r w:rsidRPr="009606E6">
        <w:rPr>
          <w:b/>
          <w:bCs/>
        </w:rPr>
        <w:t>SECTION I</w:t>
      </w:r>
      <w:r>
        <w:br/>
      </w:r>
      <w:r w:rsidRPr="009606E6">
        <w:t>SÉCURITÉ ET DÉVELOPPEMENT D’UN ENFANT</w:t>
      </w:r>
    </w:p>
    <w:p w14:paraId="269EF1E0" w14:textId="77777777" w:rsidR="00EB1D63" w:rsidRDefault="00EB1D63" w:rsidP="00EB1D63">
      <w:r>
        <w:t>[…]</w:t>
      </w:r>
    </w:p>
    <w:p w14:paraId="3AB1E6C2" w14:textId="77777777" w:rsidR="00EB1D63" w:rsidRPr="00821524" w:rsidRDefault="00EB1D63" w:rsidP="00EB1D63">
      <w:hyperlink r:id="rId16" w:anchor="se:38_2" w:history="1">
        <w:r w:rsidRPr="00821524">
          <w:rPr>
            <w:rStyle w:val="Lienhypertexte"/>
            <w:b/>
            <w:bCs/>
          </w:rPr>
          <w:t>38.2.</w:t>
        </w:r>
      </w:hyperlink>
      <w:r w:rsidRPr="00821524">
        <w:t> Toute décision visant à déterminer si un signalement doit être retenu pour évaluation ou si la sécurité ou le développement d’un enfant est compromis doit notamment prendre en considération les facteurs suivants:</w:t>
      </w:r>
    </w:p>
    <w:p w14:paraId="55EE65C9" w14:textId="77777777" w:rsidR="00EB1D63" w:rsidRPr="00821524" w:rsidRDefault="00EB1D63" w:rsidP="00EB1D63">
      <w:pPr>
        <w:ind w:left="1410" w:hanging="1410"/>
      </w:pPr>
      <w:r w:rsidRPr="00821524">
        <w:rPr>
          <w:i/>
          <w:iCs/>
        </w:rPr>
        <w:t>a</w:t>
      </w:r>
      <w:r w:rsidRPr="00821524">
        <w:t>) </w:t>
      </w:r>
      <w:r w:rsidRPr="00821524">
        <w:rPr>
          <w:i/>
          <w:iCs/>
        </w:rPr>
        <w:t> </w:t>
      </w:r>
      <w:r w:rsidRPr="00821524">
        <w:t>la nature, la gravité, la chronicité et la fréquence des faits signalés;</w:t>
      </w:r>
    </w:p>
    <w:p w14:paraId="35C3AA89" w14:textId="77777777" w:rsidR="00EB1D63" w:rsidRPr="00821524" w:rsidRDefault="00EB1D63" w:rsidP="00EB1D63">
      <w:pPr>
        <w:ind w:left="1410" w:hanging="1410"/>
      </w:pPr>
      <w:r w:rsidRPr="00821524">
        <w:rPr>
          <w:i/>
          <w:iCs/>
        </w:rPr>
        <w:t>b</w:t>
      </w:r>
      <w:r w:rsidRPr="00821524">
        <w:t>) </w:t>
      </w:r>
      <w:r w:rsidRPr="00821524">
        <w:rPr>
          <w:i/>
          <w:iCs/>
        </w:rPr>
        <w:t> </w:t>
      </w:r>
      <w:r w:rsidRPr="00821524">
        <w:t>l’âge et les caractéristiques personnelles de l’enfant;</w:t>
      </w:r>
    </w:p>
    <w:p w14:paraId="2E720D6E" w14:textId="77777777" w:rsidR="00EB1D63" w:rsidRPr="00821524" w:rsidRDefault="00EB1D63" w:rsidP="00EB1D63">
      <w:r w:rsidRPr="00821524">
        <w:rPr>
          <w:i/>
          <w:iCs/>
        </w:rPr>
        <w:t>c</w:t>
      </w:r>
      <w:r w:rsidRPr="00821524">
        <w:t>) </w:t>
      </w:r>
      <w:r w:rsidRPr="00821524">
        <w:rPr>
          <w:i/>
          <w:iCs/>
        </w:rPr>
        <w:t> </w:t>
      </w:r>
      <w:r w:rsidRPr="00821524">
        <w:t>la capacité et la volonté des parents de mettre fin à la situation qui compromet la sécurité ou le développement de l’enfant;</w:t>
      </w:r>
    </w:p>
    <w:p w14:paraId="4FE9BE30" w14:textId="687A0F9F" w:rsidR="00742562" w:rsidRPr="00F26414" w:rsidRDefault="00EB1D63" w:rsidP="00EB1D63">
      <w:r w:rsidRPr="00821524">
        <w:rPr>
          <w:i/>
          <w:iCs/>
        </w:rPr>
        <w:t>d</w:t>
      </w:r>
      <w:r w:rsidRPr="00821524">
        <w:t>) </w:t>
      </w:r>
      <w:r w:rsidRPr="00821524">
        <w:rPr>
          <w:i/>
          <w:iCs/>
        </w:rPr>
        <w:t> </w:t>
      </w:r>
      <w:r w:rsidRPr="00821524">
        <w:t>les ressources du milieu pour venir en aide à l’enfant et à ses parents.</w:t>
      </w:r>
    </w:p>
    <w:p w14:paraId="48C8C760" w14:textId="710AFC56" w:rsidR="00513322" w:rsidRPr="00513322" w:rsidRDefault="00513322" w:rsidP="00A124A8">
      <w:pPr>
        <w:spacing w:after="90" w:line="280" w:lineRule="atLeast"/>
        <w:rPr>
          <w:rFonts w:eastAsia="Calibri"/>
        </w:rPr>
      </w:pPr>
    </w:p>
    <w:sectPr w:rsidR="00513322" w:rsidRPr="00513322" w:rsidSect="00513322">
      <w:headerReference w:type="default" r:id="rId17"/>
      <w:footerReference w:type="even" r:id="rId18"/>
      <w:footerReference w:type="default" r:id="rId19"/>
      <w:headerReference w:type="first" r:id="rId20"/>
      <w:pgSz w:w="12240" w:h="15840"/>
      <w:pgMar w:top="1860" w:right="1080" w:bottom="1843" w:left="1080" w:header="7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49D4" w14:textId="77777777" w:rsidR="009370D4" w:rsidRDefault="009370D4">
      <w:pPr>
        <w:spacing w:after="0" w:line="240" w:lineRule="auto"/>
      </w:pPr>
      <w:r>
        <w:separator/>
      </w:r>
    </w:p>
  </w:endnote>
  <w:endnote w:type="continuationSeparator" w:id="0">
    <w:p w14:paraId="14960DBF" w14:textId="77777777" w:rsidR="009370D4" w:rsidRDefault="009370D4">
      <w:pPr>
        <w:spacing w:after="0" w:line="240" w:lineRule="auto"/>
      </w:pPr>
      <w:r>
        <w:continuationSeparator/>
      </w:r>
    </w:p>
  </w:endnote>
  <w:endnote w:type="continuationNotice" w:id="1">
    <w:p w14:paraId="4315E8CE" w14:textId="77777777" w:rsidR="009370D4" w:rsidRDefault="00937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144693274"/>
      <w:docPartObj>
        <w:docPartGallery w:val="Page Numbers (Bottom of Page)"/>
        <w:docPartUnique/>
      </w:docPartObj>
    </w:sdtPr>
    <w:sdtContent>
      <w:p w14:paraId="42FCCD66" w14:textId="77777777" w:rsidR="00513322" w:rsidRDefault="00513322" w:rsidP="005B26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7609898" w14:textId="77777777" w:rsidR="00513322" w:rsidRDefault="00513322" w:rsidP="005B261D">
    <w:pPr>
      <w:pStyle w:val="Pieddepage"/>
      <w:ind w:right="360"/>
    </w:pPr>
  </w:p>
  <w:p w14:paraId="4FCAF78E" w14:textId="77777777" w:rsidR="00513322" w:rsidRDefault="00513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483306"/>
      <w:docPartObj>
        <w:docPartGallery w:val="Page Numbers (Bottom of Page)"/>
        <w:docPartUnique/>
      </w:docPartObj>
    </w:sdtPr>
    <w:sdtContent>
      <w:p w14:paraId="4D8225E4" w14:textId="185E492D" w:rsidR="00513322" w:rsidRDefault="00513322" w:rsidP="005B261D">
        <w:pPr>
          <w:pStyle w:val="Pieddepage"/>
        </w:pPr>
        <w:r w:rsidRPr="00C71794">
          <w:t>Résumé des conclusions et recommandations</w:t>
        </w:r>
        <w:r w:rsidR="00A85364">
          <w:t xml:space="preserve"> </w:t>
        </w:r>
        <w:r w:rsidRPr="00C71794">
          <w:t xml:space="preserve">- </w:t>
        </w:r>
        <w:r w:rsidRPr="00E557D9">
          <w:t xml:space="preserve">Enquête individuelle </w:t>
        </w:r>
        <w:r>
          <w:t>–</w:t>
        </w:r>
        <w:r w:rsidRPr="00E557D9">
          <w:t xml:space="preserve"> </w:t>
        </w:r>
        <w:r w:rsidR="00A913CA">
          <w:t>Saguenay</w:t>
        </w:r>
      </w:p>
      <w:p w14:paraId="14F48734" w14:textId="77777777" w:rsidR="00513322" w:rsidRDefault="00513322" w:rsidP="005B261D">
        <w:pPr>
          <w:pStyle w:val="Pieddepage"/>
          <w:jc w:val="right"/>
        </w:pPr>
        <w:r>
          <w:t xml:space="preserve"> </w:t>
        </w:r>
        <w:r w:rsidRPr="00F6365B">
          <w:rPr>
            <w:sz w:val="20"/>
          </w:rPr>
          <w:fldChar w:fldCharType="begin"/>
        </w:r>
        <w:r w:rsidRPr="00F6365B">
          <w:rPr>
            <w:sz w:val="20"/>
          </w:rPr>
          <w:instrText>PAGE   \* MERGEFORMAT</w:instrText>
        </w:r>
        <w:r w:rsidRPr="00F6365B">
          <w:rPr>
            <w:sz w:val="20"/>
          </w:rPr>
          <w:fldChar w:fldCharType="separate"/>
        </w:r>
        <w:r w:rsidRPr="00F6365B">
          <w:rPr>
            <w:sz w:val="20"/>
          </w:rPr>
          <w:t>2</w:t>
        </w:r>
        <w:r w:rsidRPr="00F6365B">
          <w:rPr>
            <w:sz w:val="20"/>
          </w:rPr>
          <w:fldChar w:fldCharType="end"/>
        </w:r>
      </w:p>
    </w:sdtContent>
  </w:sdt>
  <w:p w14:paraId="03F39489" w14:textId="77777777" w:rsidR="00513322" w:rsidRPr="00C71794" w:rsidRDefault="00513322" w:rsidP="005B261D">
    <w:pPr>
      <w:pStyle w:val="Sansinterligne"/>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2B05C" w14:textId="77777777" w:rsidR="009370D4" w:rsidRDefault="009370D4">
      <w:pPr>
        <w:spacing w:after="0" w:line="240" w:lineRule="auto"/>
      </w:pPr>
      <w:r>
        <w:separator/>
      </w:r>
    </w:p>
  </w:footnote>
  <w:footnote w:type="continuationSeparator" w:id="0">
    <w:p w14:paraId="41000B08" w14:textId="77777777" w:rsidR="009370D4" w:rsidRDefault="009370D4">
      <w:pPr>
        <w:spacing w:after="0" w:line="240" w:lineRule="auto"/>
      </w:pPr>
      <w:r>
        <w:continuationSeparator/>
      </w:r>
    </w:p>
  </w:footnote>
  <w:footnote w:type="continuationNotice" w:id="1">
    <w:p w14:paraId="492E0756" w14:textId="77777777" w:rsidR="009370D4" w:rsidRDefault="009370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42AD" w14:textId="77777777" w:rsidR="00513322" w:rsidRDefault="00513322" w:rsidP="005B261D">
    <w:pPr>
      <w:pStyle w:val="En-tte"/>
      <w:ind w:left="993"/>
    </w:pPr>
    <w:r>
      <w:rPr>
        <w:noProof/>
      </w:rPr>
      <w:drawing>
        <wp:anchor distT="0" distB="0" distL="114300" distR="114300" simplePos="0" relativeHeight="251658240" behindDoc="1" locked="0" layoutInCell="1" allowOverlap="1" wp14:anchorId="5CC9A06B" wp14:editId="5CBCB65E">
          <wp:simplePos x="0" y="0"/>
          <wp:positionH relativeFrom="margin">
            <wp:align>left</wp:align>
          </wp:positionH>
          <wp:positionV relativeFrom="paragraph">
            <wp:posOffset>10375</wp:posOffset>
          </wp:positionV>
          <wp:extent cx="331200" cy="331200"/>
          <wp:effectExtent l="0" t="0" r="0" b="0"/>
          <wp:wrapTight wrapText="bothSides">
            <wp:wrapPolygon edited="0">
              <wp:start x="6219" y="0"/>
              <wp:lineTo x="0" y="1244"/>
              <wp:lineTo x="0" y="18656"/>
              <wp:lineTo x="6219" y="19900"/>
              <wp:lineTo x="13681" y="19900"/>
              <wp:lineTo x="19900" y="18656"/>
              <wp:lineTo x="19900" y="1244"/>
              <wp:lineTo x="13681" y="0"/>
              <wp:lineTo x="6219" y="0"/>
            </wp:wrapPolygon>
          </wp:wrapTight>
          <wp:docPr id="1373785014"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85014" name="Imag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200" cy="33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6F63" w14:textId="77777777" w:rsidR="00513322" w:rsidRPr="000A6717" w:rsidRDefault="00513322" w:rsidP="005B261D">
    <w:pPr>
      <w:pStyle w:val="En-tte"/>
      <w:ind w:left="-142"/>
    </w:pPr>
    <w:r>
      <w:rPr>
        <w:noProof/>
      </w:rPr>
      <w:drawing>
        <wp:inline distT="0" distB="0" distL="0" distR="0" wp14:anchorId="5721A970" wp14:editId="0F9A605E">
          <wp:extent cx="1803338" cy="724930"/>
          <wp:effectExtent l="0" t="0" r="6985" b="0"/>
          <wp:docPr id="1691250436" name="Image 2" descr="Logo de la Commission des droits de la personne et des droits de la jeun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50436" name="Image 2" descr="Logo de la Commission des droits de la personne et des droits de la jeunesse."/>
                  <pic:cNvPicPr/>
                </pic:nvPicPr>
                <pic:blipFill>
                  <a:blip r:embed="rId1">
                    <a:extLst>
                      <a:ext uri="{28A0092B-C50C-407E-A947-70E740481C1C}">
                        <a14:useLocalDpi xmlns:a14="http://schemas.microsoft.com/office/drawing/2010/main" val="0"/>
                      </a:ext>
                    </a:extLst>
                  </a:blip>
                  <a:stretch>
                    <a:fillRect/>
                  </a:stretch>
                </pic:blipFill>
                <pic:spPr>
                  <a:xfrm>
                    <a:off x="0" y="0"/>
                    <a:ext cx="1849792" cy="743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44D6"/>
    <w:multiLevelType w:val="hybridMultilevel"/>
    <w:tmpl w:val="8228D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8C59FF"/>
    <w:multiLevelType w:val="hybridMultilevel"/>
    <w:tmpl w:val="8B52709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BEF1C3C"/>
    <w:multiLevelType w:val="hybridMultilevel"/>
    <w:tmpl w:val="AEF0AC4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1C04EF8"/>
    <w:multiLevelType w:val="hybridMultilevel"/>
    <w:tmpl w:val="B20025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7D22A2A"/>
    <w:multiLevelType w:val="hybridMultilevel"/>
    <w:tmpl w:val="61F8F5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A760AB6"/>
    <w:multiLevelType w:val="hybridMultilevel"/>
    <w:tmpl w:val="27D2E8B6"/>
    <w:lvl w:ilvl="0" w:tplc="443C03F2">
      <w:start w:val="1"/>
      <w:numFmt w:val="bullet"/>
      <w:pStyle w:val="Listepucesansgras"/>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2684DE0"/>
    <w:multiLevelType w:val="hybridMultilevel"/>
    <w:tmpl w:val="853AA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60457458">
    <w:abstractNumId w:val="0"/>
  </w:num>
  <w:num w:numId="2" w16cid:durableId="1320574884">
    <w:abstractNumId w:val="6"/>
  </w:num>
  <w:num w:numId="3" w16cid:durableId="452989219">
    <w:abstractNumId w:val="4"/>
  </w:num>
  <w:num w:numId="4" w16cid:durableId="1312634428">
    <w:abstractNumId w:val="2"/>
  </w:num>
  <w:num w:numId="5" w16cid:durableId="2057855240">
    <w:abstractNumId w:val="1"/>
  </w:num>
  <w:num w:numId="6" w16cid:durableId="1774397852">
    <w:abstractNumId w:val="5"/>
  </w:num>
  <w:num w:numId="7" w16cid:durableId="368340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22"/>
    <w:rsid w:val="000209FD"/>
    <w:rsid w:val="00024194"/>
    <w:rsid w:val="00085479"/>
    <w:rsid w:val="00085597"/>
    <w:rsid w:val="00095614"/>
    <w:rsid w:val="000B4F49"/>
    <w:rsid w:val="000D6967"/>
    <w:rsid w:val="000D6E63"/>
    <w:rsid w:val="00104CDD"/>
    <w:rsid w:val="0016660F"/>
    <w:rsid w:val="00170B0E"/>
    <w:rsid w:val="001C65CF"/>
    <w:rsid w:val="0020008D"/>
    <w:rsid w:val="0021737A"/>
    <w:rsid w:val="0022762A"/>
    <w:rsid w:val="002425CE"/>
    <w:rsid w:val="002615E9"/>
    <w:rsid w:val="00286917"/>
    <w:rsid w:val="002A6305"/>
    <w:rsid w:val="0031371E"/>
    <w:rsid w:val="00341AFA"/>
    <w:rsid w:val="003779C2"/>
    <w:rsid w:val="003814DF"/>
    <w:rsid w:val="00396D46"/>
    <w:rsid w:val="003B08F5"/>
    <w:rsid w:val="003B7770"/>
    <w:rsid w:val="003E525E"/>
    <w:rsid w:val="00432411"/>
    <w:rsid w:val="00435A84"/>
    <w:rsid w:val="00460213"/>
    <w:rsid w:val="00483647"/>
    <w:rsid w:val="00493519"/>
    <w:rsid w:val="0049729B"/>
    <w:rsid w:val="004B1FB0"/>
    <w:rsid w:val="004C60FC"/>
    <w:rsid w:val="00513322"/>
    <w:rsid w:val="00515EBD"/>
    <w:rsid w:val="005B261D"/>
    <w:rsid w:val="005D129F"/>
    <w:rsid w:val="006128E8"/>
    <w:rsid w:val="00625A95"/>
    <w:rsid w:val="0066166B"/>
    <w:rsid w:val="006A10A1"/>
    <w:rsid w:val="006E5881"/>
    <w:rsid w:val="007149B9"/>
    <w:rsid w:val="007204DB"/>
    <w:rsid w:val="00731748"/>
    <w:rsid w:val="00742562"/>
    <w:rsid w:val="00742FC8"/>
    <w:rsid w:val="00747551"/>
    <w:rsid w:val="00753204"/>
    <w:rsid w:val="007778EC"/>
    <w:rsid w:val="00787FD0"/>
    <w:rsid w:val="007B37AB"/>
    <w:rsid w:val="007C6FA8"/>
    <w:rsid w:val="007D0917"/>
    <w:rsid w:val="007E1F09"/>
    <w:rsid w:val="00825A45"/>
    <w:rsid w:val="008D447E"/>
    <w:rsid w:val="009370D4"/>
    <w:rsid w:val="00951C12"/>
    <w:rsid w:val="009C29E3"/>
    <w:rsid w:val="009E79A5"/>
    <w:rsid w:val="009F3472"/>
    <w:rsid w:val="00A124A8"/>
    <w:rsid w:val="00A85364"/>
    <w:rsid w:val="00A913CA"/>
    <w:rsid w:val="00AA6B81"/>
    <w:rsid w:val="00B3623D"/>
    <w:rsid w:val="00B81241"/>
    <w:rsid w:val="00B91314"/>
    <w:rsid w:val="00BD4034"/>
    <w:rsid w:val="00C24695"/>
    <w:rsid w:val="00C402F7"/>
    <w:rsid w:val="00C426F4"/>
    <w:rsid w:val="00C84D98"/>
    <w:rsid w:val="00CA7603"/>
    <w:rsid w:val="00CB0BC3"/>
    <w:rsid w:val="00CF4D10"/>
    <w:rsid w:val="00D33C23"/>
    <w:rsid w:val="00D37180"/>
    <w:rsid w:val="00D50292"/>
    <w:rsid w:val="00D800AE"/>
    <w:rsid w:val="00DA12C3"/>
    <w:rsid w:val="00DF4699"/>
    <w:rsid w:val="00E055EA"/>
    <w:rsid w:val="00E14440"/>
    <w:rsid w:val="00E1569B"/>
    <w:rsid w:val="00E75ABD"/>
    <w:rsid w:val="00E9258B"/>
    <w:rsid w:val="00EA7E9D"/>
    <w:rsid w:val="00EB1D63"/>
    <w:rsid w:val="00EC1D0C"/>
    <w:rsid w:val="00EC67C7"/>
    <w:rsid w:val="00F360BE"/>
    <w:rsid w:val="00F40880"/>
    <w:rsid w:val="00F81AFC"/>
    <w:rsid w:val="00F82EDC"/>
    <w:rsid w:val="00F844F1"/>
    <w:rsid w:val="00F8749B"/>
    <w:rsid w:val="00F931F4"/>
    <w:rsid w:val="00FD0A69"/>
    <w:rsid w:val="00FD6D93"/>
    <w:rsid w:val="00FE436E"/>
    <w:rsid w:val="037EE896"/>
    <w:rsid w:val="08C03D3E"/>
    <w:rsid w:val="0FCDADE6"/>
    <w:rsid w:val="1830BE9B"/>
    <w:rsid w:val="27397F87"/>
    <w:rsid w:val="2F739370"/>
    <w:rsid w:val="3C081239"/>
    <w:rsid w:val="43648B33"/>
    <w:rsid w:val="5D93086F"/>
    <w:rsid w:val="637840E0"/>
    <w:rsid w:val="6539187B"/>
    <w:rsid w:val="65EC9BDD"/>
    <w:rsid w:val="66DC84F9"/>
    <w:rsid w:val="688B468E"/>
    <w:rsid w:val="68B784D9"/>
    <w:rsid w:val="770CB34E"/>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1A62"/>
  <w15:chartTrackingRefBased/>
  <w15:docId w15:val="{72451A8F-48F0-4E6C-840F-47F16597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D0C"/>
    <w:pPr>
      <w:suppressAutoHyphens/>
      <w:autoSpaceDE w:val="0"/>
      <w:autoSpaceDN w:val="0"/>
      <w:adjustRightInd w:val="0"/>
      <w:spacing w:after="120" w:line="320" w:lineRule="atLeast"/>
      <w:textAlignment w:val="center"/>
    </w:pPr>
    <w:rPr>
      <w:rFonts w:ascii="Aptos" w:hAnsi="Aptos" w:cs="Aptos Light"/>
      <w:color w:val="000000"/>
      <w:kern w:val="0"/>
      <w:szCs w:val="20"/>
    </w:rPr>
  </w:style>
  <w:style w:type="paragraph" w:styleId="Titre1">
    <w:name w:val="heading 1"/>
    <w:basedOn w:val="Normal"/>
    <w:next w:val="Normal"/>
    <w:link w:val="Titre1Car"/>
    <w:uiPriority w:val="9"/>
    <w:qFormat/>
    <w:rsid w:val="00513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3814DF"/>
    <w:pPr>
      <w:spacing w:before="120" w:after="90" w:line="260" w:lineRule="atLeast"/>
      <w:outlineLvl w:val="1"/>
    </w:pPr>
    <w:rPr>
      <w:rFonts w:eastAsia="Calibri" w:cs="Aptos"/>
      <w:b/>
      <w:bCs/>
      <w:color w:val="953D89"/>
      <w:sz w:val="28"/>
      <w:szCs w:val="28"/>
      <w:lang w:eastAsia="fr-CA"/>
    </w:rPr>
  </w:style>
  <w:style w:type="paragraph" w:styleId="Titre3">
    <w:name w:val="heading 3"/>
    <w:basedOn w:val="Normal"/>
    <w:next w:val="Normal"/>
    <w:link w:val="Titre3Car"/>
    <w:uiPriority w:val="9"/>
    <w:semiHidden/>
    <w:unhideWhenUsed/>
    <w:qFormat/>
    <w:rsid w:val="005133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33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1332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133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1332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1332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1332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3322"/>
    <w:rPr>
      <w:rFonts w:asciiTheme="majorHAnsi" w:eastAsiaTheme="majorEastAsia" w:hAnsiTheme="majorHAnsi" w:cstheme="majorBidi"/>
      <w:color w:val="0F4761" w:themeColor="accent1" w:themeShade="BF"/>
      <w:kern w:val="0"/>
      <w:sz w:val="40"/>
      <w:szCs w:val="40"/>
    </w:rPr>
  </w:style>
  <w:style w:type="character" w:customStyle="1" w:styleId="Titre2Car">
    <w:name w:val="Titre 2 Car"/>
    <w:basedOn w:val="Policepardfaut"/>
    <w:link w:val="Titre2"/>
    <w:uiPriority w:val="9"/>
    <w:rsid w:val="003814DF"/>
    <w:rPr>
      <w:rFonts w:ascii="Aptos" w:eastAsia="Calibri" w:hAnsi="Aptos" w:cs="Aptos"/>
      <w:b/>
      <w:bCs/>
      <w:color w:val="953D89"/>
      <w:kern w:val="0"/>
      <w:sz w:val="28"/>
      <w:szCs w:val="28"/>
      <w:lang w:eastAsia="fr-CA"/>
    </w:rPr>
  </w:style>
  <w:style w:type="character" w:customStyle="1" w:styleId="Titre3Car">
    <w:name w:val="Titre 3 Car"/>
    <w:basedOn w:val="Policepardfaut"/>
    <w:link w:val="Titre3"/>
    <w:uiPriority w:val="9"/>
    <w:semiHidden/>
    <w:rsid w:val="00513322"/>
    <w:rPr>
      <w:rFonts w:eastAsiaTheme="majorEastAsia" w:cstheme="majorBidi"/>
      <w:color w:val="0F4761" w:themeColor="accent1" w:themeShade="BF"/>
      <w:kern w:val="0"/>
      <w:sz w:val="28"/>
      <w:szCs w:val="28"/>
    </w:rPr>
  </w:style>
  <w:style w:type="character" w:customStyle="1" w:styleId="Titre4Car">
    <w:name w:val="Titre 4 Car"/>
    <w:basedOn w:val="Policepardfaut"/>
    <w:link w:val="Titre4"/>
    <w:uiPriority w:val="9"/>
    <w:semiHidden/>
    <w:rsid w:val="00513322"/>
    <w:rPr>
      <w:rFonts w:eastAsiaTheme="majorEastAsia" w:cstheme="majorBidi"/>
      <w:i/>
      <w:iCs/>
      <w:color w:val="0F4761" w:themeColor="accent1" w:themeShade="BF"/>
      <w:kern w:val="0"/>
      <w:szCs w:val="20"/>
    </w:rPr>
  </w:style>
  <w:style w:type="character" w:customStyle="1" w:styleId="Titre5Car">
    <w:name w:val="Titre 5 Car"/>
    <w:basedOn w:val="Policepardfaut"/>
    <w:link w:val="Titre5"/>
    <w:uiPriority w:val="9"/>
    <w:semiHidden/>
    <w:rsid w:val="00513322"/>
    <w:rPr>
      <w:rFonts w:eastAsiaTheme="majorEastAsia" w:cstheme="majorBidi"/>
      <w:color w:val="0F4761" w:themeColor="accent1" w:themeShade="BF"/>
      <w:kern w:val="0"/>
      <w:szCs w:val="20"/>
    </w:rPr>
  </w:style>
  <w:style w:type="character" w:customStyle="1" w:styleId="Titre6Car">
    <w:name w:val="Titre 6 Car"/>
    <w:basedOn w:val="Policepardfaut"/>
    <w:link w:val="Titre6"/>
    <w:uiPriority w:val="9"/>
    <w:semiHidden/>
    <w:rsid w:val="00513322"/>
    <w:rPr>
      <w:rFonts w:eastAsiaTheme="majorEastAsia" w:cstheme="majorBidi"/>
      <w:i/>
      <w:iCs/>
      <w:color w:val="595959" w:themeColor="text1" w:themeTint="A6"/>
      <w:kern w:val="0"/>
      <w:szCs w:val="20"/>
    </w:rPr>
  </w:style>
  <w:style w:type="character" w:customStyle="1" w:styleId="Titre7Car">
    <w:name w:val="Titre 7 Car"/>
    <w:basedOn w:val="Policepardfaut"/>
    <w:link w:val="Titre7"/>
    <w:uiPriority w:val="9"/>
    <w:semiHidden/>
    <w:rsid w:val="00513322"/>
    <w:rPr>
      <w:rFonts w:eastAsiaTheme="majorEastAsia" w:cstheme="majorBidi"/>
      <w:color w:val="595959" w:themeColor="text1" w:themeTint="A6"/>
      <w:kern w:val="0"/>
      <w:szCs w:val="20"/>
    </w:rPr>
  </w:style>
  <w:style w:type="character" w:customStyle="1" w:styleId="Titre8Car">
    <w:name w:val="Titre 8 Car"/>
    <w:basedOn w:val="Policepardfaut"/>
    <w:link w:val="Titre8"/>
    <w:uiPriority w:val="9"/>
    <w:semiHidden/>
    <w:rsid w:val="00513322"/>
    <w:rPr>
      <w:rFonts w:eastAsiaTheme="majorEastAsia" w:cstheme="majorBidi"/>
      <w:i/>
      <w:iCs/>
      <w:color w:val="272727" w:themeColor="text1" w:themeTint="D8"/>
      <w:kern w:val="0"/>
      <w:szCs w:val="20"/>
    </w:rPr>
  </w:style>
  <w:style w:type="character" w:customStyle="1" w:styleId="Titre9Car">
    <w:name w:val="Titre 9 Car"/>
    <w:basedOn w:val="Policepardfaut"/>
    <w:link w:val="Titre9"/>
    <w:uiPriority w:val="9"/>
    <w:semiHidden/>
    <w:rsid w:val="00513322"/>
    <w:rPr>
      <w:rFonts w:eastAsiaTheme="majorEastAsia" w:cstheme="majorBidi"/>
      <w:color w:val="272727" w:themeColor="text1" w:themeTint="D8"/>
      <w:kern w:val="0"/>
      <w:szCs w:val="20"/>
    </w:rPr>
  </w:style>
  <w:style w:type="paragraph" w:styleId="Titre">
    <w:name w:val="Title"/>
    <w:basedOn w:val="Normal"/>
    <w:next w:val="Normal"/>
    <w:link w:val="TitreCar"/>
    <w:uiPriority w:val="10"/>
    <w:qFormat/>
    <w:rsid w:val="003814DF"/>
    <w:pPr>
      <w:spacing w:before="240" w:after="300" w:line="540" w:lineRule="atLeast"/>
      <w:outlineLvl w:val="0"/>
    </w:pPr>
    <w:rPr>
      <w:rFonts w:eastAsia="Calibri" w:cs="Aptos"/>
      <w:b/>
      <w:bCs/>
      <w:color w:val="00002B"/>
      <w:sz w:val="40"/>
      <w:szCs w:val="40"/>
    </w:rPr>
  </w:style>
  <w:style w:type="character" w:customStyle="1" w:styleId="TitreCar">
    <w:name w:val="Titre Car"/>
    <w:basedOn w:val="Policepardfaut"/>
    <w:link w:val="Titre"/>
    <w:uiPriority w:val="10"/>
    <w:rsid w:val="003814DF"/>
    <w:rPr>
      <w:rFonts w:ascii="Aptos" w:eastAsia="Calibri" w:hAnsi="Aptos" w:cs="Aptos"/>
      <w:b/>
      <w:bCs/>
      <w:color w:val="00002B"/>
      <w:kern w:val="0"/>
      <w:sz w:val="40"/>
      <w:szCs w:val="40"/>
    </w:rPr>
  </w:style>
  <w:style w:type="paragraph" w:styleId="Sous-titre">
    <w:name w:val="Subtitle"/>
    <w:basedOn w:val="Normal"/>
    <w:next w:val="Normal"/>
    <w:link w:val="Sous-titreCar"/>
    <w:uiPriority w:val="11"/>
    <w:qFormat/>
    <w:rsid w:val="005133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3322"/>
    <w:rPr>
      <w:rFonts w:eastAsiaTheme="majorEastAsia" w:cstheme="majorBidi"/>
      <w:color w:val="595959" w:themeColor="text1" w:themeTint="A6"/>
      <w:spacing w:val="15"/>
      <w:kern w:val="0"/>
      <w:sz w:val="28"/>
      <w:szCs w:val="28"/>
    </w:rPr>
  </w:style>
  <w:style w:type="paragraph" w:styleId="Citation">
    <w:name w:val="Quote"/>
    <w:basedOn w:val="Normal"/>
    <w:next w:val="Normal"/>
    <w:link w:val="CitationCar"/>
    <w:uiPriority w:val="29"/>
    <w:qFormat/>
    <w:rsid w:val="0051332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13322"/>
    <w:rPr>
      <w:rFonts w:ascii="Aptos" w:hAnsi="Aptos" w:cs="Aptos Light"/>
      <w:i/>
      <w:iCs/>
      <w:color w:val="404040" w:themeColor="text1" w:themeTint="BF"/>
      <w:kern w:val="0"/>
      <w:szCs w:val="20"/>
    </w:rPr>
  </w:style>
  <w:style w:type="paragraph" w:styleId="Paragraphedeliste">
    <w:name w:val="List Paragraph"/>
    <w:basedOn w:val="Normal"/>
    <w:uiPriority w:val="34"/>
    <w:qFormat/>
    <w:rsid w:val="00513322"/>
    <w:pPr>
      <w:ind w:left="720"/>
      <w:contextualSpacing/>
    </w:pPr>
  </w:style>
  <w:style w:type="character" w:styleId="Accentuationintense">
    <w:name w:val="Intense Emphasis"/>
    <w:basedOn w:val="Policepardfaut"/>
    <w:uiPriority w:val="21"/>
    <w:qFormat/>
    <w:rsid w:val="00513322"/>
    <w:rPr>
      <w:i/>
      <w:iCs/>
      <w:color w:val="0F4761" w:themeColor="accent1" w:themeShade="BF"/>
    </w:rPr>
  </w:style>
  <w:style w:type="paragraph" w:styleId="Citationintense">
    <w:name w:val="Intense Quote"/>
    <w:basedOn w:val="Normal"/>
    <w:next w:val="Normal"/>
    <w:link w:val="CitationintenseCar"/>
    <w:uiPriority w:val="30"/>
    <w:qFormat/>
    <w:rsid w:val="00513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3322"/>
    <w:rPr>
      <w:rFonts w:ascii="Aptos" w:hAnsi="Aptos" w:cs="Aptos Light"/>
      <w:i/>
      <w:iCs/>
      <w:color w:val="0F4761" w:themeColor="accent1" w:themeShade="BF"/>
      <w:kern w:val="0"/>
      <w:szCs w:val="20"/>
    </w:rPr>
  </w:style>
  <w:style w:type="character" w:styleId="Rfrenceintense">
    <w:name w:val="Intense Reference"/>
    <w:basedOn w:val="Policepardfaut"/>
    <w:uiPriority w:val="32"/>
    <w:qFormat/>
    <w:rsid w:val="00513322"/>
    <w:rPr>
      <w:b/>
      <w:bCs/>
      <w:smallCaps/>
      <w:color w:val="0F4761" w:themeColor="accent1" w:themeShade="BF"/>
      <w:spacing w:val="5"/>
    </w:rPr>
  </w:style>
  <w:style w:type="paragraph" w:styleId="En-tte">
    <w:name w:val="header"/>
    <w:basedOn w:val="Normal"/>
    <w:link w:val="En-tteCar"/>
    <w:uiPriority w:val="99"/>
    <w:unhideWhenUsed/>
    <w:rsid w:val="00513322"/>
    <w:pPr>
      <w:tabs>
        <w:tab w:val="center" w:pos="4320"/>
        <w:tab w:val="right" w:pos="8640"/>
      </w:tabs>
      <w:spacing w:after="0" w:line="240" w:lineRule="auto"/>
    </w:pPr>
  </w:style>
  <w:style w:type="character" w:customStyle="1" w:styleId="En-tteCar">
    <w:name w:val="En-tête Car"/>
    <w:basedOn w:val="Policepardfaut"/>
    <w:link w:val="En-tte"/>
    <w:uiPriority w:val="99"/>
    <w:rsid w:val="00513322"/>
    <w:rPr>
      <w:rFonts w:ascii="Aptos" w:hAnsi="Aptos" w:cs="Aptos Light"/>
      <w:color w:val="000000"/>
      <w:kern w:val="0"/>
      <w:szCs w:val="20"/>
    </w:rPr>
  </w:style>
  <w:style w:type="paragraph" w:styleId="Pieddepage">
    <w:name w:val="footer"/>
    <w:basedOn w:val="Normal"/>
    <w:link w:val="PieddepageCar"/>
    <w:uiPriority w:val="99"/>
    <w:unhideWhenUsed/>
    <w:rsid w:val="0051332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13322"/>
    <w:rPr>
      <w:rFonts w:ascii="Aptos" w:hAnsi="Aptos" w:cs="Aptos Light"/>
      <w:color w:val="000000"/>
      <w:kern w:val="0"/>
      <w:szCs w:val="20"/>
    </w:rPr>
  </w:style>
  <w:style w:type="character" w:styleId="Numrodepage">
    <w:name w:val="page number"/>
    <w:basedOn w:val="Policepardfaut"/>
    <w:uiPriority w:val="99"/>
    <w:semiHidden/>
    <w:unhideWhenUsed/>
    <w:rsid w:val="00513322"/>
  </w:style>
  <w:style w:type="paragraph" w:styleId="Sansinterligne">
    <w:name w:val="No Spacing"/>
    <w:uiPriority w:val="1"/>
    <w:qFormat/>
    <w:rsid w:val="00513322"/>
    <w:pPr>
      <w:suppressAutoHyphens/>
      <w:autoSpaceDE w:val="0"/>
      <w:autoSpaceDN w:val="0"/>
      <w:adjustRightInd w:val="0"/>
      <w:spacing w:after="0" w:line="240" w:lineRule="auto"/>
      <w:textAlignment w:val="center"/>
    </w:pPr>
    <w:rPr>
      <w:rFonts w:ascii="Aptos Light" w:hAnsi="Aptos Light" w:cs="Aptos Light"/>
      <w:color w:val="000000"/>
      <w:kern w:val="0"/>
      <w:szCs w:val="20"/>
    </w:rPr>
  </w:style>
  <w:style w:type="character" w:styleId="Lienhypertexte">
    <w:name w:val="Hyperlink"/>
    <w:basedOn w:val="Policepardfaut"/>
    <w:uiPriority w:val="99"/>
    <w:unhideWhenUsed/>
    <w:rsid w:val="007204DB"/>
    <w:rPr>
      <w:color w:val="467886" w:themeColor="hyperlink"/>
      <w:u w:val="single"/>
    </w:rPr>
  </w:style>
  <w:style w:type="character" w:styleId="Mentionnonrsolue">
    <w:name w:val="Unresolved Mention"/>
    <w:basedOn w:val="Policepardfaut"/>
    <w:uiPriority w:val="99"/>
    <w:semiHidden/>
    <w:unhideWhenUsed/>
    <w:rsid w:val="007204DB"/>
    <w:rPr>
      <w:color w:val="605E5C"/>
      <w:shd w:val="clear" w:color="auto" w:fill="E1DFDD"/>
    </w:rPr>
  </w:style>
  <w:style w:type="paragraph" w:styleId="NormalWeb">
    <w:name w:val="Normal (Web)"/>
    <w:basedOn w:val="Normal"/>
    <w:uiPriority w:val="99"/>
    <w:unhideWhenUsed/>
    <w:rsid w:val="00085597"/>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fr-CA"/>
      <w14:ligatures w14:val="none"/>
    </w:rPr>
  </w:style>
  <w:style w:type="paragraph" w:styleId="Rvision">
    <w:name w:val="Revision"/>
    <w:hidden/>
    <w:uiPriority w:val="99"/>
    <w:semiHidden/>
    <w:rsid w:val="00286917"/>
    <w:pPr>
      <w:spacing w:after="0" w:line="240" w:lineRule="auto"/>
    </w:pPr>
    <w:rPr>
      <w:rFonts w:ascii="Aptos" w:hAnsi="Aptos"/>
      <w:kern w:val="0"/>
      <w14:ligatures w14:val="none"/>
    </w:rPr>
  </w:style>
  <w:style w:type="paragraph" w:customStyle="1" w:styleId="Listepucesansgras">
    <w:name w:val="Liste à puce sans gras"/>
    <w:basedOn w:val="Normal"/>
    <w:link w:val="ListepucesansgrasCar"/>
    <w:qFormat/>
    <w:rsid w:val="00A913CA"/>
    <w:pPr>
      <w:numPr>
        <w:numId w:val="6"/>
      </w:numPr>
      <w:suppressAutoHyphens w:val="0"/>
      <w:autoSpaceDE/>
      <w:autoSpaceDN/>
      <w:adjustRightInd/>
      <w:spacing w:before="240" w:after="240" w:line="276" w:lineRule="auto"/>
      <w:ind w:left="567" w:hanging="567"/>
      <w:jc w:val="both"/>
      <w:textAlignment w:val="auto"/>
    </w:pPr>
    <w:rPr>
      <w:rFonts w:cstheme="minorBidi"/>
      <w:color w:val="auto"/>
      <w:szCs w:val="22"/>
      <w14:ligatures w14:val="none"/>
    </w:rPr>
  </w:style>
  <w:style w:type="character" w:customStyle="1" w:styleId="ListepucesansgrasCar">
    <w:name w:val="Liste à puce sans gras Car"/>
    <w:basedOn w:val="Policepardfaut"/>
    <w:link w:val="Listepucesansgras"/>
    <w:rsid w:val="00A913CA"/>
    <w:rPr>
      <w:rFonts w:ascii="Aptos" w:hAnsi="Aptos"/>
      <w:kern w:val="0"/>
      <w14:ligatures w14:val="none"/>
    </w:rPr>
  </w:style>
  <w:style w:type="paragraph" w:styleId="Notedebasdepage">
    <w:name w:val="footnote text"/>
    <w:basedOn w:val="Normal"/>
    <w:link w:val="NotedebasdepageCar"/>
    <w:uiPriority w:val="99"/>
    <w:semiHidden/>
    <w:unhideWhenUsed/>
    <w:rsid w:val="00A913CA"/>
    <w:pPr>
      <w:suppressAutoHyphens w:val="0"/>
      <w:autoSpaceDE/>
      <w:autoSpaceDN/>
      <w:adjustRightInd/>
      <w:spacing w:after="0" w:line="240" w:lineRule="auto"/>
      <w:jc w:val="both"/>
      <w:textAlignment w:val="auto"/>
    </w:pPr>
    <w:rPr>
      <w:rFonts w:cstheme="minorBidi"/>
      <w:color w:val="auto"/>
      <w:sz w:val="20"/>
      <w14:ligatures w14:val="none"/>
    </w:rPr>
  </w:style>
  <w:style w:type="character" w:customStyle="1" w:styleId="NotedebasdepageCar">
    <w:name w:val="Note de bas de page Car"/>
    <w:basedOn w:val="Policepardfaut"/>
    <w:link w:val="Notedebasdepage"/>
    <w:uiPriority w:val="99"/>
    <w:semiHidden/>
    <w:rsid w:val="00A913CA"/>
    <w:rPr>
      <w:rFonts w:ascii="Aptos" w:hAnsi="Aptos"/>
      <w:kern w:val="0"/>
      <w:sz w:val="20"/>
      <w:szCs w:val="20"/>
      <w14:ligatures w14:val="none"/>
    </w:rPr>
  </w:style>
  <w:style w:type="character" w:styleId="Appelnotedebasdep">
    <w:name w:val="footnote reference"/>
    <w:basedOn w:val="Policepardfaut"/>
    <w:uiPriority w:val="99"/>
    <w:semiHidden/>
    <w:unhideWhenUsed/>
    <w:rsid w:val="00A91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06525">
      <w:bodyDiv w:val="1"/>
      <w:marLeft w:val="0"/>
      <w:marRight w:val="0"/>
      <w:marTop w:val="0"/>
      <w:marBottom w:val="0"/>
      <w:divBdr>
        <w:top w:val="none" w:sz="0" w:space="0" w:color="auto"/>
        <w:left w:val="none" w:sz="0" w:space="0" w:color="auto"/>
        <w:bottom w:val="none" w:sz="0" w:space="0" w:color="auto"/>
        <w:right w:val="none" w:sz="0" w:space="0" w:color="auto"/>
      </w:divBdr>
    </w:div>
    <w:div w:id="328946048">
      <w:bodyDiv w:val="1"/>
      <w:marLeft w:val="0"/>
      <w:marRight w:val="0"/>
      <w:marTop w:val="0"/>
      <w:marBottom w:val="0"/>
      <w:divBdr>
        <w:top w:val="none" w:sz="0" w:space="0" w:color="auto"/>
        <w:left w:val="none" w:sz="0" w:space="0" w:color="auto"/>
        <w:bottom w:val="none" w:sz="0" w:space="0" w:color="auto"/>
        <w:right w:val="none" w:sz="0" w:space="0" w:color="auto"/>
      </w:divBdr>
    </w:div>
    <w:div w:id="452670545">
      <w:bodyDiv w:val="1"/>
      <w:marLeft w:val="0"/>
      <w:marRight w:val="0"/>
      <w:marTop w:val="0"/>
      <w:marBottom w:val="0"/>
      <w:divBdr>
        <w:top w:val="none" w:sz="0" w:space="0" w:color="auto"/>
        <w:left w:val="none" w:sz="0" w:space="0" w:color="auto"/>
        <w:bottom w:val="none" w:sz="0" w:space="0" w:color="auto"/>
        <w:right w:val="none" w:sz="0" w:space="0" w:color="auto"/>
      </w:divBdr>
    </w:div>
    <w:div w:id="484443451">
      <w:bodyDiv w:val="1"/>
      <w:marLeft w:val="0"/>
      <w:marRight w:val="0"/>
      <w:marTop w:val="0"/>
      <w:marBottom w:val="0"/>
      <w:divBdr>
        <w:top w:val="none" w:sz="0" w:space="0" w:color="auto"/>
        <w:left w:val="none" w:sz="0" w:space="0" w:color="auto"/>
        <w:bottom w:val="none" w:sz="0" w:space="0" w:color="auto"/>
        <w:right w:val="none" w:sz="0" w:space="0" w:color="auto"/>
      </w:divBdr>
    </w:div>
    <w:div w:id="1705785698">
      <w:bodyDiv w:val="1"/>
      <w:marLeft w:val="0"/>
      <w:marRight w:val="0"/>
      <w:marTop w:val="0"/>
      <w:marBottom w:val="0"/>
      <w:divBdr>
        <w:top w:val="none" w:sz="0" w:space="0" w:color="auto"/>
        <w:left w:val="none" w:sz="0" w:space="0" w:color="auto"/>
        <w:bottom w:val="none" w:sz="0" w:space="0" w:color="auto"/>
        <w:right w:val="none" w:sz="0" w:space="0" w:color="auto"/>
      </w:divBdr>
    </w:div>
    <w:div w:id="1836148953">
      <w:bodyDiv w:val="1"/>
      <w:marLeft w:val="0"/>
      <w:marRight w:val="0"/>
      <w:marTop w:val="0"/>
      <w:marBottom w:val="0"/>
      <w:divBdr>
        <w:top w:val="none" w:sz="0" w:space="0" w:color="auto"/>
        <w:left w:val="none" w:sz="0" w:space="0" w:color="auto"/>
        <w:bottom w:val="none" w:sz="0" w:space="0" w:color="auto"/>
        <w:right w:val="none" w:sz="0" w:space="0" w:color="auto"/>
      </w:divBdr>
    </w:div>
    <w:div w:id="19498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quebec.gouv.qc.ca/fr/document/lc/P-34.1?langCont=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legisquebec.gouv.qc.ca/fr/document/lc/P-34.1?langCont=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quebec.gouv.qc.ca/fr/document/lc/P-34.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quebec.gouv.qc.ca/fr/document/lc/P-34.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quebec.gouv.qc.ca/fr/document/lc/P-34.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Publications" ma:contentTypeID="0x0101005B31C1E327F24A4395DD83803DF5CBECC20099919CE2F4AC0447A66C2705E1F8CB8F" ma:contentTypeVersion="10" ma:contentTypeDescription="" ma:contentTypeScope="" ma:versionID="a0b951ee5aae52e1d9869a851bf31793">
  <xsd:schema xmlns:xsd="http://www.w3.org/2001/XMLSchema" xmlns:xs="http://www.w3.org/2001/XMLSchema" xmlns:p="http://schemas.microsoft.com/office/2006/metadata/properties" xmlns:ns2="3cc706f8-daeb-4c57-a93c-fdf45da762a7" targetNamespace="http://schemas.microsoft.com/office/2006/metadata/properties" ma:root="true" ma:fieldsID="53a2b0b95aca4a07a4ea4f44f812eab5" ns2:_="">
    <xsd:import namespace="3cc706f8-daeb-4c57-a93c-fdf45da762a7"/>
    <xsd:element name="properties">
      <xsd:complexType>
        <xsd:sequence>
          <xsd:element name="documentManagement">
            <xsd:complexType>
              <xsd:all>
                <xsd:element ref="ns2:m676632b177a439a97fe6d7269451e6d" minOccurs="0"/>
                <xsd:element ref="ns2:TaxCatchAll" minOccurs="0"/>
                <xsd:element ref="ns2:TaxCatchAllLabel" minOccurs="0"/>
                <xsd:element ref="ns2:if89c33f4f2c46ec9c8e5a9ac91380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706f8-daeb-4c57-a93c-fdf45da762a7" elementFormDefault="qualified">
    <xsd:import namespace="http://schemas.microsoft.com/office/2006/documentManagement/types"/>
    <xsd:import namespace="http://schemas.microsoft.com/office/infopath/2007/PartnerControls"/>
    <xsd:element name="m676632b177a439a97fe6d7269451e6d" ma:index="8" nillable="true" ma:taxonomy="true" ma:internalName="m676632b177a439a97fe6d7269451e6d" ma:taxonomyFieldName="TypeDocument" ma:displayName="Type de documents" ma:default="" ma:fieldId="{6676632b-177a-439a-97fe-6d7269451e6d}" ma:sspId="3b66c5a5-9349-45f3-a35d-93d4de43bb68" ma:termSetId="00195338-892d-401b-b201-ba0dd3a2ce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ab6ff4-4c65-4c2b-8b33-eb04d6bf87db}" ma:internalName="TaxCatchAll" ma:showField="CatchAllData"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ab6ff4-4c65-4c2b-8b33-eb04d6bf87db}" ma:internalName="TaxCatchAllLabel" ma:readOnly="true" ma:showField="CatchAllDataLabel"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if89c33f4f2c46ec9c8e5a9ac9138037" ma:index="12" nillable="true" ma:taxonomy="true" ma:internalName="if89c33f4f2c46ec9c8e5a9ac9138037" ma:taxonomyFieldName="HUBClassification" ma:displayName="Plan de classification" ma:default="" ma:fieldId="{2f89c33f-4f2c-46ec-9c8e-5a9ac9138037}" ma:sspId="3b66c5a5-9349-45f3-a35d-93d4de43bb68" ma:termSetId="06a8b823-5712-4f5e-9153-4f9a0e87a97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66c5a5-9349-45f3-a35d-93d4de43bb68" ContentTypeId="0x0101005B31C1E327F24A4395DD83803DF5CBECC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676632b177a439a97fe6d7269451e6d xmlns="3cc706f8-daeb-4c57-a93c-fdf45da762a7">
      <Terms xmlns="http://schemas.microsoft.com/office/infopath/2007/PartnerControls"/>
    </m676632b177a439a97fe6d7269451e6d>
    <if89c33f4f2c46ec9c8e5a9ac9138037 xmlns="3cc706f8-daeb-4c57-a93c-fdf45da762a7">
      <Terms xmlns="http://schemas.microsoft.com/office/infopath/2007/PartnerControls">
        <TermInfo xmlns="http://schemas.microsoft.com/office/infopath/2007/PartnerControls">
          <TermName xmlns="http://schemas.microsoft.com/office/infopath/2007/PartnerControls">05540 Publications</TermName>
          <TermId xmlns="http://schemas.microsoft.com/office/infopath/2007/PartnerControls">827bc47f-7d09-4c7e-a290-0638818232c6</TermId>
        </TermInfo>
      </Terms>
    </if89c33f4f2c46ec9c8e5a9ac9138037>
    <TaxCatchAll xmlns="3cc706f8-daeb-4c57-a93c-fdf45da762a7">
      <Value>2077</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8689-39B5-49B7-9BA8-CBAF4198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706f8-daeb-4c57-a93c-fdf45da7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86829-C757-4439-AF17-74ADDF4882E7}">
  <ds:schemaRefs>
    <ds:schemaRef ds:uri="Microsoft.SharePoint.Taxonomy.ContentTypeSync"/>
  </ds:schemaRefs>
</ds:datastoreItem>
</file>

<file path=customXml/itemProps3.xml><?xml version="1.0" encoding="utf-8"?>
<ds:datastoreItem xmlns:ds="http://schemas.openxmlformats.org/officeDocument/2006/customXml" ds:itemID="{FDAA5B99-BD33-4EA3-8A41-004C44A72519}">
  <ds:schemaRefs>
    <ds:schemaRef ds:uri="http://schemas.microsoft.com/sharepoint/v3/contenttype/forms"/>
  </ds:schemaRefs>
</ds:datastoreItem>
</file>

<file path=customXml/itemProps4.xml><?xml version="1.0" encoding="utf-8"?>
<ds:datastoreItem xmlns:ds="http://schemas.openxmlformats.org/officeDocument/2006/customXml" ds:itemID="{3030352C-C84C-4D98-9E4E-333EAF30ADB1}">
  <ds:schemaRefs>
    <ds:schemaRef ds:uri="http://schemas.microsoft.com/office/2006/metadata/properties"/>
    <ds:schemaRef ds:uri="http://schemas.microsoft.com/office/infopath/2007/PartnerControls"/>
    <ds:schemaRef ds:uri="3cc706f8-daeb-4c57-a93c-fdf45da762a7"/>
  </ds:schemaRefs>
</ds:datastoreItem>
</file>

<file path=customXml/itemProps5.xml><?xml version="1.0" encoding="utf-8"?>
<ds:datastoreItem xmlns:ds="http://schemas.openxmlformats.org/officeDocument/2006/customXml" ds:itemID="{147FA4BC-7973-4C73-941E-48C469DAD9C7}">
  <ds:schemaRefs>
    <ds:schemaRef ds:uri="http://schemas.openxmlformats.org/officeDocument/2006/bibliography"/>
  </ds:schemaRefs>
</ds:datastoreItem>
</file>

<file path=docMetadata/LabelInfo.xml><?xml version="1.0" encoding="utf-8"?>
<clbl:labelList xmlns:clbl="http://schemas.microsoft.com/office/2020/mipLabelMetadata">
  <clbl:label id="{1b52fca3-c468-4eac-a85f-e8bf21f0fb3d}" enabled="0" method="" siteId="{1b52fca3-c468-4eac-a85f-e8bf21f0fb3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1525</Words>
  <Characters>8389</Characters>
  <Application>Microsoft Office Word</Application>
  <DocSecurity>0</DocSecurity>
  <Lines>69</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conclusions et recommandations - Enquête individuelle – Nord-du-Québec</dc:title>
  <dc:subject/>
  <dc:creator>Commission des droits de la personne et des droits de la jeunesse</dc:creator>
  <cp:keywords>Lésion de droits; Enquête; LPJ, Loi sur la protection de la jeunesse; Enfant; Jeune;</cp:keywords>
  <dc:description/>
  <cp:lastModifiedBy>Jack Duhaime</cp:lastModifiedBy>
  <cp:revision>24</cp:revision>
  <dcterms:created xsi:type="dcterms:W3CDTF">2025-07-15T16:36:00Z</dcterms:created>
  <dcterms:modified xsi:type="dcterms:W3CDTF">2025-08-13T12:16:00Z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0x0101005B31C1E327F24A4395DD83803DF5CBECC20099919CE2F4AC0447A66C2705E1F8CB8F</vt:lpwstr>
  </property>
  <property fmtid="{D5CDD505-2E9C-101B-9397-08002B2CF9AE}" pid="3" name="MediaServiceImageTags">
    <vt:lpwstr/>
  </property>
  <property fmtid="{D5CDD505-2E9C-101B-9397-08002B2CF9AE}" pid="4" name="lcf76f155ced4ddcb4097134ff3c332f">
    <vt:lpwstr/>
  </property>
  <property fmtid="{D5CDD505-2E9C-101B-9397-08002B2CF9AE}" pid="5" name="TypeDocument">
    <vt:lpwstr/>
  </property>
  <property fmtid="{D5CDD505-2E9C-101B-9397-08002B2CF9AE}" pid="6" name="HUBClassification">
    <vt:lpwstr>2077;#05540 Publications|827bc47f-7d09-4c7e-a290-0638818232c6</vt:lpwstr>
  </property>
  <property fmtid="{D5CDD505-2E9C-101B-9397-08002B2CF9AE}" pid="7" name="Support">
    <vt:lpwstr/>
  </property>
  <property fmtid="{D5CDD505-2E9C-101B-9397-08002B2CF9AE}" pid="8" name="e9ece69abe164a1095a5fd7a129dbff3">
    <vt:lpwstr/>
  </property>
</Properties>
</file>