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5.xml" ContentType="application/vnd.openxmlformats-officedocument.wordprocessingml.footer+xml"/>
  <Override PartName="/word/header18.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41773D" w14:textId="23501916" w:rsidR="00CC6FFB" w:rsidRPr="009A1487" w:rsidRDefault="009A1487" w:rsidP="002A60C5">
      <w:pPr>
        <w:pStyle w:val="Titredummoire"/>
        <w:jc w:val="left"/>
      </w:pPr>
      <w:r w:rsidRPr="00F00767">
        <w:rPr>
          <w:rFonts w:ascii="Times New Roman" w:eastAsia="Times New Roman" w:hAnsi="Times New Roman" w:cs="Times New Roman"/>
          <w:noProof/>
          <w:sz w:val="24"/>
          <w:szCs w:val="24"/>
          <w:lang w:eastAsia="fr-CA"/>
        </w:rPr>
        <w:drawing>
          <wp:anchor distT="0" distB="0" distL="114300" distR="114300" simplePos="0" relativeHeight="251658240" behindDoc="1" locked="0" layoutInCell="1" allowOverlap="1" wp14:anchorId="3E0968F2" wp14:editId="30AF7768">
            <wp:simplePos x="0" y="0"/>
            <wp:positionH relativeFrom="column">
              <wp:posOffset>-723629</wp:posOffset>
            </wp:positionH>
            <wp:positionV relativeFrom="paragraph">
              <wp:posOffset>-1260094</wp:posOffset>
            </wp:positionV>
            <wp:extent cx="7772400" cy="10058400"/>
            <wp:effectExtent l="0" t="0" r="0" b="0"/>
            <wp:wrapNone/>
            <wp:docPr id="1" name="Image 1" descr="P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P1#y1">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23383D" w14:textId="073E21C7" w:rsidR="00260366" w:rsidRDefault="00260366" w:rsidP="002A60C5">
      <w:pPr>
        <w:pStyle w:val="Titredummoire"/>
        <w:jc w:val="left"/>
      </w:pPr>
    </w:p>
    <w:p w14:paraId="259183CB" w14:textId="63007331" w:rsidR="00CB0E29" w:rsidRDefault="00CB0E29" w:rsidP="002A60C5">
      <w:pPr>
        <w:pStyle w:val="Titredummoire"/>
        <w:jc w:val="left"/>
      </w:pPr>
    </w:p>
    <w:p w14:paraId="4FFD5E7A" w14:textId="3B467CDD" w:rsidR="0055533B" w:rsidRPr="00CB0E29" w:rsidRDefault="00D24C74" w:rsidP="005D4D49">
      <w:pPr>
        <w:jc w:val="left"/>
        <w:rPr>
          <w:color w:val="000F42"/>
          <w:sz w:val="48"/>
          <w:szCs w:val="48"/>
        </w:rPr>
      </w:pPr>
      <w:r w:rsidRPr="00CB0E29">
        <w:rPr>
          <w:rFonts w:ascii="Aptos Light" w:hAnsi="Aptos Light"/>
          <w:color w:val="000F42"/>
          <w:sz w:val="48"/>
          <w:szCs w:val="48"/>
        </w:rPr>
        <w:t>Évaluation de la mise en œuvre des</w:t>
      </w:r>
      <w:r w:rsidR="00CB0E29">
        <w:rPr>
          <w:rFonts w:ascii="Aptos Light" w:hAnsi="Aptos Light"/>
          <w:color w:val="000F42"/>
          <w:sz w:val="48"/>
          <w:szCs w:val="48"/>
        </w:rPr>
        <w:br/>
      </w:r>
      <w:r w:rsidRPr="00CB0E29">
        <w:rPr>
          <w:rFonts w:ascii="Aptos Light" w:hAnsi="Aptos Light"/>
          <w:color w:val="000F42"/>
          <w:sz w:val="48"/>
          <w:szCs w:val="48"/>
        </w:rPr>
        <w:t xml:space="preserve">dispositions de la </w:t>
      </w:r>
      <w:r w:rsidRPr="00CB0E29">
        <w:rPr>
          <w:rFonts w:ascii="Aptos Light" w:hAnsi="Aptos Light"/>
          <w:i/>
          <w:iCs/>
          <w:color w:val="000F42"/>
          <w:sz w:val="48"/>
          <w:szCs w:val="48"/>
        </w:rPr>
        <w:t>Loi sur la protection</w:t>
      </w:r>
      <w:r w:rsidR="00CB0E29">
        <w:rPr>
          <w:rFonts w:ascii="Aptos Light" w:hAnsi="Aptos Light"/>
          <w:i/>
          <w:iCs/>
          <w:color w:val="000F42"/>
          <w:sz w:val="48"/>
          <w:szCs w:val="48"/>
        </w:rPr>
        <w:br/>
      </w:r>
      <w:r w:rsidR="0003060E">
        <w:rPr>
          <w:rFonts w:ascii="Aptos Light" w:hAnsi="Aptos Light"/>
          <w:i/>
          <w:iCs/>
          <w:color w:val="000F42"/>
          <w:sz w:val="48"/>
          <w:szCs w:val="48"/>
        </w:rPr>
        <w:t>d</w:t>
      </w:r>
      <w:r w:rsidR="0003060E" w:rsidRPr="00CB0E29">
        <w:rPr>
          <w:rFonts w:ascii="Aptos Light" w:hAnsi="Aptos Light"/>
          <w:i/>
          <w:iCs/>
          <w:color w:val="000F42"/>
          <w:sz w:val="48"/>
          <w:szCs w:val="48"/>
        </w:rPr>
        <w:t>e la jeunesse</w:t>
      </w:r>
      <w:r w:rsidR="0003060E">
        <w:rPr>
          <w:rFonts w:ascii="Aptos Light" w:hAnsi="Aptos Light"/>
          <w:color w:val="000F42"/>
          <w:sz w:val="48"/>
          <w:szCs w:val="48"/>
        </w:rPr>
        <w:t xml:space="preserve"> </w:t>
      </w:r>
      <w:r w:rsidR="0003060E" w:rsidRPr="00CB0E29">
        <w:rPr>
          <w:rFonts w:ascii="Aptos Light" w:hAnsi="Aptos Light"/>
          <w:color w:val="000F42"/>
          <w:sz w:val="48"/>
          <w:szCs w:val="48"/>
        </w:rPr>
        <w:t>relative</w:t>
      </w:r>
      <w:r w:rsidRPr="00CB0E29">
        <w:rPr>
          <w:rFonts w:ascii="Aptos Light" w:hAnsi="Aptos Light"/>
          <w:color w:val="000F42"/>
          <w:sz w:val="48"/>
          <w:szCs w:val="48"/>
        </w:rPr>
        <w:t xml:space="preserve"> à la stabilité</w:t>
      </w:r>
      <w:r w:rsidR="00CB0E29">
        <w:rPr>
          <w:rFonts w:ascii="Aptos Light" w:hAnsi="Aptos Light"/>
          <w:color w:val="000F42"/>
          <w:sz w:val="48"/>
          <w:szCs w:val="48"/>
        </w:rPr>
        <w:t xml:space="preserve"> </w:t>
      </w:r>
      <w:r w:rsidR="00CB0E29">
        <w:rPr>
          <w:rFonts w:ascii="Aptos Light" w:hAnsi="Aptos Light"/>
          <w:color w:val="000F42"/>
          <w:sz w:val="48"/>
          <w:szCs w:val="48"/>
        </w:rPr>
        <w:br/>
      </w:r>
      <w:r w:rsidRPr="00CB0E29">
        <w:rPr>
          <w:rFonts w:ascii="Aptos Light" w:hAnsi="Aptos Light"/>
          <w:color w:val="000F42"/>
          <w:sz w:val="48"/>
          <w:szCs w:val="48"/>
        </w:rPr>
        <w:t>des liens et des conditions de vie</w:t>
      </w:r>
      <w:r w:rsidR="001A1B54" w:rsidRPr="00CB0E29">
        <w:rPr>
          <w:rFonts w:ascii="Aptos Light" w:hAnsi="Aptos Light"/>
          <w:color w:val="000F42"/>
          <w:sz w:val="48"/>
          <w:szCs w:val="48"/>
        </w:rPr>
        <w:br/>
      </w:r>
      <w:r w:rsidRPr="00CB0E29">
        <w:rPr>
          <w:rFonts w:ascii="Aptos Light" w:hAnsi="Aptos Light"/>
          <w:color w:val="000F42"/>
          <w:sz w:val="48"/>
          <w:szCs w:val="48"/>
        </w:rPr>
        <w:t>des enfants confiés à un milieu</w:t>
      </w:r>
      <w:r w:rsidR="00CB0E29">
        <w:rPr>
          <w:rFonts w:ascii="Aptos Light" w:hAnsi="Aptos Light"/>
          <w:color w:val="000F42"/>
          <w:sz w:val="48"/>
          <w:szCs w:val="48"/>
        </w:rPr>
        <w:t xml:space="preserve"> </w:t>
      </w:r>
      <w:r w:rsidRPr="00CB0E29">
        <w:rPr>
          <w:rFonts w:ascii="Aptos Light" w:hAnsi="Aptos Light"/>
          <w:color w:val="000F42"/>
          <w:sz w:val="48"/>
          <w:szCs w:val="48"/>
        </w:rPr>
        <w:t xml:space="preserve">de </w:t>
      </w:r>
      <w:r w:rsidR="00CB0E29">
        <w:rPr>
          <w:rFonts w:ascii="Aptos Light" w:hAnsi="Aptos Light"/>
          <w:color w:val="000F42"/>
          <w:sz w:val="48"/>
          <w:szCs w:val="48"/>
        </w:rPr>
        <w:br/>
      </w:r>
      <w:r w:rsidRPr="00CB0E29">
        <w:rPr>
          <w:rFonts w:ascii="Aptos Light" w:hAnsi="Aptos Light"/>
          <w:color w:val="000F42"/>
          <w:sz w:val="48"/>
          <w:szCs w:val="48"/>
        </w:rPr>
        <w:t>vie substitut jusqu’à la majorité</w:t>
      </w:r>
      <w:r w:rsidR="00EE08B1">
        <w:rPr>
          <w:rFonts w:ascii="Aptos Light" w:hAnsi="Aptos Light"/>
          <w:color w:val="000F42"/>
          <w:sz w:val="48"/>
          <w:szCs w:val="48"/>
        </w:rPr>
        <w:t> </w:t>
      </w:r>
      <w:r w:rsidRPr="00CB0E29">
        <w:rPr>
          <w:rFonts w:ascii="Aptos Light" w:hAnsi="Aptos Light"/>
          <w:color w:val="000F42"/>
          <w:sz w:val="48"/>
          <w:szCs w:val="48"/>
        </w:rPr>
        <w:t>:</w:t>
      </w:r>
      <w:r w:rsidR="00CB0E29">
        <w:rPr>
          <w:rFonts w:ascii="Aptos Light" w:hAnsi="Aptos Light"/>
          <w:color w:val="000F42"/>
          <w:sz w:val="48"/>
          <w:szCs w:val="48"/>
        </w:rPr>
        <w:br/>
      </w:r>
      <w:r w:rsidRPr="00CB0E29">
        <w:rPr>
          <w:rFonts w:ascii="Aptos Light" w:hAnsi="Aptos Light"/>
          <w:color w:val="000F42"/>
          <w:sz w:val="48"/>
          <w:szCs w:val="48"/>
        </w:rPr>
        <w:t>regard sur la jurisprudence</w:t>
      </w:r>
    </w:p>
    <w:p w14:paraId="5A0C42D4" w14:textId="46796729" w:rsidR="000973BC" w:rsidRDefault="000973BC" w:rsidP="002A60C5">
      <w:pPr>
        <w:suppressAutoHyphens w:val="0"/>
        <w:autoSpaceDE/>
        <w:autoSpaceDN/>
        <w:adjustRightInd/>
        <w:jc w:val="left"/>
        <w:textAlignment w:val="auto"/>
      </w:pPr>
    </w:p>
    <w:p w14:paraId="3A4D2ECE" w14:textId="3FAA7367" w:rsidR="00F00767" w:rsidRPr="00F00767" w:rsidRDefault="00F00767" w:rsidP="002A60C5">
      <w:pPr>
        <w:suppressAutoHyphens w:val="0"/>
        <w:autoSpaceDE/>
        <w:autoSpaceDN/>
        <w:adjustRightInd/>
        <w:jc w:val="left"/>
        <w:textAlignment w:val="auto"/>
        <w:rPr>
          <w:rFonts w:ascii="Times New Roman" w:eastAsia="Times New Roman" w:hAnsi="Times New Roman" w:cs="Times New Roman"/>
          <w:sz w:val="24"/>
          <w:szCs w:val="24"/>
          <w:lang w:eastAsia="fr-CA"/>
        </w:rPr>
      </w:pPr>
    </w:p>
    <w:p w14:paraId="1AFF7AE7" w14:textId="167F22B3" w:rsidR="000973BC" w:rsidRDefault="000973BC" w:rsidP="002A60C5">
      <w:pPr>
        <w:suppressAutoHyphens w:val="0"/>
        <w:autoSpaceDE/>
        <w:autoSpaceDN/>
        <w:adjustRightInd/>
        <w:jc w:val="left"/>
        <w:textAlignment w:val="auto"/>
      </w:pPr>
    </w:p>
    <w:p w14:paraId="57BEA291" w14:textId="72D68BBE" w:rsidR="000973BC" w:rsidRDefault="000973BC" w:rsidP="002A60C5">
      <w:pPr>
        <w:suppressAutoHyphens w:val="0"/>
        <w:autoSpaceDE/>
        <w:autoSpaceDN/>
        <w:adjustRightInd/>
        <w:jc w:val="left"/>
        <w:textAlignment w:val="auto"/>
      </w:pPr>
    </w:p>
    <w:p w14:paraId="1CDDA25D" w14:textId="3C70DA4C" w:rsidR="000973BC" w:rsidRDefault="000973BC" w:rsidP="002A60C5">
      <w:pPr>
        <w:suppressAutoHyphens w:val="0"/>
        <w:autoSpaceDE/>
        <w:autoSpaceDN/>
        <w:adjustRightInd/>
        <w:jc w:val="left"/>
        <w:textAlignment w:val="auto"/>
      </w:pPr>
    </w:p>
    <w:p w14:paraId="12D32B26" w14:textId="5B10FF27" w:rsidR="000973BC" w:rsidRDefault="000973BC" w:rsidP="002A60C5">
      <w:pPr>
        <w:suppressAutoHyphens w:val="0"/>
        <w:autoSpaceDE/>
        <w:autoSpaceDN/>
        <w:adjustRightInd/>
        <w:jc w:val="left"/>
        <w:textAlignment w:val="auto"/>
      </w:pPr>
    </w:p>
    <w:p w14:paraId="45690919" w14:textId="1E17223E" w:rsidR="000973BC" w:rsidRDefault="000973BC" w:rsidP="002A60C5">
      <w:pPr>
        <w:suppressAutoHyphens w:val="0"/>
        <w:autoSpaceDE/>
        <w:autoSpaceDN/>
        <w:adjustRightInd/>
        <w:jc w:val="left"/>
        <w:textAlignment w:val="auto"/>
      </w:pPr>
    </w:p>
    <w:p w14:paraId="27A286E4" w14:textId="7D2F1B6C" w:rsidR="000973BC" w:rsidRDefault="000973BC" w:rsidP="002A60C5">
      <w:pPr>
        <w:suppressAutoHyphens w:val="0"/>
        <w:autoSpaceDE/>
        <w:autoSpaceDN/>
        <w:adjustRightInd/>
        <w:jc w:val="left"/>
        <w:textAlignment w:val="auto"/>
      </w:pPr>
    </w:p>
    <w:p w14:paraId="0B78DA81" w14:textId="2F290C1F" w:rsidR="000973BC" w:rsidRDefault="000973BC" w:rsidP="002A60C5">
      <w:pPr>
        <w:suppressAutoHyphens w:val="0"/>
        <w:autoSpaceDE/>
        <w:autoSpaceDN/>
        <w:adjustRightInd/>
        <w:jc w:val="left"/>
        <w:textAlignment w:val="auto"/>
      </w:pPr>
    </w:p>
    <w:p w14:paraId="174372F8" w14:textId="0FEC0579" w:rsidR="000973BC" w:rsidRDefault="000973BC" w:rsidP="002A60C5">
      <w:pPr>
        <w:suppressAutoHyphens w:val="0"/>
        <w:autoSpaceDE/>
        <w:autoSpaceDN/>
        <w:adjustRightInd/>
        <w:jc w:val="left"/>
        <w:textAlignment w:val="auto"/>
      </w:pPr>
    </w:p>
    <w:p w14:paraId="1038A9D9" w14:textId="77777777" w:rsidR="003E42B3" w:rsidRDefault="003E42B3" w:rsidP="002A60C5">
      <w:pPr>
        <w:suppressAutoHyphens w:val="0"/>
        <w:autoSpaceDE/>
        <w:autoSpaceDN/>
        <w:adjustRightInd/>
        <w:jc w:val="left"/>
        <w:textAlignment w:val="auto"/>
      </w:pPr>
    </w:p>
    <w:p w14:paraId="5A0086E5" w14:textId="77777777" w:rsidR="003E42B3" w:rsidRDefault="003E42B3" w:rsidP="002A60C5">
      <w:pPr>
        <w:suppressAutoHyphens w:val="0"/>
        <w:autoSpaceDE/>
        <w:autoSpaceDN/>
        <w:adjustRightInd/>
        <w:jc w:val="left"/>
        <w:textAlignment w:val="auto"/>
      </w:pPr>
    </w:p>
    <w:p w14:paraId="04906692" w14:textId="77777777" w:rsidR="003E42B3" w:rsidRDefault="003E42B3" w:rsidP="002A60C5">
      <w:pPr>
        <w:suppressAutoHyphens w:val="0"/>
        <w:autoSpaceDE/>
        <w:autoSpaceDN/>
        <w:adjustRightInd/>
        <w:jc w:val="left"/>
        <w:textAlignment w:val="auto"/>
      </w:pPr>
    </w:p>
    <w:p w14:paraId="6478C690" w14:textId="77777777" w:rsidR="003E42B3" w:rsidRDefault="003E42B3" w:rsidP="002A60C5">
      <w:pPr>
        <w:suppressAutoHyphens w:val="0"/>
        <w:autoSpaceDE/>
        <w:autoSpaceDN/>
        <w:adjustRightInd/>
        <w:jc w:val="left"/>
        <w:textAlignment w:val="auto"/>
      </w:pPr>
    </w:p>
    <w:p w14:paraId="4C7D7FCA" w14:textId="77777777" w:rsidR="00A6445E" w:rsidRDefault="00A6445E" w:rsidP="002A60C5">
      <w:pPr>
        <w:suppressAutoHyphens w:val="0"/>
        <w:autoSpaceDE/>
        <w:autoSpaceDN/>
        <w:adjustRightInd/>
        <w:jc w:val="left"/>
        <w:textAlignment w:val="auto"/>
      </w:pPr>
    </w:p>
    <w:p w14:paraId="547D6F35" w14:textId="77777777" w:rsidR="00A6445E" w:rsidRDefault="00A6445E" w:rsidP="002A60C5">
      <w:pPr>
        <w:suppressAutoHyphens w:val="0"/>
        <w:autoSpaceDE/>
        <w:autoSpaceDN/>
        <w:adjustRightInd/>
        <w:jc w:val="left"/>
        <w:textAlignment w:val="auto"/>
      </w:pPr>
    </w:p>
    <w:p w14:paraId="4DB5E7C8" w14:textId="77777777" w:rsidR="00A6445E" w:rsidRDefault="00A6445E" w:rsidP="002A60C5">
      <w:pPr>
        <w:suppressAutoHyphens w:val="0"/>
        <w:autoSpaceDE/>
        <w:autoSpaceDN/>
        <w:adjustRightInd/>
        <w:jc w:val="left"/>
        <w:textAlignment w:val="auto"/>
      </w:pPr>
    </w:p>
    <w:p w14:paraId="7EB2F1BC" w14:textId="77777777" w:rsidR="00A6445E" w:rsidRDefault="00A6445E" w:rsidP="002A60C5">
      <w:pPr>
        <w:suppressAutoHyphens w:val="0"/>
        <w:autoSpaceDE/>
        <w:autoSpaceDN/>
        <w:adjustRightInd/>
        <w:jc w:val="left"/>
        <w:textAlignment w:val="auto"/>
      </w:pPr>
    </w:p>
    <w:p w14:paraId="79EF81EB" w14:textId="77777777" w:rsidR="00A6445E" w:rsidRDefault="00A6445E" w:rsidP="002A60C5">
      <w:pPr>
        <w:suppressAutoHyphens w:val="0"/>
        <w:autoSpaceDE/>
        <w:autoSpaceDN/>
        <w:adjustRightInd/>
        <w:jc w:val="left"/>
        <w:textAlignment w:val="auto"/>
      </w:pPr>
    </w:p>
    <w:p w14:paraId="705C911E" w14:textId="77777777" w:rsidR="00A6445E" w:rsidRDefault="00A6445E" w:rsidP="002A60C5">
      <w:pPr>
        <w:suppressAutoHyphens w:val="0"/>
        <w:autoSpaceDE/>
        <w:autoSpaceDN/>
        <w:adjustRightInd/>
        <w:jc w:val="left"/>
        <w:textAlignment w:val="auto"/>
      </w:pPr>
    </w:p>
    <w:p w14:paraId="34FB535B" w14:textId="1FC69950" w:rsidR="00A6445E" w:rsidRDefault="00A6445E" w:rsidP="002A60C5">
      <w:pPr>
        <w:suppressAutoHyphens w:val="0"/>
        <w:autoSpaceDE/>
        <w:autoSpaceDN/>
        <w:adjustRightInd/>
        <w:jc w:val="left"/>
        <w:textAlignment w:val="auto"/>
        <w:sectPr w:rsidR="00A6445E" w:rsidSect="0098162B">
          <w:headerReference w:type="even" r:id="rId13"/>
          <w:headerReference w:type="default" r:id="rId14"/>
          <w:footerReference w:type="default" r:id="rId15"/>
          <w:headerReference w:type="first" r:id="rId16"/>
          <w:footerReference w:type="first" r:id="rId17"/>
          <w:pgSz w:w="12240" w:h="15840" w:code="1"/>
          <w:pgMar w:top="1985" w:right="1134" w:bottom="1418" w:left="1134" w:header="709" w:footer="709" w:gutter="0"/>
          <w:pgNumType w:fmt="lowerRoman"/>
          <w:cols w:space="708"/>
          <w:titlePg/>
          <w:docGrid w:linePitch="360"/>
        </w:sectPr>
      </w:pPr>
    </w:p>
    <w:p w14:paraId="068B552C" w14:textId="33BA726C" w:rsidR="00B555F2" w:rsidRDefault="00B555F2" w:rsidP="002A60C5">
      <w:pPr>
        <w:jc w:val="left"/>
      </w:pPr>
      <w:r>
        <w:lastRenderedPageBreak/>
        <w:t xml:space="preserve">Document adopté à la </w:t>
      </w:r>
      <w:r w:rsidR="003C2A16" w:rsidRPr="003C2A16">
        <w:t>734</w:t>
      </w:r>
      <w:r w:rsidR="001F38B1" w:rsidRPr="001F38B1">
        <w:rPr>
          <w:vertAlign w:val="superscript"/>
        </w:rPr>
        <w:t>e</w:t>
      </w:r>
      <w:r w:rsidR="00220FCC">
        <w:rPr>
          <w:vertAlign w:val="superscript"/>
        </w:rPr>
        <w:t> </w:t>
      </w:r>
      <w:r>
        <w:t>séance de la Commission,</w:t>
      </w:r>
    </w:p>
    <w:p w14:paraId="3C039E09" w14:textId="02CFF297" w:rsidR="00024748" w:rsidRDefault="00B555F2" w:rsidP="002A60C5">
      <w:pPr>
        <w:jc w:val="left"/>
      </w:pPr>
      <w:r>
        <w:t xml:space="preserve">tenue le </w:t>
      </w:r>
      <w:r w:rsidR="003C2A16">
        <w:t>13</w:t>
      </w:r>
      <w:r w:rsidR="00220FCC">
        <w:t> </w:t>
      </w:r>
      <w:r w:rsidR="003C2A16">
        <w:t>juin</w:t>
      </w:r>
      <w:r w:rsidR="001F38B1">
        <w:t xml:space="preserve"> 2025</w:t>
      </w:r>
      <w:r>
        <w:t xml:space="preserve">, par sa résolution </w:t>
      </w:r>
      <w:r w:rsidR="00445283" w:rsidRPr="00445283">
        <w:t>COM-734-4.3.1</w:t>
      </w:r>
    </w:p>
    <w:p w14:paraId="411718D5" w14:textId="77777777" w:rsidR="00070C28" w:rsidRDefault="00070C28" w:rsidP="002A60C5">
      <w:pPr>
        <w:jc w:val="left"/>
      </w:pPr>
    </w:p>
    <w:p w14:paraId="2DFDCFB3" w14:textId="77777777" w:rsidR="00070C28" w:rsidRDefault="00070C28" w:rsidP="002A60C5">
      <w:pPr>
        <w:jc w:val="left"/>
      </w:pPr>
    </w:p>
    <w:p w14:paraId="4A570389" w14:textId="77777777" w:rsidR="00070C28" w:rsidRDefault="00070C28" w:rsidP="002A60C5">
      <w:pPr>
        <w:jc w:val="left"/>
      </w:pPr>
    </w:p>
    <w:p w14:paraId="6DA4E81F" w14:textId="36CBED80" w:rsidR="00070C28" w:rsidRDefault="00A6486B" w:rsidP="002A60C5">
      <w:pPr>
        <w:jc w:val="left"/>
      </w:pPr>
      <w:r>
        <w:rPr>
          <w:noProof/>
        </w:rPr>
        <w:drawing>
          <wp:inline distT="0" distB="0" distL="0" distR="0" wp14:anchorId="078A5E70" wp14:editId="148E6BD8">
            <wp:extent cx="1213658" cy="353291"/>
            <wp:effectExtent l="0" t="0" r="5715" b="8890"/>
            <wp:docPr id="657565778" name="Image 7" descr="P3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65778" name="Image 7" descr="P31#yIS1"/>
                    <pic:cNvPicPr/>
                  </pic:nvPicPr>
                  <pic:blipFill>
                    <a:blip r:embed="rId18">
                      <a:extLst>
                        <a:ext uri="{28A0092B-C50C-407E-A947-70E740481C1C}">
                          <a14:useLocalDpi xmlns:a14="http://schemas.microsoft.com/office/drawing/2010/main" val="0"/>
                        </a:ext>
                      </a:extLst>
                    </a:blip>
                    <a:stretch>
                      <a:fillRect/>
                    </a:stretch>
                  </pic:blipFill>
                  <pic:spPr>
                    <a:xfrm>
                      <a:off x="0" y="0"/>
                      <a:ext cx="1213658" cy="353291"/>
                    </a:xfrm>
                    <a:prstGeom prst="rect">
                      <a:avLst/>
                    </a:prstGeom>
                  </pic:spPr>
                </pic:pic>
              </a:graphicData>
            </a:graphic>
          </wp:inline>
        </w:drawing>
      </w:r>
    </w:p>
    <w:p w14:paraId="5A44717B" w14:textId="30154A8C" w:rsidR="00070C28" w:rsidRPr="001659F8" w:rsidRDefault="00070C28" w:rsidP="002A60C5">
      <w:pPr>
        <w:jc w:val="left"/>
        <w:rPr>
          <w:rFonts w:cs="Arial"/>
          <w:b/>
          <w:bCs/>
        </w:rPr>
      </w:pPr>
      <w:r w:rsidRPr="001659F8">
        <w:rPr>
          <w:rFonts w:cs="Arial"/>
        </w:rPr>
        <w:t>Jean-François T</w:t>
      </w:r>
      <w:r w:rsidR="007C6E20">
        <w:rPr>
          <w:rFonts w:cs="Arial"/>
        </w:rPr>
        <w:t>RUDEL</w:t>
      </w:r>
    </w:p>
    <w:p w14:paraId="0EC25527" w14:textId="77777777" w:rsidR="00070C28" w:rsidRPr="001659F8" w:rsidRDefault="00070C28" w:rsidP="002A60C5">
      <w:pPr>
        <w:jc w:val="left"/>
        <w:rPr>
          <w:rFonts w:cs="Arial"/>
          <w:b/>
          <w:bCs/>
        </w:rPr>
      </w:pPr>
      <w:r w:rsidRPr="001659F8">
        <w:rPr>
          <w:rFonts w:cs="Arial"/>
        </w:rPr>
        <w:t>Secrétaire de la Commission</w:t>
      </w:r>
    </w:p>
    <w:p w14:paraId="504967FF" w14:textId="77777777" w:rsidR="00070C28" w:rsidRDefault="00070C28" w:rsidP="00AB747A"/>
    <w:p w14:paraId="2B278FA2" w14:textId="77777777" w:rsidR="00070C28" w:rsidRDefault="00070C28" w:rsidP="00AB747A"/>
    <w:p w14:paraId="27BE0635" w14:textId="77777777" w:rsidR="00070C28" w:rsidRDefault="00070C28" w:rsidP="00AB747A"/>
    <w:p w14:paraId="0D140946" w14:textId="77777777" w:rsidR="001060B5" w:rsidRDefault="001060B5" w:rsidP="00AB747A"/>
    <w:p w14:paraId="6FE7DF1F" w14:textId="77777777" w:rsidR="008020E1" w:rsidRDefault="008020E1" w:rsidP="00AB747A"/>
    <w:p w14:paraId="578B2C9A" w14:textId="77777777" w:rsidR="00AB747A" w:rsidRDefault="00AB747A" w:rsidP="00AB747A"/>
    <w:p w14:paraId="7CF8CC13" w14:textId="77777777" w:rsidR="008020E1" w:rsidRDefault="008020E1" w:rsidP="00AB747A"/>
    <w:p w14:paraId="7BF8BADC" w14:textId="77777777" w:rsidR="00026E92" w:rsidRDefault="00026E92" w:rsidP="00AB747A"/>
    <w:p w14:paraId="0B619D1A" w14:textId="77777777" w:rsidR="00026E92" w:rsidRPr="00E63E22" w:rsidRDefault="00026E92" w:rsidP="00AB747A"/>
    <w:p w14:paraId="4000D640" w14:textId="092E1EBC" w:rsidR="00070C28" w:rsidRPr="0071137E" w:rsidRDefault="00111078" w:rsidP="002A60C5">
      <w:pPr>
        <w:jc w:val="left"/>
        <w:rPr>
          <w:rFonts w:cs="Arial"/>
          <w:color w:val="953D89"/>
        </w:rPr>
      </w:pPr>
      <w:r>
        <w:rPr>
          <w:rFonts w:cs="Arial"/>
          <w:color w:val="953D89"/>
        </w:rPr>
        <w:t>Conception,</w:t>
      </w:r>
      <w:r w:rsidR="008020E1">
        <w:rPr>
          <w:rFonts w:cs="Arial"/>
          <w:color w:val="953D89"/>
        </w:rPr>
        <w:t xml:space="preserve"> </w:t>
      </w:r>
      <w:r>
        <w:rPr>
          <w:rFonts w:cs="Arial"/>
          <w:color w:val="953D89"/>
        </w:rPr>
        <w:t>r</w:t>
      </w:r>
      <w:r w:rsidR="00070C28" w:rsidRPr="00136A12">
        <w:rPr>
          <w:rFonts w:cs="Arial"/>
          <w:color w:val="953D89"/>
        </w:rPr>
        <w:t xml:space="preserve">echerche, analyse et rédaction </w:t>
      </w:r>
    </w:p>
    <w:p w14:paraId="49F72AC8" w14:textId="156BB0FC" w:rsidR="00070C28" w:rsidRPr="00111078" w:rsidRDefault="00070C28" w:rsidP="002A60C5">
      <w:pPr>
        <w:tabs>
          <w:tab w:val="left" w:pos="709"/>
        </w:tabs>
        <w:ind w:left="709" w:hanging="709"/>
        <w:jc w:val="left"/>
        <w:rPr>
          <w:rFonts w:cs="Arial"/>
          <w:b/>
          <w:bCs/>
        </w:rPr>
      </w:pPr>
      <w:r w:rsidRPr="007C4BE0">
        <w:rPr>
          <w:rFonts w:cs="Arial"/>
          <w:i/>
          <w:iCs/>
        </w:rPr>
        <w:tab/>
      </w:r>
      <w:r w:rsidR="00111078">
        <w:rPr>
          <w:rFonts w:cs="Arial"/>
        </w:rPr>
        <w:t>M</w:t>
      </w:r>
      <w:r w:rsidR="00111078" w:rsidRPr="00E13553">
        <w:rPr>
          <w:rFonts w:cs="Arial"/>
          <w:vertAlign w:val="superscript"/>
        </w:rPr>
        <w:t>e</w:t>
      </w:r>
      <w:r w:rsidR="00111078">
        <w:rPr>
          <w:rFonts w:cs="Arial"/>
        </w:rPr>
        <w:t xml:space="preserve"> Karina MONTMIN</w:t>
      </w:r>
      <w:r w:rsidR="002C535D">
        <w:rPr>
          <w:rFonts w:cs="Arial"/>
        </w:rPr>
        <w:t>Y, conseillère juridique</w:t>
      </w:r>
    </w:p>
    <w:p w14:paraId="2A3120B6" w14:textId="77777777" w:rsidR="00070C28" w:rsidRPr="007C4BE0" w:rsidRDefault="00070C28" w:rsidP="002A60C5">
      <w:pPr>
        <w:tabs>
          <w:tab w:val="left" w:pos="709"/>
        </w:tabs>
        <w:ind w:left="709" w:hanging="709"/>
        <w:jc w:val="left"/>
        <w:rPr>
          <w:rFonts w:cs="Arial"/>
          <w:b/>
          <w:bCs/>
        </w:rPr>
      </w:pPr>
      <w:r w:rsidRPr="007C4BE0">
        <w:rPr>
          <w:rFonts w:cs="Arial"/>
        </w:rPr>
        <w:tab/>
        <w:t>Direction de la recherche</w:t>
      </w:r>
    </w:p>
    <w:p w14:paraId="39C0A8BB" w14:textId="77777777" w:rsidR="00070C28" w:rsidRDefault="00070C28" w:rsidP="002A60C5">
      <w:pPr>
        <w:jc w:val="left"/>
        <w:rPr>
          <w:rFonts w:cs="Arial"/>
          <w:b/>
          <w:bCs/>
        </w:rPr>
      </w:pPr>
    </w:p>
    <w:p w14:paraId="411BA188" w14:textId="7368BDB1" w:rsidR="008020E1" w:rsidRPr="007C4BE0" w:rsidRDefault="00941862" w:rsidP="008020E1">
      <w:pPr>
        <w:tabs>
          <w:tab w:val="left" w:pos="709"/>
        </w:tabs>
        <w:ind w:left="709" w:hanging="709"/>
        <w:jc w:val="left"/>
        <w:rPr>
          <w:rFonts w:cs="Arial"/>
        </w:rPr>
      </w:pPr>
      <w:r>
        <w:rPr>
          <w:color w:val="943C88"/>
        </w:rPr>
        <w:t>C</w:t>
      </w:r>
      <w:r w:rsidR="008020E1">
        <w:rPr>
          <w:color w:val="943C88"/>
        </w:rPr>
        <w:t>ollaboration</w:t>
      </w:r>
      <w:r w:rsidR="008020E1">
        <w:rPr>
          <w:color w:val="943C88"/>
          <w:spacing w:val="-6"/>
        </w:rPr>
        <w:t xml:space="preserve"> </w:t>
      </w:r>
      <w:r w:rsidR="008020E1">
        <w:rPr>
          <w:color w:val="943C88"/>
        </w:rPr>
        <w:t>à</w:t>
      </w:r>
      <w:r w:rsidR="008020E1">
        <w:rPr>
          <w:color w:val="943C88"/>
          <w:spacing w:val="-4"/>
        </w:rPr>
        <w:t xml:space="preserve"> </w:t>
      </w:r>
      <w:r w:rsidR="008020E1">
        <w:rPr>
          <w:color w:val="943C88"/>
        </w:rPr>
        <w:t>la</w:t>
      </w:r>
      <w:r w:rsidR="008020E1">
        <w:rPr>
          <w:color w:val="943C88"/>
          <w:spacing w:val="-6"/>
        </w:rPr>
        <w:t xml:space="preserve"> </w:t>
      </w:r>
      <w:r w:rsidR="008020E1">
        <w:rPr>
          <w:color w:val="943C88"/>
        </w:rPr>
        <w:t>rédaction</w:t>
      </w:r>
      <w:r>
        <w:rPr>
          <w:color w:val="943C88"/>
        </w:rPr>
        <w:t xml:space="preserve"> et analyse des données</w:t>
      </w:r>
      <w:r w:rsidR="008020E1" w:rsidRPr="001659F8">
        <w:rPr>
          <w:rFonts w:cs="Arial"/>
        </w:rPr>
        <w:tab/>
      </w:r>
    </w:p>
    <w:p w14:paraId="5C10B852" w14:textId="5A9B7D16" w:rsidR="008020E1" w:rsidRDefault="008020E1" w:rsidP="008020E1">
      <w:pPr>
        <w:tabs>
          <w:tab w:val="left" w:pos="709"/>
        </w:tabs>
        <w:ind w:left="709" w:hanging="709"/>
        <w:jc w:val="left"/>
        <w:rPr>
          <w:rFonts w:cs="Arial"/>
        </w:rPr>
      </w:pPr>
      <w:r w:rsidRPr="007C4BE0">
        <w:rPr>
          <w:rFonts w:cs="Arial"/>
        </w:rPr>
        <w:tab/>
      </w:r>
      <w:r>
        <w:rPr>
          <w:rFonts w:cs="Arial"/>
        </w:rPr>
        <w:t>Samuel BLOUIN, chercheur</w:t>
      </w:r>
    </w:p>
    <w:p w14:paraId="087BFA6F" w14:textId="56B0EE6A" w:rsidR="008020E1" w:rsidRDefault="008020E1" w:rsidP="008020E1">
      <w:pPr>
        <w:tabs>
          <w:tab w:val="left" w:pos="709"/>
        </w:tabs>
        <w:ind w:left="709" w:hanging="709"/>
        <w:jc w:val="left"/>
        <w:rPr>
          <w:rFonts w:cs="Arial"/>
        </w:rPr>
      </w:pPr>
      <w:r>
        <w:rPr>
          <w:rFonts w:cs="Arial"/>
        </w:rPr>
        <w:tab/>
        <w:t>Mathieu F</w:t>
      </w:r>
      <w:r w:rsidR="00941862">
        <w:rPr>
          <w:rFonts w:cs="Arial"/>
        </w:rPr>
        <w:t>ORCIER, chercheur</w:t>
      </w:r>
    </w:p>
    <w:p w14:paraId="1743233B" w14:textId="77777777" w:rsidR="008020E1" w:rsidRPr="007C4BE0" w:rsidRDefault="008020E1" w:rsidP="008020E1">
      <w:pPr>
        <w:tabs>
          <w:tab w:val="left" w:pos="709"/>
        </w:tabs>
        <w:ind w:left="709" w:hanging="709"/>
        <w:jc w:val="left"/>
        <w:rPr>
          <w:rFonts w:cs="Arial"/>
          <w:b/>
          <w:bCs/>
        </w:rPr>
      </w:pPr>
      <w:r>
        <w:rPr>
          <w:rFonts w:cs="Arial"/>
        </w:rPr>
        <w:tab/>
      </w:r>
      <w:r w:rsidRPr="007C4BE0">
        <w:rPr>
          <w:rFonts w:cs="Arial"/>
        </w:rPr>
        <w:t>Direction de la recherche</w:t>
      </w:r>
    </w:p>
    <w:p w14:paraId="301F7015" w14:textId="77777777" w:rsidR="008020E1" w:rsidRDefault="008020E1" w:rsidP="002A60C5">
      <w:pPr>
        <w:jc w:val="left"/>
        <w:rPr>
          <w:rFonts w:cs="Arial"/>
          <w:b/>
          <w:bCs/>
        </w:rPr>
      </w:pPr>
    </w:p>
    <w:p w14:paraId="5252A42C" w14:textId="1928A0C7" w:rsidR="002C535D" w:rsidRDefault="002C535D" w:rsidP="002A60C5">
      <w:pPr>
        <w:jc w:val="left"/>
        <w:rPr>
          <w:rFonts w:cs="Arial"/>
          <w:color w:val="953D89"/>
        </w:rPr>
      </w:pPr>
      <w:r>
        <w:rPr>
          <w:rFonts w:cs="Arial"/>
          <w:color w:val="953D89"/>
        </w:rPr>
        <w:t>Collaboration à l’élaboration de</w:t>
      </w:r>
      <w:r w:rsidR="00373CC2">
        <w:rPr>
          <w:rFonts w:cs="Arial"/>
          <w:color w:val="953D89"/>
        </w:rPr>
        <w:t xml:space="preserve"> la méthodologie</w:t>
      </w:r>
    </w:p>
    <w:p w14:paraId="1121BA9A" w14:textId="387CF8DF" w:rsidR="00E13553" w:rsidRPr="00111078" w:rsidRDefault="00E13553" w:rsidP="00E13553">
      <w:pPr>
        <w:tabs>
          <w:tab w:val="left" w:pos="709"/>
        </w:tabs>
        <w:ind w:left="709" w:hanging="709"/>
        <w:jc w:val="left"/>
        <w:rPr>
          <w:rFonts w:cs="Arial"/>
          <w:b/>
          <w:bCs/>
        </w:rPr>
      </w:pPr>
      <w:r>
        <w:rPr>
          <w:rFonts w:cs="Arial"/>
        </w:rPr>
        <w:tab/>
        <w:t>Daniel DUCHARME, chercheur expert</w:t>
      </w:r>
    </w:p>
    <w:p w14:paraId="5600676E" w14:textId="77777777" w:rsidR="00E13553" w:rsidRPr="007C4BE0" w:rsidRDefault="00E13553" w:rsidP="00E13553">
      <w:pPr>
        <w:tabs>
          <w:tab w:val="left" w:pos="709"/>
        </w:tabs>
        <w:ind w:left="709" w:hanging="709"/>
        <w:jc w:val="left"/>
        <w:rPr>
          <w:rFonts w:cs="Arial"/>
          <w:b/>
          <w:bCs/>
        </w:rPr>
      </w:pPr>
      <w:r w:rsidRPr="007C4BE0">
        <w:rPr>
          <w:rFonts w:cs="Arial"/>
        </w:rPr>
        <w:tab/>
        <w:t>Direction de la recherche</w:t>
      </w:r>
    </w:p>
    <w:p w14:paraId="6AC76019" w14:textId="77777777" w:rsidR="00E13553" w:rsidRPr="00E13553" w:rsidRDefault="00E13553" w:rsidP="002A60C5">
      <w:pPr>
        <w:jc w:val="left"/>
        <w:rPr>
          <w:rFonts w:cs="Arial"/>
          <w:b/>
          <w:bCs/>
        </w:rPr>
      </w:pPr>
    </w:p>
    <w:p w14:paraId="276A14E5" w14:textId="4150EBD4" w:rsidR="00E13553" w:rsidRDefault="00E13553" w:rsidP="00E13553">
      <w:pPr>
        <w:jc w:val="left"/>
        <w:rPr>
          <w:rFonts w:cs="Arial"/>
          <w:color w:val="953D89"/>
        </w:rPr>
      </w:pPr>
      <w:r>
        <w:rPr>
          <w:rFonts w:cs="Arial"/>
          <w:color w:val="953D89"/>
        </w:rPr>
        <w:t xml:space="preserve">Collaboration à </w:t>
      </w:r>
      <w:r w:rsidR="00AB51D7">
        <w:rPr>
          <w:rFonts w:cs="Arial"/>
          <w:color w:val="953D89"/>
        </w:rPr>
        <w:t>la</w:t>
      </w:r>
      <w:r>
        <w:rPr>
          <w:rFonts w:cs="Arial"/>
          <w:color w:val="953D89"/>
        </w:rPr>
        <w:t xml:space="preserve"> collecte </w:t>
      </w:r>
      <w:r w:rsidR="00BA0A15">
        <w:rPr>
          <w:rFonts w:cs="Arial"/>
          <w:color w:val="953D89"/>
        </w:rPr>
        <w:t>et à la recension des données</w:t>
      </w:r>
    </w:p>
    <w:p w14:paraId="2BB051F6" w14:textId="1D8FE696" w:rsidR="00E13553" w:rsidRPr="00111078" w:rsidRDefault="00E13553" w:rsidP="00E13553">
      <w:pPr>
        <w:tabs>
          <w:tab w:val="left" w:pos="709"/>
        </w:tabs>
        <w:ind w:left="709" w:hanging="709"/>
        <w:jc w:val="left"/>
        <w:rPr>
          <w:rFonts w:cs="Arial"/>
          <w:b/>
          <w:bCs/>
        </w:rPr>
      </w:pPr>
      <w:r>
        <w:rPr>
          <w:rFonts w:cs="Arial"/>
        </w:rPr>
        <w:tab/>
      </w:r>
      <w:r w:rsidR="00AB51D7">
        <w:rPr>
          <w:rFonts w:cs="Arial"/>
        </w:rPr>
        <w:t>M</w:t>
      </w:r>
      <w:r w:rsidR="00AB51D7" w:rsidRPr="00E13553">
        <w:rPr>
          <w:rFonts w:cs="Arial"/>
          <w:vertAlign w:val="superscript"/>
        </w:rPr>
        <w:t>e</w:t>
      </w:r>
      <w:r w:rsidR="00AB51D7">
        <w:rPr>
          <w:rFonts w:cs="Arial"/>
        </w:rPr>
        <w:t xml:space="preserve"> Mathilde VIAU-TASSÉ, conseillère juridique</w:t>
      </w:r>
    </w:p>
    <w:p w14:paraId="10375BCA" w14:textId="264509C2" w:rsidR="00E13553" w:rsidRPr="00E13553" w:rsidRDefault="00E13553" w:rsidP="00E13553">
      <w:pPr>
        <w:jc w:val="left"/>
        <w:rPr>
          <w:rFonts w:cs="Arial"/>
          <w:b/>
          <w:bCs/>
        </w:rPr>
      </w:pPr>
      <w:r w:rsidRPr="007C4BE0">
        <w:rPr>
          <w:rFonts w:cs="Arial"/>
        </w:rPr>
        <w:tab/>
        <w:t>Direction de la recherche</w:t>
      </w:r>
    </w:p>
    <w:p w14:paraId="5C922E50" w14:textId="77777777" w:rsidR="00E13553" w:rsidRPr="00E13553" w:rsidRDefault="00E13553" w:rsidP="002A60C5">
      <w:pPr>
        <w:jc w:val="left"/>
        <w:rPr>
          <w:rFonts w:cs="Arial"/>
          <w:b/>
          <w:bCs/>
        </w:rPr>
      </w:pPr>
    </w:p>
    <w:p w14:paraId="4494C89E" w14:textId="4BB910F5" w:rsidR="00AB51D7" w:rsidRDefault="00AB51D7" w:rsidP="00AB51D7">
      <w:pPr>
        <w:jc w:val="left"/>
        <w:rPr>
          <w:rFonts w:cs="Arial"/>
          <w:color w:val="953D89"/>
        </w:rPr>
      </w:pPr>
      <w:r>
        <w:rPr>
          <w:rFonts w:cs="Arial"/>
          <w:color w:val="953D89"/>
        </w:rPr>
        <w:t>Collaboration au traitement des données</w:t>
      </w:r>
    </w:p>
    <w:p w14:paraId="1AE127BF" w14:textId="66AE96A2" w:rsidR="00AB51D7" w:rsidRPr="00111078" w:rsidRDefault="00AB51D7" w:rsidP="00AB51D7">
      <w:pPr>
        <w:tabs>
          <w:tab w:val="left" w:pos="709"/>
        </w:tabs>
        <w:ind w:left="709" w:hanging="709"/>
        <w:jc w:val="left"/>
        <w:rPr>
          <w:rFonts w:cs="Arial"/>
          <w:b/>
          <w:bCs/>
        </w:rPr>
      </w:pPr>
      <w:r>
        <w:rPr>
          <w:rFonts w:cs="Arial"/>
        </w:rPr>
        <w:tab/>
        <w:t>Emmanuel BANCE, technicien à la recherche</w:t>
      </w:r>
    </w:p>
    <w:p w14:paraId="4ABE95C4" w14:textId="77777777" w:rsidR="00AB51D7" w:rsidRPr="00E13553" w:rsidRDefault="00AB51D7" w:rsidP="00AB51D7">
      <w:pPr>
        <w:jc w:val="left"/>
        <w:rPr>
          <w:rFonts w:cs="Arial"/>
          <w:b/>
          <w:bCs/>
        </w:rPr>
      </w:pPr>
      <w:r w:rsidRPr="007C4BE0">
        <w:rPr>
          <w:rFonts w:cs="Arial"/>
        </w:rPr>
        <w:tab/>
        <w:t>Direction de la recherche</w:t>
      </w:r>
    </w:p>
    <w:p w14:paraId="584F266C" w14:textId="77777777" w:rsidR="002C535D" w:rsidRPr="001659F8" w:rsidRDefault="002C535D" w:rsidP="002A60C5">
      <w:pPr>
        <w:jc w:val="left"/>
        <w:rPr>
          <w:rFonts w:cs="Arial"/>
          <w:b/>
          <w:bCs/>
        </w:rPr>
      </w:pPr>
    </w:p>
    <w:p w14:paraId="1D5E2D9A" w14:textId="37EC37A0" w:rsidR="00070C28" w:rsidRPr="002B4081" w:rsidRDefault="00070C28" w:rsidP="002A60C5">
      <w:pPr>
        <w:jc w:val="left"/>
        <w:rPr>
          <w:rFonts w:cs="Arial"/>
          <w:color w:val="953D89"/>
        </w:rPr>
      </w:pPr>
      <w:r w:rsidRPr="002B4081">
        <w:rPr>
          <w:rFonts w:cs="Arial"/>
          <w:color w:val="953D89"/>
        </w:rPr>
        <w:t>Révision de texte et mise en page</w:t>
      </w:r>
    </w:p>
    <w:p w14:paraId="30891638" w14:textId="44CD36DD" w:rsidR="00B442DE" w:rsidRPr="007C4BE0" w:rsidRDefault="00070C28" w:rsidP="002A60C5">
      <w:pPr>
        <w:tabs>
          <w:tab w:val="left" w:pos="709"/>
        </w:tabs>
        <w:ind w:left="709" w:hanging="709"/>
        <w:jc w:val="left"/>
        <w:rPr>
          <w:rFonts w:cs="Arial"/>
        </w:rPr>
      </w:pPr>
      <w:r w:rsidRPr="001659F8">
        <w:rPr>
          <w:rFonts w:cs="Arial"/>
        </w:rPr>
        <w:tab/>
      </w:r>
      <w:r w:rsidR="00425CAE">
        <w:rPr>
          <w:rFonts w:cs="Arial"/>
        </w:rPr>
        <w:t>Sylvie DURAND, technicienne en administration</w:t>
      </w:r>
    </w:p>
    <w:p w14:paraId="6C24B096" w14:textId="77777777" w:rsidR="00425CAE" w:rsidRDefault="00070C28" w:rsidP="002A60C5">
      <w:pPr>
        <w:tabs>
          <w:tab w:val="left" w:pos="709"/>
        </w:tabs>
        <w:ind w:left="709" w:hanging="709"/>
        <w:jc w:val="left"/>
        <w:rPr>
          <w:rFonts w:cs="Arial"/>
        </w:rPr>
      </w:pPr>
      <w:r w:rsidRPr="007C4BE0">
        <w:rPr>
          <w:rFonts w:cs="Arial"/>
        </w:rPr>
        <w:tab/>
        <w:t>Direction de la recherche</w:t>
      </w:r>
    </w:p>
    <w:p w14:paraId="05C8EFBF" w14:textId="77777777" w:rsidR="00425CAE" w:rsidRDefault="00425CAE" w:rsidP="002A60C5">
      <w:pPr>
        <w:tabs>
          <w:tab w:val="left" w:pos="709"/>
        </w:tabs>
        <w:ind w:left="709" w:hanging="709"/>
        <w:jc w:val="left"/>
        <w:rPr>
          <w:rFonts w:cs="Arial"/>
        </w:rPr>
      </w:pPr>
    </w:p>
    <w:p w14:paraId="0FBE95E7" w14:textId="77777777" w:rsidR="00425CAE" w:rsidRDefault="00425CAE" w:rsidP="002A60C5">
      <w:pPr>
        <w:tabs>
          <w:tab w:val="left" w:pos="709"/>
        </w:tabs>
        <w:ind w:left="709" w:hanging="709"/>
        <w:jc w:val="left"/>
        <w:rPr>
          <w:rFonts w:cs="Arial"/>
        </w:rPr>
        <w:sectPr w:rsidR="00425CAE" w:rsidSect="0098162B">
          <w:headerReference w:type="even" r:id="rId19"/>
          <w:headerReference w:type="default" r:id="rId20"/>
          <w:headerReference w:type="first" r:id="rId21"/>
          <w:footerReference w:type="first" r:id="rId22"/>
          <w:pgSz w:w="12240" w:h="15840" w:code="1"/>
          <w:pgMar w:top="1985" w:right="1134" w:bottom="1418" w:left="1134" w:header="709" w:footer="709" w:gutter="0"/>
          <w:pgNumType w:fmt="lowerRoman"/>
          <w:cols w:space="708"/>
          <w:titlePg/>
          <w:docGrid w:linePitch="360"/>
        </w:sectPr>
      </w:pPr>
    </w:p>
    <w:p w14:paraId="4CAFE426" w14:textId="0C67FE54" w:rsidR="00026E92" w:rsidRPr="00136A12" w:rsidRDefault="00026E92" w:rsidP="002A60C5">
      <w:pPr>
        <w:jc w:val="left"/>
        <w:rPr>
          <w:rFonts w:cs="Arial"/>
          <w:color w:val="953D89"/>
        </w:rPr>
      </w:pPr>
      <w:r w:rsidRPr="1F3750F8">
        <w:rPr>
          <w:rFonts w:cs="Arial"/>
          <w:color w:val="953D89"/>
        </w:rPr>
        <w:lastRenderedPageBreak/>
        <w:t>Les recommandations de ce</w:t>
      </w:r>
      <w:r w:rsidR="005270AD">
        <w:rPr>
          <w:rFonts w:cs="Arial"/>
          <w:color w:val="953D89"/>
        </w:rPr>
        <w:t>tte étude</w:t>
      </w:r>
      <w:r w:rsidRPr="1F3750F8">
        <w:rPr>
          <w:rFonts w:cs="Arial"/>
          <w:color w:val="953D89"/>
        </w:rPr>
        <w:t xml:space="preserve"> ont été approuvées par les membres de la Commission.</w:t>
      </w:r>
    </w:p>
    <w:p w14:paraId="12D05C0D" w14:textId="77777777" w:rsidR="00026E92" w:rsidRPr="001659F8" w:rsidRDefault="00026E92" w:rsidP="002A60C5">
      <w:pPr>
        <w:jc w:val="left"/>
        <w:rPr>
          <w:rFonts w:cs="Arial"/>
          <w:b/>
          <w:bCs/>
        </w:rPr>
      </w:pPr>
    </w:p>
    <w:p w14:paraId="5E6814D2" w14:textId="05EA26C6" w:rsidR="00026E92" w:rsidRPr="00941694" w:rsidRDefault="00026E92" w:rsidP="002A60C5">
      <w:pPr>
        <w:jc w:val="left"/>
        <w:rPr>
          <w:rFonts w:cs="Arial"/>
          <w:b/>
          <w:bCs/>
        </w:rPr>
      </w:pPr>
      <w:r w:rsidRPr="00941694">
        <w:rPr>
          <w:rFonts w:cs="Arial"/>
        </w:rPr>
        <w:t>Philippe-André TESSIER, président</w:t>
      </w:r>
    </w:p>
    <w:p w14:paraId="59F39BAC" w14:textId="77777777" w:rsidR="00026E92" w:rsidRPr="00941694" w:rsidRDefault="00026E92" w:rsidP="002A60C5">
      <w:pPr>
        <w:jc w:val="left"/>
        <w:rPr>
          <w:rFonts w:cs="Arial"/>
          <w:b/>
          <w:bCs/>
        </w:rPr>
      </w:pPr>
      <w:r w:rsidRPr="00941694">
        <w:rPr>
          <w:rFonts w:cs="Arial"/>
        </w:rPr>
        <w:t>Myrlande PIERRE, vice-présidente responsable du mandat Charte</w:t>
      </w:r>
    </w:p>
    <w:p w14:paraId="71A7F816" w14:textId="3F8BB04C" w:rsidR="00026E92" w:rsidRPr="00941694" w:rsidRDefault="00026E92" w:rsidP="002A60C5">
      <w:pPr>
        <w:jc w:val="left"/>
        <w:rPr>
          <w:rFonts w:cs="Arial"/>
        </w:rPr>
      </w:pPr>
      <w:r w:rsidRPr="00941694">
        <w:rPr>
          <w:rFonts w:cs="Arial"/>
        </w:rPr>
        <w:t xml:space="preserve">Stéphanie GAREAU, </w:t>
      </w:r>
      <w:r w:rsidR="00DA516A">
        <w:rPr>
          <w:rFonts w:eastAsia="Aptos" w:cs="Aptos"/>
        </w:rPr>
        <w:t>v</w:t>
      </w:r>
      <w:r w:rsidRPr="00941694">
        <w:rPr>
          <w:rFonts w:eastAsia="Aptos" w:cs="Aptos"/>
        </w:rPr>
        <w:t>ice-présidente responsable du mandat Jeunesse</w:t>
      </w:r>
    </w:p>
    <w:p w14:paraId="53E565B1" w14:textId="77777777" w:rsidR="00026E92" w:rsidRPr="001659F8" w:rsidRDefault="00026E92" w:rsidP="002A60C5">
      <w:pPr>
        <w:jc w:val="left"/>
        <w:rPr>
          <w:rFonts w:cs="Arial"/>
          <w:b/>
          <w:bCs/>
        </w:rPr>
      </w:pPr>
    </w:p>
    <w:p w14:paraId="4D8A9887" w14:textId="77777777" w:rsidR="00026E92" w:rsidRDefault="00026E92" w:rsidP="002A60C5">
      <w:pPr>
        <w:jc w:val="left"/>
        <w:rPr>
          <w:rFonts w:cs="Arial"/>
        </w:rPr>
      </w:pPr>
    </w:p>
    <w:p w14:paraId="5AA63E12" w14:textId="77777777" w:rsidR="00944FD0" w:rsidRDefault="00944FD0" w:rsidP="002A60C5">
      <w:pPr>
        <w:jc w:val="left"/>
        <w:rPr>
          <w:rFonts w:cs="Arial"/>
          <w:i/>
          <w:iCs/>
        </w:rPr>
        <w:sectPr w:rsidR="00944FD0" w:rsidSect="0098162B">
          <w:pgSz w:w="12240" w:h="15840" w:code="1"/>
          <w:pgMar w:top="1985" w:right="1134" w:bottom="1418" w:left="1134" w:header="709" w:footer="709" w:gutter="0"/>
          <w:pgNumType w:fmt="lowerRoman"/>
          <w:cols w:space="708"/>
          <w:titlePg/>
          <w:docGrid w:linePitch="360"/>
        </w:sectPr>
      </w:pPr>
    </w:p>
    <w:p w14:paraId="68BA47D0" w14:textId="02F35EDB" w:rsidR="00026E92" w:rsidRPr="00941694" w:rsidRDefault="00026E92" w:rsidP="002A60C5">
      <w:pPr>
        <w:jc w:val="left"/>
        <w:rPr>
          <w:rFonts w:cs="Arial"/>
          <w:b/>
          <w:bCs/>
        </w:rPr>
      </w:pPr>
      <w:r w:rsidRPr="00941694">
        <w:rPr>
          <w:rFonts w:cs="Arial"/>
        </w:rPr>
        <w:t>Habib EL-HAGE</w:t>
      </w:r>
    </w:p>
    <w:p w14:paraId="4D61EE86" w14:textId="77777777" w:rsidR="00026E92" w:rsidRPr="00941694" w:rsidRDefault="00026E92" w:rsidP="002A60C5">
      <w:pPr>
        <w:jc w:val="left"/>
        <w:rPr>
          <w:rFonts w:cs="Arial"/>
          <w:b/>
          <w:bCs/>
        </w:rPr>
      </w:pPr>
      <w:r w:rsidRPr="00941694">
        <w:rPr>
          <w:rFonts w:cs="Arial"/>
        </w:rPr>
        <w:t>Lizette GAUVREAU</w:t>
      </w:r>
    </w:p>
    <w:p w14:paraId="41085D1A" w14:textId="77777777" w:rsidR="00026E92" w:rsidRPr="00941694" w:rsidRDefault="00026E92" w:rsidP="002A60C5">
      <w:pPr>
        <w:jc w:val="left"/>
        <w:rPr>
          <w:rFonts w:cs="Arial"/>
          <w:b/>
          <w:bCs/>
        </w:rPr>
      </w:pPr>
      <w:r w:rsidRPr="00941694">
        <w:rPr>
          <w:rFonts w:cs="Arial"/>
        </w:rPr>
        <w:t>Marie-Laure LECLERCQ</w:t>
      </w:r>
    </w:p>
    <w:p w14:paraId="78E880CA" w14:textId="77777777" w:rsidR="00026E92" w:rsidRPr="00941694" w:rsidRDefault="00026E92" w:rsidP="002A60C5">
      <w:pPr>
        <w:jc w:val="left"/>
        <w:rPr>
          <w:rFonts w:cs="Arial"/>
          <w:b/>
          <w:bCs/>
        </w:rPr>
      </w:pPr>
      <w:r w:rsidRPr="00941694">
        <w:rPr>
          <w:rFonts w:cs="Arial"/>
        </w:rPr>
        <w:t>Sylvain LE MAY</w:t>
      </w:r>
    </w:p>
    <w:p w14:paraId="0AA1B721" w14:textId="1282582F" w:rsidR="00026E92" w:rsidRPr="00941694" w:rsidRDefault="00425CAE" w:rsidP="002A60C5">
      <w:pPr>
        <w:jc w:val="left"/>
        <w:rPr>
          <w:rFonts w:cs="Arial"/>
          <w:b/>
          <w:bCs/>
        </w:rPr>
      </w:pPr>
      <w:r>
        <w:rPr>
          <w:rFonts w:cs="Arial"/>
        </w:rPr>
        <w:t>Alain</w:t>
      </w:r>
      <w:r w:rsidR="00026E92" w:rsidRPr="00941694">
        <w:rPr>
          <w:rFonts w:cs="Arial"/>
        </w:rPr>
        <w:t xml:space="preserve"> ROY</w:t>
      </w:r>
    </w:p>
    <w:p w14:paraId="77D4FBC6" w14:textId="5C44B4F6" w:rsidR="008740B5" w:rsidRDefault="00425CAE" w:rsidP="002A60C5">
      <w:pPr>
        <w:jc w:val="left"/>
        <w:rPr>
          <w:rFonts w:cs="Arial"/>
        </w:rPr>
      </w:pPr>
      <w:r w:rsidRPr="00425CAE">
        <w:rPr>
          <w:rFonts w:cs="Arial"/>
        </w:rPr>
        <w:t xml:space="preserve">Martine </w:t>
      </w:r>
      <w:r w:rsidR="008740B5" w:rsidRPr="00425CAE">
        <w:rPr>
          <w:rFonts w:cs="Arial"/>
        </w:rPr>
        <w:t>ROY</w:t>
      </w:r>
    </w:p>
    <w:p w14:paraId="78FB1645" w14:textId="187912DA" w:rsidR="00026E92" w:rsidRPr="00941694" w:rsidRDefault="00026E92" w:rsidP="002A60C5">
      <w:pPr>
        <w:jc w:val="left"/>
        <w:rPr>
          <w:rFonts w:cs="Arial"/>
          <w:b/>
          <w:bCs/>
        </w:rPr>
      </w:pPr>
      <w:r w:rsidRPr="00941694">
        <w:rPr>
          <w:rFonts w:cs="Arial"/>
        </w:rPr>
        <w:t>Anne-Marie SANTORINEOS</w:t>
      </w:r>
    </w:p>
    <w:p w14:paraId="5392587D" w14:textId="77777777" w:rsidR="00026E92" w:rsidRPr="00941694" w:rsidRDefault="00026E92" w:rsidP="002A60C5">
      <w:pPr>
        <w:jc w:val="left"/>
        <w:rPr>
          <w:rFonts w:cs="Arial"/>
          <w:b/>
          <w:bCs/>
        </w:rPr>
      </w:pPr>
      <w:r w:rsidRPr="00941694">
        <w:rPr>
          <w:rFonts w:cs="Arial"/>
        </w:rPr>
        <w:t>Bruno SIOUI</w:t>
      </w:r>
    </w:p>
    <w:p w14:paraId="3059A454" w14:textId="77777777" w:rsidR="00026E92" w:rsidRPr="00941694" w:rsidRDefault="00026E92" w:rsidP="002A60C5">
      <w:pPr>
        <w:jc w:val="left"/>
        <w:rPr>
          <w:rFonts w:cs="Arial"/>
          <w:b/>
          <w:bCs/>
        </w:rPr>
      </w:pPr>
      <w:r w:rsidRPr="00941694">
        <w:rPr>
          <w:rFonts w:cs="Arial"/>
        </w:rPr>
        <w:t>Nadine VOLLANT</w:t>
      </w:r>
    </w:p>
    <w:p w14:paraId="38E41A73" w14:textId="68BDB0FD" w:rsidR="00026E92" w:rsidRPr="00941694" w:rsidRDefault="00026E92" w:rsidP="002A60C5">
      <w:pPr>
        <w:jc w:val="left"/>
        <w:rPr>
          <w:rFonts w:cs="Arial"/>
        </w:rPr>
      </w:pPr>
      <w:r w:rsidRPr="00941694">
        <w:rPr>
          <w:rFonts w:cs="Arial"/>
        </w:rPr>
        <w:t>Marjorie VILLEFRANCHE</w:t>
      </w:r>
    </w:p>
    <w:p w14:paraId="36A83046" w14:textId="77777777" w:rsidR="00944FD0" w:rsidRDefault="00944FD0" w:rsidP="002A60C5">
      <w:pPr>
        <w:jc w:val="left"/>
        <w:rPr>
          <w:rFonts w:cs="Arial"/>
        </w:rPr>
        <w:sectPr w:rsidR="00944FD0" w:rsidSect="0098162B">
          <w:type w:val="continuous"/>
          <w:pgSz w:w="12240" w:h="15840" w:code="1"/>
          <w:pgMar w:top="1985" w:right="1134" w:bottom="1418" w:left="1134" w:header="709" w:footer="709" w:gutter="0"/>
          <w:pgNumType w:fmt="lowerRoman"/>
          <w:cols w:num="2" w:space="708"/>
          <w:titlePg/>
          <w:docGrid w:linePitch="360"/>
        </w:sectPr>
      </w:pPr>
    </w:p>
    <w:p w14:paraId="348CBF96" w14:textId="77777777" w:rsidR="00F816FC" w:rsidRDefault="00F816FC" w:rsidP="002A60C5">
      <w:pPr>
        <w:jc w:val="left"/>
      </w:pPr>
    </w:p>
    <w:p w14:paraId="63227B95" w14:textId="77777777" w:rsidR="00F816FC" w:rsidRDefault="00F816FC" w:rsidP="002A60C5">
      <w:pPr>
        <w:jc w:val="left"/>
      </w:pPr>
    </w:p>
    <w:p w14:paraId="72E3B85C" w14:textId="77777777" w:rsidR="00F816FC" w:rsidRDefault="00F816FC" w:rsidP="002A60C5">
      <w:pPr>
        <w:jc w:val="left"/>
        <w:sectPr w:rsidR="00F816FC" w:rsidSect="0098162B">
          <w:type w:val="continuous"/>
          <w:pgSz w:w="12240" w:h="15840" w:code="1"/>
          <w:pgMar w:top="1985" w:right="1134" w:bottom="1418" w:left="1134" w:header="709" w:footer="709" w:gutter="0"/>
          <w:pgNumType w:fmt="lowerRoman"/>
          <w:cols w:space="708"/>
          <w:titlePg/>
          <w:docGrid w:linePitch="360"/>
        </w:sectPr>
      </w:pPr>
    </w:p>
    <w:p w14:paraId="1084C4B9" w14:textId="280D50F1" w:rsidR="00FA5D00" w:rsidRPr="002C7C1F" w:rsidRDefault="00DB6C0B" w:rsidP="00CC5A23">
      <w:pPr>
        <w:pStyle w:val="Titre"/>
      </w:pPr>
      <w:bookmarkStart w:id="1" w:name="_Toc194313963"/>
      <w:bookmarkStart w:id="2" w:name="_Toc201330471"/>
      <w:r w:rsidRPr="002C7C1F">
        <w:lastRenderedPageBreak/>
        <w:t xml:space="preserve">À propos de la </w:t>
      </w:r>
      <w:r w:rsidR="00173FE9">
        <w:t>C</w:t>
      </w:r>
      <w:r w:rsidRPr="002C7C1F">
        <w:t>ommission des droits</w:t>
      </w:r>
      <w:bookmarkEnd w:id="1"/>
      <w:bookmarkEnd w:id="2"/>
    </w:p>
    <w:p w14:paraId="5B0B5B4F" w14:textId="77777777" w:rsidR="00FA5D00" w:rsidRPr="00A23CA5" w:rsidRDefault="00FA5D00" w:rsidP="00CC5A23">
      <w:pPr>
        <w:pStyle w:val="Titre"/>
      </w:pPr>
      <w:bookmarkStart w:id="3" w:name="_Toc194313964"/>
      <w:bookmarkStart w:id="4" w:name="_Toc201330472"/>
      <w:r w:rsidRPr="00A23CA5">
        <w:t>Mission et responsabilités</w:t>
      </w:r>
      <w:bookmarkEnd w:id="3"/>
      <w:bookmarkEnd w:id="4"/>
    </w:p>
    <w:p w14:paraId="5F980B36" w14:textId="35B0096E" w:rsidR="00FA5D00" w:rsidRDefault="00FA5D00" w:rsidP="003A1427">
      <w:pPr>
        <w:pStyle w:val="Paragraphe"/>
      </w:pPr>
      <w:r w:rsidRPr="00A23CA5">
        <w:t xml:space="preserve">La Commission des droits de la personne a été constituée en 1976 par la </w:t>
      </w:r>
      <w:r w:rsidRPr="00A23CA5">
        <w:rPr>
          <w:i/>
          <w:iCs/>
        </w:rPr>
        <w:t>Charte des droits et libertés de la personne</w:t>
      </w:r>
      <w:r w:rsidRPr="00A23CA5">
        <w:t>. Son nom et sa mission actuels proviennent de la fusion, en 1995, de la Commission des droits de la personne et de la Commission de protection des droits de la jeunesse</w:t>
      </w:r>
      <w:r w:rsidR="0085330E">
        <w:rPr>
          <w:rFonts w:ascii="ZWAdobeF" w:hAnsi="ZWAdobeF" w:cs="ZWAdobeF"/>
          <w:sz w:val="2"/>
          <w:szCs w:val="2"/>
        </w:rPr>
        <w:t>0F</w:t>
      </w:r>
      <w:r w:rsidR="00350749">
        <w:rPr>
          <w:rStyle w:val="Appelnotedebasdep"/>
        </w:rPr>
        <w:footnoteReference w:id="2"/>
      </w:r>
      <w:r w:rsidRPr="00A23CA5">
        <w:t>.</w:t>
      </w:r>
    </w:p>
    <w:p w14:paraId="10D46C1E" w14:textId="77777777" w:rsidR="00FA5D00" w:rsidRPr="00A23CA5" w:rsidRDefault="00FA5D00" w:rsidP="003A1427">
      <w:pPr>
        <w:pStyle w:val="Paragraphe"/>
      </w:pPr>
      <w:r w:rsidRPr="00A23CA5">
        <w:t>La Commission des droits est un organisme indépendant du gouvernement et remplit sa mission au seul bénéfice de la population et dans l’intérêt du public.</w:t>
      </w:r>
    </w:p>
    <w:p w14:paraId="1FBDA2D9" w14:textId="398CDDD7" w:rsidR="00FA5D00" w:rsidRPr="00A23CA5" w:rsidRDefault="00FA5D00" w:rsidP="003A1427">
      <w:pPr>
        <w:pStyle w:val="Paragraphe"/>
      </w:pPr>
      <w:r w:rsidRPr="00A23CA5">
        <w:t xml:space="preserve">La mission de la Commission est d’assurer la promotion et le respect des principes énoncés dans la </w:t>
      </w:r>
      <w:r w:rsidRPr="00900B8D">
        <w:rPr>
          <w:i/>
          <w:iCs/>
        </w:rPr>
        <w:t>Charte des droits et libertés de la personne</w:t>
      </w:r>
      <w:r w:rsidRPr="00A23CA5">
        <w:t xml:space="preserve">. Elle assure aussi la protection de l’intérêt de l’enfant ainsi que le respect et la promotion des droits qui lui sont reconnus par la </w:t>
      </w:r>
      <w:r w:rsidRPr="00AB3701">
        <w:rPr>
          <w:i/>
          <w:iCs/>
        </w:rPr>
        <w:t>Loi sur la protection de la jeunesse</w:t>
      </w:r>
      <w:r w:rsidRPr="00A23CA5">
        <w:t xml:space="preserve"> (LPJ). Elle veille également à l’application de la </w:t>
      </w:r>
      <w:r w:rsidRPr="00AB3701">
        <w:rPr>
          <w:i/>
          <w:iCs/>
        </w:rPr>
        <w:t>Loi sur l’accès à l’égalité en emploi dans des organismes publics</w:t>
      </w:r>
      <w:r w:rsidR="00D4232D">
        <w:t xml:space="preserve"> (LAÉE).</w:t>
      </w:r>
      <w:r w:rsidRPr="00A23CA5">
        <w:t xml:space="preserve"> </w:t>
      </w:r>
    </w:p>
    <w:p w14:paraId="18D85498" w14:textId="77777777" w:rsidR="00F816FC" w:rsidRDefault="00F816FC" w:rsidP="002A60C5">
      <w:pPr>
        <w:jc w:val="left"/>
      </w:pPr>
    </w:p>
    <w:p w14:paraId="4240A889" w14:textId="77777777" w:rsidR="00FA5D00" w:rsidRDefault="00FA5D00" w:rsidP="002A60C5">
      <w:pPr>
        <w:jc w:val="left"/>
        <w:sectPr w:rsidR="00FA5D00" w:rsidSect="0098162B">
          <w:headerReference w:type="even" r:id="rId23"/>
          <w:headerReference w:type="default" r:id="rId24"/>
          <w:footerReference w:type="default" r:id="rId25"/>
          <w:headerReference w:type="first" r:id="rId26"/>
          <w:pgSz w:w="12240" w:h="15840" w:code="1"/>
          <w:pgMar w:top="1985" w:right="1134" w:bottom="1418" w:left="1134" w:header="709" w:footer="709" w:gutter="0"/>
          <w:pgNumType w:fmt="lowerRoman" w:start="1"/>
          <w:cols w:space="708"/>
          <w:docGrid w:linePitch="360"/>
        </w:sectPr>
      </w:pPr>
    </w:p>
    <w:p w14:paraId="3F04CFCC" w14:textId="2B251297" w:rsidR="00FA5D00" w:rsidRPr="00C44640" w:rsidRDefault="00DB6C0B" w:rsidP="00CC5A23">
      <w:pPr>
        <w:pStyle w:val="Titre"/>
      </w:pPr>
      <w:bookmarkStart w:id="5" w:name="_Toc194313965"/>
      <w:bookmarkStart w:id="6" w:name="_Toc201330473"/>
      <w:r w:rsidRPr="00C44640">
        <w:lastRenderedPageBreak/>
        <w:t>Table des matières</w:t>
      </w:r>
      <w:bookmarkEnd w:id="5"/>
      <w:bookmarkEnd w:id="6"/>
    </w:p>
    <w:p w14:paraId="2DB0D75E" w14:textId="700BCFA9" w:rsidR="007F4E24" w:rsidRPr="00544B23" w:rsidRDefault="007F4E24" w:rsidP="00804CFF">
      <w:pPr>
        <w:pStyle w:val="TM1"/>
        <w:rPr>
          <w:rStyle w:val="Lienhypertexte"/>
          <w:b w:val="0"/>
          <w:bCs w:val="0"/>
          <w:color w:val="auto"/>
          <w:sz w:val="21"/>
          <w:szCs w:val="21"/>
        </w:rPr>
      </w:pPr>
      <w:r w:rsidRPr="00544B23">
        <w:rPr>
          <w:b w:val="0"/>
          <w:bCs w:val="0"/>
          <w:caps w:val="0"/>
          <w:sz w:val="21"/>
          <w:szCs w:val="21"/>
        </w:rPr>
        <w:fldChar w:fldCharType="begin"/>
      </w:r>
      <w:r w:rsidRPr="00544B23">
        <w:rPr>
          <w:b w:val="0"/>
          <w:bCs w:val="0"/>
          <w:caps w:val="0"/>
          <w:sz w:val="21"/>
          <w:szCs w:val="21"/>
        </w:rPr>
        <w:instrText xml:space="preserve"> TOC \o "1-6" \h \z \u </w:instrText>
      </w:r>
      <w:r w:rsidRPr="00544B23">
        <w:rPr>
          <w:b w:val="0"/>
          <w:bCs w:val="0"/>
          <w:caps w:val="0"/>
          <w:sz w:val="21"/>
          <w:szCs w:val="21"/>
        </w:rPr>
        <w:fldChar w:fldCharType="separate"/>
      </w:r>
      <w:hyperlink w:anchor="_Toc201330471" w:history="1">
        <w:r w:rsidRPr="00544B23">
          <w:rPr>
            <w:rStyle w:val="Lienhypertexte"/>
            <w:b w:val="0"/>
            <w:bCs w:val="0"/>
            <w:color w:val="auto"/>
            <w:sz w:val="21"/>
            <w:szCs w:val="21"/>
          </w:rPr>
          <w:t xml:space="preserve">À </w:t>
        </w:r>
        <w:r w:rsidRPr="00544B23">
          <w:rPr>
            <w:rStyle w:val="Lienhypertexte"/>
            <w:b w:val="0"/>
            <w:bCs w:val="0"/>
            <w:caps w:val="0"/>
            <w:color w:val="auto"/>
            <w:sz w:val="21"/>
            <w:szCs w:val="21"/>
          </w:rPr>
          <w:t xml:space="preserve">propos de la </w:t>
        </w:r>
        <w:r w:rsidR="00616DA7">
          <w:rPr>
            <w:rStyle w:val="Lienhypertexte"/>
            <w:b w:val="0"/>
            <w:bCs w:val="0"/>
            <w:caps w:val="0"/>
            <w:color w:val="auto"/>
            <w:sz w:val="21"/>
            <w:szCs w:val="21"/>
          </w:rPr>
          <w:t>C</w:t>
        </w:r>
        <w:r w:rsidRPr="00544B23">
          <w:rPr>
            <w:rStyle w:val="Lienhypertexte"/>
            <w:b w:val="0"/>
            <w:bCs w:val="0"/>
            <w:caps w:val="0"/>
            <w:color w:val="auto"/>
            <w:sz w:val="21"/>
            <w:szCs w:val="21"/>
          </w:rPr>
          <w:t>ommission des droits</w:t>
        </w:r>
        <w:r w:rsidRPr="00544B23">
          <w:rPr>
            <w:b w:val="0"/>
            <w:bCs w:val="0"/>
            <w:webHidden/>
            <w:sz w:val="21"/>
            <w:szCs w:val="21"/>
          </w:rPr>
          <w:tab/>
        </w:r>
        <w:r w:rsidRPr="00544B23">
          <w:rPr>
            <w:b w:val="0"/>
            <w:bCs w:val="0"/>
            <w:webHidden/>
            <w:sz w:val="21"/>
            <w:szCs w:val="21"/>
          </w:rPr>
          <w:fldChar w:fldCharType="begin"/>
        </w:r>
        <w:r w:rsidRPr="00544B23">
          <w:rPr>
            <w:b w:val="0"/>
            <w:bCs w:val="0"/>
            <w:webHidden/>
            <w:sz w:val="21"/>
            <w:szCs w:val="21"/>
          </w:rPr>
          <w:instrText xml:space="preserve"> PAGEREF _Toc201330471 \h </w:instrText>
        </w:r>
        <w:r w:rsidRPr="00544B23">
          <w:rPr>
            <w:b w:val="0"/>
            <w:bCs w:val="0"/>
            <w:webHidden/>
            <w:sz w:val="21"/>
            <w:szCs w:val="21"/>
          </w:rPr>
        </w:r>
        <w:r w:rsidRPr="00544B23">
          <w:rPr>
            <w:b w:val="0"/>
            <w:bCs w:val="0"/>
            <w:webHidden/>
            <w:sz w:val="21"/>
            <w:szCs w:val="21"/>
          </w:rPr>
          <w:fldChar w:fldCharType="separate"/>
        </w:r>
        <w:r w:rsidR="0085330E">
          <w:rPr>
            <w:b w:val="0"/>
            <w:bCs w:val="0"/>
            <w:webHidden/>
            <w:sz w:val="21"/>
            <w:szCs w:val="21"/>
          </w:rPr>
          <w:t>i</w:t>
        </w:r>
        <w:r w:rsidRPr="00544B23">
          <w:rPr>
            <w:b w:val="0"/>
            <w:bCs w:val="0"/>
            <w:webHidden/>
            <w:sz w:val="21"/>
            <w:szCs w:val="21"/>
          </w:rPr>
          <w:fldChar w:fldCharType="end"/>
        </w:r>
      </w:hyperlink>
    </w:p>
    <w:p w14:paraId="31F33B55" w14:textId="77777777" w:rsidR="007F4E24" w:rsidRPr="00544B23" w:rsidRDefault="007F4E24" w:rsidP="00804CFF">
      <w:pPr>
        <w:jc w:val="left"/>
        <w:rPr>
          <w:noProof/>
          <w:sz w:val="21"/>
          <w:szCs w:val="21"/>
        </w:rPr>
      </w:pPr>
    </w:p>
    <w:p w14:paraId="57B920A7" w14:textId="77248DD4" w:rsidR="007F4E24" w:rsidRPr="00544B23" w:rsidRDefault="007F4E24" w:rsidP="00804CFF">
      <w:pPr>
        <w:pStyle w:val="TM1"/>
        <w:rPr>
          <w:rStyle w:val="Lienhypertexte"/>
          <w:b w:val="0"/>
          <w:bCs w:val="0"/>
          <w:color w:val="auto"/>
          <w:sz w:val="21"/>
          <w:szCs w:val="21"/>
        </w:rPr>
      </w:pPr>
      <w:hyperlink w:anchor="_Toc201330474" w:history="1">
        <w:r w:rsidRPr="00544B23">
          <w:rPr>
            <w:rStyle w:val="Lienhypertexte"/>
            <w:b w:val="0"/>
            <w:bCs w:val="0"/>
            <w:color w:val="auto"/>
            <w:sz w:val="21"/>
            <w:szCs w:val="21"/>
          </w:rPr>
          <w:t>S</w:t>
        </w:r>
        <w:r w:rsidRPr="00544B23">
          <w:rPr>
            <w:rStyle w:val="Lienhypertexte"/>
            <w:b w:val="0"/>
            <w:bCs w:val="0"/>
            <w:caps w:val="0"/>
            <w:color w:val="auto"/>
            <w:sz w:val="21"/>
            <w:szCs w:val="21"/>
          </w:rPr>
          <w:t>ommaire</w:t>
        </w:r>
        <w:r w:rsidRPr="00544B23">
          <w:rPr>
            <w:b w:val="0"/>
            <w:bCs w:val="0"/>
            <w:webHidden/>
            <w:sz w:val="21"/>
            <w:szCs w:val="21"/>
          </w:rPr>
          <w:tab/>
        </w:r>
        <w:r w:rsidRPr="00544B23">
          <w:rPr>
            <w:b w:val="0"/>
            <w:bCs w:val="0"/>
            <w:webHidden/>
            <w:sz w:val="21"/>
            <w:szCs w:val="21"/>
          </w:rPr>
          <w:fldChar w:fldCharType="begin"/>
        </w:r>
        <w:r w:rsidRPr="00544B23">
          <w:rPr>
            <w:b w:val="0"/>
            <w:bCs w:val="0"/>
            <w:webHidden/>
            <w:sz w:val="21"/>
            <w:szCs w:val="21"/>
          </w:rPr>
          <w:instrText xml:space="preserve"> PAGEREF _Toc201330474 \h </w:instrText>
        </w:r>
        <w:r w:rsidRPr="00544B23">
          <w:rPr>
            <w:b w:val="0"/>
            <w:bCs w:val="0"/>
            <w:webHidden/>
            <w:sz w:val="21"/>
            <w:szCs w:val="21"/>
          </w:rPr>
        </w:r>
        <w:r w:rsidRPr="00544B23">
          <w:rPr>
            <w:b w:val="0"/>
            <w:bCs w:val="0"/>
            <w:webHidden/>
            <w:sz w:val="21"/>
            <w:szCs w:val="21"/>
          </w:rPr>
          <w:fldChar w:fldCharType="separate"/>
        </w:r>
        <w:r w:rsidR="0085330E">
          <w:rPr>
            <w:b w:val="0"/>
            <w:bCs w:val="0"/>
            <w:webHidden/>
            <w:sz w:val="21"/>
            <w:szCs w:val="21"/>
          </w:rPr>
          <w:t>v</w:t>
        </w:r>
        <w:r w:rsidRPr="00544B23">
          <w:rPr>
            <w:b w:val="0"/>
            <w:bCs w:val="0"/>
            <w:webHidden/>
            <w:sz w:val="21"/>
            <w:szCs w:val="21"/>
          </w:rPr>
          <w:fldChar w:fldCharType="end"/>
        </w:r>
      </w:hyperlink>
    </w:p>
    <w:p w14:paraId="0DFB6422" w14:textId="77777777" w:rsidR="007F4E24" w:rsidRPr="00544B23" w:rsidRDefault="007F4E24" w:rsidP="00804CFF">
      <w:pPr>
        <w:jc w:val="left"/>
        <w:rPr>
          <w:noProof/>
          <w:sz w:val="21"/>
          <w:szCs w:val="21"/>
        </w:rPr>
      </w:pPr>
    </w:p>
    <w:p w14:paraId="74268C6B" w14:textId="5903CBDE" w:rsidR="007F4E24" w:rsidRPr="00544B23" w:rsidRDefault="007F4E24" w:rsidP="00804CFF">
      <w:pPr>
        <w:pStyle w:val="TM1"/>
        <w:rPr>
          <w:rStyle w:val="Lienhypertexte"/>
          <w:b w:val="0"/>
          <w:bCs w:val="0"/>
          <w:color w:val="auto"/>
          <w:sz w:val="21"/>
          <w:szCs w:val="21"/>
        </w:rPr>
      </w:pPr>
      <w:hyperlink w:anchor="_Toc201330475" w:history="1">
        <w:r w:rsidRPr="00544B23">
          <w:rPr>
            <w:rStyle w:val="Lienhypertexte"/>
            <w:b w:val="0"/>
            <w:bCs w:val="0"/>
            <w:color w:val="auto"/>
            <w:sz w:val="21"/>
            <w:szCs w:val="21"/>
          </w:rPr>
          <w:t>L</w:t>
        </w:r>
        <w:r w:rsidRPr="00544B23">
          <w:rPr>
            <w:rStyle w:val="Lienhypertexte"/>
            <w:b w:val="0"/>
            <w:bCs w:val="0"/>
            <w:caps w:val="0"/>
            <w:color w:val="auto"/>
            <w:sz w:val="21"/>
            <w:szCs w:val="21"/>
          </w:rPr>
          <w:t>iste des acronymes et des sigles</w:t>
        </w:r>
        <w:r w:rsidRPr="00544B23">
          <w:rPr>
            <w:b w:val="0"/>
            <w:bCs w:val="0"/>
            <w:webHidden/>
            <w:sz w:val="21"/>
            <w:szCs w:val="21"/>
          </w:rPr>
          <w:tab/>
        </w:r>
        <w:r w:rsidRPr="00544B23">
          <w:rPr>
            <w:b w:val="0"/>
            <w:bCs w:val="0"/>
            <w:webHidden/>
            <w:sz w:val="21"/>
            <w:szCs w:val="21"/>
          </w:rPr>
          <w:fldChar w:fldCharType="begin"/>
        </w:r>
        <w:r w:rsidRPr="00544B23">
          <w:rPr>
            <w:b w:val="0"/>
            <w:bCs w:val="0"/>
            <w:webHidden/>
            <w:sz w:val="21"/>
            <w:szCs w:val="21"/>
          </w:rPr>
          <w:instrText xml:space="preserve"> PAGEREF _Toc201330475 \h </w:instrText>
        </w:r>
        <w:r w:rsidRPr="00544B23">
          <w:rPr>
            <w:b w:val="0"/>
            <w:bCs w:val="0"/>
            <w:webHidden/>
            <w:sz w:val="21"/>
            <w:szCs w:val="21"/>
          </w:rPr>
        </w:r>
        <w:r w:rsidRPr="00544B23">
          <w:rPr>
            <w:b w:val="0"/>
            <w:bCs w:val="0"/>
            <w:webHidden/>
            <w:sz w:val="21"/>
            <w:szCs w:val="21"/>
          </w:rPr>
          <w:fldChar w:fldCharType="separate"/>
        </w:r>
        <w:r w:rsidR="0085330E">
          <w:rPr>
            <w:b w:val="0"/>
            <w:bCs w:val="0"/>
            <w:webHidden/>
            <w:sz w:val="21"/>
            <w:szCs w:val="21"/>
          </w:rPr>
          <w:t>viii</w:t>
        </w:r>
        <w:r w:rsidRPr="00544B23">
          <w:rPr>
            <w:b w:val="0"/>
            <w:bCs w:val="0"/>
            <w:webHidden/>
            <w:sz w:val="21"/>
            <w:szCs w:val="21"/>
          </w:rPr>
          <w:fldChar w:fldCharType="end"/>
        </w:r>
      </w:hyperlink>
    </w:p>
    <w:p w14:paraId="44B5B148" w14:textId="77777777" w:rsidR="007F4E24" w:rsidRPr="00544B23" w:rsidRDefault="007F4E24" w:rsidP="00804CFF">
      <w:pPr>
        <w:jc w:val="left"/>
        <w:rPr>
          <w:noProof/>
          <w:sz w:val="21"/>
          <w:szCs w:val="21"/>
        </w:rPr>
      </w:pPr>
    </w:p>
    <w:p w14:paraId="05E5D857" w14:textId="7AC323D8" w:rsidR="007F4E24" w:rsidRPr="00544B23" w:rsidRDefault="007F4E24" w:rsidP="00804CFF">
      <w:pPr>
        <w:pStyle w:val="TM1"/>
        <w:rPr>
          <w:rStyle w:val="Lienhypertexte"/>
          <w:b w:val="0"/>
          <w:bCs w:val="0"/>
          <w:color w:val="auto"/>
          <w:sz w:val="21"/>
          <w:szCs w:val="21"/>
        </w:rPr>
      </w:pPr>
      <w:hyperlink w:anchor="_Toc201330476" w:history="1">
        <w:r w:rsidRPr="00544B23">
          <w:rPr>
            <w:rStyle w:val="Lienhypertexte"/>
            <w:b w:val="0"/>
            <w:bCs w:val="0"/>
            <w:color w:val="auto"/>
            <w:sz w:val="21"/>
            <w:szCs w:val="21"/>
          </w:rPr>
          <w:t>I</w:t>
        </w:r>
        <w:r w:rsidRPr="00544B23">
          <w:rPr>
            <w:rStyle w:val="Lienhypertexte"/>
            <w:b w:val="0"/>
            <w:bCs w:val="0"/>
            <w:caps w:val="0"/>
            <w:color w:val="auto"/>
            <w:sz w:val="21"/>
            <w:szCs w:val="21"/>
          </w:rPr>
          <w:t>ntroduction</w:t>
        </w:r>
        <w:r w:rsidRPr="00544B23">
          <w:rPr>
            <w:b w:val="0"/>
            <w:bCs w:val="0"/>
            <w:webHidden/>
            <w:sz w:val="21"/>
            <w:szCs w:val="21"/>
          </w:rPr>
          <w:tab/>
        </w:r>
        <w:r w:rsidRPr="00544B23">
          <w:rPr>
            <w:b w:val="0"/>
            <w:bCs w:val="0"/>
            <w:webHidden/>
            <w:sz w:val="21"/>
            <w:szCs w:val="21"/>
          </w:rPr>
          <w:fldChar w:fldCharType="begin"/>
        </w:r>
        <w:r w:rsidRPr="00544B23">
          <w:rPr>
            <w:b w:val="0"/>
            <w:bCs w:val="0"/>
            <w:webHidden/>
            <w:sz w:val="21"/>
            <w:szCs w:val="21"/>
          </w:rPr>
          <w:instrText xml:space="preserve"> PAGEREF _Toc201330476 \h </w:instrText>
        </w:r>
        <w:r w:rsidRPr="00544B23">
          <w:rPr>
            <w:b w:val="0"/>
            <w:bCs w:val="0"/>
            <w:webHidden/>
            <w:sz w:val="21"/>
            <w:szCs w:val="21"/>
          </w:rPr>
        </w:r>
        <w:r w:rsidRPr="00544B23">
          <w:rPr>
            <w:b w:val="0"/>
            <w:bCs w:val="0"/>
            <w:webHidden/>
            <w:sz w:val="21"/>
            <w:szCs w:val="21"/>
          </w:rPr>
          <w:fldChar w:fldCharType="separate"/>
        </w:r>
        <w:r w:rsidR="0085330E">
          <w:rPr>
            <w:b w:val="0"/>
            <w:bCs w:val="0"/>
            <w:webHidden/>
            <w:sz w:val="21"/>
            <w:szCs w:val="21"/>
          </w:rPr>
          <w:t>1</w:t>
        </w:r>
        <w:r w:rsidRPr="00544B23">
          <w:rPr>
            <w:b w:val="0"/>
            <w:bCs w:val="0"/>
            <w:webHidden/>
            <w:sz w:val="21"/>
            <w:szCs w:val="21"/>
          </w:rPr>
          <w:fldChar w:fldCharType="end"/>
        </w:r>
      </w:hyperlink>
    </w:p>
    <w:p w14:paraId="1A58E64F" w14:textId="77777777" w:rsidR="007F4E24" w:rsidRPr="00544B23" w:rsidRDefault="007F4E24" w:rsidP="00804CFF">
      <w:pPr>
        <w:jc w:val="left"/>
        <w:rPr>
          <w:noProof/>
          <w:sz w:val="21"/>
          <w:szCs w:val="21"/>
        </w:rPr>
      </w:pPr>
    </w:p>
    <w:p w14:paraId="06308433" w14:textId="77777777" w:rsidR="007F4E24" w:rsidRPr="00544B23" w:rsidRDefault="007F4E24" w:rsidP="00804CFF">
      <w:pPr>
        <w:jc w:val="left"/>
        <w:rPr>
          <w:noProof/>
          <w:sz w:val="21"/>
          <w:szCs w:val="21"/>
        </w:rPr>
      </w:pPr>
    </w:p>
    <w:p w14:paraId="5DA931A2" w14:textId="46BA7AB6" w:rsidR="007F4E24" w:rsidRPr="00544B23" w:rsidRDefault="007F4E24" w:rsidP="00804CFF">
      <w:pPr>
        <w:pStyle w:val="TM1"/>
        <w:rPr>
          <w:rStyle w:val="Lienhypertexte"/>
          <w:color w:val="auto"/>
          <w:sz w:val="21"/>
          <w:szCs w:val="21"/>
        </w:rPr>
      </w:pPr>
      <w:hyperlink w:anchor="_Toc201330477" w:history="1">
        <w:r w:rsidRPr="00544B23">
          <w:rPr>
            <w:rStyle w:val="Lienhypertexte"/>
            <w:color w:val="auto"/>
            <w:sz w:val="21"/>
            <w:szCs w:val="21"/>
          </w:rPr>
          <w:t>1.</w:t>
        </w:r>
        <w:r w:rsidRPr="00544B23">
          <w:rPr>
            <w:rFonts w:eastAsiaTheme="minorEastAsia"/>
            <w:b w:val="0"/>
            <w:bCs w:val="0"/>
            <w:caps w:val="0"/>
            <w:kern w:val="2"/>
            <w:sz w:val="21"/>
            <w:szCs w:val="21"/>
            <w:lang w:eastAsia="fr-CA"/>
            <w14:ligatures w14:val="standardContextual"/>
          </w:rPr>
          <w:tab/>
        </w:r>
        <w:r w:rsidRPr="00544B23">
          <w:rPr>
            <w:rStyle w:val="Lienhypertexte"/>
            <w:color w:val="auto"/>
            <w:sz w:val="21"/>
            <w:szCs w:val="21"/>
          </w:rPr>
          <w:t>L’</w:t>
        </w:r>
        <w:r w:rsidRPr="00544B23">
          <w:rPr>
            <w:rStyle w:val="Lienhypertexte"/>
            <w:caps w:val="0"/>
            <w:color w:val="auto"/>
            <w:sz w:val="21"/>
            <w:szCs w:val="21"/>
          </w:rPr>
          <w:t>évolution de la notion de la stabilité des liens et des conditions de vie de l’enfant dans la LPJ</w:t>
        </w:r>
        <w:r w:rsidRPr="00544B23">
          <w:rPr>
            <w:b w:val="0"/>
            <w:bCs w:val="0"/>
            <w:webHidden/>
            <w:sz w:val="21"/>
            <w:szCs w:val="21"/>
          </w:rPr>
          <w:tab/>
        </w:r>
        <w:r w:rsidRPr="00544B23">
          <w:rPr>
            <w:b w:val="0"/>
            <w:bCs w:val="0"/>
            <w:webHidden/>
            <w:sz w:val="21"/>
            <w:szCs w:val="21"/>
          </w:rPr>
          <w:fldChar w:fldCharType="begin"/>
        </w:r>
        <w:r w:rsidRPr="00544B23">
          <w:rPr>
            <w:b w:val="0"/>
            <w:bCs w:val="0"/>
            <w:webHidden/>
            <w:sz w:val="21"/>
            <w:szCs w:val="21"/>
          </w:rPr>
          <w:instrText xml:space="preserve"> PAGEREF _Toc201330477 \h </w:instrText>
        </w:r>
        <w:r w:rsidRPr="00544B23">
          <w:rPr>
            <w:b w:val="0"/>
            <w:bCs w:val="0"/>
            <w:webHidden/>
            <w:sz w:val="21"/>
            <w:szCs w:val="21"/>
          </w:rPr>
        </w:r>
        <w:r w:rsidRPr="00544B23">
          <w:rPr>
            <w:b w:val="0"/>
            <w:bCs w:val="0"/>
            <w:webHidden/>
            <w:sz w:val="21"/>
            <w:szCs w:val="21"/>
          </w:rPr>
          <w:fldChar w:fldCharType="separate"/>
        </w:r>
        <w:r w:rsidR="0085330E">
          <w:rPr>
            <w:b w:val="0"/>
            <w:bCs w:val="0"/>
            <w:webHidden/>
            <w:sz w:val="21"/>
            <w:szCs w:val="21"/>
          </w:rPr>
          <w:t>6</w:t>
        </w:r>
        <w:r w:rsidRPr="00544B23">
          <w:rPr>
            <w:b w:val="0"/>
            <w:bCs w:val="0"/>
            <w:webHidden/>
            <w:sz w:val="21"/>
            <w:szCs w:val="21"/>
          </w:rPr>
          <w:fldChar w:fldCharType="end"/>
        </w:r>
      </w:hyperlink>
    </w:p>
    <w:p w14:paraId="2162A4A6" w14:textId="77777777" w:rsidR="007F4E24" w:rsidRPr="00544B23" w:rsidRDefault="007F4E24" w:rsidP="00804CFF">
      <w:pPr>
        <w:jc w:val="left"/>
        <w:rPr>
          <w:noProof/>
          <w:sz w:val="21"/>
          <w:szCs w:val="21"/>
        </w:rPr>
      </w:pPr>
    </w:p>
    <w:p w14:paraId="3EE1FE40" w14:textId="25C10DDD" w:rsidR="007F4E24" w:rsidRPr="00544B23" w:rsidRDefault="007F4E24" w:rsidP="00804CFF">
      <w:pPr>
        <w:pStyle w:val="TM2"/>
        <w:rPr>
          <w:rFonts w:ascii="Aptos" w:eastAsiaTheme="minorEastAsia" w:hAnsi="Aptos"/>
          <w:bCs w:val="0"/>
          <w:kern w:val="2"/>
          <w:sz w:val="21"/>
          <w:szCs w:val="21"/>
          <w:lang w:eastAsia="fr-CA"/>
          <w14:ligatures w14:val="standardContextual"/>
        </w:rPr>
      </w:pPr>
      <w:hyperlink w:anchor="_Toc201330478" w:history="1">
        <w:r w:rsidRPr="00544B23">
          <w:rPr>
            <w:rStyle w:val="Lienhypertexte"/>
            <w:rFonts w:ascii="Aptos" w:hAnsi="Aptos"/>
            <w:color w:val="auto"/>
            <w:sz w:val="21"/>
            <w:szCs w:val="21"/>
          </w:rPr>
          <w:t>1.1</w:t>
        </w:r>
        <w:r w:rsidRPr="00544B23">
          <w:rPr>
            <w:rFonts w:ascii="Aptos" w:eastAsiaTheme="minorEastAsia" w:hAnsi="Aptos"/>
            <w:bCs w:val="0"/>
            <w:kern w:val="2"/>
            <w:sz w:val="21"/>
            <w:szCs w:val="21"/>
            <w:lang w:eastAsia="fr-CA"/>
            <w14:ligatures w14:val="standardContextual"/>
          </w:rPr>
          <w:tab/>
        </w:r>
        <w:r w:rsidRPr="00544B23">
          <w:rPr>
            <w:rStyle w:val="Lienhypertexte"/>
            <w:rFonts w:ascii="Aptos" w:hAnsi="Aptos"/>
            <w:color w:val="auto"/>
            <w:sz w:val="21"/>
            <w:szCs w:val="21"/>
          </w:rPr>
          <w:t>Une prise de conscience des effets de l’instabilité affective des enfants placés</w:t>
        </w:r>
        <w:r w:rsidRPr="00544B23">
          <w:rPr>
            <w:rFonts w:ascii="Aptos" w:hAnsi="Aptos"/>
            <w:webHidden/>
            <w:sz w:val="21"/>
            <w:szCs w:val="21"/>
          </w:rPr>
          <w:tab/>
        </w:r>
        <w:r w:rsidRPr="00544B23">
          <w:rPr>
            <w:rFonts w:ascii="Aptos" w:hAnsi="Aptos"/>
            <w:webHidden/>
            <w:sz w:val="21"/>
            <w:szCs w:val="21"/>
          </w:rPr>
          <w:fldChar w:fldCharType="begin"/>
        </w:r>
        <w:r w:rsidRPr="00544B23">
          <w:rPr>
            <w:rFonts w:ascii="Aptos" w:hAnsi="Aptos"/>
            <w:webHidden/>
            <w:sz w:val="21"/>
            <w:szCs w:val="21"/>
          </w:rPr>
          <w:instrText xml:space="preserve"> PAGEREF _Toc201330478 \h </w:instrText>
        </w:r>
        <w:r w:rsidRPr="00544B23">
          <w:rPr>
            <w:rFonts w:ascii="Aptos" w:hAnsi="Aptos"/>
            <w:webHidden/>
            <w:sz w:val="21"/>
            <w:szCs w:val="21"/>
          </w:rPr>
        </w:r>
        <w:r w:rsidRPr="00544B23">
          <w:rPr>
            <w:rFonts w:ascii="Aptos" w:hAnsi="Aptos"/>
            <w:webHidden/>
            <w:sz w:val="21"/>
            <w:szCs w:val="21"/>
          </w:rPr>
          <w:fldChar w:fldCharType="separate"/>
        </w:r>
        <w:r w:rsidR="0085330E">
          <w:rPr>
            <w:rFonts w:ascii="Aptos" w:hAnsi="Aptos"/>
            <w:webHidden/>
            <w:sz w:val="21"/>
            <w:szCs w:val="21"/>
          </w:rPr>
          <w:t>6</w:t>
        </w:r>
        <w:r w:rsidRPr="00544B23">
          <w:rPr>
            <w:rFonts w:ascii="Aptos" w:hAnsi="Aptos"/>
            <w:webHidden/>
            <w:sz w:val="21"/>
            <w:szCs w:val="21"/>
          </w:rPr>
          <w:fldChar w:fldCharType="end"/>
        </w:r>
      </w:hyperlink>
    </w:p>
    <w:p w14:paraId="7EE3B463" w14:textId="26742757" w:rsidR="007F4E24" w:rsidRPr="00544B23" w:rsidRDefault="007F4E24" w:rsidP="00804CFF">
      <w:pPr>
        <w:pStyle w:val="TM2"/>
        <w:rPr>
          <w:rFonts w:ascii="Aptos" w:eastAsiaTheme="minorEastAsia" w:hAnsi="Aptos"/>
          <w:bCs w:val="0"/>
          <w:kern w:val="2"/>
          <w:sz w:val="21"/>
          <w:szCs w:val="21"/>
          <w:lang w:eastAsia="fr-CA"/>
          <w14:ligatures w14:val="standardContextual"/>
        </w:rPr>
      </w:pPr>
      <w:hyperlink w:anchor="_Toc201330479" w:history="1">
        <w:r w:rsidRPr="00544B23">
          <w:rPr>
            <w:rStyle w:val="Lienhypertexte"/>
            <w:rFonts w:ascii="Aptos" w:hAnsi="Aptos"/>
            <w:color w:val="auto"/>
            <w:sz w:val="21"/>
            <w:szCs w:val="21"/>
          </w:rPr>
          <w:t>1.2</w:t>
        </w:r>
        <w:r w:rsidRPr="00544B23">
          <w:rPr>
            <w:rFonts w:ascii="Aptos" w:eastAsiaTheme="minorEastAsia" w:hAnsi="Aptos"/>
            <w:bCs w:val="0"/>
            <w:kern w:val="2"/>
            <w:sz w:val="21"/>
            <w:szCs w:val="21"/>
            <w:lang w:eastAsia="fr-CA"/>
            <w14:ligatures w14:val="standardContextual"/>
          </w:rPr>
          <w:tab/>
        </w:r>
        <w:r w:rsidRPr="00544B23">
          <w:rPr>
            <w:rStyle w:val="Lienhypertexte"/>
            <w:rFonts w:ascii="Aptos" w:hAnsi="Aptos"/>
            <w:color w:val="auto"/>
            <w:sz w:val="21"/>
            <w:szCs w:val="21"/>
          </w:rPr>
          <w:t>Un virage pour assurer un projet de vie à chaque enfant : la réforme de la LPJ en 2006</w:t>
        </w:r>
        <w:r w:rsidRPr="00544B23">
          <w:rPr>
            <w:rFonts w:ascii="Aptos" w:hAnsi="Aptos"/>
            <w:webHidden/>
            <w:sz w:val="21"/>
            <w:szCs w:val="21"/>
          </w:rPr>
          <w:tab/>
        </w:r>
        <w:r w:rsidRPr="00544B23">
          <w:rPr>
            <w:rFonts w:ascii="Aptos" w:hAnsi="Aptos"/>
            <w:webHidden/>
            <w:sz w:val="21"/>
            <w:szCs w:val="21"/>
          </w:rPr>
          <w:fldChar w:fldCharType="begin"/>
        </w:r>
        <w:r w:rsidRPr="00544B23">
          <w:rPr>
            <w:rFonts w:ascii="Aptos" w:hAnsi="Aptos"/>
            <w:webHidden/>
            <w:sz w:val="21"/>
            <w:szCs w:val="21"/>
          </w:rPr>
          <w:instrText xml:space="preserve"> PAGEREF _Toc201330479 \h </w:instrText>
        </w:r>
        <w:r w:rsidRPr="00544B23">
          <w:rPr>
            <w:rFonts w:ascii="Aptos" w:hAnsi="Aptos"/>
            <w:webHidden/>
            <w:sz w:val="21"/>
            <w:szCs w:val="21"/>
          </w:rPr>
        </w:r>
        <w:r w:rsidRPr="00544B23">
          <w:rPr>
            <w:rFonts w:ascii="Aptos" w:hAnsi="Aptos"/>
            <w:webHidden/>
            <w:sz w:val="21"/>
            <w:szCs w:val="21"/>
          </w:rPr>
          <w:fldChar w:fldCharType="separate"/>
        </w:r>
        <w:r w:rsidR="0085330E">
          <w:rPr>
            <w:rFonts w:ascii="Aptos" w:hAnsi="Aptos"/>
            <w:webHidden/>
            <w:sz w:val="21"/>
            <w:szCs w:val="21"/>
          </w:rPr>
          <w:t>8</w:t>
        </w:r>
        <w:r w:rsidRPr="00544B23">
          <w:rPr>
            <w:rFonts w:ascii="Aptos" w:hAnsi="Aptos"/>
            <w:webHidden/>
            <w:sz w:val="21"/>
            <w:szCs w:val="21"/>
          </w:rPr>
          <w:fldChar w:fldCharType="end"/>
        </w:r>
      </w:hyperlink>
    </w:p>
    <w:p w14:paraId="008C43B0" w14:textId="54749143" w:rsidR="007F4E24" w:rsidRPr="00544B23" w:rsidRDefault="007F4E24" w:rsidP="00804CFF">
      <w:pPr>
        <w:pStyle w:val="TM3"/>
        <w:ind w:left="1276" w:hanging="709"/>
        <w:rPr>
          <w:rFonts w:eastAsiaTheme="minorEastAsia"/>
          <w:noProof/>
          <w:kern w:val="2"/>
          <w:sz w:val="21"/>
          <w:szCs w:val="21"/>
          <w:lang w:eastAsia="fr-CA"/>
          <w14:ligatures w14:val="standardContextual"/>
        </w:rPr>
      </w:pPr>
      <w:hyperlink w:anchor="_Toc201330480" w:history="1">
        <w:r w:rsidRPr="00544B23">
          <w:rPr>
            <w:rStyle w:val="Lienhypertexte"/>
            <w:noProof/>
            <w:color w:val="auto"/>
            <w:sz w:val="21"/>
            <w:szCs w:val="21"/>
          </w:rPr>
          <w:t>1.2.1</w:t>
        </w:r>
        <w:r w:rsidRPr="00544B23">
          <w:rPr>
            <w:rFonts w:eastAsiaTheme="minorEastAsia"/>
            <w:noProof/>
            <w:kern w:val="2"/>
            <w:sz w:val="21"/>
            <w:szCs w:val="21"/>
            <w:lang w:eastAsia="fr-CA"/>
            <w14:ligatures w14:val="standardContextual"/>
          </w:rPr>
          <w:tab/>
        </w:r>
        <w:r w:rsidRPr="00544B23">
          <w:rPr>
            <w:rStyle w:val="Lienhypertexte"/>
            <w:noProof/>
            <w:color w:val="auto"/>
            <w:sz w:val="21"/>
            <w:szCs w:val="21"/>
          </w:rPr>
          <w:t>L’obligation de planifier un projet de vie pour chaque enfant retiré de son milieu familial ou à risque de l’être</w:t>
        </w:r>
        <w:r w:rsidRPr="00544B23">
          <w:rPr>
            <w:noProof/>
            <w:webHidden/>
            <w:sz w:val="21"/>
            <w:szCs w:val="21"/>
          </w:rPr>
          <w:tab/>
        </w:r>
        <w:r w:rsidRPr="00544B23">
          <w:rPr>
            <w:noProof/>
            <w:webHidden/>
            <w:sz w:val="21"/>
            <w:szCs w:val="21"/>
          </w:rPr>
          <w:fldChar w:fldCharType="begin"/>
        </w:r>
        <w:r w:rsidRPr="00544B23">
          <w:rPr>
            <w:noProof/>
            <w:webHidden/>
            <w:sz w:val="21"/>
            <w:szCs w:val="21"/>
          </w:rPr>
          <w:instrText xml:space="preserve"> PAGEREF _Toc201330480 \h </w:instrText>
        </w:r>
        <w:r w:rsidRPr="00544B23">
          <w:rPr>
            <w:noProof/>
            <w:webHidden/>
            <w:sz w:val="21"/>
            <w:szCs w:val="21"/>
          </w:rPr>
        </w:r>
        <w:r w:rsidRPr="00544B23">
          <w:rPr>
            <w:noProof/>
            <w:webHidden/>
            <w:sz w:val="21"/>
            <w:szCs w:val="21"/>
          </w:rPr>
          <w:fldChar w:fldCharType="separate"/>
        </w:r>
        <w:r w:rsidR="0085330E">
          <w:rPr>
            <w:noProof/>
            <w:webHidden/>
            <w:sz w:val="21"/>
            <w:szCs w:val="21"/>
          </w:rPr>
          <w:t>9</w:t>
        </w:r>
        <w:r w:rsidRPr="00544B23">
          <w:rPr>
            <w:noProof/>
            <w:webHidden/>
            <w:sz w:val="21"/>
            <w:szCs w:val="21"/>
          </w:rPr>
          <w:fldChar w:fldCharType="end"/>
        </w:r>
      </w:hyperlink>
    </w:p>
    <w:p w14:paraId="200D6505" w14:textId="6459B431" w:rsidR="007F4E24" w:rsidRPr="00544B23" w:rsidRDefault="007F4E24" w:rsidP="00804CFF">
      <w:pPr>
        <w:pStyle w:val="TM3"/>
        <w:rPr>
          <w:rFonts w:eastAsiaTheme="minorEastAsia"/>
          <w:noProof/>
          <w:kern w:val="2"/>
          <w:sz w:val="21"/>
          <w:szCs w:val="21"/>
          <w:lang w:eastAsia="fr-CA"/>
          <w14:ligatures w14:val="standardContextual"/>
        </w:rPr>
      </w:pPr>
      <w:hyperlink w:anchor="_Toc201330481" w:history="1">
        <w:r w:rsidRPr="00544B23">
          <w:rPr>
            <w:rStyle w:val="Lienhypertexte"/>
            <w:noProof/>
            <w:color w:val="auto"/>
            <w:sz w:val="21"/>
            <w:szCs w:val="21"/>
          </w:rPr>
          <w:t>1.2.2</w:t>
        </w:r>
        <w:r w:rsidRPr="00544B23">
          <w:rPr>
            <w:rFonts w:eastAsiaTheme="minorEastAsia"/>
            <w:noProof/>
            <w:kern w:val="2"/>
            <w:sz w:val="21"/>
            <w:szCs w:val="21"/>
            <w:lang w:eastAsia="fr-CA"/>
            <w14:ligatures w14:val="standardContextual"/>
          </w:rPr>
          <w:tab/>
        </w:r>
        <w:r w:rsidRPr="00544B23">
          <w:rPr>
            <w:rStyle w:val="Lienhypertexte"/>
            <w:noProof/>
            <w:color w:val="auto"/>
            <w:sz w:val="21"/>
            <w:szCs w:val="21"/>
          </w:rPr>
          <w:t>L’introduction des durées maximales de placement</w:t>
        </w:r>
        <w:r w:rsidRPr="00544B23">
          <w:rPr>
            <w:noProof/>
            <w:webHidden/>
            <w:sz w:val="21"/>
            <w:szCs w:val="21"/>
          </w:rPr>
          <w:tab/>
        </w:r>
        <w:r w:rsidRPr="00544B23">
          <w:rPr>
            <w:noProof/>
            <w:webHidden/>
            <w:sz w:val="21"/>
            <w:szCs w:val="21"/>
          </w:rPr>
          <w:fldChar w:fldCharType="begin"/>
        </w:r>
        <w:r w:rsidRPr="00544B23">
          <w:rPr>
            <w:noProof/>
            <w:webHidden/>
            <w:sz w:val="21"/>
            <w:szCs w:val="21"/>
          </w:rPr>
          <w:instrText xml:space="preserve"> PAGEREF _Toc201330481 \h </w:instrText>
        </w:r>
        <w:r w:rsidRPr="00544B23">
          <w:rPr>
            <w:noProof/>
            <w:webHidden/>
            <w:sz w:val="21"/>
            <w:szCs w:val="21"/>
          </w:rPr>
        </w:r>
        <w:r w:rsidRPr="00544B23">
          <w:rPr>
            <w:noProof/>
            <w:webHidden/>
            <w:sz w:val="21"/>
            <w:szCs w:val="21"/>
          </w:rPr>
          <w:fldChar w:fldCharType="separate"/>
        </w:r>
        <w:r w:rsidR="0085330E">
          <w:rPr>
            <w:noProof/>
            <w:webHidden/>
            <w:sz w:val="21"/>
            <w:szCs w:val="21"/>
          </w:rPr>
          <w:t>10</w:t>
        </w:r>
        <w:r w:rsidRPr="00544B23">
          <w:rPr>
            <w:noProof/>
            <w:webHidden/>
            <w:sz w:val="21"/>
            <w:szCs w:val="21"/>
          </w:rPr>
          <w:fldChar w:fldCharType="end"/>
        </w:r>
      </w:hyperlink>
    </w:p>
    <w:p w14:paraId="3CE93F7E" w14:textId="468E4724" w:rsidR="007F4E24" w:rsidRPr="00544B23" w:rsidRDefault="007F4E24" w:rsidP="00804CFF">
      <w:pPr>
        <w:pStyle w:val="TM3"/>
        <w:ind w:left="1276" w:hanging="709"/>
        <w:rPr>
          <w:rFonts w:eastAsiaTheme="minorEastAsia"/>
          <w:noProof/>
          <w:kern w:val="2"/>
          <w:sz w:val="21"/>
          <w:szCs w:val="21"/>
          <w:lang w:eastAsia="fr-CA"/>
          <w14:ligatures w14:val="standardContextual"/>
        </w:rPr>
      </w:pPr>
      <w:hyperlink w:anchor="_Toc201330482" w:history="1">
        <w:r w:rsidRPr="00544B23">
          <w:rPr>
            <w:rStyle w:val="Lienhypertexte"/>
            <w:noProof/>
            <w:color w:val="auto"/>
            <w:sz w:val="21"/>
            <w:szCs w:val="21"/>
          </w:rPr>
          <w:t>1.2.3</w:t>
        </w:r>
        <w:r w:rsidRPr="00544B23">
          <w:rPr>
            <w:rFonts w:eastAsiaTheme="minorEastAsia"/>
            <w:noProof/>
            <w:kern w:val="2"/>
            <w:sz w:val="21"/>
            <w:szCs w:val="21"/>
            <w:lang w:eastAsia="fr-CA"/>
            <w14:ligatures w14:val="standardContextual"/>
          </w:rPr>
          <w:tab/>
        </w:r>
        <w:r w:rsidRPr="00544B23">
          <w:rPr>
            <w:rStyle w:val="Lienhypertexte"/>
            <w:noProof/>
            <w:color w:val="auto"/>
            <w:sz w:val="21"/>
            <w:szCs w:val="21"/>
          </w:rPr>
          <w:t>Les considérations soulevées par la Commission des droits en regard de certaines situations d’enfants et de famille</w:t>
        </w:r>
        <w:r w:rsidRPr="00544B23">
          <w:rPr>
            <w:noProof/>
            <w:webHidden/>
            <w:sz w:val="21"/>
            <w:szCs w:val="21"/>
          </w:rPr>
          <w:tab/>
        </w:r>
        <w:r w:rsidRPr="00544B23">
          <w:rPr>
            <w:noProof/>
            <w:webHidden/>
            <w:sz w:val="21"/>
            <w:szCs w:val="21"/>
          </w:rPr>
          <w:fldChar w:fldCharType="begin"/>
        </w:r>
        <w:r w:rsidRPr="00544B23">
          <w:rPr>
            <w:noProof/>
            <w:webHidden/>
            <w:sz w:val="21"/>
            <w:szCs w:val="21"/>
          </w:rPr>
          <w:instrText xml:space="preserve"> PAGEREF _Toc201330482 \h </w:instrText>
        </w:r>
        <w:r w:rsidRPr="00544B23">
          <w:rPr>
            <w:noProof/>
            <w:webHidden/>
            <w:sz w:val="21"/>
            <w:szCs w:val="21"/>
          </w:rPr>
        </w:r>
        <w:r w:rsidRPr="00544B23">
          <w:rPr>
            <w:noProof/>
            <w:webHidden/>
            <w:sz w:val="21"/>
            <w:szCs w:val="21"/>
          </w:rPr>
          <w:fldChar w:fldCharType="separate"/>
        </w:r>
        <w:r w:rsidR="0085330E">
          <w:rPr>
            <w:noProof/>
            <w:webHidden/>
            <w:sz w:val="21"/>
            <w:szCs w:val="21"/>
          </w:rPr>
          <w:t>11</w:t>
        </w:r>
        <w:r w:rsidRPr="00544B23">
          <w:rPr>
            <w:noProof/>
            <w:webHidden/>
            <w:sz w:val="21"/>
            <w:szCs w:val="21"/>
          </w:rPr>
          <w:fldChar w:fldCharType="end"/>
        </w:r>
      </w:hyperlink>
    </w:p>
    <w:p w14:paraId="5B359F79" w14:textId="0CA72AC2" w:rsidR="007F4E24" w:rsidRPr="00544B23" w:rsidRDefault="007F4E24" w:rsidP="00804CFF">
      <w:pPr>
        <w:pStyle w:val="TM2"/>
        <w:rPr>
          <w:rFonts w:ascii="Aptos" w:eastAsiaTheme="minorEastAsia" w:hAnsi="Aptos"/>
          <w:bCs w:val="0"/>
          <w:kern w:val="2"/>
          <w:sz w:val="21"/>
          <w:szCs w:val="21"/>
          <w:lang w:eastAsia="fr-CA"/>
          <w14:ligatures w14:val="standardContextual"/>
        </w:rPr>
      </w:pPr>
      <w:hyperlink w:anchor="_Toc201330483" w:history="1">
        <w:r w:rsidRPr="00544B23">
          <w:rPr>
            <w:rStyle w:val="Lienhypertexte"/>
            <w:rFonts w:ascii="Aptos" w:hAnsi="Aptos"/>
            <w:color w:val="auto"/>
            <w:sz w:val="21"/>
            <w:szCs w:val="21"/>
          </w:rPr>
          <w:t>1.3</w:t>
        </w:r>
        <w:r w:rsidRPr="00544B23">
          <w:rPr>
            <w:rFonts w:ascii="Aptos" w:eastAsiaTheme="minorEastAsia" w:hAnsi="Aptos"/>
            <w:bCs w:val="0"/>
            <w:kern w:val="2"/>
            <w:sz w:val="21"/>
            <w:szCs w:val="21"/>
            <w:lang w:eastAsia="fr-CA"/>
            <w14:ligatures w14:val="standardContextual"/>
          </w:rPr>
          <w:tab/>
        </w:r>
        <w:r w:rsidRPr="00544B23">
          <w:rPr>
            <w:rStyle w:val="Lienhypertexte"/>
            <w:rFonts w:ascii="Aptos" w:hAnsi="Aptos"/>
            <w:color w:val="auto"/>
            <w:sz w:val="21"/>
            <w:szCs w:val="21"/>
          </w:rPr>
          <w:t>Un portrait de la stabilité des liens et des conditions de vie de l’enfant à la suite de la réforme de 2006 : des avancées mitigées selon les situations</w:t>
        </w:r>
        <w:r w:rsidRPr="00544B23">
          <w:rPr>
            <w:rFonts w:ascii="Aptos" w:hAnsi="Aptos"/>
            <w:webHidden/>
            <w:sz w:val="21"/>
            <w:szCs w:val="21"/>
          </w:rPr>
          <w:tab/>
        </w:r>
        <w:r w:rsidRPr="00544B23">
          <w:rPr>
            <w:rFonts w:ascii="Aptos" w:hAnsi="Aptos"/>
            <w:webHidden/>
            <w:sz w:val="21"/>
            <w:szCs w:val="21"/>
          </w:rPr>
          <w:fldChar w:fldCharType="begin"/>
        </w:r>
        <w:r w:rsidRPr="00544B23">
          <w:rPr>
            <w:rFonts w:ascii="Aptos" w:hAnsi="Aptos"/>
            <w:webHidden/>
            <w:sz w:val="21"/>
            <w:szCs w:val="21"/>
          </w:rPr>
          <w:instrText xml:space="preserve"> PAGEREF _Toc201330483 \h </w:instrText>
        </w:r>
        <w:r w:rsidRPr="00544B23">
          <w:rPr>
            <w:rFonts w:ascii="Aptos" w:hAnsi="Aptos"/>
            <w:webHidden/>
            <w:sz w:val="21"/>
            <w:szCs w:val="21"/>
          </w:rPr>
        </w:r>
        <w:r w:rsidRPr="00544B23">
          <w:rPr>
            <w:rFonts w:ascii="Aptos" w:hAnsi="Aptos"/>
            <w:webHidden/>
            <w:sz w:val="21"/>
            <w:szCs w:val="21"/>
          </w:rPr>
          <w:fldChar w:fldCharType="separate"/>
        </w:r>
        <w:r w:rsidR="0085330E">
          <w:rPr>
            <w:rFonts w:ascii="Aptos" w:hAnsi="Aptos"/>
            <w:webHidden/>
            <w:sz w:val="21"/>
            <w:szCs w:val="21"/>
          </w:rPr>
          <w:t>12</w:t>
        </w:r>
        <w:r w:rsidRPr="00544B23">
          <w:rPr>
            <w:rFonts w:ascii="Aptos" w:hAnsi="Aptos"/>
            <w:webHidden/>
            <w:sz w:val="21"/>
            <w:szCs w:val="21"/>
          </w:rPr>
          <w:fldChar w:fldCharType="end"/>
        </w:r>
      </w:hyperlink>
    </w:p>
    <w:p w14:paraId="3333CD42" w14:textId="5AEC782D" w:rsidR="007F4E24" w:rsidRPr="00544B23" w:rsidRDefault="007F4E24" w:rsidP="00804CFF">
      <w:pPr>
        <w:pStyle w:val="TM3"/>
        <w:ind w:left="1276" w:hanging="709"/>
        <w:rPr>
          <w:rFonts w:eastAsiaTheme="minorEastAsia"/>
          <w:noProof/>
          <w:kern w:val="2"/>
          <w:sz w:val="21"/>
          <w:szCs w:val="21"/>
          <w:lang w:eastAsia="fr-CA"/>
          <w14:ligatures w14:val="standardContextual"/>
        </w:rPr>
      </w:pPr>
      <w:hyperlink w:anchor="_Toc201330484" w:history="1">
        <w:r w:rsidRPr="00544B23">
          <w:rPr>
            <w:rStyle w:val="Lienhypertexte"/>
            <w:noProof/>
            <w:color w:val="auto"/>
            <w:sz w:val="21"/>
            <w:szCs w:val="21"/>
          </w:rPr>
          <w:t>1.3.1</w:t>
        </w:r>
        <w:r w:rsidRPr="00544B23">
          <w:rPr>
            <w:rFonts w:eastAsiaTheme="minorEastAsia"/>
            <w:noProof/>
            <w:kern w:val="2"/>
            <w:sz w:val="21"/>
            <w:szCs w:val="21"/>
            <w:lang w:eastAsia="fr-CA"/>
            <w14:ligatures w14:val="standardContextual"/>
          </w:rPr>
          <w:tab/>
        </w:r>
        <w:r w:rsidRPr="00544B23">
          <w:rPr>
            <w:rStyle w:val="Lienhypertexte"/>
            <w:noProof/>
            <w:color w:val="auto"/>
            <w:sz w:val="21"/>
            <w:szCs w:val="21"/>
          </w:rPr>
          <w:t>Les études réalisées en vertu de l’article 156.2 de la LPJ sur la stabilité et les conditions de vie des enfants</w:t>
        </w:r>
        <w:r w:rsidRPr="00544B23">
          <w:rPr>
            <w:noProof/>
            <w:webHidden/>
            <w:sz w:val="21"/>
            <w:szCs w:val="21"/>
          </w:rPr>
          <w:tab/>
        </w:r>
        <w:r w:rsidRPr="00544B23">
          <w:rPr>
            <w:noProof/>
            <w:webHidden/>
            <w:sz w:val="21"/>
            <w:szCs w:val="21"/>
          </w:rPr>
          <w:fldChar w:fldCharType="begin"/>
        </w:r>
        <w:r w:rsidRPr="00544B23">
          <w:rPr>
            <w:noProof/>
            <w:webHidden/>
            <w:sz w:val="21"/>
            <w:szCs w:val="21"/>
          </w:rPr>
          <w:instrText xml:space="preserve"> PAGEREF _Toc201330484 \h </w:instrText>
        </w:r>
        <w:r w:rsidRPr="00544B23">
          <w:rPr>
            <w:noProof/>
            <w:webHidden/>
            <w:sz w:val="21"/>
            <w:szCs w:val="21"/>
          </w:rPr>
        </w:r>
        <w:r w:rsidRPr="00544B23">
          <w:rPr>
            <w:noProof/>
            <w:webHidden/>
            <w:sz w:val="21"/>
            <w:szCs w:val="21"/>
          </w:rPr>
          <w:fldChar w:fldCharType="separate"/>
        </w:r>
        <w:r w:rsidR="0085330E">
          <w:rPr>
            <w:noProof/>
            <w:webHidden/>
            <w:sz w:val="21"/>
            <w:szCs w:val="21"/>
          </w:rPr>
          <w:t>12</w:t>
        </w:r>
        <w:r w:rsidRPr="00544B23">
          <w:rPr>
            <w:noProof/>
            <w:webHidden/>
            <w:sz w:val="21"/>
            <w:szCs w:val="21"/>
          </w:rPr>
          <w:fldChar w:fldCharType="end"/>
        </w:r>
      </w:hyperlink>
    </w:p>
    <w:p w14:paraId="655630D2" w14:textId="5A15B255" w:rsidR="007F4E24" w:rsidRPr="00544B23" w:rsidRDefault="007F4E24" w:rsidP="00804CFF">
      <w:pPr>
        <w:pStyle w:val="TM2"/>
        <w:rPr>
          <w:rFonts w:ascii="Aptos" w:eastAsiaTheme="minorEastAsia" w:hAnsi="Aptos"/>
          <w:bCs w:val="0"/>
          <w:kern w:val="2"/>
          <w:sz w:val="21"/>
          <w:szCs w:val="21"/>
          <w:lang w:eastAsia="fr-CA"/>
          <w14:ligatures w14:val="standardContextual"/>
        </w:rPr>
      </w:pPr>
      <w:hyperlink w:anchor="_Toc201330485" w:history="1">
        <w:r w:rsidRPr="00544B23">
          <w:rPr>
            <w:rStyle w:val="Lienhypertexte"/>
            <w:rFonts w:ascii="Aptos" w:hAnsi="Aptos"/>
            <w:color w:val="auto"/>
            <w:sz w:val="21"/>
            <w:szCs w:val="21"/>
          </w:rPr>
          <w:t>1.4</w:t>
        </w:r>
        <w:r w:rsidRPr="00544B23">
          <w:rPr>
            <w:rFonts w:ascii="Aptos" w:eastAsiaTheme="minorEastAsia" w:hAnsi="Aptos"/>
            <w:bCs w:val="0"/>
            <w:kern w:val="2"/>
            <w:sz w:val="21"/>
            <w:szCs w:val="21"/>
            <w:lang w:eastAsia="fr-CA"/>
            <w14:ligatures w14:val="standardContextual"/>
          </w:rPr>
          <w:tab/>
        </w:r>
        <w:r w:rsidRPr="00544B23">
          <w:rPr>
            <w:rStyle w:val="Lienhypertexte"/>
            <w:rFonts w:ascii="Aptos" w:hAnsi="Aptos"/>
            <w:color w:val="auto"/>
            <w:sz w:val="21"/>
            <w:szCs w:val="21"/>
          </w:rPr>
          <w:t>La stabilité des liens et la continuité des soins de l’enfant pris en charge par le DPJ : des changements nécessaires en faveur de l’enfant</w:t>
        </w:r>
        <w:r w:rsidRPr="00544B23">
          <w:rPr>
            <w:rFonts w:ascii="Aptos" w:hAnsi="Aptos"/>
            <w:webHidden/>
            <w:sz w:val="21"/>
            <w:szCs w:val="21"/>
          </w:rPr>
          <w:tab/>
        </w:r>
        <w:r w:rsidRPr="00544B23">
          <w:rPr>
            <w:rFonts w:ascii="Aptos" w:hAnsi="Aptos"/>
            <w:webHidden/>
            <w:sz w:val="21"/>
            <w:szCs w:val="21"/>
          </w:rPr>
          <w:fldChar w:fldCharType="begin"/>
        </w:r>
        <w:r w:rsidRPr="00544B23">
          <w:rPr>
            <w:rFonts w:ascii="Aptos" w:hAnsi="Aptos"/>
            <w:webHidden/>
            <w:sz w:val="21"/>
            <w:szCs w:val="21"/>
          </w:rPr>
          <w:instrText xml:space="preserve"> PAGEREF _Toc201330485 \h </w:instrText>
        </w:r>
        <w:r w:rsidRPr="00544B23">
          <w:rPr>
            <w:rFonts w:ascii="Aptos" w:hAnsi="Aptos"/>
            <w:webHidden/>
            <w:sz w:val="21"/>
            <w:szCs w:val="21"/>
          </w:rPr>
        </w:r>
        <w:r w:rsidRPr="00544B23">
          <w:rPr>
            <w:rFonts w:ascii="Aptos" w:hAnsi="Aptos"/>
            <w:webHidden/>
            <w:sz w:val="21"/>
            <w:szCs w:val="21"/>
          </w:rPr>
          <w:fldChar w:fldCharType="separate"/>
        </w:r>
        <w:r w:rsidR="0085330E">
          <w:rPr>
            <w:rFonts w:ascii="Aptos" w:hAnsi="Aptos"/>
            <w:webHidden/>
            <w:sz w:val="21"/>
            <w:szCs w:val="21"/>
          </w:rPr>
          <w:t>15</w:t>
        </w:r>
        <w:r w:rsidRPr="00544B23">
          <w:rPr>
            <w:rFonts w:ascii="Aptos" w:hAnsi="Aptos"/>
            <w:webHidden/>
            <w:sz w:val="21"/>
            <w:szCs w:val="21"/>
          </w:rPr>
          <w:fldChar w:fldCharType="end"/>
        </w:r>
      </w:hyperlink>
    </w:p>
    <w:p w14:paraId="369BCBF2" w14:textId="4F248DC1" w:rsidR="007F4E24" w:rsidRPr="00544B23" w:rsidRDefault="007F4E24" w:rsidP="00804CFF">
      <w:pPr>
        <w:pStyle w:val="TM3"/>
        <w:rPr>
          <w:rFonts w:eastAsiaTheme="minorEastAsia"/>
          <w:noProof/>
          <w:kern w:val="2"/>
          <w:sz w:val="21"/>
          <w:szCs w:val="21"/>
          <w:lang w:eastAsia="fr-CA"/>
          <w14:ligatures w14:val="standardContextual"/>
        </w:rPr>
      </w:pPr>
      <w:hyperlink w:anchor="_Toc201330486" w:history="1">
        <w:r w:rsidRPr="00544B23">
          <w:rPr>
            <w:rStyle w:val="Lienhypertexte"/>
            <w:noProof/>
            <w:color w:val="auto"/>
            <w:sz w:val="21"/>
            <w:szCs w:val="21"/>
          </w:rPr>
          <w:t>1.4.1</w:t>
        </w:r>
        <w:r w:rsidRPr="00544B23">
          <w:rPr>
            <w:rFonts w:eastAsiaTheme="minorEastAsia"/>
            <w:noProof/>
            <w:kern w:val="2"/>
            <w:sz w:val="21"/>
            <w:szCs w:val="21"/>
            <w:lang w:eastAsia="fr-CA"/>
            <w14:ligatures w14:val="standardContextual"/>
          </w:rPr>
          <w:tab/>
        </w:r>
        <w:r w:rsidRPr="00544B23">
          <w:rPr>
            <w:rStyle w:val="Lienhypertexte"/>
            <w:noProof/>
            <w:color w:val="auto"/>
            <w:sz w:val="21"/>
            <w:szCs w:val="21"/>
          </w:rPr>
          <w:t>Les constats et les recommandations de la CSDEPJ</w:t>
        </w:r>
        <w:r w:rsidRPr="00544B23">
          <w:rPr>
            <w:noProof/>
            <w:webHidden/>
            <w:sz w:val="21"/>
            <w:szCs w:val="21"/>
          </w:rPr>
          <w:tab/>
        </w:r>
        <w:r w:rsidRPr="00544B23">
          <w:rPr>
            <w:noProof/>
            <w:webHidden/>
            <w:sz w:val="21"/>
            <w:szCs w:val="21"/>
          </w:rPr>
          <w:fldChar w:fldCharType="begin"/>
        </w:r>
        <w:r w:rsidRPr="00544B23">
          <w:rPr>
            <w:noProof/>
            <w:webHidden/>
            <w:sz w:val="21"/>
            <w:szCs w:val="21"/>
          </w:rPr>
          <w:instrText xml:space="preserve"> PAGEREF _Toc201330486 \h </w:instrText>
        </w:r>
        <w:r w:rsidRPr="00544B23">
          <w:rPr>
            <w:noProof/>
            <w:webHidden/>
            <w:sz w:val="21"/>
            <w:szCs w:val="21"/>
          </w:rPr>
        </w:r>
        <w:r w:rsidRPr="00544B23">
          <w:rPr>
            <w:noProof/>
            <w:webHidden/>
            <w:sz w:val="21"/>
            <w:szCs w:val="21"/>
          </w:rPr>
          <w:fldChar w:fldCharType="separate"/>
        </w:r>
        <w:r w:rsidR="0085330E">
          <w:rPr>
            <w:noProof/>
            <w:webHidden/>
            <w:sz w:val="21"/>
            <w:szCs w:val="21"/>
          </w:rPr>
          <w:t>15</w:t>
        </w:r>
        <w:r w:rsidRPr="00544B23">
          <w:rPr>
            <w:noProof/>
            <w:webHidden/>
            <w:sz w:val="21"/>
            <w:szCs w:val="21"/>
          </w:rPr>
          <w:fldChar w:fldCharType="end"/>
        </w:r>
      </w:hyperlink>
    </w:p>
    <w:p w14:paraId="11EBCCB9" w14:textId="7FE062E1" w:rsidR="007F4E24" w:rsidRPr="00544B23" w:rsidRDefault="007F4E24" w:rsidP="00544B23">
      <w:pPr>
        <w:pStyle w:val="TM3"/>
        <w:ind w:left="1321" w:hanging="754"/>
        <w:rPr>
          <w:rFonts w:eastAsiaTheme="minorEastAsia"/>
          <w:noProof/>
          <w:kern w:val="2"/>
          <w:sz w:val="21"/>
          <w:szCs w:val="21"/>
          <w:lang w:eastAsia="fr-CA"/>
          <w14:ligatures w14:val="standardContextual"/>
        </w:rPr>
      </w:pPr>
      <w:hyperlink w:anchor="_Toc201330487" w:history="1">
        <w:r w:rsidRPr="00544B23">
          <w:rPr>
            <w:rStyle w:val="Lienhypertexte"/>
            <w:noProof/>
            <w:color w:val="auto"/>
            <w:sz w:val="21"/>
            <w:szCs w:val="21"/>
          </w:rPr>
          <w:t>1.4.2</w:t>
        </w:r>
        <w:r w:rsidRPr="00544B23">
          <w:rPr>
            <w:rFonts w:eastAsiaTheme="minorEastAsia"/>
            <w:noProof/>
            <w:kern w:val="2"/>
            <w:sz w:val="21"/>
            <w:szCs w:val="21"/>
            <w:lang w:eastAsia="fr-CA"/>
            <w14:ligatures w14:val="standardContextual"/>
          </w:rPr>
          <w:tab/>
        </w:r>
        <w:r w:rsidRPr="00544B23">
          <w:rPr>
            <w:rStyle w:val="Lienhypertexte"/>
            <w:noProof/>
            <w:color w:val="auto"/>
            <w:sz w:val="21"/>
            <w:szCs w:val="21"/>
          </w:rPr>
          <w:t>Les lésions de droit constatées dans les enquêtes de la Commission des droits en lien avec la stabilité des liens</w:t>
        </w:r>
        <w:r w:rsidRPr="00544B23">
          <w:rPr>
            <w:noProof/>
            <w:webHidden/>
            <w:sz w:val="21"/>
            <w:szCs w:val="21"/>
          </w:rPr>
          <w:tab/>
        </w:r>
        <w:r w:rsidRPr="00544B23">
          <w:rPr>
            <w:noProof/>
            <w:webHidden/>
            <w:sz w:val="21"/>
            <w:szCs w:val="21"/>
          </w:rPr>
          <w:fldChar w:fldCharType="begin"/>
        </w:r>
        <w:r w:rsidRPr="00544B23">
          <w:rPr>
            <w:noProof/>
            <w:webHidden/>
            <w:sz w:val="21"/>
            <w:szCs w:val="21"/>
          </w:rPr>
          <w:instrText xml:space="preserve"> PAGEREF _Toc201330487 \h </w:instrText>
        </w:r>
        <w:r w:rsidRPr="00544B23">
          <w:rPr>
            <w:noProof/>
            <w:webHidden/>
            <w:sz w:val="21"/>
            <w:szCs w:val="21"/>
          </w:rPr>
        </w:r>
        <w:r w:rsidRPr="00544B23">
          <w:rPr>
            <w:noProof/>
            <w:webHidden/>
            <w:sz w:val="21"/>
            <w:szCs w:val="21"/>
          </w:rPr>
          <w:fldChar w:fldCharType="separate"/>
        </w:r>
        <w:r w:rsidR="0085330E">
          <w:rPr>
            <w:noProof/>
            <w:webHidden/>
            <w:sz w:val="21"/>
            <w:szCs w:val="21"/>
          </w:rPr>
          <w:t>17</w:t>
        </w:r>
        <w:r w:rsidRPr="00544B23">
          <w:rPr>
            <w:noProof/>
            <w:webHidden/>
            <w:sz w:val="21"/>
            <w:szCs w:val="21"/>
          </w:rPr>
          <w:fldChar w:fldCharType="end"/>
        </w:r>
      </w:hyperlink>
    </w:p>
    <w:p w14:paraId="1E198577" w14:textId="14D7FEF6" w:rsidR="007F4E24" w:rsidRPr="00544B23" w:rsidRDefault="007F4E24" w:rsidP="00804CFF">
      <w:pPr>
        <w:pStyle w:val="TM2"/>
        <w:rPr>
          <w:rFonts w:ascii="Aptos" w:eastAsiaTheme="minorEastAsia" w:hAnsi="Aptos"/>
          <w:bCs w:val="0"/>
          <w:kern w:val="2"/>
          <w:sz w:val="21"/>
          <w:szCs w:val="21"/>
          <w:lang w:eastAsia="fr-CA"/>
          <w14:ligatures w14:val="standardContextual"/>
        </w:rPr>
      </w:pPr>
      <w:hyperlink w:anchor="_Toc201330488" w:history="1">
        <w:r w:rsidRPr="00544B23">
          <w:rPr>
            <w:rStyle w:val="Lienhypertexte"/>
            <w:rFonts w:ascii="Aptos" w:hAnsi="Aptos"/>
            <w:color w:val="auto"/>
            <w:sz w:val="21"/>
            <w:szCs w:val="21"/>
          </w:rPr>
          <w:t>1.5</w:t>
        </w:r>
        <w:r w:rsidRPr="00544B23">
          <w:rPr>
            <w:rFonts w:ascii="Aptos" w:eastAsiaTheme="minorEastAsia" w:hAnsi="Aptos"/>
            <w:bCs w:val="0"/>
            <w:kern w:val="2"/>
            <w:sz w:val="21"/>
            <w:szCs w:val="21"/>
            <w:lang w:eastAsia="fr-CA"/>
            <w14:ligatures w14:val="standardContextual"/>
          </w:rPr>
          <w:tab/>
        </w:r>
        <w:r w:rsidRPr="00544B23">
          <w:rPr>
            <w:rStyle w:val="Lienhypertexte"/>
            <w:rFonts w:ascii="Aptos" w:hAnsi="Aptos"/>
            <w:color w:val="auto"/>
            <w:sz w:val="21"/>
            <w:szCs w:val="21"/>
          </w:rPr>
          <w:t>La prise en compte de l’intérêt de l’enfant comme gage de sa stabilité : la réforme de la LPJ en 2022</w:t>
        </w:r>
        <w:r w:rsidRPr="00544B23">
          <w:rPr>
            <w:rFonts w:ascii="Aptos" w:hAnsi="Aptos"/>
            <w:webHidden/>
            <w:sz w:val="21"/>
            <w:szCs w:val="21"/>
          </w:rPr>
          <w:tab/>
        </w:r>
        <w:r w:rsidRPr="00544B23">
          <w:rPr>
            <w:rFonts w:ascii="Aptos" w:hAnsi="Aptos"/>
            <w:webHidden/>
            <w:sz w:val="21"/>
            <w:szCs w:val="21"/>
          </w:rPr>
          <w:fldChar w:fldCharType="begin"/>
        </w:r>
        <w:r w:rsidRPr="00544B23">
          <w:rPr>
            <w:rFonts w:ascii="Aptos" w:hAnsi="Aptos"/>
            <w:webHidden/>
            <w:sz w:val="21"/>
            <w:szCs w:val="21"/>
          </w:rPr>
          <w:instrText xml:space="preserve"> PAGEREF _Toc201330488 \h </w:instrText>
        </w:r>
        <w:r w:rsidRPr="00544B23">
          <w:rPr>
            <w:rFonts w:ascii="Aptos" w:hAnsi="Aptos"/>
            <w:webHidden/>
            <w:sz w:val="21"/>
            <w:szCs w:val="21"/>
          </w:rPr>
        </w:r>
        <w:r w:rsidRPr="00544B23">
          <w:rPr>
            <w:rFonts w:ascii="Aptos" w:hAnsi="Aptos"/>
            <w:webHidden/>
            <w:sz w:val="21"/>
            <w:szCs w:val="21"/>
          </w:rPr>
          <w:fldChar w:fldCharType="separate"/>
        </w:r>
        <w:r w:rsidR="0085330E">
          <w:rPr>
            <w:rFonts w:ascii="Aptos" w:hAnsi="Aptos"/>
            <w:webHidden/>
            <w:sz w:val="21"/>
            <w:szCs w:val="21"/>
          </w:rPr>
          <w:t>19</w:t>
        </w:r>
        <w:r w:rsidRPr="00544B23">
          <w:rPr>
            <w:rFonts w:ascii="Aptos" w:hAnsi="Aptos"/>
            <w:webHidden/>
            <w:sz w:val="21"/>
            <w:szCs w:val="21"/>
          </w:rPr>
          <w:fldChar w:fldCharType="end"/>
        </w:r>
      </w:hyperlink>
    </w:p>
    <w:p w14:paraId="5421D8CE" w14:textId="2D6E90DC" w:rsidR="007F4E24" w:rsidRPr="00544B23" w:rsidRDefault="007F4E24" w:rsidP="00804CFF">
      <w:pPr>
        <w:pStyle w:val="TM3"/>
        <w:ind w:left="1276" w:hanging="709"/>
        <w:rPr>
          <w:rFonts w:eastAsiaTheme="minorEastAsia"/>
          <w:noProof/>
          <w:kern w:val="2"/>
          <w:sz w:val="21"/>
          <w:szCs w:val="21"/>
          <w:lang w:eastAsia="fr-CA"/>
          <w14:ligatures w14:val="standardContextual"/>
        </w:rPr>
      </w:pPr>
      <w:hyperlink w:anchor="_Toc201330489" w:history="1">
        <w:r w:rsidRPr="00544B23">
          <w:rPr>
            <w:rStyle w:val="Lienhypertexte"/>
            <w:noProof/>
            <w:color w:val="auto"/>
            <w:sz w:val="21"/>
            <w:szCs w:val="21"/>
          </w:rPr>
          <w:t>1.5.1</w:t>
        </w:r>
        <w:r w:rsidRPr="00544B23">
          <w:rPr>
            <w:rFonts w:eastAsiaTheme="minorEastAsia"/>
            <w:noProof/>
            <w:kern w:val="2"/>
            <w:sz w:val="21"/>
            <w:szCs w:val="21"/>
            <w:lang w:eastAsia="fr-CA"/>
            <w14:ligatures w14:val="standardContextual"/>
          </w:rPr>
          <w:tab/>
        </w:r>
        <w:r w:rsidRPr="00544B23">
          <w:rPr>
            <w:rStyle w:val="Lienhypertexte"/>
            <w:noProof/>
            <w:color w:val="auto"/>
            <w:sz w:val="21"/>
            <w:szCs w:val="21"/>
          </w:rPr>
          <w:t>Les modifications apportées à la LPJ pour mieux assurer la stabilité des liens et des conditions de vie de l’enfant</w:t>
        </w:r>
        <w:r w:rsidRPr="00544B23">
          <w:rPr>
            <w:noProof/>
            <w:webHidden/>
            <w:sz w:val="21"/>
            <w:szCs w:val="21"/>
          </w:rPr>
          <w:tab/>
        </w:r>
        <w:r w:rsidRPr="00544B23">
          <w:rPr>
            <w:noProof/>
            <w:webHidden/>
            <w:sz w:val="21"/>
            <w:szCs w:val="21"/>
          </w:rPr>
          <w:fldChar w:fldCharType="begin"/>
        </w:r>
        <w:r w:rsidRPr="00544B23">
          <w:rPr>
            <w:noProof/>
            <w:webHidden/>
            <w:sz w:val="21"/>
            <w:szCs w:val="21"/>
          </w:rPr>
          <w:instrText xml:space="preserve"> PAGEREF _Toc201330489 \h </w:instrText>
        </w:r>
        <w:r w:rsidRPr="00544B23">
          <w:rPr>
            <w:noProof/>
            <w:webHidden/>
            <w:sz w:val="21"/>
            <w:szCs w:val="21"/>
          </w:rPr>
        </w:r>
        <w:r w:rsidRPr="00544B23">
          <w:rPr>
            <w:noProof/>
            <w:webHidden/>
            <w:sz w:val="21"/>
            <w:szCs w:val="21"/>
          </w:rPr>
          <w:fldChar w:fldCharType="separate"/>
        </w:r>
        <w:r w:rsidR="0085330E">
          <w:rPr>
            <w:noProof/>
            <w:webHidden/>
            <w:sz w:val="21"/>
            <w:szCs w:val="21"/>
          </w:rPr>
          <w:t>19</w:t>
        </w:r>
        <w:r w:rsidRPr="00544B23">
          <w:rPr>
            <w:noProof/>
            <w:webHidden/>
            <w:sz w:val="21"/>
            <w:szCs w:val="21"/>
          </w:rPr>
          <w:fldChar w:fldCharType="end"/>
        </w:r>
      </w:hyperlink>
    </w:p>
    <w:p w14:paraId="318747FB" w14:textId="7F9B998F" w:rsidR="007F4E24" w:rsidRPr="00544B23" w:rsidRDefault="007F4E24" w:rsidP="00804CFF">
      <w:pPr>
        <w:pStyle w:val="TM3"/>
        <w:ind w:left="1276" w:hanging="709"/>
        <w:rPr>
          <w:rStyle w:val="Lienhypertexte"/>
          <w:noProof/>
          <w:color w:val="auto"/>
          <w:sz w:val="21"/>
          <w:szCs w:val="21"/>
        </w:rPr>
      </w:pPr>
      <w:hyperlink w:anchor="_Toc201330490" w:history="1">
        <w:r w:rsidRPr="00544B23">
          <w:rPr>
            <w:rStyle w:val="Lienhypertexte"/>
            <w:noProof/>
            <w:color w:val="auto"/>
            <w:sz w:val="21"/>
            <w:szCs w:val="21"/>
          </w:rPr>
          <w:t>1.5.2</w:t>
        </w:r>
        <w:r w:rsidRPr="00544B23">
          <w:rPr>
            <w:rFonts w:eastAsiaTheme="minorEastAsia"/>
            <w:noProof/>
            <w:kern w:val="2"/>
            <w:sz w:val="21"/>
            <w:szCs w:val="21"/>
            <w:lang w:eastAsia="fr-CA"/>
            <w14:ligatures w14:val="standardContextual"/>
          </w:rPr>
          <w:tab/>
        </w:r>
        <w:r w:rsidRPr="00544B23">
          <w:rPr>
            <w:rStyle w:val="Lienhypertexte"/>
            <w:noProof/>
            <w:color w:val="auto"/>
            <w:sz w:val="21"/>
            <w:szCs w:val="21"/>
          </w:rPr>
          <w:t>Les préoccupations exprimées par la Commission des droits quant aux modifications proposées</w:t>
        </w:r>
        <w:r w:rsidRPr="00544B23">
          <w:rPr>
            <w:noProof/>
            <w:webHidden/>
            <w:sz w:val="21"/>
            <w:szCs w:val="21"/>
          </w:rPr>
          <w:tab/>
        </w:r>
        <w:r w:rsidRPr="00544B23">
          <w:rPr>
            <w:noProof/>
            <w:webHidden/>
            <w:sz w:val="21"/>
            <w:szCs w:val="21"/>
          </w:rPr>
          <w:fldChar w:fldCharType="begin"/>
        </w:r>
        <w:r w:rsidRPr="00544B23">
          <w:rPr>
            <w:noProof/>
            <w:webHidden/>
            <w:sz w:val="21"/>
            <w:szCs w:val="21"/>
          </w:rPr>
          <w:instrText xml:space="preserve"> PAGEREF _Toc201330490 \h </w:instrText>
        </w:r>
        <w:r w:rsidRPr="00544B23">
          <w:rPr>
            <w:noProof/>
            <w:webHidden/>
            <w:sz w:val="21"/>
            <w:szCs w:val="21"/>
          </w:rPr>
        </w:r>
        <w:r w:rsidRPr="00544B23">
          <w:rPr>
            <w:noProof/>
            <w:webHidden/>
            <w:sz w:val="21"/>
            <w:szCs w:val="21"/>
          </w:rPr>
          <w:fldChar w:fldCharType="separate"/>
        </w:r>
        <w:r w:rsidR="0085330E">
          <w:rPr>
            <w:noProof/>
            <w:webHidden/>
            <w:sz w:val="21"/>
            <w:szCs w:val="21"/>
          </w:rPr>
          <w:t>22</w:t>
        </w:r>
        <w:r w:rsidRPr="00544B23">
          <w:rPr>
            <w:noProof/>
            <w:webHidden/>
            <w:sz w:val="21"/>
            <w:szCs w:val="21"/>
          </w:rPr>
          <w:fldChar w:fldCharType="end"/>
        </w:r>
      </w:hyperlink>
    </w:p>
    <w:p w14:paraId="7257C7BF" w14:textId="77777777" w:rsidR="007F4E24" w:rsidRPr="00544B23" w:rsidRDefault="007F4E24" w:rsidP="00804CFF">
      <w:pPr>
        <w:jc w:val="left"/>
        <w:rPr>
          <w:noProof/>
          <w:sz w:val="21"/>
          <w:szCs w:val="21"/>
        </w:rPr>
      </w:pPr>
    </w:p>
    <w:p w14:paraId="330627F3" w14:textId="77777777" w:rsidR="007F4E24" w:rsidRPr="00544B23" w:rsidRDefault="007F4E24" w:rsidP="00804CFF">
      <w:pPr>
        <w:jc w:val="left"/>
        <w:rPr>
          <w:noProof/>
          <w:sz w:val="21"/>
          <w:szCs w:val="21"/>
        </w:rPr>
      </w:pPr>
    </w:p>
    <w:p w14:paraId="2DE1264D" w14:textId="4881FE16" w:rsidR="007F4E24" w:rsidRPr="00544B23" w:rsidRDefault="007F4E24" w:rsidP="00804CFF">
      <w:pPr>
        <w:pStyle w:val="TM1"/>
        <w:rPr>
          <w:rStyle w:val="Lienhypertexte"/>
          <w:color w:val="auto"/>
          <w:sz w:val="21"/>
          <w:szCs w:val="21"/>
        </w:rPr>
      </w:pPr>
      <w:hyperlink w:anchor="_Toc201330491" w:history="1">
        <w:r w:rsidRPr="00544B23">
          <w:rPr>
            <w:rStyle w:val="Lienhypertexte"/>
            <w:color w:val="auto"/>
            <w:sz w:val="21"/>
            <w:szCs w:val="21"/>
          </w:rPr>
          <w:t>2.</w:t>
        </w:r>
        <w:r w:rsidRPr="00544B23">
          <w:rPr>
            <w:rFonts w:eastAsiaTheme="minorEastAsia"/>
            <w:b w:val="0"/>
            <w:bCs w:val="0"/>
            <w:caps w:val="0"/>
            <w:kern w:val="2"/>
            <w:sz w:val="21"/>
            <w:szCs w:val="21"/>
            <w:lang w:eastAsia="fr-CA"/>
            <w14:ligatures w14:val="standardContextual"/>
          </w:rPr>
          <w:tab/>
        </w:r>
        <w:r w:rsidRPr="00544B23">
          <w:rPr>
            <w:rStyle w:val="Lienhypertexte"/>
            <w:color w:val="auto"/>
            <w:sz w:val="21"/>
            <w:szCs w:val="21"/>
          </w:rPr>
          <w:t>L’</w:t>
        </w:r>
        <w:r w:rsidRPr="00544B23">
          <w:rPr>
            <w:rStyle w:val="Lienhypertexte"/>
            <w:caps w:val="0"/>
            <w:color w:val="auto"/>
            <w:sz w:val="21"/>
            <w:szCs w:val="21"/>
          </w:rPr>
          <w:t>évaluation de la mise en œuvre des dispositions de la LPJ relatives à la stabilité des liens et des conditions de vie de l’enfant depuis la réforme de 2022 : regard sur les décisions judiciaires confiant l’enfant à un milieu de vie substitut jusqu’à la majorité</w:t>
        </w:r>
        <w:r w:rsidRPr="00544B23">
          <w:rPr>
            <w:b w:val="0"/>
            <w:bCs w:val="0"/>
            <w:webHidden/>
            <w:sz w:val="21"/>
            <w:szCs w:val="21"/>
          </w:rPr>
          <w:tab/>
        </w:r>
        <w:r w:rsidRPr="00544B23">
          <w:rPr>
            <w:b w:val="0"/>
            <w:bCs w:val="0"/>
            <w:webHidden/>
            <w:sz w:val="21"/>
            <w:szCs w:val="21"/>
          </w:rPr>
          <w:fldChar w:fldCharType="begin"/>
        </w:r>
        <w:r w:rsidRPr="00544B23">
          <w:rPr>
            <w:b w:val="0"/>
            <w:bCs w:val="0"/>
            <w:webHidden/>
            <w:sz w:val="21"/>
            <w:szCs w:val="21"/>
          </w:rPr>
          <w:instrText xml:space="preserve"> PAGEREF _Toc201330491 \h </w:instrText>
        </w:r>
        <w:r w:rsidRPr="00544B23">
          <w:rPr>
            <w:b w:val="0"/>
            <w:bCs w:val="0"/>
            <w:webHidden/>
            <w:sz w:val="21"/>
            <w:szCs w:val="21"/>
          </w:rPr>
        </w:r>
        <w:r w:rsidRPr="00544B23">
          <w:rPr>
            <w:b w:val="0"/>
            <w:bCs w:val="0"/>
            <w:webHidden/>
            <w:sz w:val="21"/>
            <w:szCs w:val="21"/>
          </w:rPr>
          <w:fldChar w:fldCharType="separate"/>
        </w:r>
        <w:r w:rsidR="0085330E">
          <w:rPr>
            <w:b w:val="0"/>
            <w:bCs w:val="0"/>
            <w:webHidden/>
            <w:sz w:val="21"/>
            <w:szCs w:val="21"/>
          </w:rPr>
          <w:t>25</w:t>
        </w:r>
        <w:r w:rsidRPr="00544B23">
          <w:rPr>
            <w:b w:val="0"/>
            <w:bCs w:val="0"/>
            <w:webHidden/>
            <w:sz w:val="21"/>
            <w:szCs w:val="21"/>
          </w:rPr>
          <w:fldChar w:fldCharType="end"/>
        </w:r>
      </w:hyperlink>
    </w:p>
    <w:p w14:paraId="7BFCEE1D" w14:textId="77777777" w:rsidR="007F4E24" w:rsidRPr="00544B23" w:rsidRDefault="007F4E24" w:rsidP="00804CFF">
      <w:pPr>
        <w:jc w:val="left"/>
        <w:rPr>
          <w:noProof/>
          <w:sz w:val="21"/>
          <w:szCs w:val="21"/>
        </w:rPr>
      </w:pPr>
    </w:p>
    <w:p w14:paraId="318721B4" w14:textId="411E1985" w:rsidR="007F4E24" w:rsidRPr="00544B23" w:rsidRDefault="007F4E24" w:rsidP="00804CFF">
      <w:pPr>
        <w:pStyle w:val="TM2"/>
        <w:rPr>
          <w:rFonts w:ascii="Aptos" w:eastAsiaTheme="minorEastAsia" w:hAnsi="Aptos"/>
          <w:bCs w:val="0"/>
          <w:kern w:val="2"/>
          <w:sz w:val="21"/>
          <w:szCs w:val="21"/>
          <w:lang w:eastAsia="fr-CA"/>
          <w14:ligatures w14:val="standardContextual"/>
        </w:rPr>
      </w:pPr>
      <w:hyperlink w:anchor="_Toc201330492" w:history="1">
        <w:r w:rsidRPr="00544B23">
          <w:rPr>
            <w:rStyle w:val="Lienhypertexte"/>
            <w:rFonts w:ascii="Aptos" w:hAnsi="Aptos"/>
            <w:color w:val="auto"/>
            <w:sz w:val="21"/>
            <w:szCs w:val="21"/>
            <w:lang w:eastAsia="ja-JP"/>
          </w:rPr>
          <w:t>2.1</w:t>
        </w:r>
        <w:r w:rsidRPr="00544B23">
          <w:rPr>
            <w:rFonts w:ascii="Aptos" w:eastAsiaTheme="minorEastAsia" w:hAnsi="Aptos"/>
            <w:bCs w:val="0"/>
            <w:kern w:val="2"/>
            <w:sz w:val="21"/>
            <w:szCs w:val="21"/>
            <w:lang w:eastAsia="fr-CA"/>
            <w14:ligatures w14:val="standardContextual"/>
          </w:rPr>
          <w:tab/>
        </w:r>
        <w:r w:rsidRPr="00544B23">
          <w:rPr>
            <w:rStyle w:val="Lienhypertexte"/>
            <w:rFonts w:ascii="Aptos" w:hAnsi="Aptos"/>
            <w:color w:val="auto"/>
            <w:sz w:val="21"/>
            <w:szCs w:val="21"/>
          </w:rPr>
          <w:t>Le projet de vie retenu pour l’enfant respecte ses droits et son intérêt</w:t>
        </w:r>
        <w:r w:rsidRPr="00544B23">
          <w:rPr>
            <w:rFonts w:ascii="Aptos" w:hAnsi="Aptos"/>
            <w:webHidden/>
            <w:sz w:val="21"/>
            <w:szCs w:val="21"/>
          </w:rPr>
          <w:tab/>
        </w:r>
        <w:r w:rsidRPr="00544B23">
          <w:rPr>
            <w:rFonts w:ascii="Aptos" w:hAnsi="Aptos"/>
            <w:webHidden/>
            <w:sz w:val="21"/>
            <w:szCs w:val="21"/>
          </w:rPr>
          <w:fldChar w:fldCharType="begin"/>
        </w:r>
        <w:r w:rsidRPr="00544B23">
          <w:rPr>
            <w:rFonts w:ascii="Aptos" w:hAnsi="Aptos"/>
            <w:webHidden/>
            <w:sz w:val="21"/>
            <w:szCs w:val="21"/>
          </w:rPr>
          <w:instrText xml:space="preserve"> PAGEREF _Toc201330492 \h </w:instrText>
        </w:r>
        <w:r w:rsidRPr="00544B23">
          <w:rPr>
            <w:rFonts w:ascii="Aptos" w:hAnsi="Aptos"/>
            <w:webHidden/>
            <w:sz w:val="21"/>
            <w:szCs w:val="21"/>
          </w:rPr>
        </w:r>
        <w:r w:rsidRPr="00544B23">
          <w:rPr>
            <w:rFonts w:ascii="Aptos" w:hAnsi="Aptos"/>
            <w:webHidden/>
            <w:sz w:val="21"/>
            <w:szCs w:val="21"/>
          </w:rPr>
          <w:fldChar w:fldCharType="separate"/>
        </w:r>
        <w:r w:rsidR="0085330E">
          <w:rPr>
            <w:rFonts w:ascii="Aptos" w:hAnsi="Aptos"/>
            <w:webHidden/>
            <w:sz w:val="21"/>
            <w:szCs w:val="21"/>
          </w:rPr>
          <w:t>26</w:t>
        </w:r>
        <w:r w:rsidRPr="00544B23">
          <w:rPr>
            <w:rFonts w:ascii="Aptos" w:hAnsi="Aptos"/>
            <w:webHidden/>
            <w:sz w:val="21"/>
            <w:szCs w:val="21"/>
          </w:rPr>
          <w:fldChar w:fldCharType="end"/>
        </w:r>
      </w:hyperlink>
    </w:p>
    <w:p w14:paraId="2824C60B" w14:textId="558564E6" w:rsidR="007F4E24" w:rsidRPr="00544B23" w:rsidRDefault="007F4E24" w:rsidP="00804CFF">
      <w:pPr>
        <w:pStyle w:val="TM3"/>
        <w:ind w:left="1276" w:hanging="709"/>
        <w:rPr>
          <w:rStyle w:val="Lienhypertexte"/>
          <w:noProof/>
          <w:color w:val="auto"/>
          <w:sz w:val="21"/>
          <w:szCs w:val="21"/>
        </w:rPr>
      </w:pPr>
      <w:hyperlink w:anchor="_Toc201330493" w:history="1">
        <w:r w:rsidRPr="00544B23">
          <w:rPr>
            <w:rStyle w:val="Lienhypertexte"/>
            <w:noProof/>
            <w:color w:val="auto"/>
            <w:sz w:val="21"/>
            <w:szCs w:val="21"/>
          </w:rPr>
          <w:t>2.1.1</w:t>
        </w:r>
        <w:r w:rsidRPr="00544B23">
          <w:rPr>
            <w:rStyle w:val="Lienhypertexte"/>
            <w:noProof/>
            <w:color w:val="auto"/>
            <w:sz w:val="21"/>
            <w:szCs w:val="21"/>
          </w:rPr>
          <w:tab/>
          <w:t>Le projet de vie est dans l’intérêt de l’enfant</w:t>
        </w:r>
        <w:r w:rsidRPr="00544B23">
          <w:rPr>
            <w:rStyle w:val="Lienhypertexte"/>
            <w:noProof/>
            <w:webHidden/>
            <w:color w:val="auto"/>
            <w:sz w:val="21"/>
            <w:szCs w:val="21"/>
          </w:rPr>
          <w:tab/>
        </w:r>
        <w:r w:rsidRPr="00544B23">
          <w:rPr>
            <w:rStyle w:val="Lienhypertexte"/>
            <w:noProof/>
            <w:webHidden/>
            <w:color w:val="auto"/>
            <w:sz w:val="21"/>
            <w:szCs w:val="21"/>
          </w:rPr>
          <w:fldChar w:fldCharType="begin"/>
        </w:r>
        <w:r w:rsidRPr="00544B23">
          <w:rPr>
            <w:rStyle w:val="Lienhypertexte"/>
            <w:noProof/>
            <w:webHidden/>
            <w:color w:val="auto"/>
            <w:sz w:val="21"/>
            <w:szCs w:val="21"/>
          </w:rPr>
          <w:instrText xml:space="preserve"> PAGEREF _Toc201330493 \h </w:instrText>
        </w:r>
        <w:r w:rsidRPr="00544B23">
          <w:rPr>
            <w:rStyle w:val="Lienhypertexte"/>
            <w:noProof/>
            <w:webHidden/>
            <w:color w:val="auto"/>
            <w:sz w:val="21"/>
            <w:szCs w:val="21"/>
          </w:rPr>
        </w:r>
        <w:r w:rsidRPr="00544B23">
          <w:rPr>
            <w:rStyle w:val="Lienhypertexte"/>
            <w:noProof/>
            <w:webHidden/>
            <w:color w:val="auto"/>
            <w:sz w:val="21"/>
            <w:szCs w:val="21"/>
          </w:rPr>
          <w:fldChar w:fldCharType="separate"/>
        </w:r>
        <w:r w:rsidR="0085330E">
          <w:rPr>
            <w:rStyle w:val="Lienhypertexte"/>
            <w:noProof/>
            <w:webHidden/>
            <w:color w:val="auto"/>
            <w:sz w:val="21"/>
            <w:szCs w:val="21"/>
          </w:rPr>
          <w:t>26</w:t>
        </w:r>
        <w:r w:rsidRPr="00544B23">
          <w:rPr>
            <w:rStyle w:val="Lienhypertexte"/>
            <w:noProof/>
            <w:webHidden/>
            <w:color w:val="auto"/>
            <w:sz w:val="21"/>
            <w:szCs w:val="21"/>
          </w:rPr>
          <w:fldChar w:fldCharType="end"/>
        </w:r>
      </w:hyperlink>
    </w:p>
    <w:p w14:paraId="25CE4AB2" w14:textId="3E96FD37" w:rsidR="007F4E24" w:rsidRPr="00544B23" w:rsidRDefault="007F4E24" w:rsidP="002233DF">
      <w:pPr>
        <w:pStyle w:val="TM5"/>
        <w:numPr>
          <w:ilvl w:val="0"/>
          <w:numId w:val="17"/>
        </w:numPr>
        <w:spacing w:after="0"/>
        <w:rPr>
          <w:noProof/>
          <w:sz w:val="21"/>
          <w:szCs w:val="21"/>
        </w:rPr>
      </w:pPr>
      <w:hyperlink w:anchor="_Toc201330494" w:history="1">
        <w:r w:rsidRPr="00544B23">
          <w:rPr>
            <w:rStyle w:val="Lienhypertexte"/>
            <w:noProof/>
            <w:color w:val="auto"/>
            <w:sz w:val="21"/>
            <w:szCs w:val="21"/>
          </w:rPr>
          <w:t>Les besoins de l’enfant sont identifiés</w:t>
        </w:r>
        <w:r w:rsidRPr="00544B23">
          <w:rPr>
            <w:noProof/>
            <w:webHidden/>
            <w:sz w:val="21"/>
            <w:szCs w:val="21"/>
          </w:rPr>
          <w:tab/>
        </w:r>
        <w:r w:rsidRPr="00544B23">
          <w:rPr>
            <w:noProof/>
            <w:webHidden/>
            <w:sz w:val="21"/>
            <w:szCs w:val="21"/>
          </w:rPr>
          <w:fldChar w:fldCharType="begin"/>
        </w:r>
        <w:r w:rsidRPr="00544B23">
          <w:rPr>
            <w:noProof/>
            <w:webHidden/>
            <w:sz w:val="21"/>
            <w:szCs w:val="21"/>
          </w:rPr>
          <w:instrText xml:space="preserve"> PAGEREF _Toc201330494 \h </w:instrText>
        </w:r>
        <w:r w:rsidRPr="00544B23">
          <w:rPr>
            <w:noProof/>
            <w:webHidden/>
            <w:sz w:val="21"/>
            <w:szCs w:val="21"/>
          </w:rPr>
        </w:r>
        <w:r w:rsidRPr="00544B23">
          <w:rPr>
            <w:noProof/>
            <w:webHidden/>
            <w:sz w:val="21"/>
            <w:szCs w:val="21"/>
          </w:rPr>
          <w:fldChar w:fldCharType="separate"/>
        </w:r>
        <w:r w:rsidR="0085330E">
          <w:rPr>
            <w:noProof/>
            <w:webHidden/>
            <w:sz w:val="21"/>
            <w:szCs w:val="21"/>
          </w:rPr>
          <w:t>28</w:t>
        </w:r>
        <w:r w:rsidRPr="00544B23">
          <w:rPr>
            <w:noProof/>
            <w:webHidden/>
            <w:sz w:val="21"/>
            <w:szCs w:val="21"/>
          </w:rPr>
          <w:fldChar w:fldCharType="end"/>
        </w:r>
      </w:hyperlink>
    </w:p>
    <w:p w14:paraId="76145911" w14:textId="74DCFB37" w:rsidR="007F4E24" w:rsidRPr="00544B23" w:rsidRDefault="007F4E24" w:rsidP="00804CFF">
      <w:pPr>
        <w:pStyle w:val="TM5"/>
        <w:spacing w:after="0"/>
        <w:rPr>
          <w:noProof/>
          <w:sz w:val="21"/>
          <w:szCs w:val="21"/>
        </w:rPr>
      </w:pPr>
      <w:hyperlink w:anchor="_Toc201330495" w:history="1">
        <w:r w:rsidRPr="00544B23">
          <w:rPr>
            <w:rStyle w:val="Lienhypertexte"/>
            <w:noProof/>
            <w:color w:val="auto"/>
            <w:sz w:val="21"/>
            <w:szCs w:val="21"/>
          </w:rPr>
          <w:t>B.</w:t>
        </w:r>
        <w:r w:rsidRPr="00544B23">
          <w:rPr>
            <w:noProof/>
            <w:sz w:val="21"/>
            <w:szCs w:val="21"/>
          </w:rPr>
          <w:tab/>
        </w:r>
        <w:r w:rsidRPr="00544B23">
          <w:rPr>
            <w:rStyle w:val="Lienhypertexte"/>
            <w:noProof/>
            <w:color w:val="auto"/>
            <w:sz w:val="21"/>
            <w:szCs w:val="21"/>
          </w:rPr>
          <w:t>Les capacités parentales actuelles ou potentielles à répondre aux besoins de l’enfant</w:t>
        </w:r>
        <w:r w:rsidRPr="00544B23">
          <w:rPr>
            <w:noProof/>
            <w:webHidden/>
            <w:sz w:val="21"/>
            <w:szCs w:val="21"/>
          </w:rPr>
          <w:tab/>
        </w:r>
        <w:r w:rsidRPr="00544B23">
          <w:rPr>
            <w:noProof/>
            <w:webHidden/>
            <w:sz w:val="21"/>
            <w:szCs w:val="21"/>
          </w:rPr>
          <w:fldChar w:fldCharType="begin"/>
        </w:r>
        <w:r w:rsidRPr="00544B23">
          <w:rPr>
            <w:noProof/>
            <w:webHidden/>
            <w:sz w:val="21"/>
            <w:szCs w:val="21"/>
          </w:rPr>
          <w:instrText xml:space="preserve"> PAGEREF _Toc201330495 \h </w:instrText>
        </w:r>
        <w:r w:rsidRPr="00544B23">
          <w:rPr>
            <w:noProof/>
            <w:webHidden/>
            <w:sz w:val="21"/>
            <w:szCs w:val="21"/>
          </w:rPr>
        </w:r>
        <w:r w:rsidRPr="00544B23">
          <w:rPr>
            <w:noProof/>
            <w:webHidden/>
            <w:sz w:val="21"/>
            <w:szCs w:val="21"/>
          </w:rPr>
          <w:fldChar w:fldCharType="separate"/>
        </w:r>
        <w:r w:rsidR="0085330E">
          <w:rPr>
            <w:noProof/>
            <w:webHidden/>
            <w:sz w:val="21"/>
            <w:szCs w:val="21"/>
          </w:rPr>
          <w:t>28</w:t>
        </w:r>
        <w:r w:rsidRPr="00544B23">
          <w:rPr>
            <w:noProof/>
            <w:webHidden/>
            <w:sz w:val="21"/>
            <w:szCs w:val="21"/>
          </w:rPr>
          <w:fldChar w:fldCharType="end"/>
        </w:r>
      </w:hyperlink>
    </w:p>
    <w:p w14:paraId="05A9C92E" w14:textId="435406E4" w:rsidR="007F4E24" w:rsidRPr="00544B23" w:rsidRDefault="007F4E24" w:rsidP="00804CFF">
      <w:pPr>
        <w:pStyle w:val="TM4"/>
        <w:tabs>
          <w:tab w:val="left" w:pos="1985"/>
          <w:tab w:val="right" w:leader="dot" w:pos="9962"/>
        </w:tabs>
        <w:ind w:left="1985" w:hanging="425"/>
        <w:jc w:val="left"/>
        <w:rPr>
          <w:rFonts w:eastAsiaTheme="minorEastAsia"/>
          <w:noProof/>
          <w:kern w:val="2"/>
          <w:sz w:val="21"/>
          <w:szCs w:val="21"/>
          <w:lang w:eastAsia="fr-CA"/>
          <w14:ligatures w14:val="standardContextual"/>
        </w:rPr>
      </w:pPr>
      <w:hyperlink w:anchor="_Toc201330496" w:history="1">
        <w:r w:rsidRPr="00544B23">
          <w:rPr>
            <w:rStyle w:val="Lienhypertexte"/>
            <w:noProof/>
            <w:color w:val="auto"/>
            <w:sz w:val="21"/>
            <w:szCs w:val="21"/>
          </w:rPr>
          <w:t>I.</w:t>
        </w:r>
        <w:r w:rsidRPr="00544B23">
          <w:rPr>
            <w:rFonts w:eastAsiaTheme="minorEastAsia"/>
            <w:noProof/>
            <w:kern w:val="2"/>
            <w:sz w:val="21"/>
            <w:szCs w:val="21"/>
            <w:lang w:eastAsia="fr-CA"/>
            <w14:ligatures w14:val="standardContextual"/>
          </w:rPr>
          <w:tab/>
        </w:r>
        <w:r w:rsidRPr="00544B23">
          <w:rPr>
            <w:rStyle w:val="Lienhypertexte"/>
            <w:noProof/>
            <w:color w:val="auto"/>
            <w:sz w:val="21"/>
            <w:szCs w:val="21"/>
          </w:rPr>
          <w:t>Les</w:t>
        </w:r>
        <w:r w:rsidRPr="00544B23">
          <w:rPr>
            <w:rStyle w:val="Lienhypertexte"/>
            <w:noProof/>
            <w:color w:val="auto"/>
            <w:spacing w:val="-4"/>
            <w:sz w:val="21"/>
            <w:szCs w:val="21"/>
          </w:rPr>
          <w:t xml:space="preserve"> </w:t>
        </w:r>
        <w:r w:rsidRPr="00544B23">
          <w:rPr>
            <w:rStyle w:val="Lienhypertexte"/>
            <w:noProof/>
            <w:color w:val="auto"/>
            <w:sz w:val="21"/>
            <w:szCs w:val="21"/>
          </w:rPr>
          <w:t>facteurs</w:t>
        </w:r>
        <w:r w:rsidRPr="00544B23">
          <w:rPr>
            <w:rStyle w:val="Lienhypertexte"/>
            <w:noProof/>
            <w:color w:val="auto"/>
            <w:spacing w:val="-3"/>
            <w:sz w:val="21"/>
            <w:szCs w:val="21"/>
          </w:rPr>
          <w:t xml:space="preserve"> </w:t>
        </w:r>
        <w:r w:rsidRPr="00544B23">
          <w:rPr>
            <w:rStyle w:val="Lienhypertexte"/>
            <w:noProof/>
            <w:color w:val="auto"/>
            <w:spacing w:val="-2"/>
            <w:sz w:val="21"/>
            <w:szCs w:val="21"/>
          </w:rPr>
          <w:t>personnels</w:t>
        </w:r>
        <w:r w:rsidRPr="00544B23">
          <w:rPr>
            <w:noProof/>
            <w:webHidden/>
            <w:sz w:val="21"/>
            <w:szCs w:val="21"/>
          </w:rPr>
          <w:tab/>
        </w:r>
        <w:r w:rsidRPr="00544B23">
          <w:rPr>
            <w:noProof/>
            <w:webHidden/>
            <w:sz w:val="21"/>
            <w:szCs w:val="21"/>
          </w:rPr>
          <w:fldChar w:fldCharType="begin"/>
        </w:r>
        <w:r w:rsidRPr="00544B23">
          <w:rPr>
            <w:noProof/>
            <w:webHidden/>
            <w:sz w:val="21"/>
            <w:szCs w:val="21"/>
          </w:rPr>
          <w:instrText xml:space="preserve"> PAGEREF _Toc201330496 \h </w:instrText>
        </w:r>
        <w:r w:rsidRPr="00544B23">
          <w:rPr>
            <w:noProof/>
            <w:webHidden/>
            <w:sz w:val="21"/>
            <w:szCs w:val="21"/>
          </w:rPr>
        </w:r>
        <w:r w:rsidRPr="00544B23">
          <w:rPr>
            <w:noProof/>
            <w:webHidden/>
            <w:sz w:val="21"/>
            <w:szCs w:val="21"/>
          </w:rPr>
          <w:fldChar w:fldCharType="separate"/>
        </w:r>
        <w:r w:rsidR="0085330E">
          <w:rPr>
            <w:noProof/>
            <w:webHidden/>
            <w:sz w:val="21"/>
            <w:szCs w:val="21"/>
          </w:rPr>
          <w:t>29</w:t>
        </w:r>
        <w:r w:rsidRPr="00544B23">
          <w:rPr>
            <w:noProof/>
            <w:webHidden/>
            <w:sz w:val="21"/>
            <w:szCs w:val="21"/>
          </w:rPr>
          <w:fldChar w:fldCharType="end"/>
        </w:r>
      </w:hyperlink>
    </w:p>
    <w:p w14:paraId="5D97A1AE" w14:textId="573C24A4" w:rsidR="007F4E24" w:rsidRPr="00544B23" w:rsidRDefault="007F4E24" w:rsidP="00804CFF">
      <w:pPr>
        <w:pStyle w:val="TM4"/>
        <w:tabs>
          <w:tab w:val="left" w:pos="1985"/>
          <w:tab w:val="right" w:leader="dot" w:pos="9962"/>
        </w:tabs>
        <w:ind w:left="1985" w:hanging="425"/>
        <w:jc w:val="left"/>
        <w:rPr>
          <w:rFonts w:eastAsiaTheme="minorEastAsia"/>
          <w:noProof/>
          <w:kern w:val="2"/>
          <w:sz w:val="21"/>
          <w:szCs w:val="21"/>
          <w:lang w:eastAsia="fr-CA"/>
          <w14:ligatures w14:val="standardContextual"/>
        </w:rPr>
      </w:pPr>
      <w:hyperlink w:anchor="_Toc201330497" w:history="1">
        <w:r w:rsidRPr="00544B23">
          <w:rPr>
            <w:rStyle w:val="Lienhypertexte"/>
            <w:noProof/>
            <w:color w:val="auto"/>
            <w:sz w:val="21"/>
            <w:szCs w:val="21"/>
          </w:rPr>
          <w:t>II.</w:t>
        </w:r>
        <w:r w:rsidRPr="00544B23">
          <w:rPr>
            <w:rFonts w:eastAsiaTheme="minorEastAsia"/>
            <w:noProof/>
            <w:kern w:val="2"/>
            <w:sz w:val="21"/>
            <w:szCs w:val="21"/>
            <w:lang w:eastAsia="fr-CA"/>
            <w14:ligatures w14:val="standardContextual"/>
          </w:rPr>
          <w:tab/>
        </w:r>
        <w:r w:rsidRPr="00544B23">
          <w:rPr>
            <w:rStyle w:val="Lienhypertexte"/>
            <w:noProof/>
            <w:color w:val="auto"/>
            <w:sz w:val="21"/>
            <w:szCs w:val="21"/>
          </w:rPr>
          <w:t>Les</w:t>
        </w:r>
        <w:r w:rsidRPr="00544B23">
          <w:rPr>
            <w:rStyle w:val="Lienhypertexte"/>
            <w:noProof/>
            <w:color w:val="auto"/>
            <w:spacing w:val="-4"/>
            <w:sz w:val="21"/>
            <w:szCs w:val="21"/>
          </w:rPr>
          <w:t xml:space="preserve"> </w:t>
        </w:r>
        <w:r w:rsidRPr="00544B23">
          <w:rPr>
            <w:rStyle w:val="Lienhypertexte"/>
            <w:noProof/>
            <w:color w:val="auto"/>
            <w:sz w:val="21"/>
            <w:szCs w:val="21"/>
          </w:rPr>
          <w:t>dynamiques familiales</w:t>
        </w:r>
        <w:r w:rsidRPr="00544B23">
          <w:rPr>
            <w:noProof/>
            <w:webHidden/>
            <w:sz w:val="21"/>
            <w:szCs w:val="21"/>
          </w:rPr>
          <w:tab/>
        </w:r>
        <w:r w:rsidRPr="00544B23">
          <w:rPr>
            <w:noProof/>
            <w:webHidden/>
            <w:sz w:val="21"/>
            <w:szCs w:val="21"/>
          </w:rPr>
          <w:fldChar w:fldCharType="begin"/>
        </w:r>
        <w:r w:rsidRPr="00544B23">
          <w:rPr>
            <w:noProof/>
            <w:webHidden/>
            <w:sz w:val="21"/>
            <w:szCs w:val="21"/>
          </w:rPr>
          <w:instrText xml:space="preserve"> PAGEREF _Toc201330497 \h </w:instrText>
        </w:r>
        <w:r w:rsidRPr="00544B23">
          <w:rPr>
            <w:noProof/>
            <w:webHidden/>
            <w:sz w:val="21"/>
            <w:szCs w:val="21"/>
          </w:rPr>
        </w:r>
        <w:r w:rsidRPr="00544B23">
          <w:rPr>
            <w:noProof/>
            <w:webHidden/>
            <w:sz w:val="21"/>
            <w:szCs w:val="21"/>
          </w:rPr>
          <w:fldChar w:fldCharType="separate"/>
        </w:r>
        <w:r w:rsidR="0085330E">
          <w:rPr>
            <w:noProof/>
            <w:webHidden/>
            <w:sz w:val="21"/>
            <w:szCs w:val="21"/>
          </w:rPr>
          <w:t>30</w:t>
        </w:r>
        <w:r w:rsidRPr="00544B23">
          <w:rPr>
            <w:noProof/>
            <w:webHidden/>
            <w:sz w:val="21"/>
            <w:szCs w:val="21"/>
          </w:rPr>
          <w:fldChar w:fldCharType="end"/>
        </w:r>
      </w:hyperlink>
    </w:p>
    <w:p w14:paraId="1D22845A" w14:textId="4B0DE53C" w:rsidR="007F4E24" w:rsidRPr="00544B23" w:rsidRDefault="007F4E24" w:rsidP="00804CFF">
      <w:pPr>
        <w:pStyle w:val="TM4"/>
        <w:tabs>
          <w:tab w:val="left" w:pos="1985"/>
          <w:tab w:val="right" w:leader="dot" w:pos="9962"/>
        </w:tabs>
        <w:ind w:left="1985" w:hanging="425"/>
        <w:jc w:val="left"/>
        <w:rPr>
          <w:rFonts w:eastAsiaTheme="minorEastAsia"/>
          <w:noProof/>
          <w:kern w:val="2"/>
          <w:sz w:val="21"/>
          <w:szCs w:val="21"/>
          <w:lang w:eastAsia="fr-CA"/>
          <w14:ligatures w14:val="standardContextual"/>
        </w:rPr>
      </w:pPr>
      <w:hyperlink w:anchor="_Toc201330498" w:history="1">
        <w:r w:rsidRPr="00544B23">
          <w:rPr>
            <w:rStyle w:val="Lienhypertexte"/>
            <w:noProof/>
            <w:color w:val="auto"/>
            <w:sz w:val="21"/>
            <w:szCs w:val="21"/>
          </w:rPr>
          <w:t>III.</w:t>
        </w:r>
        <w:r w:rsidRPr="00544B23">
          <w:rPr>
            <w:rFonts w:eastAsiaTheme="minorEastAsia"/>
            <w:noProof/>
            <w:kern w:val="2"/>
            <w:sz w:val="21"/>
            <w:szCs w:val="21"/>
            <w:lang w:eastAsia="fr-CA"/>
            <w14:ligatures w14:val="standardContextual"/>
          </w:rPr>
          <w:tab/>
        </w:r>
        <w:r w:rsidRPr="00544B23">
          <w:rPr>
            <w:rStyle w:val="Lienhypertexte"/>
            <w:noProof/>
            <w:color w:val="auto"/>
            <w:sz w:val="21"/>
            <w:szCs w:val="21"/>
          </w:rPr>
          <w:t>La situation socioéconomique</w:t>
        </w:r>
        <w:r w:rsidRPr="00544B23">
          <w:rPr>
            <w:noProof/>
            <w:webHidden/>
            <w:sz w:val="21"/>
            <w:szCs w:val="21"/>
          </w:rPr>
          <w:tab/>
        </w:r>
        <w:r w:rsidRPr="00544B23">
          <w:rPr>
            <w:noProof/>
            <w:webHidden/>
            <w:sz w:val="21"/>
            <w:szCs w:val="21"/>
          </w:rPr>
          <w:fldChar w:fldCharType="begin"/>
        </w:r>
        <w:r w:rsidRPr="00544B23">
          <w:rPr>
            <w:noProof/>
            <w:webHidden/>
            <w:sz w:val="21"/>
            <w:szCs w:val="21"/>
          </w:rPr>
          <w:instrText xml:space="preserve"> PAGEREF _Toc201330498 \h </w:instrText>
        </w:r>
        <w:r w:rsidRPr="00544B23">
          <w:rPr>
            <w:noProof/>
            <w:webHidden/>
            <w:sz w:val="21"/>
            <w:szCs w:val="21"/>
          </w:rPr>
        </w:r>
        <w:r w:rsidRPr="00544B23">
          <w:rPr>
            <w:noProof/>
            <w:webHidden/>
            <w:sz w:val="21"/>
            <w:szCs w:val="21"/>
          </w:rPr>
          <w:fldChar w:fldCharType="separate"/>
        </w:r>
        <w:r w:rsidR="0085330E">
          <w:rPr>
            <w:noProof/>
            <w:webHidden/>
            <w:sz w:val="21"/>
            <w:szCs w:val="21"/>
          </w:rPr>
          <w:t>30</w:t>
        </w:r>
        <w:r w:rsidRPr="00544B23">
          <w:rPr>
            <w:noProof/>
            <w:webHidden/>
            <w:sz w:val="21"/>
            <w:szCs w:val="21"/>
          </w:rPr>
          <w:fldChar w:fldCharType="end"/>
        </w:r>
      </w:hyperlink>
    </w:p>
    <w:p w14:paraId="503C3900" w14:textId="3C203991" w:rsidR="007F4E24" w:rsidRPr="00544B23" w:rsidRDefault="007F4E24" w:rsidP="00804CFF">
      <w:pPr>
        <w:pStyle w:val="TM4"/>
        <w:tabs>
          <w:tab w:val="left" w:pos="1985"/>
          <w:tab w:val="right" w:leader="dot" w:pos="9962"/>
        </w:tabs>
        <w:ind w:left="1985" w:hanging="425"/>
        <w:jc w:val="left"/>
        <w:rPr>
          <w:rFonts w:eastAsiaTheme="minorEastAsia"/>
          <w:noProof/>
          <w:kern w:val="2"/>
          <w:sz w:val="21"/>
          <w:szCs w:val="21"/>
          <w:lang w:eastAsia="fr-CA"/>
          <w14:ligatures w14:val="standardContextual"/>
        </w:rPr>
      </w:pPr>
      <w:hyperlink w:anchor="_Toc201330499" w:history="1">
        <w:r w:rsidRPr="00544B23">
          <w:rPr>
            <w:rStyle w:val="Lienhypertexte"/>
            <w:noProof/>
            <w:color w:val="auto"/>
            <w:sz w:val="21"/>
            <w:szCs w:val="21"/>
          </w:rPr>
          <w:t>IV.</w:t>
        </w:r>
        <w:r w:rsidRPr="00544B23">
          <w:rPr>
            <w:rFonts w:eastAsiaTheme="minorEastAsia"/>
            <w:noProof/>
            <w:kern w:val="2"/>
            <w:sz w:val="21"/>
            <w:szCs w:val="21"/>
            <w:lang w:eastAsia="fr-CA"/>
            <w14:ligatures w14:val="standardContextual"/>
          </w:rPr>
          <w:tab/>
        </w:r>
        <w:r w:rsidRPr="00544B23">
          <w:rPr>
            <w:rStyle w:val="Lienhypertexte"/>
            <w:noProof/>
            <w:color w:val="auto"/>
            <w:sz w:val="21"/>
            <w:szCs w:val="21"/>
          </w:rPr>
          <w:t>Les motifs pour lesquels la sécurité ou le développement est compromis</w:t>
        </w:r>
        <w:r w:rsidRPr="00544B23">
          <w:rPr>
            <w:noProof/>
            <w:webHidden/>
            <w:sz w:val="21"/>
            <w:szCs w:val="21"/>
          </w:rPr>
          <w:tab/>
        </w:r>
        <w:r w:rsidRPr="00544B23">
          <w:rPr>
            <w:noProof/>
            <w:webHidden/>
            <w:sz w:val="21"/>
            <w:szCs w:val="21"/>
          </w:rPr>
          <w:fldChar w:fldCharType="begin"/>
        </w:r>
        <w:r w:rsidRPr="00544B23">
          <w:rPr>
            <w:noProof/>
            <w:webHidden/>
            <w:sz w:val="21"/>
            <w:szCs w:val="21"/>
          </w:rPr>
          <w:instrText xml:space="preserve"> PAGEREF _Toc201330499 \h </w:instrText>
        </w:r>
        <w:r w:rsidRPr="00544B23">
          <w:rPr>
            <w:noProof/>
            <w:webHidden/>
            <w:sz w:val="21"/>
            <w:szCs w:val="21"/>
          </w:rPr>
        </w:r>
        <w:r w:rsidRPr="00544B23">
          <w:rPr>
            <w:noProof/>
            <w:webHidden/>
            <w:sz w:val="21"/>
            <w:szCs w:val="21"/>
          </w:rPr>
          <w:fldChar w:fldCharType="separate"/>
        </w:r>
        <w:r w:rsidR="0085330E">
          <w:rPr>
            <w:noProof/>
            <w:webHidden/>
            <w:sz w:val="21"/>
            <w:szCs w:val="21"/>
          </w:rPr>
          <w:t>31</w:t>
        </w:r>
        <w:r w:rsidRPr="00544B23">
          <w:rPr>
            <w:noProof/>
            <w:webHidden/>
            <w:sz w:val="21"/>
            <w:szCs w:val="21"/>
          </w:rPr>
          <w:fldChar w:fldCharType="end"/>
        </w:r>
      </w:hyperlink>
    </w:p>
    <w:p w14:paraId="316399B4" w14:textId="1E9CE38B" w:rsidR="007F4E24" w:rsidRPr="00544B23" w:rsidRDefault="007F4E24" w:rsidP="00804CFF">
      <w:pPr>
        <w:pStyle w:val="TM3"/>
        <w:ind w:left="1276" w:hanging="709"/>
        <w:rPr>
          <w:rStyle w:val="Lienhypertexte"/>
          <w:noProof/>
          <w:color w:val="auto"/>
          <w:sz w:val="21"/>
          <w:szCs w:val="21"/>
        </w:rPr>
      </w:pPr>
      <w:hyperlink w:anchor="_Toc201330500" w:history="1">
        <w:r w:rsidRPr="00544B23">
          <w:rPr>
            <w:rStyle w:val="Lienhypertexte"/>
            <w:noProof/>
            <w:color w:val="auto"/>
            <w:sz w:val="21"/>
            <w:szCs w:val="21"/>
          </w:rPr>
          <w:t>2.1.2</w:t>
        </w:r>
        <w:r w:rsidRPr="00544B23">
          <w:rPr>
            <w:rStyle w:val="Lienhypertexte"/>
            <w:noProof/>
            <w:color w:val="auto"/>
            <w:sz w:val="21"/>
            <w:szCs w:val="21"/>
          </w:rPr>
          <w:tab/>
          <w:t>Les autres éléments pour évaluer l’intérêt de l’enfant sont pris en compte</w:t>
        </w:r>
        <w:r w:rsidRPr="00544B23">
          <w:rPr>
            <w:rStyle w:val="Lienhypertexte"/>
            <w:noProof/>
            <w:webHidden/>
            <w:color w:val="auto"/>
            <w:sz w:val="21"/>
            <w:szCs w:val="21"/>
          </w:rPr>
          <w:tab/>
        </w:r>
        <w:r w:rsidRPr="00544B23">
          <w:rPr>
            <w:rStyle w:val="Lienhypertexte"/>
            <w:noProof/>
            <w:webHidden/>
            <w:color w:val="auto"/>
            <w:sz w:val="21"/>
            <w:szCs w:val="21"/>
          </w:rPr>
          <w:fldChar w:fldCharType="begin"/>
        </w:r>
        <w:r w:rsidRPr="00544B23">
          <w:rPr>
            <w:rStyle w:val="Lienhypertexte"/>
            <w:noProof/>
            <w:webHidden/>
            <w:color w:val="auto"/>
            <w:sz w:val="21"/>
            <w:szCs w:val="21"/>
          </w:rPr>
          <w:instrText xml:space="preserve"> PAGEREF _Toc201330500 \h </w:instrText>
        </w:r>
        <w:r w:rsidRPr="00544B23">
          <w:rPr>
            <w:rStyle w:val="Lienhypertexte"/>
            <w:noProof/>
            <w:webHidden/>
            <w:color w:val="auto"/>
            <w:sz w:val="21"/>
            <w:szCs w:val="21"/>
          </w:rPr>
        </w:r>
        <w:r w:rsidRPr="00544B23">
          <w:rPr>
            <w:rStyle w:val="Lienhypertexte"/>
            <w:noProof/>
            <w:webHidden/>
            <w:color w:val="auto"/>
            <w:sz w:val="21"/>
            <w:szCs w:val="21"/>
          </w:rPr>
          <w:fldChar w:fldCharType="separate"/>
        </w:r>
        <w:r w:rsidR="0085330E">
          <w:rPr>
            <w:rStyle w:val="Lienhypertexte"/>
            <w:noProof/>
            <w:webHidden/>
            <w:color w:val="auto"/>
            <w:sz w:val="21"/>
            <w:szCs w:val="21"/>
          </w:rPr>
          <w:t>34</w:t>
        </w:r>
        <w:r w:rsidRPr="00544B23">
          <w:rPr>
            <w:rStyle w:val="Lienhypertexte"/>
            <w:noProof/>
            <w:webHidden/>
            <w:color w:val="auto"/>
            <w:sz w:val="21"/>
            <w:szCs w:val="21"/>
          </w:rPr>
          <w:fldChar w:fldCharType="end"/>
        </w:r>
      </w:hyperlink>
    </w:p>
    <w:p w14:paraId="550C6D06" w14:textId="2A96E37A" w:rsidR="007F4E24" w:rsidRPr="00544B23" w:rsidRDefault="007F4E24" w:rsidP="00804CFF">
      <w:pPr>
        <w:pStyle w:val="TM3"/>
        <w:ind w:left="1276" w:hanging="709"/>
        <w:rPr>
          <w:rStyle w:val="Lienhypertexte"/>
          <w:noProof/>
          <w:color w:val="auto"/>
          <w:sz w:val="21"/>
          <w:szCs w:val="21"/>
        </w:rPr>
      </w:pPr>
      <w:hyperlink w:anchor="_Toc201330501" w:history="1">
        <w:r w:rsidRPr="00544B23">
          <w:rPr>
            <w:rStyle w:val="Lienhypertexte"/>
            <w:noProof/>
            <w:color w:val="auto"/>
            <w:sz w:val="21"/>
            <w:szCs w:val="21"/>
          </w:rPr>
          <w:t>2.1.3</w:t>
        </w:r>
        <w:r w:rsidRPr="00544B23">
          <w:rPr>
            <w:rStyle w:val="Lienhypertexte"/>
            <w:noProof/>
            <w:color w:val="auto"/>
            <w:sz w:val="21"/>
            <w:szCs w:val="21"/>
          </w:rPr>
          <w:tab/>
          <w:t>Le droit à la stabilité des liens et à des conditions de vie de l’enfant appropriées à ses besoins et à son âge</w:t>
        </w:r>
        <w:r w:rsidRPr="00544B23">
          <w:rPr>
            <w:rStyle w:val="Lienhypertexte"/>
            <w:noProof/>
            <w:webHidden/>
            <w:color w:val="auto"/>
            <w:sz w:val="21"/>
            <w:szCs w:val="21"/>
          </w:rPr>
          <w:tab/>
        </w:r>
        <w:r w:rsidRPr="00544B23">
          <w:rPr>
            <w:rStyle w:val="Lienhypertexte"/>
            <w:noProof/>
            <w:webHidden/>
            <w:color w:val="auto"/>
            <w:sz w:val="21"/>
            <w:szCs w:val="21"/>
          </w:rPr>
          <w:fldChar w:fldCharType="begin"/>
        </w:r>
        <w:r w:rsidRPr="00544B23">
          <w:rPr>
            <w:rStyle w:val="Lienhypertexte"/>
            <w:noProof/>
            <w:webHidden/>
            <w:color w:val="auto"/>
            <w:sz w:val="21"/>
            <w:szCs w:val="21"/>
          </w:rPr>
          <w:instrText xml:space="preserve"> PAGEREF _Toc201330501 \h </w:instrText>
        </w:r>
        <w:r w:rsidRPr="00544B23">
          <w:rPr>
            <w:rStyle w:val="Lienhypertexte"/>
            <w:noProof/>
            <w:webHidden/>
            <w:color w:val="auto"/>
            <w:sz w:val="21"/>
            <w:szCs w:val="21"/>
          </w:rPr>
        </w:r>
        <w:r w:rsidRPr="00544B23">
          <w:rPr>
            <w:rStyle w:val="Lienhypertexte"/>
            <w:noProof/>
            <w:webHidden/>
            <w:color w:val="auto"/>
            <w:sz w:val="21"/>
            <w:szCs w:val="21"/>
          </w:rPr>
          <w:fldChar w:fldCharType="separate"/>
        </w:r>
        <w:r w:rsidR="0085330E">
          <w:rPr>
            <w:rStyle w:val="Lienhypertexte"/>
            <w:noProof/>
            <w:webHidden/>
            <w:color w:val="auto"/>
            <w:sz w:val="21"/>
            <w:szCs w:val="21"/>
          </w:rPr>
          <w:t>34</w:t>
        </w:r>
        <w:r w:rsidRPr="00544B23">
          <w:rPr>
            <w:rStyle w:val="Lienhypertexte"/>
            <w:noProof/>
            <w:webHidden/>
            <w:color w:val="auto"/>
            <w:sz w:val="21"/>
            <w:szCs w:val="21"/>
          </w:rPr>
          <w:fldChar w:fldCharType="end"/>
        </w:r>
      </w:hyperlink>
    </w:p>
    <w:p w14:paraId="58BF68D4" w14:textId="427005C3" w:rsidR="007F4E24" w:rsidRPr="00544B23" w:rsidRDefault="007F4E24" w:rsidP="00804CFF">
      <w:pPr>
        <w:pStyle w:val="TM5"/>
        <w:spacing w:after="0"/>
        <w:rPr>
          <w:noProof/>
          <w:sz w:val="21"/>
          <w:szCs w:val="21"/>
        </w:rPr>
      </w:pPr>
      <w:hyperlink w:anchor="_Toc201330502" w:history="1">
        <w:r w:rsidRPr="00544B23">
          <w:rPr>
            <w:rStyle w:val="Lienhypertexte"/>
            <w:noProof/>
            <w:color w:val="auto"/>
            <w:sz w:val="21"/>
            <w:szCs w:val="21"/>
          </w:rPr>
          <w:t>A.</w:t>
        </w:r>
        <w:r w:rsidRPr="00544B23">
          <w:rPr>
            <w:noProof/>
            <w:sz w:val="21"/>
            <w:szCs w:val="21"/>
          </w:rPr>
          <w:tab/>
        </w:r>
        <w:r w:rsidRPr="00544B23">
          <w:rPr>
            <w:rStyle w:val="Lienhypertexte"/>
            <w:noProof/>
            <w:color w:val="auto"/>
            <w:sz w:val="21"/>
            <w:szCs w:val="21"/>
          </w:rPr>
          <w:t>Un projet de vie alternatif pour l’enfant retiré du milieu familial est planifié</w:t>
        </w:r>
        <w:r w:rsidRPr="00544B23">
          <w:rPr>
            <w:noProof/>
            <w:webHidden/>
            <w:sz w:val="21"/>
            <w:szCs w:val="21"/>
          </w:rPr>
          <w:tab/>
        </w:r>
        <w:r w:rsidRPr="00544B23">
          <w:rPr>
            <w:noProof/>
            <w:webHidden/>
            <w:sz w:val="21"/>
            <w:szCs w:val="21"/>
          </w:rPr>
          <w:fldChar w:fldCharType="begin"/>
        </w:r>
        <w:r w:rsidRPr="00544B23">
          <w:rPr>
            <w:noProof/>
            <w:webHidden/>
            <w:sz w:val="21"/>
            <w:szCs w:val="21"/>
          </w:rPr>
          <w:instrText xml:space="preserve"> PAGEREF _Toc201330502 \h </w:instrText>
        </w:r>
        <w:r w:rsidRPr="00544B23">
          <w:rPr>
            <w:noProof/>
            <w:webHidden/>
            <w:sz w:val="21"/>
            <w:szCs w:val="21"/>
          </w:rPr>
        </w:r>
        <w:r w:rsidRPr="00544B23">
          <w:rPr>
            <w:noProof/>
            <w:webHidden/>
            <w:sz w:val="21"/>
            <w:szCs w:val="21"/>
          </w:rPr>
          <w:fldChar w:fldCharType="separate"/>
        </w:r>
        <w:r w:rsidR="0085330E">
          <w:rPr>
            <w:noProof/>
            <w:webHidden/>
            <w:sz w:val="21"/>
            <w:szCs w:val="21"/>
          </w:rPr>
          <w:t>37</w:t>
        </w:r>
        <w:r w:rsidRPr="00544B23">
          <w:rPr>
            <w:noProof/>
            <w:webHidden/>
            <w:sz w:val="21"/>
            <w:szCs w:val="21"/>
          </w:rPr>
          <w:fldChar w:fldCharType="end"/>
        </w:r>
      </w:hyperlink>
    </w:p>
    <w:p w14:paraId="42256B33" w14:textId="52A34628" w:rsidR="007F4E24" w:rsidRPr="00544B23" w:rsidRDefault="007F4E24" w:rsidP="00804CFF">
      <w:pPr>
        <w:pStyle w:val="TM5"/>
        <w:spacing w:after="0"/>
        <w:rPr>
          <w:noProof/>
          <w:sz w:val="21"/>
          <w:szCs w:val="21"/>
        </w:rPr>
      </w:pPr>
      <w:hyperlink w:anchor="_Toc201330503" w:history="1">
        <w:r w:rsidRPr="00544B23">
          <w:rPr>
            <w:rStyle w:val="Lienhypertexte"/>
            <w:noProof/>
            <w:color w:val="auto"/>
            <w:sz w:val="21"/>
            <w:szCs w:val="21"/>
          </w:rPr>
          <w:t>B.</w:t>
        </w:r>
        <w:r w:rsidRPr="00544B23">
          <w:rPr>
            <w:noProof/>
            <w:sz w:val="21"/>
            <w:szCs w:val="21"/>
          </w:rPr>
          <w:tab/>
        </w:r>
        <w:r w:rsidRPr="00544B23">
          <w:rPr>
            <w:rStyle w:val="Lienhypertexte"/>
            <w:noProof/>
            <w:color w:val="auto"/>
            <w:sz w:val="21"/>
            <w:szCs w:val="21"/>
          </w:rPr>
          <w:t>Le milieu de vie substitut désigné</w:t>
        </w:r>
        <w:r w:rsidRPr="00544B23">
          <w:rPr>
            <w:noProof/>
            <w:webHidden/>
            <w:sz w:val="21"/>
            <w:szCs w:val="21"/>
          </w:rPr>
          <w:tab/>
        </w:r>
        <w:r w:rsidRPr="00544B23">
          <w:rPr>
            <w:noProof/>
            <w:webHidden/>
            <w:sz w:val="21"/>
            <w:szCs w:val="21"/>
          </w:rPr>
          <w:fldChar w:fldCharType="begin"/>
        </w:r>
        <w:r w:rsidRPr="00544B23">
          <w:rPr>
            <w:noProof/>
            <w:webHidden/>
            <w:sz w:val="21"/>
            <w:szCs w:val="21"/>
          </w:rPr>
          <w:instrText xml:space="preserve"> PAGEREF _Toc201330503 \h </w:instrText>
        </w:r>
        <w:r w:rsidRPr="00544B23">
          <w:rPr>
            <w:noProof/>
            <w:webHidden/>
            <w:sz w:val="21"/>
            <w:szCs w:val="21"/>
          </w:rPr>
        </w:r>
        <w:r w:rsidRPr="00544B23">
          <w:rPr>
            <w:noProof/>
            <w:webHidden/>
            <w:sz w:val="21"/>
            <w:szCs w:val="21"/>
          </w:rPr>
          <w:fldChar w:fldCharType="separate"/>
        </w:r>
        <w:r w:rsidR="0085330E">
          <w:rPr>
            <w:noProof/>
            <w:webHidden/>
            <w:sz w:val="21"/>
            <w:szCs w:val="21"/>
          </w:rPr>
          <w:t>37</w:t>
        </w:r>
        <w:r w:rsidRPr="00544B23">
          <w:rPr>
            <w:noProof/>
            <w:webHidden/>
            <w:sz w:val="21"/>
            <w:szCs w:val="21"/>
          </w:rPr>
          <w:fldChar w:fldCharType="end"/>
        </w:r>
      </w:hyperlink>
    </w:p>
    <w:p w14:paraId="308E69BB" w14:textId="638D4010" w:rsidR="007F4E24" w:rsidRPr="00544B23" w:rsidRDefault="007F4E24" w:rsidP="00804CFF">
      <w:pPr>
        <w:pStyle w:val="TM5"/>
        <w:spacing w:after="0"/>
        <w:rPr>
          <w:noProof/>
          <w:sz w:val="21"/>
          <w:szCs w:val="21"/>
        </w:rPr>
      </w:pPr>
      <w:hyperlink w:anchor="_Toc201330504" w:history="1">
        <w:r w:rsidRPr="00544B23">
          <w:rPr>
            <w:rStyle w:val="Lienhypertexte"/>
            <w:noProof/>
            <w:color w:val="auto"/>
            <w:sz w:val="21"/>
            <w:szCs w:val="21"/>
          </w:rPr>
          <w:t>C.</w:t>
        </w:r>
        <w:r w:rsidRPr="00544B23">
          <w:rPr>
            <w:noProof/>
            <w:sz w:val="21"/>
            <w:szCs w:val="21"/>
          </w:rPr>
          <w:tab/>
        </w:r>
        <w:r w:rsidRPr="00544B23">
          <w:rPr>
            <w:rStyle w:val="Lienhypertexte"/>
            <w:noProof/>
            <w:color w:val="auto"/>
            <w:sz w:val="21"/>
            <w:szCs w:val="21"/>
          </w:rPr>
          <w:t>Le projet de vie est en place dans les délais prévus à la LPJ</w:t>
        </w:r>
        <w:r w:rsidRPr="00544B23">
          <w:rPr>
            <w:noProof/>
            <w:webHidden/>
            <w:sz w:val="21"/>
            <w:szCs w:val="21"/>
          </w:rPr>
          <w:tab/>
        </w:r>
        <w:r w:rsidRPr="00544B23">
          <w:rPr>
            <w:noProof/>
            <w:webHidden/>
            <w:sz w:val="21"/>
            <w:szCs w:val="21"/>
          </w:rPr>
          <w:fldChar w:fldCharType="begin"/>
        </w:r>
        <w:r w:rsidRPr="00544B23">
          <w:rPr>
            <w:noProof/>
            <w:webHidden/>
            <w:sz w:val="21"/>
            <w:szCs w:val="21"/>
          </w:rPr>
          <w:instrText xml:space="preserve"> PAGEREF _Toc201330504 \h </w:instrText>
        </w:r>
        <w:r w:rsidRPr="00544B23">
          <w:rPr>
            <w:noProof/>
            <w:webHidden/>
            <w:sz w:val="21"/>
            <w:szCs w:val="21"/>
          </w:rPr>
        </w:r>
        <w:r w:rsidRPr="00544B23">
          <w:rPr>
            <w:noProof/>
            <w:webHidden/>
            <w:sz w:val="21"/>
            <w:szCs w:val="21"/>
          </w:rPr>
          <w:fldChar w:fldCharType="separate"/>
        </w:r>
        <w:r w:rsidR="0085330E">
          <w:rPr>
            <w:noProof/>
            <w:webHidden/>
            <w:sz w:val="21"/>
            <w:szCs w:val="21"/>
          </w:rPr>
          <w:t>40</w:t>
        </w:r>
        <w:r w:rsidRPr="00544B23">
          <w:rPr>
            <w:noProof/>
            <w:webHidden/>
            <w:sz w:val="21"/>
            <w:szCs w:val="21"/>
          </w:rPr>
          <w:fldChar w:fldCharType="end"/>
        </w:r>
      </w:hyperlink>
    </w:p>
    <w:p w14:paraId="627AFB7B" w14:textId="66676D5F" w:rsidR="007F4E24" w:rsidRPr="00544B23" w:rsidRDefault="007F4E24" w:rsidP="00804CFF">
      <w:pPr>
        <w:pStyle w:val="TM5"/>
        <w:spacing w:after="0"/>
        <w:rPr>
          <w:noProof/>
          <w:sz w:val="21"/>
          <w:szCs w:val="21"/>
        </w:rPr>
      </w:pPr>
      <w:hyperlink w:anchor="_Toc201330505" w:history="1">
        <w:r w:rsidRPr="00544B23">
          <w:rPr>
            <w:rStyle w:val="Lienhypertexte"/>
            <w:noProof/>
            <w:color w:val="auto"/>
            <w:sz w:val="21"/>
            <w:szCs w:val="21"/>
          </w:rPr>
          <w:t>D.</w:t>
        </w:r>
        <w:r w:rsidRPr="00544B23">
          <w:rPr>
            <w:noProof/>
            <w:sz w:val="21"/>
            <w:szCs w:val="21"/>
          </w:rPr>
          <w:tab/>
        </w:r>
        <w:r w:rsidRPr="00544B23">
          <w:rPr>
            <w:rStyle w:val="Lienhypertexte"/>
            <w:noProof/>
            <w:color w:val="auto"/>
            <w:sz w:val="21"/>
            <w:szCs w:val="21"/>
          </w:rPr>
          <w:t>L’enfant est confié dans le même milieu de vie que sa fratrie</w:t>
        </w:r>
        <w:r w:rsidRPr="00544B23">
          <w:rPr>
            <w:noProof/>
            <w:webHidden/>
            <w:sz w:val="21"/>
            <w:szCs w:val="21"/>
          </w:rPr>
          <w:tab/>
        </w:r>
        <w:r w:rsidRPr="00544B23">
          <w:rPr>
            <w:noProof/>
            <w:webHidden/>
            <w:sz w:val="21"/>
            <w:szCs w:val="21"/>
          </w:rPr>
          <w:fldChar w:fldCharType="begin"/>
        </w:r>
        <w:r w:rsidRPr="00544B23">
          <w:rPr>
            <w:noProof/>
            <w:webHidden/>
            <w:sz w:val="21"/>
            <w:szCs w:val="21"/>
          </w:rPr>
          <w:instrText xml:space="preserve"> PAGEREF _Toc201330505 \h </w:instrText>
        </w:r>
        <w:r w:rsidRPr="00544B23">
          <w:rPr>
            <w:noProof/>
            <w:webHidden/>
            <w:sz w:val="21"/>
            <w:szCs w:val="21"/>
          </w:rPr>
        </w:r>
        <w:r w:rsidRPr="00544B23">
          <w:rPr>
            <w:noProof/>
            <w:webHidden/>
            <w:sz w:val="21"/>
            <w:szCs w:val="21"/>
          </w:rPr>
          <w:fldChar w:fldCharType="separate"/>
        </w:r>
        <w:r w:rsidR="0085330E">
          <w:rPr>
            <w:noProof/>
            <w:webHidden/>
            <w:sz w:val="21"/>
            <w:szCs w:val="21"/>
          </w:rPr>
          <w:t>41</w:t>
        </w:r>
        <w:r w:rsidRPr="00544B23">
          <w:rPr>
            <w:noProof/>
            <w:webHidden/>
            <w:sz w:val="21"/>
            <w:szCs w:val="21"/>
          </w:rPr>
          <w:fldChar w:fldCharType="end"/>
        </w:r>
      </w:hyperlink>
    </w:p>
    <w:p w14:paraId="230E81A4" w14:textId="111C07C4" w:rsidR="007F4E24" w:rsidRPr="00544B23" w:rsidRDefault="007F4E24" w:rsidP="00804CFF">
      <w:pPr>
        <w:pStyle w:val="TM5"/>
        <w:spacing w:after="0"/>
        <w:rPr>
          <w:noProof/>
          <w:sz w:val="21"/>
          <w:szCs w:val="21"/>
        </w:rPr>
      </w:pPr>
      <w:hyperlink w:anchor="_Toc201330506" w:history="1">
        <w:r w:rsidRPr="00544B23">
          <w:rPr>
            <w:rStyle w:val="Lienhypertexte"/>
            <w:noProof/>
            <w:color w:val="auto"/>
            <w:sz w:val="21"/>
            <w:szCs w:val="21"/>
          </w:rPr>
          <w:t>E.</w:t>
        </w:r>
        <w:r w:rsidRPr="00544B23">
          <w:rPr>
            <w:noProof/>
            <w:sz w:val="21"/>
            <w:szCs w:val="21"/>
          </w:rPr>
          <w:tab/>
        </w:r>
        <w:r w:rsidRPr="00544B23">
          <w:rPr>
            <w:rStyle w:val="Lienhypertexte"/>
            <w:noProof/>
            <w:color w:val="auto"/>
            <w:sz w:val="21"/>
            <w:szCs w:val="21"/>
          </w:rPr>
          <w:t>L’enfant maintient des contacts avec ses parents une fois confié à un milieu de vie substitut jusqu’à la majorité</w:t>
        </w:r>
        <w:r w:rsidRPr="00544B23">
          <w:rPr>
            <w:noProof/>
            <w:webHidden/>
            <w:sz w:val="21"/>
            <w:szCs w:val="21"/>
          </w:rPr>
          <w:tab/>
        </w:r>
        <w:r w:rsidRPr="00544B23">
          <w:rPr>
            <w:noProof/>
            <w:webHidden/>
            <w:sz w:val="21"/>
            <w:szCs w:val="21"/>
          </w:rPr>
          <w:fldChar w:fldCharType="begin"/>
        </w:r>
        <w:r w:rsidRPr="00544B23">
          <w:rPr>
            <w:noProof/>
            <w:webHidden/>
            <w:sz w:val="21"/>
            <w:szCs w:val="21"/>
          </w:rPr>
          <w:instrText xml:space="preserve"> PAGEREF _Toc201330506 \h </w:instrText>
        </w:r>
        <w:r w:rsidRPr="00544B23">
          <w:rPr>
            <w:noProof/>
            <w:webHidden/>
            <w:sz w:val="21"/>
            <w:szCs w:val="21"/>
          </w:rPr>
        </w:r>
        <w:r w:rsidRPr="00544B23">
          <w:rPr>
            <w:noProof/>
            <w:webHidden/>
            <w:sz w:val="21"/>
            <w:szCs w:val="21"/>
          </w:rPr>
          <w:fldChar w:fldCharType="separate"/>
        </w:r>
        <w:r w:rsidR="0085330E">
          <w:rPr>
            <w:noProof/>
            <w:webHidden/>
            <w:sz w:val="21"/>
            <w:szCs w:val="21"/>
          </w:rPr>
          <w:t>42</w:t>
        </w:r>
        <w:r w:rsidRPr="00544B23">
          <w:rPr>
            <w:noProof/>
            <w:webHidden/>
            <w:sz w:val="21"/>
            <w:szCs w:val="21"/>
          </w:rPr>
          <w:fldChar w:fldCharType="end"/>
        </w:r>
      </w:hyperlink>
    </w:p>
    <w:p w14:paraId="7E902FE4" w14:textId="0FAA0082" w:rsidR="007F4E24" w:rsidRPr="00544B23" w:rsidRDefault="007F4E24" w:rsidP="00804CFF">
      <w:pPr>
        <w:pStyle w:val="TM3"/>
        <w:ind w:left="1276" w:hanging="709"/>
        <w:rPr>
          <w:rStyle w:val="Lienhypertexte"/>
          <w:noProof/>
          <w:color w:val="auto"/>
          <w:sz w:val="21"/>
          <w:szCs w:val="21"/>
        </w:rPr>
      </w:pPr>
      <w:hyperlink w:anchor="_Toc201330507" w:history="1">
        <w:r w:rsidRPr="00544B23">
          <w:rPr>
            <w:rStyle w:val="Lienhypertexte"/>
            <w:noProof/>
            <w:color w:val="auto"/>
            <w:sz w:val="21"/>
            <w:szCs w:val="21"/>
          </w:rPr>
          <w:t>2.1.4</w:t>
        </w:r>
        <w:r w:rsidRPr="00544B23">
          <w:rPr>
            <w:rStyle w:val="Lienhypertexte"/>
            <w:noProof/>
            <w:color w:val="auto"/>
            <w:sz w:val="21"/>
            <w:szCs w:val="21"/>
          </w:rPr>
          <w:tab/>
          <w:t>Le processus décisionnel du projet de vie permet à l’enfant de participer activement et d’être entendu</w:t>
        </w:r>
        <w:r w:rsidRPr="00544B23">
          <w:rPr>
            <w:rStyle w:val="Lienhypertexte"/>
            <w:noProof/>
            <w:webHidden/>
            <w:color w:val="auto"/>
            <w:sz w:val="21"/>
            <w:szCs w:val="21"/>
          </w:rPr>
          <w:tab/>
        </w:r>
        <w:r w:rsidRPr="00544B23">
          <w:rPr>
            <w:rStyle w:val="Lienhypertexte"/>
            <w:noProof/>
            <w:webHidden/>
            <w:color w:val="auto"/>
            <w:sz w:val="21"/>
            <w:szCs w:val="21"/>
          </w:rPr>
          <w:fldChar w:fldCharType="begin"/>
        </w:r>
        <w:r w:rsidRPr="00544B23">
          <w:rPr>
            <w:rStyle w:val="Lienhypertexte"/>
            <w:noProof/>
            <w:webHidden/>
            <w:color w:val="auto"/>
            <w:sz w:val="21"/>
            <w:szCs w:val="21"/>
          </w:rPr>
          <w:instrText xml:space="preserve"> PAGEREF _Toc201330507 \h </w:instrText>
        </w:r>
        <w:r w:rsidRPr="00544B23">
          <w:rPr>
            <w:rStyle w:val="Lienhypertexte"/>
            <w:noProof/>
            <w:webHidden/>
            <w:color w:val="auto"/>
            <w:sz w:val="21"/>
            <w:szCs w:val="21"/>
          </w:rPr>
        </w:r>
        <w:r w:rsidRPr="00544B23">
          <w:rPr>
            <w:rStyle w:val="Lienhypertexte"/>
            <w:noProof/>
            <w:webHidden/>
            <w:color w:val="auto"/>
            <w:sz w:val="21"/>
            <w:szCs w:val="21"/>
          </w:rPr>
          <w:fldChar w:fldCharType="separate"/>
        </w:r>
        <w:r w:rsidR="0085330E">
          <w:rPr>
            <w:rStyle w:val="Lienhypertexte"/>
            <w:noProof/>
            <w:webHidden/>
            <w:color w:val="auto"/>
            <w:sz w:val="21"/>
            <w:szCs w:val="21"/>
          </w:rPr>
          <w:t>44</w:t>
        </w:r>
        <w:r w:rsidRPr="00544B23">
          <w:rPr>
            <w:rStyle w:val="Lienhypertexte"/>
            <w:noProof/>
            <w:webHidden/>
            <w:color w:val="auto"/>
            <w:sz w:val="21"/>
            <w:szCs w:val="21"/>
          </w:rPr>
          <w:fldChar w:fldCharType="end"/>
        </w:r>
      </w:hyperlink>
    </w:p>
    <w:p w14:paraId="7C8A2A52" w14:textId="0DCCE28C" w:rsidR="007F4E24" w:rsidRPr="00544B23" w:rsidRDefault="007F4E24" w:rsidP="00804CFF">
      <w:pPr>
        <w:pStyle w:val="TM5"/>
        <w:spacing w:after="0"/>
        <w:rPr>
          <w:noProof/>
          <w:sz w:val="21"/>
          <w:szCs w:val="21"/>
        </w:rPr>
      </w:pPr>
      <w:hyperlink w:anchor="_Toc201330508" w:history="1">
        <w:r w:rsidRPr="00544B23">
          <w:rPr>
            <w:rStyle w:val="Lienhypertexte"/>
            <w:noProof/>
            <w:color w:val="auto"/>
            <w:sz w:val="21"/>
            <w:szCs w:val="21"/>
          </w:rPr>
          <w:t>A.</w:t>
        </w:r>
        <w:r w:rsidRPr="00544B23">
          <w:rPr>
            <w:noProof/>
            <w:sz w:val="21"/>
            <w:szCs w:val="21"/>
          </w:rPr>
          <w:tab/>
        </w:r>
        <w:r w:rsidRPr="00544B23">
          <w:rPr>
            <w:rStyle w:val="Lienhypertexte"/>
            <w:noProof/>
            <w:color w:val="auto"/>
            <w:sz w:val="21"/>
            <w:szCs w:val="21"/>
          </w:rPr>
          <w:t>L’opinion de l’enfant concernant le choix de son projet de vie est prise en compte</w:t>
        </w:r>
        <w:r w:rsidRPr="00544B23">
          <w:rPr>
            <w:noProof/>
            <w:webHidden/>
            <w:sz w:val="21"/>
            <w:szCs w:val="21"/>
          </w:rPr>
          <w:tab/>
        </w:r>
        <w:r w:rsidRPr="00544B23">
          <w:rPr>
            <w:noProof/>
            <w:webHidden/>
            <w:sz w:val="21"/>
            <w:szCs w:val="21"/>
          </w:rPr>
          <w:fldChar w:fldCharType="begin"/>
        </w:r>
        <w:r w:rsidRPr="00544B23">
          <w:rPr>
            <w:noProof/>
            <w:webHidden/>
            <w:sz w:val="21"/>
            <w:szCs w:val="21"/>
          </w:rPr>
          <w:instrText xml:space="preserve"> PAGEREF _Toc201330508 \h </w:instrText>
        </w:r>
        <w:r w:rsidRPr="00544B23">
          <w:rPr>
            <w:noProof/>
            <w:webHidden/>
            <w:sz w:val="21"/>
            <w:szCs w:val="21"/>
          </w:rPr>
        </w:r>
        <w:r w:rsidRPr="00544B23">
          <w:rPr>
            <w:noProof/>
            <w:webHidden/>
            <w:sz w:val="21"/>
            <w:szCs w:val="21"/>
          </w:rPr>
          <w:fldChar w:fldCharType="separate"/>
        </w:r>
        <w:r w:rsidR="0085330E">
          <w:rPr>
            <w:noProof/>
            <w:webHidden/>
            <w:sz w:val="21"/>
            <w:szCs w:val="21"/>
          </w:rPr>
          <w:t>45</w:t>
        </w:r>
        <w:r w:rsidRPr="00544B23">
          <w:rPr>
            <w:noProof/>
            <w:webHidden/>
            <w:sz w:val="21"/>
            <w:szCs w:val="21"/>
          </w:rPr>
          <w:fldChar w:fldCharType="end"/>
        </w:r>
      </w:hyperlink>
    </w:p>
    <w:p w14:paraId="5B868C97" w14:textId="2ACAB4F8" w:rsidR="007F4E24" w:rsidRPr="00544B23" w:rsidRDefault="007F4E24" w:rsidP="00804CFF">
      <w:pPr>
        <w:pStyle w:val="TM5"/>
        <w:spacing w:after="0"/>
        <w:rPr>
          <w:noProof/>
          <w:sz w:val="21"/>
          <w:szCs w:val="21"/>
        </w:rPr>
      </w:pPr>
      <w:hyperlink w:anchor="_Toc201330509" w:history="1">
        <w:r w:rsidRPr="00544B23">
          <w:rPr>
            <w:rStyle w:val="Lienhypertexte"/>
            <w:noProof/>
            <w:color w:val="auto"/>
            <w:sz w:val="21"/>
            <w:szCs w:val="21"/>
          </w:rPr>
          <w:t>B.</w:t>
        </w:r>
        <w:r w:rsidRPr="00544B23">
          <w:rPr>
            <w:noProof/>
            <w:sz w:val="21"/>
            <w:szCs w:val="21"/>
          </w:rPr>
          <w:tab/>
        </w:r>
        <w:r w:rsidRPr="00544B23">
          <w:rPr>
            <w:rStyle w:val="Lienhypertexte"/>
            <w:noProof/>
            <w:color w:val="auto"/>
            <w:sz w:val="21"/>
            <w:szCs w:val="21"/>
          </w:rPr>
          <w:t>Les désirs de l’enfant pour l’établissement des contacts avec les personnes significatives sont favorisés</w:t>
        </w:r>
        <w:r w:rsidRPr="00544B23">
          <w:rPr>
            <w:noProof/>
            <w:webHidden/>
            <w:sz w:val="21"/>
            <w:szCs w:val="21"/>
          </w:rPr>
          <w:tab/>
        </w:r>
        <w:r w:rsidRPr="00544B23">
          <w:rPr>
            <w:noProof/>
            <w:webHidden/>
            <w:sz w:val="21"/>
            <w:szCs w:val="21"/>
          </w:rPr>
          <w:fldChar w:fldCharType="begin"/>
        </w:r>
        <w:r w:rsidRPr="00544B23">
          <w:rPr>
            <w:noProof/>
            <w:webHidden/>
            <w:sz w:val="21"/>
            <w:szCs w:val="21"/>
          </w:rPr>
          <w:instrText xml:space="preserve"> PAGEREF _Toc201330509 \h </w:instrText>
        </w:r>
        <w:r w:rsidRPr="00544B23">
          <w:rPr>
            <w:noProof/>
            <w:webHidden/>
            <w:sz w:val="21"/>
            <w:szCs w:val="21"/>
          </w:rPr>
        </w:r>
        <w:r w:rsidRPr="00544B23">
          <w:rPr>
            <w:noProof/>
            <w:webHidden/>
            <w:sz w:val="21"/>
            <w:szCs w:val="21"/>
          </w:rPr>
          <w:fldChar w:fldCharType="separate"/>
        </w:r>
        <w:r w:rsidR="0085330E">
          <w:rPr>
            <w:noProof/>
            <w:webHidden/>
            <w:sz w:val="21"/>
            <w:szCs w:val="21"/>
          </w:rPr>
          <w:t>46</w:t>
        </w:r>
        <w:r w:rsidRPr="00544B23">
          <w:rPr>
            <w:noProof/>
            <w:webHidden/>
            <w:sz w:val="21"/>
            <w:szCs w:val="21"/>
          </w:rPr>
          <w:fldChar w:fldCharType="end"/>
        </w:r>
      </w:hyperlink>
    </w:p>
    <w:p w14:paraId="53CC5FFC" w14:textId="74AB0F90" w:rsidR="007F4E24" w:rsidRPr="00544B23" w:rsidRDefault="007F4E24" w:rsidP="00804CFF">
      <w:pPr>
        <w:pStyle w:val="TM5"/>
        <w:spacing w:after="0"/>
        <w:rPr>
          <w:noProof/>
          <w:sz w:val="21"/>
          <w:szCs w:val="21"/>
        </w:rPr>
      </w:pPr>
      <w:hyperlink w:anchor="_Toc201330510" w:history="1">
        <w:r w:rsidRPr="00544B23">
          <w:rPr>
            <w:rStyle w:val="Lienhypertexte"/>
            <w:noProof/>
            <w:color w:val="auto"/>
            <w:sz w:val="21"/>
            <w:szCs w:val="21"/>
          </w:rPr>
          <w:t>C.</w:t>
        </w:r>
        <w:r w:rsidRPr="00544B23">
          <w:rPr>
            <w:noProof/>
            <w:sz w:val="21"/>
            <w:szCs w:val="21"/>
          </w:rPr>
          <w:tab/>
        </w:r>
        <w:r w:rsidRPr="00544B23">
          <w:rPr>
            <w:rStyle w:val="Lienhypertexte"/>
            <w:noProof/>
            <w:color w:val="auto"/>
            <w:sz w:val="21"/>
            <w:szCs w:val="21"/>
          </w:rPr>
          <w:t>Le projet de vie retenu pour l’enfant tient compte des droits et des responsabilités de ses parents</w:t>
        </w:r>
        <w:r w:rsidRPr="00544B23">
          <w:rPr>
            <w:noProof/>
            <w:webHidden/>
            <w:sz w:val="21"/>
            <w:szCs w:val="21"/>
          </w:rPr>
          <w:tab/>
        </w:r>
        <w:r w:rsidRPr="00544B23">
          <w:rPr>
            <w:noProof/>
            <w:webHidden/>
            <w:sz w:val="21"/>
            <w:szCs w:val="21"/>
          </w:rPr>
          <w:fldChar w:fldCharType="begin"/>
        </w:r>
        <w:r w:rsidRPr="00544B23">
          <w:rPr>
            <w:noProof/>
            <w:webHidden/>
            <w:sz w:val="21"/>
            <w:szCs w:val="21"/>
          </w:rPr>
          <w:instrText xml:space="preserve"> PAGEREF _Toc201330510 \h </w:instrText>
        </w:r>
        <w:r w:rsidRPr="00544B23">
          <w:rPr>
            <w:noProof/>
            <w:webHidden/>
            <w:sz w:val="21"/>
            <w:szCs w:val="21"/>
          </w:rPr>
        </w:r>
        <w:r w:rsidRPr="00544B23">
          <w:rPr>
            <w:noProof/>
            <w:webHidden/>
            <w:sz w:val="21"/>
            <w:szCs w:val="21"/>
          </w:rPr>
          <w:fldChar w:fldCharType="separate"/>
        </w:r>
        <w:r w:rsidR="0085330E">
          <w:rPr>
            <w:noProof/>
            <w:webHidden/>
            <w:sz w:val="21"/>
            <w:szCs w:val="21"/>
          </w:rPr>
          <w:t>46</w:t>
        </w:r>
        <w:r w:rsidRPr="00544B23">
          <w:rPr>
            <w:noProof/>
            <w:webHidden/>
            <w:sz w:val="21"/>
            <w:szCs w:val="21"/>
          </w:rPr>
          <w:fldChar w:fldCharType="end"/>
        </w:r>
      </w:hyperlink>
    </w:p>
    <w:p w14:paraId="628B2C4C" w14:textId="2C5AF81A" w:rsidR="007F4E24" w:rsidRPr="00544B23" w:rsidRDefault="007F4E24" w:rsidP="00804CFF">
      <w:pPr>
        <w:pStyle w:val="TM2"/>
        <w:rPr>
          <w:rFonts w:ascii="Aptos" w:eastAsiaTheme="minorEastAsia" w:hAnsi="Aptos"/>
          <w:bCs w:val="0"/>
          <w:kern w:val="2"/>
          <w:sz w:val="21"/>
          <w:szCs w:val="21"/>
          <w:lang w:eastAsia="fr-CA"/>
          <w14:ligatures w14:val="standardContextual"/>
        </w:rPr>
      </w:pPr>
      <w:hyperlink w:anchor="_Toc201330511" w:history="1">
        <w:r w:rsidRPr="00544B23">
          <w:rPr>
            <w:rStyle w:val="Lienhypertexte"/>
            <w:rFonts w:ascii="Aptos" w:hAnsi="Aptos"/>
            <w:color w:val="auto"/>
            <w:sz w:val="21"/>
            <w:szCs w:val="21"/>
          </w:rPr>
          <w:t>2.2</w:t>
        </w:r>
        <w:r w:rsidRPr="00544B23">
          <w:rPr>
            <w:rFonts w:ascii="Aptos" w:eastAsiaTheme="minorEastAsia" w:hAnsi="Aptos"/>
            <w:bCs w:val="0"/>
            <w:kern w:val="2"/>
            <w:sz w:val="21"/>
            <w:szCs w:val="21"/>
            <w:lang w:eastAsia="fr-CA"/>
            <w14:ligatures w14:val="standardContextual"/>
          </w:rPr>
          <w:tab/>
        </w:r>
        <w:r w:rsidRPr="00544B23">
          <w:rPr>
            <w:rStyle w:val="Lienhypertexte"/>
            <w:rFonts w:ascii="Aptos" w:hAnsi="Aptos"/>
            <w:color w:val="auto"/>
            <w:sz w:val="21"/>
            <w:szCs w:val="21"/>
          </w:rPr>
          <w:t>Le projet de vie retenu pour l’enfant tient compte des droits et des responsabilités de ses parents</w:t>
        </w:r>
        <w:r w:rsidRPr="00544B23">
          <w:rPr>
            <w:rFonts w:ascii="Aptos" w:hAnsi="Aptos"/>
            <w:webHidden/>
            <w:sz w:val="21"/>
            <w:szCs w:val="21"/>
          </w:rPr>
          <w:tab/>
        </w:r>
        <w:r w:rsidRPr="00544B23">
          <w:rPr>
            <w:rFonts w:ascii="Aptos" w:hAnsi="Aptos"/>
            <w:webHidden/>
            <w:sz w:val="21"/>
            <w:szCs w:val="21"/>
          </w:rPr>
          <w:fldChar w:fldCharType="begin"/>
        </w:r>
        <w:r w:rsidRPr="00544B23">
          <w:rPr>
            <w:rFonts w:ascii="Aptos" w:hAnsi="Aptos"/>
            <w:webHidden/>
            <w:sz w:val="21"/>
            <w:szCs w:val="21"/>
          </w:rPr>
          <w:instrText xml:space="preserve"> PAGEREF _Toc201330511 \h </w:instrText>
        </w:r>
        <w:r w:rsidRPr="00544B23">
          <w:rPr>
            <w:rFonts w:ascii="Aptos" w:hAnsi="Aptos"/>
            <w:webHidden/>
            <w:sz w:val="21"/>
            <w:szCs w:val="21"/>
          </w:rPr>
        </w:r>
        <w:r w:rsidRPr="00544B23">
          <w:rPr>
            <w:rFonts w:ascii="Aptos" w:hAnsi="Aptos"/>
            <w:webHidden/>
            <w:sz w:val="21"/>
            <w:szCs w:val="21"/>
          </w:rPr>
          <w:fldChar w:fldCharType="separate"/>
        </w:r>
        <w:r w:rsidR="0085330E">
          <w:rPr>
            <w:rFonts w:ascii="Aptos" w:hAnsi="Aptos"/>
            <w:webHidden/>
            <w:sz w:val="21"/>
            <w:szCs w:val="21"/>
          </w:rPr>
          <w:t>47</w:t>
        </w:r>
        <w:r w:rsidRPr="00544B23">
          <w:rPr>
            <w:rFonts w:ascii="Aptos" w:hAnsi="Aptos"/>
            <w:webHidden/>
            <w:sz w:val="21"/>
            <w:szCs w:val="21"/>
          </w:rPr>
          <w:fldChar w:fldCharType="end"/>
        </w:r>
      </w:hyperlink>
    </w:p>
    <w:p w14:paraId="102F5314" w14:textId="6CECECA7" w:rsidR="007F4E24" w:rsidRPr="00544B23" w:rsidRDefault="007F4E24" w:rsidP="00804CFF">
      <w:pPr>
        <w:pStyle w:val="TM3"/>
        <w:ind w:left="1276" w:hanging="709"/>
        <w:rPr>
          <w:rStyle w:val="Lienhypertexte"/>
          <w:noProof/>
          <w:color w:val="auto"/>
          <w:sz w:val="21"/>
          <w:szCs w:val="21"/>
        </w:rPr>
      </w:pPr>
      <w:hyperlink w:anchor="_Toc201330512" w:history="1">
        <w:r w:rsidRPr="00544B23">
          <w:rPr>
            <w:rStyle w:val="Lienhypertexte"/>
            <w:noProof/>
            <w:color w:val="auto"/>
            <w:sz w:val="21"/>
            <w:szCs w:val="21"/>
          </w:rPr>
          <w:t>2.2.1</w:t>
        </w:r>
        <w:r w:rsidRPr="00544B23">
          <w:rPr>
            <w:rStyle w:val="Lienhypertexte"/>
            <w:noProof/>
            <w:color w:val="auto"/>
            <w:sz w:val="21"/>
            <w:szCs w:val="21"/>
          </w:rPr>
          <w:tab/>
          <w:t>Les parents sont impliqués pour les aider ou les amener à exercer leurs responsabilités parentales</w:t>
        </w:r>
        <w:r w:rsidRPr="00544B23">
          <w:rPr>
            <w:rStyle w:val="Lienhypertexte"/>
            <w:noProof/>
            <w:webHidden/>
            <w:color w:val="auto"/>
            <w:sz w:val="21"/>
            <w:szCs w:val="21"/>
          </w:rPr>
          <w:tab/>
        </w:r>
        <w:r w:rsidRPr="00544B23">
          <w:rPr>
            <w:rStyle w:val="Lienhypertexte"/>
            <w:noProof/>
            <w:webHidden/>
            <w:color w:val="auto"/>
            <w:sz w:val="21"/>
            <w:szCs w:val="21"/>
          </w:rPr>
          <w:fldChar w:fldCharType="begin"/>
        </w:r>
        <w:r w:rsidRPr="00544B23">
          <w:rPr>
            <w:rStyle w:val="Lienhypertexte"/>
            <w:noProof/>
            <w:webHidden/>
            <w:color w:val="auto"/>
            <w:sz w:val="21"/>
            <w:szCs w:val="21"/>
          </w:rPr>
          <w:instrText xml:space="preserve"> PAGEREF _Toc201330512 \h </w:instrText>
        </w:r>
        <w:r w:rsidRPr="00544B23">
          <w:rPr>
            <w:rStyle w:val="Lienhypertexte"/>
            <w:noProof/>
            <w:webHidden/>
            <w:color w:val="auto"/>
            <w:sz w:val="21"/>
            <w:szCs w:val="21"/>
          </w:rPr>
        </w:r>
        <w:r w:rsidRPr="00544B23">
          <w:rPr>
            <w:rStyle w:val="Lienhypertexte"/>
            <w:noProof/>
            <w:webHidden/>
            <w:color w:val="auto"/>
            <w:sz w:val="21"/>
            <w:szCs w:val="21"/>
          </w:rPr>
          <w:fldChar w:fldCharType="separate"/>
        </w:r>
        <w:r w:rsidR="0085330E">
          <w:rPr>
            <w:rStyle w:val="Lienhypertexte"/>
            <w:noProof/>
            <w:webHidden/>
            <w:color w:val="auto"/>
            <w:sz w:val="21"/>
            <w:szCs w:val="21"/>
          </w:rPr>
          <w:t>47</w:t>
        </w:r>
        <w:r w:rsidRPr="00544B23">
          <w:rPr>
            <w:rStyle w:val="Lienhypertexte"/>
            <w:noProof/>
            <w:webHidden/>
            <w:color w:val="auto"/>
            <w:sz w:val="21"/>
            <w:szCs w:val="21"/>
          </w:rPr>
          <w:fldChar w:fldCharType="end"/>
        </w:r>
      </w:hyperlink>
    </w:p>
    <w:p w14:paraId="0292D639" w14:textId="1DC27DC3" w:rsidR="007F4E24" w:rsidRPr="00544B23" w:rsidRDefault="007F4E24" w:rsidP="00804CFF">
      <w:pPr>
        <w:pStyle w:val="TM5"/>
        <w:spacing w:after="0"/>
        <w:rPr>
          <w:noProof/>
          <w:sz w:val="21"/>
          <w:szCs w:val="21"/>
        </w:rPr>
      </w:pPr>
      <w:hyperlink w:anchor="_Toc201330513" w:history="1">
        <w:r w:rsidRPr="00544B23">
          <w:rPr>
            <w:rStyle w:val="Lienhypertexte"/>
            <w:noProof/>
            <w:color w:val="auto"/>
            <w:sz w:val="21"/>
            <w:szCs w:val="21"/>
          </w:rPr>
          <w:t>A.</w:t>
        </w:r>
        <w:r w:rsidRPr="00544B23">
          <w:rPr>
            <w:noProof/>
            <w:sz w:val="21"/>
            <w:szCs w:val="21"/>
          </w:rPr>
          <w:tab/>
        </w:r>
        <w:r w:rsidRPr="00544B23">
          <w:rPr>
            <w:rStyle w:val="Lienhypertexte"/>
            <w:noProof/>
            <w:color w:val="auto"/>
            <w:sz w:val="21"/>
            <w:szCs w:val="21"/>
          </w:rPr>
          <w:t>Les parents sont impliqués depuis que l’enfant est retiré du milieu familial</w:t>
        </w:r>
        <w:r w:rsidRPr="00544B23">
          <w:rPr>
            <w:noProof/>
            <w:webHidden/>
            <w:sz w:val="21"/>
            <w:szCs w:val="21"/>
          </w:rPr>
          <w:tab/>
        </w:r>
        <w:r w:rsidRPr="00544B23">
          <w:rPr>
            <w:noProof/>
            <w:webHidden/>
            <w:sz w:val="21"/>
            <w:szCs w:val="21"/>
          </w:rPr>
          <w:fldChar w:fldCharType="begin"/>
        </w:r>
        <w:r w:rsidRPr="00544B23">
          <w:rPr>
            <w:noProof/>
            <w:webHidden/>
            <w:sz w:val="21"/>
            <w:szCs w:val="21"/>
          </w:rPr>
          <w:instrText xml:space="preserve"> PAGEREF _Toc201330513 \h </w:instrText>
        </w:r>
        <w:r w:rsidRPr="00544B23">
          <w:rPr>
            <w:noProof/>
            <w:webHidden/>
            <w:sz w:val="21"/>
            <w:szCs w:val="21"/>
          </w:rPr>
        </w:r>
        <w:r w:rsidRPr="00544B23">
          <w:rPr>
            <w:noProof/>
            <w:webHidden/>
            <w:sz w:val="21"/>
            <w:szCs w:val="21"/>
          </w:rPr>
          <w:fldChar w:fldCharType="separate"/>
        </w:r>
        <w:r w:rsidR="0085330E">
          <w:rPr>
            <w:noProof/>
            <w:webHidden/>
            <w:sz w:val="21"/>
            <w:szCs w:val="21"/>
          </w:rPr>
          <w:t>48</w:t>
        </w:r>
        <w:r w:rsidRPr="00544B23">
          <w:rPr>
            <w:noProof/>
            <w:webHidden/>
            <w:sz w:val="21"/>
            <w:szCs w:val="21"/>
          </w:rPr>
          <w:fldChar w:fldCharType="end"/>
        </w:r>
      </w:hyperlink>
    </w:p>
    <w:p w14:paraId="563105C6" w14:textId="6D49C8B4" w:rsidR="007F4E24" w:rsidRPr="00544B23" w:rsidRDefault="007F4E24" w:rsidP="00804CFF">
      <w:pPr>
        <w:pStyle w:val="TM5"/>
        <w:spacing w:after="0"/>
        <w:rPr>
          <w:noProof/>
          <w:sz w:val="21"/>
          <w:szCs w:val="21"/>
        </w:rPr>
      </w:pPr>
      <w:hyperlink w:anchor="_Toc201330514" w:history="1">
        <w:r w:rsidRPr="00544B23">
          <w:rPr>
            <w:rStyle w:val="Lienhypertexte"/>
            <w:noProof/>
            <w:color w:val="auto"/>
            <w:sz w:val="21"/>
            <w:szCs w:val="21"/>
          </w:rPr>
          <w:t>B.</w:t>
        </w:r>
        <w:r w:rsidRPr="00544B23">
          <w:rPr>
            <w:noProof/>
            <w:sz w:val="21"/>
            <w:szCs w:val="21"/>
          </w:rPr>
          <w:tab/>
        </w:r>
        <w:r w:rsidRPr="00544B23">
          <w:rPr>
            <w:rStyle w:val="Lienhypertexte"/>
            <w:noProof/>
            <w:color w:val="auto"/>
            <w:sz w:val="21"/>
            <w:szCs w:val="21"/>
          </w:rPr>
          <w:t>Les services sont rendus aux parents pour les aider ou les amener à exercer leurs responsabilités parentales</w:t>
        </w:r>
        <w:r w:rsidRPr="00544B23">
          <w:rPr>
            <w:noProof/>
            <w:webHidden/>
            <w:sz w:val="21"/>
            <w:szCs w:val="21"/>
          </w:rPr>
          <w:tab/>
        </w:r>
        <w:r w:rsidRPr="00544B23">
          <w:rPr>
            <w:noProof/>
            <w:webHidden/>
            <w:sz w:val="21"/>
            <w:szCs w:val="21"/>
          </w:rPr>
          <w:fldChar w:fldCharType="begin"/>
        </w:r>
        <w:r w:rsidRPr="00544B23">
          <w:rPr>
            <w:noProof/>
            <w:webHidden/>
            <w:sz w:val="21"/>
            <w:szCs w:val="21"/>
          </w:rPr>
          <w:instrText xml:space="preserve"> PAGEREF _Toc201330514 \h </w:instrText>
        </w:r>
        <w:r w:rsidRPr="00544B23">
          <w:rPr>
            <w:noProof/>
            <w:webHidden/>
            <w:sz w:val="21"/>
            <w:szCs w:val="21"/>
          </w:rPr>
        </w:r>
        <w:r w:rsidRPr="00544B23">
          <w:rPr>
            <w:noProof/>
            <w:webHidden/>
            <w:sz w:val="21"/>
            <w:szCs w:val="21"/>
          </w:rPr>
          <w:fldChar w:fldCharType="separate"/>
        </w:r>
        <w:r w:rsidR="0085330E">
          <w:rPr>
            <w:noProof/>
            <w:webHidden/>
            <w:sz w:val="21"/>
            <w:szCs w:val="21"/>
          </w:rPr>
          <w:t>49</w:t>
        </w:r>
        <w:r w:rsidRPr="00544B23">
          <w:rPr>
            <w:noProof/>
            <w:webHidden/>
            <w:sz w:val="21"/>
            <w:szCs w:val="21"/>
          </w:rPr>
          <w:fldChar w:fldCharType="end"/>
        </w:r>
      </w:hyperlink>
    </w:p>
    <w:p w14:paraId="31B75832" w14:textId="6316255A" w:rsidR="007F4E24" w:rsidRPr="00544B23" w:rsidRDefault="007F4E24" w:rsidP="00804CFF">
      <w:pPr>
        <w:pStyle w:val="TM3"/>
        <w:ind w:left="1276" w:hanging="709"/>
        <w:rPr>
          <w:rStyle w:val="Lienhypertexte"/>
          <w:noProof/>
          <w:color w:val="auto"/>
          <w:sz w:val="21"/>
          <w:szCs w:val="21"/>
        </w:rPr>
      </w:pPr>
      <w:hyperlink w:anchor="_Toc201330515" w:history="1">
        <w:r w:rsidRPr="00544B23">
          <w:rPr>
            <w:rStyle w:val="Lienhypertexte"/>
            <w:noProof/>
            <w:color w:val="auto"/>
            <w:sz w:val="21"/>
            <w:szCs w:val="21"/>
          </w:rPr>
          <w:t>2.2.2.</w:t>
        </w:r>
        <w:r w:rsidRPr="00544B23">
          <w:rPr>
            <w:rStyle w:val="Lienhypertexte"/>
            <w:noProof/>
            <w:color w:val="auto"/>
            <w:sz w:val="21"/>
            <w:szCs w:val="21"/>
          </w:rPr>
          <w:tab/>
          <w:t>Le processus décisionnel du projet de vie permet aux parents de participer activement et d’être entendus dans les décisions prises concernant leur enfant</w:t>
        </w:r>
        <w:r w:rsidRPr="00544B23">
          <w:rPr>
            <w:rStyle w:val="Lienhypertexte"/>
            <w:noProof/>
            <w:webHidden/>
            <w:color w:val="auto"/>
            <w:sz w:val="21"/>
            <w:szCs w:val="21"/>
          </w:rPr>
          <w:tab/>
        </w:r>
        <w:r w:rsidRPr="00544B23">
          <w:rPr>
            <w:rStyle w:val="Lienhypertexte"/>
            <w:noProof/>
            <w:webHidden/>
            <w:color w:val="auto"/>
            <w:sz w:val="21"/>
            <w:szCs w:val="21"/>
          </w:rPr>
          <w:fldChar w:fldCharType="begin"/>
        </w:r>
        <w:r w:rsidRPr="00544B23">
          <w:rPr>
            <w:rStyle w:val="Lienhypertexte"/>
            <w:noProof/>
            <w:webHidden/>
            <w:color w:val="auto"/>
            <w:sz w:val="21"/>
            <w:szCs w:val="21"/>
          </w:rPr>
          <w:instrText xml:space="preserve"> PAGEREF _Toc201330515 \h </w:instrText>
        </w:r>
        <w:r w:rsidRPr="00544B23">
          <w:rPr>
            <w:rStyle w:val="Lienhypertexte"/>
            <w:noProof/>
            <w:webHidden/>
            <w:color w:val="auto"/>
            <w:sz w:val="21"/>
            <w:szCs w:val="21"/>
          </w:rPr>
        </w:r>
        <w:r w:rsidRPr="00544B23">
          <w:rPr>
            <w:rStyle w:val="Lienhypertexte"/>
            <w:noProof/>
            <w:webHidden/>
            <w:color w:val="auto"/>
            <w:sz w:val="21"/>
            <w:szCs w:val="21"/>
          </w:rPr>
          <w:fldChar w:fldCharType="separate"/>
        </w:r>
        <w:r w:rsidR="0085330E">
          <w:rPr>
            <w:rStyle w:val="Lienhypertexte"/>
            <w:noProof/>
            <w:webHidden/>
            <w:color w:val="auto"/>
            <w:sz w:val="21"/>
            <w:szCs w:val="21"/>
          </w:rPr>
          <w:t>49</w:t>
        </w:r>
        <w:r w:rsidRPr="00544B23">
          <w:rPr>
            <w:rStyle w:val="Lienhypertexte"/>
            <w:noProof/>
            <w:webHidden/>
            <w:color w:val="auto"/>
            <w:sz w:val="21"/>
            <w:szCs w:val="21"/>
          </w:rPr>
          <w:fldChar w:fldCharType="end"/>
        </w:r>
      </w:hyperlink>
    </w:p>
    <w:p w14:paraId="61BF49C8" w14:textId="1F892928" w:rsidR="007F4E24" w:rsidRPr="00544B23" w:rsidRDefault="007F4E24" w:rsidP="00804CFF">
      <w:pPr>
        <w:pStyle w:val="TM5"/>
        <w:spacing w:after="0"/>
        <w:rPr>
          <w:noProof/>
          <w:sz w:val="21"/>
          <w:szCs w:val="21"/>
        </w:rPr>
      </w:pPr>
      <w:hyperlink w:anchor="_Toc201330516" w:history="1">
        <w:r w:rsidRPr="00544B23">
          <w:rPr>
            <w:rStyle w:val="Lienhypertexte"/>
            <w:noProof/>
            <w:color w:val="auto"/>
            <w:sz w:val="21"/>
            <w:szCs w:val="21"/>
          </w:rPr>
          <w:t>A.</w:t>
        </w:r>
        <w:r w:rsidRPr="00544B23">
          <w:rPr>
            <w:noProof/>
            <w:sz w:val="21"/>
            <w:szCs w:val="21"/>
          </w:rPr>
          <w:tab/>
        </w:r>
        <w:r w:rsidRPr="00544B23">
          <w:rPr>
            <w:rStyle w:val="Lienhypertexte"/>
            <w:noProof/>
            <w:color w:val="auto"/>
            <w:sz w:val="21"/>
            <w:szCs w:val="21"/>
          </w:rPr>
          <w:t>Les parents participent au processus décisionnel menant au projet de vie de leur enfant</w:t>
        </w:r>
        <w:r w:rsidRPr="00544B23">
          <w:rPr>
            <w:noProof/>
            <w:webHidden/>
            <w:sz w:val="21"/>
            <w:szCs w:val="21"/>
          </w:rPr>
          <w:tab/>
        </w:r>
        <w:r w:rsidRPr="00544B23">
          <w:rPr>
            <w:noProof/>
            <w:webHidden/>
            <w:sz w:val="21"/>
            <w:szCs w:val="21"/>
          </w:rPr>
          <w:fldChar w:fldCharType="begin"/>
        </w:r>
        <w:r w:rsidRPr="00544B23">
          <w:rPr>
            <w:noProof/>
            <w:webHidden/>
            <w:sz w:val="21"/>
            <w:szCs w:val="21"/>
          </w:rPr>
          <w:instrText xml:space="preserve"> PAGEREF _Toc201330516 \h </w:instrText>
        </w:r>
        <w:r w:rsidRPr="00544B23">
          <w:rPr>
            <w:noProof/>
            <w:webHidden/>
            <w:sz w:val="21"/>
            <w:szCs w:val="21"/>
          </w:rPr>
        </w:r>
        <w:r w:rsidRPr="00544B23">
          <w:rPr>
            <w:noProof/>
            <w:webHidden/>
            <w:sz w:val="21"/>
            <w:szCs w:val="21"/>
          </w:rPr>
          <w:fldChar w:fldCharType="separate"/>
        </w:r>
        <w:r w:rsidR="0085330E">
          <w:rPr>
            <w:noProof/>
            <w:webHidden/>
            <w:sz w:val="21"/>
            <w:szCs w:val="21"/>
          </w:rPr>
          <w:t>49</w:t>
        </w:r>
        <w:r w:rsidRPr="00544B23">
          <w:rPr>
            <w:noProof/>
            <w:webHidden/>
            <w:sz w:val="21"/>
            <w:szCs w:val="21"/>
          </w:rPr>
          <w:fldChar w:fldCharType="end"/>
        </w:r>
      </w:hyperlink>
    </w:p>
    <w:p w14:paraId="027E72C6" w14:textId="5614440F" w:rsidR="007F4E24" w:rsidRPr="00544B23" w:rsidRDefault="007F4E24" w:rsidP="00804CFF">
      <w:pPr>
        <w:pStyle w:val="TM5"/>
        <w:spacing w:after="0"/>
        <w:rPr>
          <w:noProof/>
          <w:sz w:val="21"/>
          <w:szCs w:val="21"/>
        </w:rPr>
      </w:pPr>
      <w:hyperlink w:anchor="_Toc201330517" w:history="1">
        <w:r w:rsidRPr="00544B23">
          <w:rPr>
            <w:rStyle w:val="Lienhypertexte"/>
            <w:noProof/>
            <w:color w:val="auto"/>
            <w:sz w:val="21"/>
            <w:szCs w:val="21"/>
          </w:rPr>
          <w:t>B.</w:t>
        </w:r>
        <w:r w:rsidRPr="00544B23">
          <w:rPr>
            <w:noProof/>
            <w:sz w:val="21"/>
            <w:szCs w:val="21"/>
          </w:rPr>
          <w:tab/>
        </w:r>
        <w:r w:rsidRPr="00544B23">
          <w:rPr>
            <w:rStyle w:val="Lienhypertexte"/>
            <w:noProof/>
            <w:color w:val="auto"/>
            <w:sz w:val="21"/>
            <w:szCs w:val="21"/>
          </w:rPr>
          <w:t>Les parents expriment leur point de vue sur le projet de vie retenu pour leur enfant</w:t>
        </w:r>
        <w:r w:rsidRPr="00544B23">
          <w:rPr>
            <w:noProof/>
            <w:webHidden/>
            <w:sz w:val="21"/>
            <w:szCs w:val="21"/>
          </w:rPr>
          <w:tab/>
        </w:r>
        <w:r w:rsidRPr="00544B23">
          <w:rPr>
            <w:noProof/>
            <w:webHidden/>
            <w:sz w:val="21"/>
            <w:szCs w:val="21"/>
          </w:rPr>
          <w:fldChar w:fldCharType="begin"/>
        </w:r>
        <w:r w:rsidRPr="00544B23">
          <w:rPr>
            <w:noProof/>
            <w:webHidden/>
            <w:sz w:val="21"/>
            <w:szCs w:val="21"/>
          </w:rPr>
          <w:instrText xml:space="preserve"> PAGEREF _Toc201330517 \h </w:instrText>
        </w:r>
        <w:r w:rsidRPr="00544B23">
          <w:rPr>
            <w:noProof/>
            <w:webHidden/>
            <w:sz w:val="21"/>
            <w:szCs w:val="21"/>
          </w:rPr>
        </w:r>
        <w:r w:rsidRPr="00544B23">
          <w:rPr>
            <w:noProof/>
            <w:webHidden/>
            <w:sz w:val="21"/>
            <w:szCs w:val="21"/>
          </w:rPr>
          <w:fldChar w:fldCharType="separate"/>
        </w:r>
        <w:r w:rsidR="0085330E">
          <w:rPr>
            <w:noProof/>
            <w:webHidden/>
            <w:sz w:val="21"/>
            <w:szCs w:val="21"/>
          </w:rPr>
          <w:t>50</w:t>
        </w:r>
        <w:r w:rsidRPr="00544B23">
          <w:rPr>
            <w:noProof/>
            <w:webHidden/>
            <w:sz w:val="21"/>
            <w:szCs w:val="21"/>
          </w:rPr>
          <w:fldChar w:fldCharType="end"/>
        </w:r>
      </w:hyperlink>
    </w:p>
    <w:p w14:paraId="4805C5BC" w14:textId="76EE4FF7" w:rsidR="007F4E24" w:rsidRPr="00544B23" w:rsidRDefault="007F4E24" w:rsidP="00804CFF">
      <w:pPr>
        <w:pStyle w:val="TM5"/>
        <w:spacing w:after="0"/>
        <w:rPr>
          <w:rStyle w:val="Lienhypertexte"/>
          <w:noProof/>
          <w:color w:val="auto"/>
          <w:sz w:val="21"/>
          <w:szCs w:val="21"/>
        </w:rPr>
      </w:pPr>
      <w:hyperlink w:anchor="_Toc201330518" w:history="1">
        <w:r w:rsidRPr="00544B23">
          <w:rPr>
            <w:rStyle w:val="Lienhypertexte"/>
            <w:noProof/>
            <w:color w:val="auto"/>
            <w:sz w:val="21"/>
            <w:szCs w:val="21"/>
          </w:rPr>
          <w:t>C.</w:t>
        </w:r>
        <w:r w:rsidRPr="00544B23">
          <w:rPr>
            <w:noProof/>
            <w:sz w:val="21"/>
            <w:szCs w:val="21"/>
          </w:rPr>
          <w:tab/>
        </w:r>
        <w:r w:rsidRPr="00544B23">
          <w:rPr>
            <w:rStyle w:val="Lienhypertexte"/>
            <w:noProof/>
            <w:color w:val="auto"/>
            <w:sz w:val="21"/>
            <w:szCs w:val="21"/>
          </w:rPr>
          <w:t>Les parents continuent à prendre les décisions concernant leur enfant confié à un milieu de vie substitut</w:t>
        </w:r>
        <w:r w:rsidRPr="00544B23">
          <w:rPr>
            <w:noProof/>
            <w:webHidden/>
            <w:sz w:val="21"/>
            <w:szCs w:val="21"/>
          </w:rPr>
          <w:tab/>
        </w:r>
        <w:r w:rsidRPr="00544B23">
          <w:rPr>
            <w:noProof/>
            <w:webHidden/>
            <w:sz w:val="21"/>
            <w:szCs w:val="21"/>
          </w:rPr>
          <w:fldChar w:fldCharType="begin"/>
        </w:r>
        <w:r w:rsidRPr="00544B23">
          <w:rPr>
            <w:noProof/>
            <w:webHidden/>
            <w:sz w:val="21"/>
            <w:szCs w:val="21"/>
          </w:rPr>
          <w:instrText xml:space="preserve"> PAGEREF _Toc201330518 \h </w:instrText>
        </w:r>
        <w:r w:rsidRPr="00544B23">
          <w:rPr>
            <w:noProof/>
            <w:webHidden/>
            <w:sz w:val="21"/>
            <w:szCs w:val="21"/>
          </w:rPr>
        </w:r>
        <w:r w:rsidRPr="00544B23">
          <w:rPr>
            <w:noProof/>
            <w:webHidden/>
            <w:sz w:val="21"/>
            <w:szCs w:val="21"/>
          </w:rPr>
          <w:fldChar w:fldCharType="separate"/>
        </w:r>
        <w:r w:rsidR="0085330E">
          <w:rPr>
            <w:noProof/>
            <w:webHidden/>
            <w:sz w:val="21"/>
            <w:szCs w:val="21"/>
          </w:rPr>
          <w:t>51</w:t>
        </w:r>
        <w:r w:rsidRPr="00544B23">
          <w:rPr>
            <w:noProof/>
            <w:webHidden/>
            <w:sz w:val="21"/>
            <w:szCs w:val="21"/>
          </w:rPr>
          <w:fldChar w:fldCharType="end"/>
        </w:r>
      </w:hyperlink>
    </w:p>
    <w:p w14:paraId="2CB8C47A" w14:textId="77777777" w:rsidR="007F4E24" w:rsidRPr="00544B23" w:rsidRDefault="007F4E24" w:rsidP="00804CFF">
      <w:pPr>
        <w:jc w:val="left"/>
        <w:rPr>
          <w:noProof/>
          <w:sz w:val="21"/>
          <w:szCs w:val="21"/>
        </w:rPr>
      </w:pPr>
    </w:p>
    <w:p w14:paraId="553FDF8F" w14:textId="77777777" w:rsidR="007F4E24" w:rsidRPr="00544B23" w:rsidRDefault="007F4E24" w:rsidP="00804CFF">
      <w:pPr>
        <w:jc w:val="left"/>
        <w:rPr>
          <w:noProof/>
          <w:sz w:val="21"/>
          <w:szCs w:val="21"/>
        </w:rPr>
      </w:pPr>
    </w:p>
    <w:p w14:paraId="207F92CB" w14:textId="27AAA9B3" w:rsidR="007F4E24" w:rsidRPr="00544B23" w:rsidRDefault="007F4E24" w:rsidP="00804CFF">
      <w:pPr>
        <w:pStyle w:val="TM1"/>
        <w:rPr>
          <w:rStyle w:val="Lienhypertexte"/>
          <w:color w:val="auto"/>
          <w:sz w:val="21"/>
          <w:szCs w:val="21"/>
        </w:rPr>
      </w:pPr>
      <w:hyperlink w:anchor="_Toc201330519" w:history="1">
        <w:r w:rsidRPr="00544B23">
          <w:rPr>
            <w:rStyle w:val="Lienhypertexte"/>
            <w:color w:val="auto"/>
            <w:sz w:val="21"/>
            <w:szCs w:val="21"/>
          </w:rPr>
          <w:t>3.</w:t>
        </w:r>
        <w:r w:rsidRPr="00544B23">
          <w:rPr>
            <w:rFonts w:eastAsiaTheme="minorEastAsia"/>
            <w:b w:val="0"/>
            <w:bCs w:val="0"/>
            <w:caps w:val="0"/>
            <w:kern w:val="2"/>
            <w:sz w:val="21"/>
            <w:szCs w:val="21"/>
            <w:lang w:eastAsia="fr-CA"/>
            <w14:ligatures w14:val="standardContextual"/>
          </w:rPr>
          <w:tab/>
        </w:r>
        <w:r w:rsidRPr="00544B23">
          <w:rPr>
            <w:rStyle w:val="Lienhypertexte"/>
            <w:color w:val="auto"/>
            <w:sz w:val="21"/>
            <w:szCs w:val="21"/>
          </w:rPr>
          <w:t>L</w:t>
        </w:r>
        <w:r w:rsidR="00804CFF" w:rsidRPr="00544B23">
          <w:rPr>
            <w:rStyle w:val="Lienhypertexte"/>
            <w:caps w:val="0"/>
            <w:color w:val="auto"/>
            <w:sz w:val="21"/>
            <w:szCs w:val="21"/>
          </w:rPr>
          <w:t>es principaux constats de la mise en œuvre des dispositions de la LPJ relatives à la stabilité des liens et des conditions de vie de l’enfant confié à un milieu de vie substitut jusqu’à la majorité</w:t>
        </w:r>
        <w:r w:rsidRPr="00544B23">
          <w:rPr>
            <w:b w:val="0"/>
            <w:bCs w:val="0"/>
            <w:webHidden/>
            <w:sz w:val="21"/>
            <w:szCs w:val="21"/>
          </w:rPr>
          <w:tab/>
        </w:r>
        <w:r w:rsidRPr="00544B23">
          <w:rPr>
            <w:b w:val="0"/>
            <w:bCs w:val="0"/>
            <w:webHidden/>
            <w:sz w:val="21"/>
            <w:szCs w:val="21"/>
          </w:rPr>
          <w:fldChar w:fldCharType="begin"/>
        </w:r>
        <w:r w:rsidRPr="00544B23">
          <w:rPr>
            <w:b w:val="0"/>
            <w:bCs w:val="0"/>
            <w:webHidden/>
            <w:sz w:val="21"/>
            <w:szCs w:val="21"/>
          </w:rPr>
          <w:instrText xml:space="preserve"> PAGEREF _Toc201330519 \h </w:instrText>
        </w:r>
        <w:r w:rsidRPr="00544B23">
          <w:rPr>
            <w:b w:val="0"/>
            <w:bCs w:val="0"/>
            <w:webHidden/>
            <w:sz w:val="21"/>
            <w:szCs w:val="21"/>
          </w:rPr>
        </w:r>
        <w:r w:rsidRPr="00544B23">
          <w:rPr>
            <w:b w:val="0"/>
            <w:bCs w:val="0"/>
            <w:webHidden/>
            <w:sz w:val="21"/>
            <w:szCs w:val="21"/>
          </w:rPr>
          <w:fldChar w:fldCharType="separate"/>
        </w:r>
        <w:r w:rsidR="0085330E">
          <w:rPr>
            <w:b w:val="0"/>
            <w:bCs w:val="0"/>
            <w:webHidden/>
            <w:sz w:val="21"/>
            <w:szCs w:val="21"/>
          </w:rPr>
          <w:t>52</w:t>
        </w:r>
        <w:r w:rsidRPr="00544B23">
          <w:rPr>
            <w:b w:val="0"/>
            <w:bCs w:val="0"/>
            <w:webHidden/>
            <w:sz w:val="21"/>
            <w:szCs w:val="21"/>
          </w:rPr>
          <w:fldChar w:fldCharType="end"/>
        </w:r>
      </w:hyperlink>
    </w:p>
    <w:p w14:paraId="11E77B4F" w14:textId="77777777" w:rsidR="007F4E24" w:rsidRPr="00544B23" w:rsidRDefault="007F4E24" w:rsidP="00804CFF">
      <w:pPr>
        <w:jc w:val="left"/>
        <w:rPr>
          <w:noProof/>
          <w:sz w:val="21"/>
          <w:szCs w:val="21"/>
        </w:rPr>
      </w:pPr>
    </w:p>
    <w:p w14:paraId="592F49E4" w14:textId="13094FAF" w:rsidR="007F4E24" w:rsidRPr="00544B23" w:rsidRDefault="007F4E24" w:rsidP="00804CFF">
      <w:pPr>
        <w:pStyle w:val="TM2"/>
        <w:rPr>
          <w:rFonts w:ascii="Aptos" w:eastAsiaTheme="minorEastAsia" w:hAnsi="Aptos"/>
          <w:bCs w:val="0"/>
          <w:kern w:val="2"/>
          <w:sz w:val="21"/>
          <w:szCs w:val="21"/>
          <w:lang w:eastAsia="fr-CA"/>
          <w14:ligatures w14:val="standardContextual"/>
        </w:rPr>
      </w:pPr>
      <w:hyperlink w:anchor="_Toc201330520" w:history="1">
        <w:r w:rsidRPr="00544B23">
          <w:rPr>
            <w:rStyle w:val="Lienhypertexte"/>
            <w:rFonts w:ascii="Aptos" w:hAnsi="Aptos"/>
            <w:color w:val="auto"/>
            <w:sz w:val="21"/>
            <w:szCs w:val="21"/>
          </w:rPr>
          <w:t>3.1</w:t>
        </w:r>
        <w:r w:rsidRPr="00544B23">
          <w:rPr>
            <w:rFonts w:ascii="Aptos" w:eastAsiaTheme="minorEastAsia" w:hAnsi="Aptos"/>
            <w:bCs w:val="0"/>
            <w:kern w:val="2"/>
            <w:sz w:val="21"/>
            <w:szCs w:val="21"/>
            <w:lang w:eastAsia="fr-CA"/>
            <w14:ligatures w14:val="standardContextual"/>
          </w:rPr>
          <w:tab/>
        </w:r>
        <w:r w:rsidRPr="00544B23">
          <w:rPr>
            <w:rStyle w:val="Lienhypertexte"/>
            <w:rFonts w:ascii="Aptos" w:hAnsi="Aptos"/>
            <w:color w:val="auto"/>
            <w:sz w:val="21"/>
            <w:szCs w:val="21"/>
          </w:rPr>
          <w:t>La stabilité des liens et des conditions de vie de l’enfant : les effets de la réforme sont encore insuffisamment perceptibles</w:t>
        </w:r>
        <w:r w:rsidRPr="00544B23">
          <w:rPr>
            <w:rFonts w:ascii="Aptos" w:hAnsi="Aptos"/>
            <w:webHidden/>
            <w:sz w:val="21"/>
            <w:szCs w:val="21"/>
          </w:rPr>
          <w:tab/>
        </w:r>
        <w:r w:rsidRPr="00544B23">
          <w:rPr>
            <w:rFonts w:ascii="Aptos" w:hAnsi="Aptos"/>
            <w:webHidden/>
            <w:sz w:val="21"/>
            <w:szCs w:val="21"/>
          </w:rPr>
          <w:fldChar w:fldCharType="begin"/>
        </w:r>
        <w:r w:rsidRPr="00544B23">
          <w:rPr>
            <w:rFonts w:ascii="Aptos" w:hAnsi="Aptos"/>
            <w:webHidden/>
            <w:sz w:val="21"/>
            <w:szCs w:val="21"/>
          </w:rPr>
          <w:instrText xml:space="preserve"> PAGEREF _Toc201330520 \h </w:instrText>
        </w:r>
        <w:r w:rsidRPr="00544B23">
          <w:rPr>
            <w:rFonts w:ascii="Aptos" w:hAnsi="Aptos"/>
            <w:webHidden/>
            <w:sz w:val="21"/>
            <w:szCs w:val="21"/>
          </w:rPr>
        </w:r>
        <w:r w:rsidRPr="00544B23">
          <w:rPr>
            <w:rFonts w:ascii="Aptos" w:hAnsi="Aptos"/>
            <w:webHidden/>
            <w:sz w:val="21"/>
            <w:szCs w:val="21"/>
          </w:rPr>
          <w:fldChar w:fldCharType="separate"/>
        </w:r>
        <w:r w:rsidR="0085330E">
          <w:rPr>
            <w:rFonts w:ascii="Aptos" w:hAnsi="Aptos"/>
            <w:webHidden/>
            <w:sz w:val="21"/>
            <w:szCs w:val="21"/>
          </w:rPr>
          <w:t>52</w:t>
        </w:r>
        <w:r w:rsidRPr="00544B23">
          <w:rPr>
            <w:rFonts w:ascii="Aptos" w:hAnsi="Aptos"/>
            <w:webHidden/>
            <w:sz w:val="21"/>
            <w:szCs w:val="21"/>
          </w:rPr>
          <w:fldChar w:fldCharType="end"/>
        </w:r>
      </w:hyperlink>
    </w:p>
    <w:p w14:paraId="063288FF" w14:textId="010E8F64" w:rsidR="007F4E24" w:rsidRPr="00544B23" w:rsidRDefault="007F4E24" w:rsidP="00804CFF">
      <w:pPr>
        <w:pStyle w:val="TM3"/>
        <w:rPr>
          <w:rFonts w:eastAsiaTheme="minorEastAsia"/>
          <w:noProof/>
          <w:kern w:val="2"/>
          <w:sz w:val="21"/>
          <w:szCs w:val="21"/>
          <w:lang w:eastAsia="fr-CA"/>
          <w14:ligatures w14:val="standardContextual"/>
        </w:rPr>
      </w:pPr>
      <w:hyperlink w:anchor="_Toc201330521" w:history="1">
        <w:r w:rsidRPr="00544B23">
          <w:rPr>
            <w:rStyle w:val="Lienhypertexte"/>
            <w:noProof/>
            <w:color w:val="auto"/>
            <w:sz w:val="21"/>
            <w:szCs w:val="21"/>
          </w:rPr>
          <w:t>3.1.1</w:t>
        </w:r>
        <w:r w:rsidRPr="00544B23">
          <w:rPr>
            <w:rFonts w:eastAsiaTheme="minorEastAsia"/>
            <w:noProof/>
            <w:kern w:val="2"/>
            <w:sz w:val="21"/>
            <w:szCs w:val="21"/>
            <w:lang w:eastAsia="fr-CA"/>
            <w14:ligatures w14:val="standardContextual"/>
          </w:rPr>
          <w:tab/>
        </w:r>
        <w:r w:rsidRPr="00544B23">
          <w:rPr>
            <w:rStyle w:val="Lienhypertexte"/>
            <w:noProof/>
            <w:color w:val="auto"/>
            <w:sz w:val="21"/>
            <w:szCs w:val="21"/>
          </w:rPr>
          <w:t>L’intérêt de l’enfant : une évaluation inégale des éléments qui le déterminent</w:t>
        </w:r>
        <w:r w:rsidRPr="00544B23">
          <w:rPr>
            <w:noProof/>
            <w:webHidden/>
            <w:sz w:val="21"/>
            <w:szCs w:val="21"/>
          </w:rPr>
          <w:tab/>
        </w:r>
        <w:r w:rsidRPr="00544B23">
          <w:rPr>
            <w:noProof/>
            <w:webHidden/>
            <w:sz w:val="21"/>
            <w:szCs w:val="21"/>
          </w:rPr>
          <w:fldChar w:fldCharType="begin"/>
        </w:r>
        <w:r w:rsidRPr="00544B23">
          <w:rPr>
            <w:noProof/>
            <w:webHidden/>
            <w:sz w:val="21"/>
            <w:szCs w:val="21"/>
          </w:rPr>
          <w:instrText xml:space="preserve"> PAGEREF _Toc201330521 \h </w:instrText>
        </w:r>
        <w:r w:rsidRPr="00544B23">
          <w:rPr>
            <w:noProof/>
            <w:webHidden/>
            <w:sz w:val="21"/>
            <w:szCs w:val="21"/>
          </w:rPr>
        </w:r>
        <w:r w:rsidRPr="00544B23">
          <w:rPr>
            <w:noProof/>
            <w:webHidden/>
            <w:sz w:val="21"/>
            <w:szCs w:val="21"/>
          </w:rPr>
          <w:fldChar w:fldCharType="separate"/>
        </w:r>
        <w:r w:rsidR="0085330E">
          <w:rPr>
            <w:noProof/>
            <w:webHidden/>
            <w:sz w:val="21"/>
            <w:szCs w:val="21"/>
          </w:rPr>
          <w:t>52</w:t>
        </w:r>
        <w:r w:rsidRPr="00544B23">
          <w:rPr>
            <w:noProof/>
            <w:webHidden/>
            <w:sz w:val="21"/>
            <w:szCs w:val="21"/>
          </w:rPr>
          <w:fldChar w:fldCharType="end"/>
        </w:r>
      </w:hyperlink>
    </w:p>
    <w:p w14:paraId="5BBE57F5" w14:textId="55E4E29E" w:rsidR="007F4E24" w:rsidRPr="00544B23" w:rsidRDefault="007F4E24" w:rsidP="00804CFF">
      <w:pPr>
        <w:pStyle w:val="TM3"/>
        <w:ind w:left="1276" w:hanging="709"/>
        <w:rPr>
          <w:rFonts w:eastAsiaTheme="minorEastAsia"/>
          <w:noProof/>
          <w:kern w:val="2"/>
          <w:sz w:val="21"/>
          <w:szCs w:val="21"/>
          <w:lang w:eastAsia="fr-CA"/>
          <w14:ligatures w14:val="standardContextual"/>
        </w:rPr>
      </w:pPr>
      <w:hyperlink w:anchor="_Toc201330522" w:history="1">
        <w:r w:rsidRPr="00544B23">
          <w:rPr>
            <w:rStyle w:val="Lienhypertexte"/>
            <w:noProof/>
            <w:color w:val="auto"/>
            <w:sz w:val="21"/>
            <w:szCs w:val="21"/>
          </w:rPr>
          <w:t>3.1.2</w:t>
        </w:r>
        <w:r w:rsidRPr="00544B23">
          <w:rPr>
            <w:rFonts w:eastAsiaTheme="minorEastAsia"/>
            <w:noProof/>
            <w:kern w:val="2"/>
            <w:sz w:val="21"/>
            <w:szCs w:val="21"/>
            <w:lang w:eastAsia="fr-CA"/>
            <w14:ligatures w14:val="standardContextual"/>
          </w:rPr>
          <w:tab/>
        </w:r>
        <w:r w:rsidRPr="00544B23">
          <w:rPr>
            <w:rStyle w:val="Lienhypertexte"/>
            <w:noProof/>
            <w:color w:val="auto"/>
            <w:sz w:val="21"/>
            <w:szCs w:val="21"/>
          </w:rPr>
          <w:t>Le droit à la stabilité des liens et à des conditions de vie appropriées à ses besoins et à son âge : une appréciation de la situation relativement complète, mais qui tarde trop souvent</w:t>
        </w:r>
        <w:r w:rsidRPr="00544B23">
          <w:rPr>
            <w:noProof/>
            <w:webHidden/>
            <w:sz w:val="21"/>
            <w:szCs w:val="21"/>
          </w:rPr>
          <w:tab/>
        </w:r>
        <w:r w:rsidRPr="00544B23">
          <w:rPr>
            <w:noProof/>
            <w:webHidden/>
            <w:sz w:val="21"/>
            <w:szCs w:val="21"/>
          </w:rPr>
          <w:fldChar w:fldCharType="begin"/>
        </w:r>
        <w:r w:rsidRPr="00544B23">
          <w:rPr>
            <w:noProof/>
            <w:webHidden/>
            <w:sz w:val="21"/>
            <w:szCs w:val="21"/>
          </w:rPr>
          <w:instrText xml:space="preserve"> PAGEREF _Toc201330522 \h </w:instrText>
        </w:r>
        <w:r w:rsidRPr="00544B23">
          <w:rPr>
            <w:noProof/>
            <w:webHidden/>
            <w:sz w:val="21"/>
            <w:szCs w:val="21"/>
          </w:rPr>
        </w:r>
        <w:r w:rsidRPr="00544B23">
          <w:rPr>
            <w:noProof/>
            <w:webHidden/>
            <w:sz w:val="21"/>
            <w:szCs w:val="21"/>
          </w:rPr>
          <w:fldChar w:fldCharType="separate"/>
        </w:r>
        <w:r w:rsidR="0085330E">
          <w:rPr>
            <w:noProof/>
            <w:webHidden/>
            <w:sz w:val="21"/>
            <w:szCs w:val="21"/>
          </w:rPr>
          <w:t>53</w:t>
        </w:r>
        <w:r w:rsidRPr="00544B23">
          <w:rPr>
            <w:noProof/>
            <w:webHidden/>
            <w:sz w:val="21"/>
            <w:szCs w:val="21"/>
          </w:rPr>
          <w:fldChar w:fldCharType="end"/>
        </w:r>
      </w:hyperlink>
    </w:p>
    <w:p w14:paraId="30412A1F" w14:textId="712EB21A" w:rsidR="007F4E24" w:rsidRPr="00544B23" w:rsidRDefault="007F4E24" w:rsidP="00804CFF">
      <w:pPr>
        <w:pStyle w:val="TM3"/>
        <w:ind w:left="1276" w:hanging="709"/>
        <w:rPr>
          <w:rFonts w:eastAsiaTheme="minorEastAsia"/>
          <w:noProof/>
          <w:kern w:val="2"/>
          <w:sz w:val="21"/>
          <w:szCs w:val="21"/>
          <w:lang w:eastAsia="fr-CA"/>
          <w14:ligatures w14:val="standardContextual"/>
        </w:rPr>
      </w:pPr>
      <w:hyperlink w:anchor="_Toc201330523" w:history="1">
        <w:r w:rsidRPr="00544B23">
          <w:rPr>
            <w:rStyle w:val="Lienhypertexte"/>
            <w:noProof/>
            <w:color w:val="auto"/>
            <w:sz w:val="21"/>
            <w:szCs w:val="21"/>
          </w:rPr>
          <w:t>3.1.3</w:t>
        </w:r>
        <w:r w:rsidRPr="00544B23">
          <w:rPr>
            <w:rFonts w:eastAsiaTheme="minorEastAsia"/>
            <w:noProof/>
            <w:kern w:val="2"/>
            <w:sz w:val="21"/>
            <w:szCs w:val="21"/>
            <w:lang w:eastAsia="fr-CA"/>
            <w14:ligatures w14:val="standardContextual"/>
          </w:rPr>
          <w:tab/>
        </w:r>
        <w:r w:rsidRPr="00544B23">
          <w:rPr>
            <w:rStyle w:val="Lienhypertexte"/>
            <w:noProof/>
            <w:color w:val="auto"/>
            <w:sz w:val="21"/>
            <w:szCs w:val="21"/>
          </w:rPr>
          <w:t xml:space="preserve">Le droit à la participation active des enfants et le droit d’être entendus : les plus jeunes encore trop peu </w:t>
        </w:r>
        <w:r w:rsidR="00AD43A1">
          <w:rPr>
            <w:rStyle w:val="Lienhypertexte"/>
            <w:noProof/>
            <w:color w:val="auto"/>
            <w:sz w:val="21"/>
            <w:szCs w:val="21"/>
          </w:rPr>
          <w:t>entendus</w:t>
        </w:r>
        <w:r w:rsidRPr="00544B23">
          <w:rPr>
            <w:noProof/>
            <w:webHidden/>
            <w:sz w:val="21"/>
            <w:szCs w:val="21"/>
          </w:rPr>
          <w:tab/>
        </w:r>
        <w:r w:rsidRPr="00544B23">
          <w:rPr>
            <w:noProof/>
            <w:webHidden/>
            <w:sz w:val="21"/>
            <w:szCs w:val="21"/>
          </w:rPr>
          <w:fldChar w:fldCharType="begin"/>
        </w:r>
        <w:r w:rsidRPr="00544B23">
          <w:rPr>
            <w:noProof/>
            <w:webHidden/>
            <w:sz w:val="21"/>
            <w:szCs w:val="21"/>
          </w:rPr>
          <w:instrText xml:space="preserve"> PAGEREF _Toc201330523 \h </w:instrText>
        </w:r>
        <w:r w:rsidRPr="00544B23">
          <w:rPr>
            <w:noProof/>
            <w:webHidden/>
            <w:sz w:val="21"/>
            <w:szCs w:val="21"/>
          </w:rPr>
        </w:r>
        <w:r w:rsidRPr="00544B23">
          <w:rPr>
            <w:noProof/>
            <w:webHidden/>
            <w:sz w:val="21"/>
            <w:szCs w:val="21"/>
          </w:rPr>
          <w:fldChar w:fldCharType="separate"/>
        </w:r>
        <w:r w:rsidR="0085330E">
          <w:rPr>
            <w:noProof/>
            <w:webHidden/>
            <w:sz w:val="21"/>
            <w:szCs w:val="21"/>
          </w:rPr>
          <w:t>54</w:t>
        </w:r>
        <w:r w:rsidRPr="00544B23">
          <w:rPr>
            <w:noProof/>
            <w:webHidden/>
            <w:sz w:val="21"/>
            <w:szCs w:val="21"/>
          </w:rPr>
          <w:fldChar w:fldCharType="end"/>
        </w:r>
      </w:hyperlink>
    </w:p>
    <w:p w14:paraId="4EF9B21D" w14:textId="1435C944" w:rsidR="007F4E24" w:rsidRPr="00544B23" w:rsidRDefault="007F4E24" w:rsidP="00804CFF">
      <w:pPr>
        <w:pStyle w:val="TM2"/>
        <w:rPr>
          <w:rFonts w:ascii="Aptos" w:eastAsiaTheme="minorEastAsia" w:hAnsi="Aptos"/>
          <w:bCs w:val="0"/>
          <w:kern w:val="2"/>
          <w:sz w:val="21"/>
          <w:szCs w:val="21"/>
          <w:lang w:eastAsia="fr-CA"/>
          <w14:ligatures w14:val="standardContextual"/>
        </w:rPr>
      </w:pPr>
      <w:hyperlink w:anchor="_Toc201330524" w:history="1">
        <w:r w:rsidRPr="00544B23">
          <w:rPr>
            <w:rStyle w:val="Lienhypertexte"/>
            <w:rFonts w:ascii="Aptos" w:hAnsi="Aptos"/>
            <w:color w:val="auto"/>
            <w:sz w:val="21"/>
            <w:szCs w:val="21"/>
          </w:rPr>
          <w:t>3.2</w:t>
        </w:r>
        <w:r w:rsidRPr="00544B23">
          <w:rPr>
            <w:rFonts w:ascii="Aptos" w:eastAsiaTheme="minorEastAsia" w:hAnsi="Aptos"/>
            <w:bCs w:val="0"/>
            <w:kern w:val="2"/>
            <w:sz w:val="21"/>
            <w:szCs w:val="21"/>
            <w:lang w:eastAsia="fr-CA"/>
            <w14:ligatures w14:val="standardContextual"/>
          </w:rPr>
          <w:tab/>
        </w:r>
        <w:r w:rsidRPr="00544B23">
          <w:rPr>
            <w:rStyle w:val="Lienhypertexte"/>
            <w:rFonts w:ascii="Aptos" w:hAnsi="Aptos"/>
            <w:color w:val="auto"/>
            <w:sz w:val="21"/>
            <w:szCs w:val="21"/>
          </w:rPr>
          <w:t>Les parents de l’enfant retiré de son milieu familial : leur rôle pour assurer sa stabilité insuffisamment prise en compte dans la mise en œuvre de la réforme</w:t>
        </w:r>
        <w:r w:rsidRPr="00544B23">
          <w:rPr>
            <w:rFonts w:ascii="Aptos" w:hAnsi="Aptos"/>
            <w:webHidden/>
            <w:sz w:val="21"/>
            <w:szCs w:val="21"/>
          </w:rPr>
          <w:tab/>
        </w:r>
        <w:r w:rsidRPr="00544B23">
          <w:rPr>
            <w:rFonts w:ascii="Aptos" w:hAnsi="Aptos"/>
            <w:webHidden/>
            <w:sz w:val="21"/>
            <w:szCs w:val="21"/>
          </w:rPr>
          <w:fldChar w:fldCharType="begin"/>
        </w:r>
        <w:r w:rsidRPr="00544B23">
          <w:rPr>
            <w:rFonts w:ascii="Aptos" w:hAnsi="Aptos"/>
            <w:webHidden/>
            <w:sz w:val="21"/>
            <w:szCs w:val="21"/>
          </w:rPr>
          <w:instrText xml:space="preserve"> PAGEREF _Toc201330524 \h </w:instrText>
        </w:r>
        <w:r w:rsidRPr="00544B23">
          <w:rPr>
            <w:rFonts w:ascii="Aptos" w:hAnsi="Aptos"/>
            <w:webHidden/>
            <w:sz w:val="21"/>
            <w:szCs w:val="21"/>
          </w:rPr>
        </w:r>
        <w:r w:rsidRPr="00544B23">
          <w:rPr>
            <w:rFonts w:ascii="Aptos" w:hAnsi="Aptos"/>
            <w:webHidden/>
            <w:sz w:val="21"/>
            <w:szCs w:val="21"/>
          </w:rPr>
          <w:fldChar w:fldCharType="separate"/>
        </w:r>
        <w:r w:rsidR="0085330E">
          <w:rPr>
            <w:rFonts w:ascii="Aptos" w:hAnsi="Aptos"/>
            <w:webHidden/>
            <w:sz w:val="21"/>
            <w:szCs w:val="21"/>
          </w:rPr>
          <w:t>54</w:t>
        </w:r>
        <w:r w:rsidRPr="00544B23">
          <w:rPr>
            <w:rFonts w:ascii="Aptos" w:hAnsi="Aptos"/>
            <w:webHidden/>
            <w:sz w:val="21"/>
            <w:szCs w:val="21"/>
          </w:rPr>
          <w:fldChar w:fldCharType="end"/>
        </w:r>
      </w:hyperlink>
    </w:p>
    <w:p w14:paraId="5C32EDFB" w14:textId="64496AF5" w:rsidR="007F4E24" w:rsidRPr="00544B23" w:rsidRDefault="007F4E24" w:rsidP="00804CFF">
      <w:pPr>
        <w:pStyle w:val="TM3"/>
        <w:ind w:left="1276" w:hanging="709"/>
        <w:rPr>
          <w:rFonts w:eastAsiaTheme="minorEastAsia"/>
          <w:noProof/>
          <w:kern w:val="2"/>
          <w:sz w:val="21"/>
          <w:szCs w:val="21"/>
          <w:lang w:eastAsia="fr-CA"/>
          <w14:ligatures w14:val="standardContextual"/>
        </w:rPr>
      </w:pPr>
      <w:hyperlink w:anchor="_Toc201330525" w:history="1">
        <w:r w:rsidRPr="00544B23">
          <w:rPr>
            <w:rStyle w:val="Lienhypertexte"/>
            <w:noProof/>
            <w:color w:val="auto"/>
            <w:sz w:val="21"/>
            <w:szCs w:val="21"/>
          </w:rPr>
          <w:t>3.2.1</w:t>
        </w:r>
        <w:r w:rsidRPr="00544B23">
          <w:rPr>
            <w:rFonts w:eastAsiaTheme="minorEastAsia"/>
            <w:noProof/>
            <w:kern w:val="2"/>
            <w:sz w:val="21"/>
            <w:szCs w:val="21"/>
            <w:lang w:eastAsia="fr-CA"/>
            <w14:ligatures w14:val="standardContextual"/>
          </w:rPr>
          <w:tab/>
        </w:r>
        <w:r w:rsidRPr="00544B23">
          <w:rPr>
            <w:rStyle w:val="Lienhypertexte"/>
            <w:noProof/>
            <w:color w:val="auto"/>
            <w:sz w:val="21"/>
            <w:szCs w:val="21"/>
          </w:rPr>
          <w:t>Le droit des parents d’être impliqués pour exercer leurs responsabilités parentales : une évaluation de la capacité qui ne considère pas suffisamment les services dont ils ont besoin</w:t>
        </w:r>
        <w:r w:rsidRPr="00544B23">
          <w:rPr>
            <w:noProof/>
            <w:webHidden/>
            <w:sz w:val="21"/>
            <w:szCs w:val="21"/>
          </w:rPr>
          <w:tab/>
        </w:r>
        <w:r w:rsidRPr="00544B23">
          <w:rPr>
            <w:noProof/>
            <w:webHidden/>
            <w:sz w:val="21"/>
            <w:szCs w:val="21"/>
          </w:rPr>
          <w:fldChar w:fldCharType="begin"/>
        </w:r>
        <w:r w:rsidRPr="00544B23">
          <w:rPr>
            <w:noProof/>
            <w:webHidden/>
            <w:sz w:val="21"/>
            <w:szCs w:val="21"/>
          </w:rPr>
          <w:instrText xml:space="preserve"> PAGEREF _Toc201330525 \h </w:instrText>
        </w:r>
        <w:r w:rsidRPr="00544B23">
          <w:rPr>
            <w:noProof/>
            <w:webHidden/>
            <w:sz w:val="21"/>
            <w:szCs w:val="21"/>
          </w:rPr>
        </w:r>
        <w:r w:rsidRPr="00544B23">
          <w:rPr>
            <w:noProof/>
            <w:webHidden/>
            <w:sz w:val="21"/>
            <w:szCs w:val="21"/>
          </w:rPr>
          <w:fldChar w:fldCharType="separate"/>
        </w:r>
        <w:r w:rsidR="0085330E">
          <w:rPr>
            <w:noProof/>
            <w:webHidden/>
            <w:sz w:val="21"/>
            <w:szCs w:val="21"/>
          </w:rPr>
          <w:t>54</w:t>
        </w:r>
        <w:r w:rsidRPr="00544B23">
          <w:rPr>
            <w:noProof/>
            <w:webHidden/>
            <w:sz w:val="21"/>
            <w:szCs w:val="21"/>
          </w:rPr>
          <w:fldChar w:fldCharType="end"/>
        </w:r>
      </w:hyperlink>
    </w:p>
    <w:p w14:paraId="28E0A228" w14:textId="6074631E" w:rsidR="007F4E24" w:rsidRPr="00544B23" w:rsidRDefault="007F4E24" w:rsidP="00804CFF">
      <w:pPr>
        <w:pStyle w:val="TM3"/>
        <w:ind w:left="1276" w:hanging="709"/>
        <w:rPr>
          <w:rStyle w:val="Lienhypertexte"/>
          <w:noProof/>
          <w:color w:val="auto"/>
          <w:sz w:val="21"/>
          <w:szCs w:val="21"/>
        </w:rPr>
      </w:pPr>
      <w:hyperlink w:anchor="_Toc201330526" w:history="1">
        <w:r w:rsidRPr="00544B23">
          <w:rPr>
            <w:rStyle w:val="Lienhypertexte"/>
            <w:noProof/>
            <w:color w:val="auto"/>
            <w:sz w:val="21"/>
            <w:szCs w:val="21"/>
          </w:rPr>
          <w:t>3.2.2</w:t>
        </w:r>
        <w:r w:rsidRPr="00544B23">
          <w:rPr>
            <w:rFonts w:eastAsiaTheme="minorEastAsia"/>
            <w:noProof/>
            <w:kern w:val="2"/>
            <w:sz w:val="21"/>
            <w:szCs w:val="21"/>
            <w:lang w:eastAsia="fr-CA"/>
            <w14:ligatures w14:val="standardContextual"/>
          </w:rPr>
          <w:tab/>
        </w:r>
        <w:r w:rsidRPr="00544B23">
          <w:rPr>
            <w:rStyle w:val="Lienhypertexte"/>
            <w:noProof/>
            <w:color w:val="auto"/>
            <w:sz w:val="21"/>
            <w:szCs w:val="21"/>
          </w:rPr>
          <w:t>Le droit des parents de participer aux décisions concernant leur enfant : une participation assurée aux décisions, mais une adhésion variable au choix du projet de vie</w:t>
        </w:r>
        <w:r w:rsidRPr="00544B23">
          <w:rPr>
            <w:noProof/>
            <w:webHidden/>
            <w:sz w:val="21"/>
            <w:szCs w:val="21"/>
          </w:rPr>
          <w:tab/>
        </w:r>
        <w:r w:rsidRPr="00544B23">
          <w:rPr>
            <w:noProof/>
            <w:webHidden/>
            <w:sz w:val="21"/>
            <w:szCs w:val="21"/>
          </w:rPr>
          <w:fldChar w:fldCharType="begin"/>
        </w:r>
        <w:r w:rsidRPr="00544B23">
          <w:rPr>
            <w:noProof/>
            <w:webHidden/>
            <w:sz w:val="21"/>
            <w:szCs w:val="21"/>
          </w:rPr>
          <w:instrText xml:space="preserve"> PAGEREF _Toc201330526 \h </w:instrText>
        </w:r>
        <w:r w:rsidRPr="00544B23">
          <w:rPr>
            <w:noProof/>
            <w:webHidden/>
            <w:sz w:val="21"/>
            <w:szCs w:val="21"/>
          </w:rPr>
        </w:r>
        <w:r w:rsidRPr="00544B23">
          <w:rPr>
            <w:noProof/>
            <w:webHidden/>
            <w:sz w:val="21"/>
            <w:szCs w:val="21"/>
          </w:rPr>
          <w:fldChar w:fldCharType="separate"/>
        </w:r>
        <w:r w:rsidR="0085330E">
          <w:rPr>
            <w:noProof/>
            <w:webHidden/>
            <w:sz w:val="21"/>
            <w:szCs w:val="21"/>
          </w:rPr>
          <w:t>55</w:t>
        </w:r>
        <w:r w:rsidRPr="00544B23">
          <w:rPr>
            <w:noProof/>
            <w:webHidden/>
            <w:sz w:val="21"/>
            <w:szCs w:val="21"/>
          </w:rPr>
          <w:fldChar w:fldCharType="end"/>
        </w:r>
      </w:hyperlink>
    </w:p>
    <w:p w14:paraId="51F6DA49" w14:textId="77777777" w:rsidR="007F4E24" w:rsidRPr="00544B23" w:rsidRDefault="007F4E24" w:rsidP="00804CFF">
      <w:pPr>
        <w:jc w:val="left"/>
        <w:rPr>
          <w:noProof/>
          <w:sz w:val="21"/>
          <w:szCs w:val="21"/>
        </w:rPr>
      </w:pPr>
    </w:p>
    <w:p w14:paraId="3AEB622E" w14:textId="77777777" w:rsidR="007F4E24" w:rsidRPr="00544B23" w:rsidRDefault="007F4E24" w:rsidP="00804CFF">
      <w:pPr>
        <w:jc w:val="left"/>
        <w:rPr>
          <w:noProof/>
          <w:sz w:val="21"/>
          <w:szCs w:val="21"/>
        </w:rPr>
      </w:pPr>
    </w:p>
    <w:p w14:paraId="4CB9A88E" w14:textId="0DFB1DEA" w:rsidR="007F4E24" w:rsidRPr="00544B23" w:rsidRDefault="007F4E24" w:rsidP="00804CFF">
      <w:pPr>
        <w:pStyle w:val="TM1"/>
        <w:rPr>
          <w:rStyle w:val="Lienhypertexte"/>
          <w:color w:val="auto"/>
          <w:sz w:val="21"/>
          <w:szCs w:val="21"/>
        </w:rPr>
      </w:pPr>
      <w:hyperlink w:anchor="_Toc201330527" w:history="1">
        <w:r w:rsidRPr="00544B23">
          <w:rPr>
            <w:rStyle w:val="Lienhypertexte"/>
            <w:color w:val="auto"/>
            <w:sz w:val="21"/>
            <w:szCs w:val="21"/>
          </w:rPr>
          <w:t>4.</w:t>
        </w:r>
        <w:r w:rsidRPr="00544B23">
          <w:rPr>
            <w:rFonts w:eastAsiaTheme="minorEastAsia"/>
            <w:b w:val="0"/>
            <w:bCs w:val="0"/>
            <w:caps w:val="0"/>
            <w:kern w:val="2"/>
            <w:sz w:val="21"/>
            <w:szCs w:val="21"/>
            <w:lang w:eastAsia="fr-CA"/>
            <w14:ligatures w14:val="standardContextual"/>
          </w:rPr>
          <w:tab/>
        </w:r>
        <w:r w:rsidRPr="00544B23">
          <w:rPr>
            <w:rStyle w:val="Lienhypertexte"/>
            <w:color w:val="auto"/>
            <w:sz w:val="21"/>
            <w:szCs w:val="21"/>
          </w:rPr>
          <w:t>L</w:t>
        </w:r>
        <w:r w:rsidR="00544B23" w:rsidRPr="00544B23">
          <w:rPr>
            <w:rStyle w:val="Lienhypertexte"/>
            <w:caps w:val="0"/>
            <w:color w:val="auto"/>
            <w:sz w:val="21"/>
            <w:szCs w:val="21"/>
          </w:rPr>
          <w:t xml:space="preserve">es actions à entreprendre pour améliorer la mise en œuvre des dispositions de la </w:t>
        </w:r>
        <w:r w:rsidR="00544B23">
          <w:rPr>
            <w:rStyle w:val="Lienhypertexte"/>
            <w:caps w:val="0"/>
            <w:color w:val="auto"/>
            <w:sz w:val="21"/>
            <w:szCs w:val="21"/>
          </w:rPr>
          <w:t>LPJ</w:t>
        </w:r>
        <w:r w:rsidR="000C79EA">
          <w:rPr>
            <w:rStyle w:val="Lienhypertexte"/>
            <w:caps w:val="0"/>
            <w:color w:val="auto"/>
            <w:sz w:val="21"/>
            <w:szCs w:val="21"/>
          </w:rPr>
          <w:t xml:space="preserve"> </w:t>
        </w:r>
        <w:r w:rsidR="00544B23" w:rsidRPr="00544B23">
          <w:rPr>
            <w:rStyle w:val="Lienhypertexte"/>
            <w:caps w:val="0"/>
            <w:color w:val="auto"/>
            <w:sz w:val="21"/>
            <w:szCs w:val="21"/>
          </w:rPr>
          <w:t>relatives à la stabilité des liens et des conditions de vie de l’enfant confié à un milieu de vie substitut jusqu’à la majorité</w:t>
        </w:r>
        <w:r w:rsidRPr="00544B23">
          <w:rPr>
            <w:b w:val="0"/>
            <w:bCs w:val="0"/>
            <w:webHidden/>
            <w:sz w:val="21"/>
            <w:szCs w:val="21"/>
          </w:rPr>
          <w:tab/>
        </w:r>
        <w:r w:rsidRPr="00544B23">
          <w:rPr>
            <w:b w:val="0"/>
            <w:bCs w:val="0"/>
            <w:webHidden/>
            <w:sz w:val="21"/>
            <w:szCs w:val="21"/>
          </w:rPr>
          <w:fldChar w:fldCharType="begin"/>
        </w:r>
        <w:r w:rsidRPr="00544B23">
          <w:rPr>
            <w:b w:val="0"/>
            <w:bCs w:val="0"/>
            <w:webHidden/>
            <w:sz w:val="21"/>
            <w:szCs w:val="21"/>
          </w:rPr>
          <w:instrText xml:space="preserve"> PAGEREF _Toc201330527 \h </w:instrText>
        </w:r>
        <w:r w:rsidRPr="00544B23">
          <w:rPr>
            <w:b w:val="0"/>
            <w:bCs w:val="0"/>
            <w:webHidden/>
            <w:sz w:val="21"/>
            <w:szCs w:val="21"/>
          </w:rPr>
        </w:r>
        <w:r w:rsidRPr="00544B23">
          <w:rPr>
            <w:b w:val="0"/>
            <w:bCs w:val="0"/>
            <w:webHidden/>
            <w:sz w:val="21"/>
            <w:szCs w:val="21"/>
          </w:rPr>
          <w:fldChar w:fldCharType="separate"/>
        </w:r>
        <w:r w:rsidR="0085330E">
          <w:rPr>
            <w:b w:val="0"/>
            <w:bCs w:val="0"/>
            <w:webHidden/>
            <w:sz w:val="21"/>
            <w:szCs w:val="21"/>
          </w:rPr>
          <w:t>56</w:t>
        </w:r>
        <w:r w:rsidRPr="00544B23">
          <w:rPr>
            <w:b w:val="0"/>
            <w:bCs w:val="0"/>
            <w:webHidden/>
            <w:sz w:val="21"/>
            <w:szCs w:val="21"/>
          </w:rPr>
          <w:fldChar w:fldCharType="end"/>
        </w:r>
      </w:hyperlink>
    </w:p>
    <w:p w14:paraId="0721F11B" w14:textId="77777777" w:rsidR="007F4E24" w:rsidRPr="00544B23" w:rsidRDefault="007F4E24" w:rsidP="00804CFF">
      <w:pPr>
        <w:jc w:val="left"/>
        <w:rPr>
          <w:noProof/>
          <w:sz w:val="21"/>
          <w:szCs w:val="21"/>
        </w:rPr>
      </w:pPr>
    </w:p>
    <w:p w14:paraId="09842921" w14:textId="15D94C10" w:rsidR="007F4E24" w:rsidRPr="00544B23" w:rsidRDefault="007F4E24" w:rsidP="00804CFF">
      <w:pPr>
        <w:pStyle w:val="TM2"/>
        <w:rPr>
          <w:rFonts w:ascii="Aptos" w:eastAsiaTheme="minorEastAsia" w:hAnsi="Aptos"/>
          <w:bCs w:val="0"/>
          <w:kern w:val="2"/>
          <w:sz w:val="21"/>
          <w:szCs w:val="21"/>
          <w:lang w:eastAsia="fr-CA"/>
          <w14:ligatures w14:val="standardContextual"/>
        </w:rPr>
      </w:pPr>
      <w:hyperlink w:anchor="_Toc201330528" w:history="1">
        <w:r w:rsidRPr="00544B23">
          <w:rPr>
            <w:rStyle w:val="Lienhypertexte"/>
            <w:rFonts w:ascii="Aptos" w:hAnsi="Aptos"/>
            <w:color w:val="auto"/>
            <w:sz w:val="21"/>
            <w:szCs w:val="21"/>
          </w:rPr>
          <w:t>4.1</w:t>
        </w:r>
        <w:r w:rsidRPr="00544B23">
          <w:rPr>
            <w:rFonts w:ascii="Aptos" w:eastAsiaTheme="minorEastAsia" w:hAnsi="Aptos"/>
            <w:bCs w:val="0"/>
            <w:kern w:val="2"/>
            <w:sz w:val="21"/>
            <w:szCs w:val="21"/>
            <w:lang w:eastAsia="fr-CA"/>
            <w14:ligatures w14:val="standardContextual"/>
          </w:rPr>
          <w:tab/>
        </w:r>
        <w:r w:rsidRPr="00544B23">
          <w:rPr>
            <w:rStyle w:val="Lienhypertexte"/>
            <w:rFonts w:ascii="Aptos" w:hAnsi="Aptos"/>
            <w:color w:val="auto"/>
            <w:sz w:val="21"/>
            <w:szCs w:val="21"/>
          </w:rPr>
          <w:t>Harmoniser et actualiser les pratiques cliniques aux dispositions de la LPJ à travers des outils et des lieux d’échanges</w:t>
        </w:r>
        <w:r w:rsidRPr="00544B23">
          <w:rPr>
            <w:rFonts w:ascii="Aptos" w:hAnsi="Aptos"/>
            <w:webHidden/>
            <w:sz w:val="21"/>
            <w:szCs w:val="21"/>
          </w:rPr>
          <w:tab/>
        </w:r>
        <w:r w:rsidRPr="00544B23">
          <w:rPr>
            <w:rFonts w:ascii="Aptos" w:hAnsi="Aptos"/>
            <w:webHidden/>
            <w:sz w:val="21"/>
            <w:szCs w:val="21"/>
          </w:rPr>
          <w:fldChar w:fldCharType="begin"/>
        </w:r>
        <w:r w:rsidRPr="00544B23">
          <w:rPr>
            <w:rFonts w:ascii="Aptos" w:hAnsi="Aptos"/>
            <w:webHidden/>
            <w:sz w:val="21"/>
            <w:szCs w:val="21"/>
          </w:rPr>
          <w:instrText xml:space="preserve"> PAGEREF _Toc201330528 \h </w:instrText>
        </w:r>
        <w:r w:rsidRPr="00544B23">
          <w:rPr>
            <w:rFonts w:ascii="Aptos" w:hAnsi="Aptos"/>
            <w:webHidden/>
            <w:sz w:val="21"/>
            <w:szCs w:val="21"/>
          </w:rPr>
        </w:r>
        <w:r w:rsidRPr="00544B23">
          <w:rPr>
            <w:rFonts w:ascii="Aptos" w:hAnsi="Aptos"/>
            <w:webHidden/>
            <w:sz w:val="21"/>
            <w:szCs w:val="21"/>
          </w:rPr>
          <w:fldChar w:fldCharType="separate"/>
        </w:r>
        <w:r w:rsidR="0085330E">
          <w:rPr>
            <w:rFonts w:ascii="Aptos" w:hAnsi="Aptos"/>
            <w:webHidden/>
            <w:sz w:val="21"/>
            <w:szCs w:val="21"/>
          </w:rPr>
          <w:t>57</w:t>
        </w:r>
        <w:r w:rsidRPr="00544B23">
          <w:rPr>
            <w:rFonts w:ascii="Aptos" w:hAnsi="Aptos"/>
            <w:webHidden/>
            <w:sz w:val="21"/>
            <w:szCs w:val="21"/>
          </w:rPr>
          <w:fldChar w:fldCharType="end"/>
        </w:r>
      </w:hyperlink>
    </w:p>
    <w:p w14:paraId="2E2A8CCA" w14:textId="79D3FD95" w:rsidR="007F4E24" w:rsidRPr="00544B23" w:rsidRDefault="007F4E24" w:rsidP="00804CFF">
      <w:pPr>
        <w:pStyle w:val="TM3"/>
        <w:rPr>
          <w:rFonts w:eastAsiaTheme="minorEastAsia"/>
          <w:noProof/>
          <w:kern w:val="2"/>
          <w:sz w:val="21"/>
          <w:szCs w:val="21"/>
          <w:lang w:eastAsia="fr-CA"/>
          <w14:ligatures w14:val="standardContextual"/>
        </w:rPr>
      </w:pPr>
      <w:hyperlink w:anchor="_Toc201330529" w:history="1">
        <w:r w:rsidRPr="00544B23">
          <w:rPr>
            <w:rStyle w:val="Lienhypertexte"/>
            <w:noProof/>
            <w:color w:val="auto"/>
            <w:sz w:val="21"/>
            <w:szCs w:val="21"/>
          </w:rPr>
          <w:t>4.1.1</w:t>
        </w:r>
        <w:r w:rsidRPr="00544B23">
          <w:rPr>
            <w:rFonts w:eastAsiaTheme="minorEastAsia"/>
            <w:noProof/>
            <w:kern w:val="2"/>
            <w:sz w:val="21"/>
            <w:szCs w:val="21"/>
            <w:lang w:eastAsia="fr-CA"/>
            <w14:ligatures w14:val="standardContextual"/>
          </w:rPr>
          <w:tab/>
        </w:r>
        <w:r w:rsidRPr="00544B23">
          <w:rPr>
            <w:rStyle w:val="Lienhypertexte"/>
            <w:noProof/>
            <w:color w:val="auto"/>
            <w:sz w:val="21"/>
            <w:szCs w:val="21"/>
          </w:rPr>
          <w:t>Des pratiques cliniques fondamentales à actualiser</w:t>
        </w:r>
        <w:r w:rsidRPr="00544B23">
          <w:rPr>
            <w:noProof/>
            <w:webHidden/>
            <w:sz w:val="21"/>
            <w:szCs w:val="21"/>
          </w:rPr>
          <w:tab/>
        </w:r>
        <w:r w:rsidRPr="00544B23">
          <w:rPr>
            <w:noProof/>
            <w:webHidden/>
            <w:sz w:val="21"/>
            <w:szCs w:val="21"/>
          </w:rPr>
          <w:fldChar w:fldCharType="begin"/>
        </w:r>
        <w:r w:rsidRPr="00544B23">
          <w:rPr>
            <w:noProof/>
            <w:webHidden/>
            <w:sz w:val="21"/>
            <w:szCs w:val="21"/>
          </w:rPr>
          <w:instrText xml:space="preserve"> PAGEREF _Toc201330529 \h </w:instrText>
        </w:r>
        <w:r w:rsidRPr="00544B23">
          <w:rPr>
            <w:noProof/>
            <w:webHidden/>
            <w:sz w:val="21"/>
            <w:szCs w:val="21"/>
          </w:rPr>
        </w:r>
        <w:r w:rsidRPr="00544B23">
          <w:rPr>
            <w:noProof/>
            <w:webHidden/>
            <w:sz w:val="21"/>
            <w:szCs w:val="21"/>
          </w:rPr>
          <w:fldChar w:fldCharType="separate"/>
        </w:r>
        <w:r w:rsidR="0085330E">
          <w:rPr>
            <w:noProof/>
            <w:webHidden/>
            <w:sz w:val="21"/>
            <w:szCs w:val="21"/>
          </w:rPr>
          <w:t>58</w:t>
        </w:r>
        <w:r w:rsidRPr="00544B23">
          <w:rPr>
            <w:noProof/>
            <w:webHidden/>
            <w:sz w:val="21"/>
            <w:szCs w:val="21"/>
          </w:rPr>
          <w:fldChar w:fldCharType="end"/>
        </w:r>
      </w:hyperlink>
    </w:p>
    <w:p w14:paraId="3167E4E5" w14:textId="1E8E1B10" w:rsidR="007F4E24" w:rsidRPr="00544B23" w:rsidRDefault="007F4E24" w:rsidP="00804CFF">
      <w:pPr>
        <w:pStyle w:val="TM5"/>
        <w:spacing w:after="0"/>
        <w:rPr>
          <w:noProof/>
          <w:sz w:val="21"/>
          <w:szCs w:val="21"/>
        </w:rPr>
      </w:pPr>
      <w:hyperlink w:anchor="_Toc201330530" w:history="1">
        <w:r w:rsidRPr="00544B23">
          <w:rPr>
            <w:rStyle w:val="Lienhypertexte"/>
            <w:noProof/>
            <w:color w:val="auto"/>
            <w:sz w:val="21"/>
            <w:szCs w:val="21"/>
          </w:rPr>
          <w:t>A.</w:t>
        </w:r>
        <w:r w:rsidRPr="00544B23">
          <w:rPr>
            <w:noProof/>
            <w:sz w:val="21"/>
            <w:szCs w:val="21"/>
          </w:rPr>
          <w:tab/>
        </w:r>
        <w:r w:rsidRPr="00544B23">
          <w:rPr>
            <w:rStyle w:val="Lienhypertexte"/>
            <w:noProof/>
            <w:color w:val="auto"/>
            <w:sz w:val="21"/>
            <w:szCs w:val="21"/>
          </w:rPr>
          <w:t>La planification du projet de vie alternatif</w:t>
        </w:r>
        <w:r w:rsidRPr="00544B23">
          <w:rPr>
            <w:noProof/>
            <w:webHidden/>
            <w:sz w:val="21"/>
            <w:szCs w:val="21"/>
          </w:rPr>
          <w:tab/>
        </w:r>
        <w:r w:rsidRPr="00544B23">
          <w:rPr>
            <w:noProof/>
            <w:webHidden/>
            <w:sz w:val="21"/>
            <w:szCs w:val="21"/>
          </w:rPr>
          <w:fldChar w:fldCharType="begin"/>
        </w:r>
        <w:r w:rsidRPr="00544B23">
          <w:rPr>
            <w:noProof/>
            <w:webHidden/>
            <w:sz w:val="21"/>
            <w:szCs w:val="21"/>
          </w:rPr>
          <w:instrText xml:space="preserve"> PAGEREF _Toc201330530 \h </w:instrText>
        </w:r>
        <w:r w:rsidRPr="00544B23">
          <w:rPr>
            <w:noProof/>
            <w:webHidden/>
            <w:sz w:val="21"/>
            <w:szCs w:val="21"/>
          </w:rPr>
        </w:r>
        <w:r w:rsidRPr="00544B23">
          <w:rPr>
            <w:noProof/>
            <w:webHidden/>
            <w:sz w:val="21"/>
            <w:szCs w:val="21"/>
          </w:rPr>
          <w:fldChar w:fldCharType="separate"/>
        </w:r>
        <w:r w:rsidR="0085330E">
          <w:rPr>
            <w:noProof/>
            <w:webHidden/>
            <w:sz w:val="21"/>
            <w:szCs w:val="21"/>
          </w:rPr>
          <w:t>58</w:t>
        </w:r>
        <w:r w:rsidRPr="00544B23">
          <w:rPr>
            <w:noProof/>
            <w:webHidden/>
            <w:sz w:val="21"/>
            <w:szCs w:val="21"/>
          </w:rPr>
          <w:fldChar w:fldCharType="end"/>
        </w:r>
      </w:hyperlink>
    </w:p>
    <w:p w14:paraId="79C4F1EA" w14:textId="3D446898" w:rsidR="007F4E24" w:rsidRPr="00544B23" w:rsidRDefault="007F4E24" w:rsidP="00804CFF">
      <w:pPr>
        <w:pStyle w:val="TM5"/>
        <w:spacing w:after="0"/>
        <w:rPr>
          <w:noProof/>
          <w:sz w:val="21"/>
          <w:szCs w:val="21"/>
        </w:rPr>
      </w:pPr>
      <w:hyperlink w:anchor="_Toc201330531" w:history="1">
        <w:r w:rsidRPr="00544B23">
          <w:rPr>
            <w:rStyle w:val="Lienhypertexte"/>
            <w:noProof/>
            <w:color w:val="auto"/>
            <w:sz w:val="21"/>
            <w:szCs w:val="21"/>
          </w:rPr>
          <w:t>B.</w:t>
        </w:r>
        <w:r w:rsidRPr="00544B23">
          <w:rPr>
            <w:noProof/>
            <w:sz w:val="21"/>
            <w:szCs w:val="21"/>
          </w:rPr>
          <w:tab/>
        </w:r>
        <w:r w:rsidRPr="00544B23">
          <w:rPr>
            <w:rStyle w:val="Lienhypertexte"/>
            <w:noProof/>
            <w:color w:val="auto"/>
            <w:sz w:val="21"/>
            <w:szCs w:val="21"/>
          </w:rPr>
          <w:t>Le choix du milieu de vie substitut</w:t>
        </w:r>
        <w:r w:rsidRPr="00544B23">
          <w:rPr>
            <w:noProof/>
            <w:webHidden/>
            <w:sz w:val="21"/>
            <w:szCs w:val="21"/>
          </w:rPr>
          <w:tab/>
        </w:r>
        <w:r w:rsidRPr="00544B23">
          <w:rPr>
            <w:noProof/>
            <w:webHidden/>
            <w:sz w:val="21"/>
            <w:szCs w:val="21"/>
          </w:rPr>
          <w:fldChar w:fldCharType="begin"/>
        </w:r>
        <w:r w:rsidRPr="00544B23">
          <w:rPr>
            <w:noProof/>
            <w:webHidden/>
            <w:sz w:val="21"/>
            <w:szCs w:val="21"/>
          </w:rPr>
          <w:instrText xml:space="preserve"> PAGEREF _Toc201330531 \h </w:instrText>
        </w:r>
        <w:r w:rsidRPr="00544B23">
          <w:rPr>
            <w:noProof/>
            <w:webHidden/>
            <w:sz w:val="21"/>
            <w:szCs w:val="21"/>
          </w:rPr>
        </w:r>
        <w:r w:rsidRPr="00544B23">
          <w:rPr>
            <w:noProof/>
            <w:webHidden/>
            <w:sz w:val="21"/>
            <w:szCs w:val="21"/>
          </w:rPr>
          <w:fldChar w:fldCharType="separate"/>
        </w:r>
        <w:r w:rsidR="0085330E">
          <w:rPr>
            <w:noProof/>
            <w:webHidden/>
            <w:sz w:val="21"/>
            <w:szCs w:val="21"/>
          </w:rPr>
          <w:t>58</w:t>
        </w:r>
        <w:r w:rsidRPr="00544B23">
          <w:rPr>
            <w:noProof/>
            <w:webHidden/>
            <w:sz w:val="21"/>
            <w:szCs w:val="21"/>
          </w:rPr>
          <w:fldChar w:fldCharType="end"/>
        </w:r>
      </w:hyperlink>
    </w:p>
    <w:p w14:paraId="13819E37" w14:textId="733663B3" w:rsidR="007F4E24" w:rsidRPr="00544B23" w:rsidRDefault="007F4E24" w:rsidP="00804CFF">
      <w:pPr>
        <w:pStyle w:val="TM5"/>
        <w:spacing w:after="0"/>
        <w:rPr>
          <w:noProof/>
          <w:sz w:val="21"/>
          <w:szCs w:val="21"/>
        </w:rPr>
      </w:pPr>
      <w:hyperlink w:anchor="_Toc201330532" w:history="1">
        <w:r w:rsidRPr="00544B23">
          <w:rPr>
            <w:rStyle w:val="Lienhypertexte"/>
            <w:noProof/>
            <w:color w:val="auto"/>
            <w:sz w:val="21"/>
            <w:szCs w:val="21"/>
          </w:rPr>
          <w:t>C.</w:t>
        </w:r>
        <w:r w:rsidRPr="00544B23">
          <w:rPr>
            <w:noProof/>
            <w:sz w:val="21"/>
            <w:szCs w:val="21"/>
          </w:rPr>
          <w:tab/>
        </w:r>
        <w:r w:rsidRPr="00544B23">
          <w:rPr>
            <w:rStyle w:val="Lienhypertexte"/>
            <w:noProof/>
            <w:color w:val="auto"/>
            <w:sz w:val="21"/>
            <w:szCs w:val="21"/>
          </w:rPr>
          <w:t>La famille d’accueil de proximité</w:t>
        </w:r>
        <w:r w:rsidRPr="00544B23">
          <w:rPr>
            <w:noProof/>
            <w:webHidden/>
            <w:sz w:val="21"/>
            <w:szCs w:val="21"/>
          </w:rPr>
          <w:tab/>
        </w:r>
        <w:r w:rsidRPr="00544B23">
          <w:rPr>
            <w:noProof/>
            <w:webHidden/>
            <w:sz w:val="21"/>
            <w:szCs w:val="21"/>
          </w:rPr>
          <w:fldChar w:fldCharType="begin"/>
        </w:r>
        <w:r w:rsidRPr="00544B23">
          <w:rPr>
            <w:noProof/>
            <w:webHidden/>
            <w:sz w:val="21"/>
            <w:szCs w:val="21"/>
          </w:rPr>
          <w:instrText xml:space="preserve"> PAGEREF _Toc201330532 \h </w:instrText>
        </w:r>
        <w:r w:rsidRPr="00544B23">
          <w:rPr>
            <w:noProof/>
            <w:webHidden/>
            <w:sz w:val="21"/>
            <w:szCs w:val="21"/>
          </w:rPr>
        </w:r>
        <w:r w:rsidRPr="00544B23">
          <w:rPr>
            <w:noProof/>
            <w:webHidden/>
            <w:sz w:val="21"/>
            <w:szCs w:val="21"/>
          </w:rPr>
          <w:fldChar w:fldCharType="separate"/>
        </w:r>
        <w:r w:rsidR="0085330E">
          <w:rPr>
            <w:noProof/>
            <w:webHidden/>
            <w:sz w:val="21"/>
            <w:szCs w:val="21"/>
          </w:rPr>
          <w:t>58</w:t>
        </w:r>
        <w:r w:rsidRPr="00544B23">
          <w:rPr>
            <w:noProof/>
            <w:webHidden/>
            <w:sz w:val="21"/>
            <w:szCs w:val="21"/>
          </w:rPr>
          <w:fldChar w:fldCharType="end"/>
        </w:r>
      </w:hyperlink>
    </w:p>
    <w:p w14:paraId="6E9F4F5D" w14:textId="57741B9A" w:rsidR="007F4E24" w:rsidRPr="00544B23" w:rsidRDefault="007F4E24" w:rsidP="00804CFF">
      <w:pPr>
        <w:pStyle w:val="TM5"/>
        <w:spacing w:after="0"/>
        <w:rPr>
          <w:noProof/>
          <w:sz w:val="21"/>
          <w:szCs w:val="21"/>
        </w:rPr>
      </w:pPr>
      <w:hyperlink w:anchor="_Toc201330533" w:history="1">
        <w:r w:rsidRPr="00544B23">
          <w:rPr>
            <w:rStyle w:val="Lienhypertexte"/>
            <w:noProof/>
            <w:color w:val="auto"/>
            <w:sz w:val="21"/>
            <w:szCs w:val="21"/>
          </w:rPr>
          <w:t>D.</w:t>
        </w:r>
        <w:r w:rsidRPr="00544B23">
          <w:rPr>
            <w:noProof/>
            <w:sz w:val="21"/>
            <w:szCs w:val="21"/>
          </w:rPr>
          <w:tab/>
        </w:r>
        <w:r w:rsidRPr="00544B23">
          <w:rPr>
            <w:rStyle w:val="Lienhypertexte"/>
            <w:noProof/>
            <w:color w:val="auto"/>
            <w:sz w:val="21"/>
            <w:szCs w:val="21"/>
          </w:rPr>
          <w:t>Le placement avec la fratrie</w:t>
        </w:r>
        <w:r w:rsidRPr="00544B23">
          <w:rPr>
            <w:noProof/>
            <w:webHidden/>
            <w:sz w:val="21"/>
            <w:szCs w:val="21"/>
          </w:rPr>
          <w:tab/>
        </w:r>
        <w:r w:rsidRPr="00544B23">
          <w:rPr>
            <w:noProof/>
            <w:webHidden/>
            <w:sz w:val="21"/>
            <w:szCs w:val="21"/>
          </w:rPr>
          <w:fldChar w:fldCharType="begin"/>
        </w:r>
        <w:r w:rsidRPr="00544B23">
          <w:rPr>
            <w:noProof/>
            <w:webHidden/>
            <w:sz w:val="21"/>
            <w:szCs w:val="21"/>
          </w:rPr>
          <w:instrText xml:space="preserve"> PAGEREF _Toc201330533 \h </w:instrText>
        </w:r>
        <w:r w:rsidRPr="00544B23">
          <w:rPr>
            <w:noProof/>
            <w:webHidden/>
            <w:sz w:val="21"/>
            <w:szCs w:val="21"/>
          </w:rPr>
        </w:r>
        <w:r w:rsidRPr="00544B23">
          <w:rPr>
            <w:noProof/>
            <w:webHidden/>
            <w:sz w:val="21"/>
            <w:szCs w:val="21"/>
          </w:rPr>
          <w:fldChar w:fldCharType="separate"/>
        </w:r>
        <w:r w:rsidR="0085330E">
          <w:rPr>
            <w:noProof/>
            <w:webHidden/>
            <w:sz w:val="21"/>
            <w:szCs w:val="21"/>
          </w:rPr>
          <w:t>59</w:t>
        </w:r>
        <w:r w:rsidRPr="00544B23">
          <w:rPr>
            <w:noProof/>
            <w:webHidden/>
            <w:sz w:val="21"/>
            <w:szCs w:val="21"/>
          </w:rPr>
          <w:fldChar w:fldCharType="end"/>
        </w:r>
      </w:hyperlink>
    </w:p>
    <w:p w14:paraId="70B48324" w14:textId="550DCAB7" w:rsidR="007F4E24" w:rsidRPr="00544B23" w:rsidRDefault="007F4E24" w:rsidP="00804CFF">
      <w:pPr>
        <w:pStyle w:val="TM5"/>
        <w:spacing w:after="0"/>
        <w:rPr>
          <w:noProof/>
          <w:sz w:val="21"/>
          <w:szCs w:val="21"/>
        </w:rPr>
      </w:pPr>
      <w:hyperlink w:anchor="_Toc201330534" w:history="1">
        <w:r w:rsidRPr="00544B23">
          <w:rPr>
            <w:rStyle w:val="Lienhypertexte"/>
            <w:noProof/>
            <w:color w:val="auto"/>
            <w:sz w:val="21"/>
            <w:szCs w:val="21"/>
          </w:rPr>
          <w:t>E.</w:t>
        </w:r>
        <w:r w:rsidRPr="00544B23">
          <w:rPr>
            <w:noProof/>
            <w:sz w:val="21"/>
            <w:szCs w:val="21"/>
          </w:rPr>
          <w:tab/>
        </w:r>
        <w:r w:rsidRPr="00544B23">
          <w:rPr>
            <w:rStyle w:val="Lienhypertexte"/>
            <w:noProof/>
            <w:color w:val="auto"/>
            <w:sz w:val="21"/>
            <w:szCs w:val="21"/>
          </w:rPr>
          <w:t>La durée totale de la période durant laquelle un enfant est confié à un milieu de vie substitu</w:t>
        </w:r>
        <w:r w:rsidR="00544B23">
          <w:rPr>
            <w:rStyle w:val="Lienhypertexte"/>
            <w:noProof/>
            <w:color w:val="auto"/>
            <w:sz w:val="21"/>
            <w:szCs w:val="21"/>
          </w:rPr>
          <w:t>t</w:t>
        </w:r>
        <w:r w:rsidRPr="00544B23">
          <w:rPr>
            <w:noProof/>
            <w:webHidden/>
            <w:sz w:val="21"/>
            <w:szCs w:val="21"/>
          </w:rPr>
          <w:tab/>
        </w:r>
        <w:r w:rsidR="00544B23">
          <w:rPr>
            <w:noProof/>
            <w:webHidden/>
            <w:sz w:val="21"/>
            <w:szCs w:val="21"/>
          </w:rPr>
          <w:tab/>
        </w:r>
        <w:r w:rsidR="00544B23">
          <w:rPr>
            <w:noProof/>
            <w:webHidden/>
            <w:sz w:val="21"/>
            <w:szCs w:val="21"/>
          </w:rPr>
          <w:tab/>
        </w:r>
        <w:r w:rsidRPr="00544B23">
          <w:rPr>
            <w:noProof/>
            <w:webHidden/>
            <w:sz w:val="21"/>
            <w:szCs w:val="21"/>
          </w:rPr>
          <w:fldChar w:fldCharType="begin"/>
        </w:r>
        <w:r w:rsidRPr="00544B23">
          <w:rPr>
            <w:noProof/>
            <w:webHidden/>
            <w:sz w:val="21"/>
            <w:szCs w:val="21"/>
          </w:rPr>
          <w:instrText xml:space="preserve"> PAGEREF _Toc201330534 \h </w:instrText>
        </w:r>
        <w:r w:rsidRPr="00544B23">
          <w:rPr>
            <w:noProof/>
            <w:webHidden/>
            <w:sz w:val="21"/>
            <w:szCs w:val="21"/>
          </w:rPr>
        </w:r>
        <w:r w:rsidRPr="00544B23">
          <w:rPr>
            <w:noProof/>
            <w:webHidden/>
            <w:sz w:val="21"/>
            <w:szCs w:val="21"/>
          </w:rPr>
          <w:fldChar w:fldCharType="separate"/>
        </w:r>
        <w:r w:rsidR="0085330E">
          <w:rPr>
            <w:noProof/>
            <w:webHidden/>
            <w:sz w:val="21"/>
            <w:szCs w:val="21"/>
          </w:rPr>
          <w:t>60</w:t>
        </w:r>
        <w:r w:rsidRPr="00544B23">
          <w:rPr>
            <w:noProof/>
            <w:webHidden/>
            <w:sz w:val="21"/>
            <w:szCs w:val="21"/>
          </w:rPr>
          <w:fldChar w:fldCharType="end"/>
        </w:r>
      </w:hyperlink>
    </w:p>
    <w:p w14:paraId="5817ECB2" w14:textId="1F677FB6" w:rsidR="007F4E24" w:rsidRPr="00544B23" w:rsidRDefault="007F4E24" w:rsidP="00804CFF">
      <w:pPr>
        <w:pStyle w:val="TM3"/>
        <w:rPr>
          <w:rFonts w:eastAsiaTheme="minorEastAsia"/>
          <w:noProof/>
          <w:kern w:val="2"/>
          <w:sz w:val="21"/>
          <w:szCs w:val="21"/>
          <w:lang w:eastAsia="fr-CA"/>
          <w14:ligatures w14:val="standardContextual"/>
        </w:rPr>
      </w:pPr>
      <w:hyperlink w:anchor="_Toc201330535" w:history="1">
        <w:r w:rsidRPr="00544B23">
          <w:rPr>
            <w:rStyle w:val="Lienhypertexte"/>
            <w:noProof/>
            <w:color w:val="auto"/>
            <w:sz w:val="21"/>
            <w:szCs w:val="21"/>
          </w:rPr>
          <w:t>4.1.2</w:t>
        </w:r>
        <w:r w:rsidR="00804CFF" w:rsidRPr="00544B23">
          <w:rPr>
            <w:rFonts w:eastAsiaTheme="minorEastAsia"/>
            <w:noProof/>
            <w:kern w:val="2"/>
            <w:sz w:val="21"/>
            <w:szCs w:val="21"/>
            <w:lang w:eastAsia="fr-CA"/>
            <w14:ligatures w14:val="standardContextual"/>
          </w:rPr>
          <w:tab/>
        </w:r>
        <w:r w:rsidRPr="00544B23">
          <w:rPr>
            <w:rStyle w:val="Lienhypertexte"/>
            <w:noProof/>
            <w:color w:val="auto"/>
            <w:sz w:val="21"/>
            <w:szCs w:val="21"/>
          </w:rPr>
          <w:t xml:space="preserve">La mise à jour du cadre de référence </w:t>
        </w:r>
        <w:r w:rsidRPr="00544B23">
          <w:rPr>
            <w:rStyle w:val="Lienhypertexte"/>
            <w:i/>
            <w:noProof/>
            <w:color w:val="auto"/>
            <w:sz w:val="21"/>
            <w:szCs w:val="21"/>
          </w:rPr>
          <w:t>Un projet de vie, des racines pour la vie</w:t>
        </w:r>
        <w:r w:rsidRPr="00544B23">
          <w:rPr>
            <w:noProof/>
            <w:webHidden/>
            <w:sz w:val="21"/>
            <w:szCs w:val="21"/>
          </w:rPr>
          <w:tab/>
        </w:r>
        <w:r w:rsidRPr="00544B23">
          <w:rPr>
            <w:noProof/>
            <w:webHidden/>
            <w:sz w:val="21"/>
            <w:szCs w:val="21"/>
          </w:rPr>
          <w:fldChar w:fldCharType="begin"/>
        </w:r>
        <w:r w:rsidRPr="00544B23">
          <w:rPr>
            <w:noProof/>
            <w:webHidden/>
            <w:sz w:val="21"/>
            <w:szCs w:val="21"/>
          </w:rPr>
          <w:instrText xml:space="preserve"> PAGEREF _Toc201330535 \h </w:instrText>
        </w:r>
        <w:r w:rsidRPr="00544B23">
          <w:rPr>
            <w:noProof/>
            <w:webHidden/>
            <w:sz w:val="21"/>
            <w:szCs w:val="21"/>
          </w:rPr>
        </w:r>
        <w:r w:rsidRPr="00544B23">
          <w:rPr>
            <w:noProof/>
            <w:webHidden/>
            <w:sz w:val="21"/>
            <w:szCs w:val="21"/>
          </w:rPr>
          <w:fldChar w:fldCharType="separate"/>
        </w:r>
        <w:r w:rsidR="0085330E">
          <w:rPr>
            <w:noProof/>
            <w:webHidden/>
            <w:sz w:val="21"/>
            <w:szCs w:val="21"/>
          </w:rPr>
          <w:t>62</w:t>
        </w:r>
        <w:r w:rsidRPr="00544B23">
          <w:rPr>
            <w:noProof/>
            <w:webHidden/>
            <w:sz w:val="21"/>
            <w:szCs w:val="21"/>
          </w:rPr>
          <w:fldChar w:fldCharType="end"/>
        </w:r>
      </w:hyperlink>
    </w:p>
    <w:p w14:paraId="28E042CE" w14:textId="3EA9AB15" w:rsidR="007F4E24" w:rsidRPr="00544B23" w:rsidRDefault="007F4E24" w:rsidP="00804CFF">
      <w:pPr>
        <w:pStyle w:val="TM3"/>
        <w:rPr>
          <w:rFonts w:eastAsiaTheme="minorEastAsia"/>
          <w:noProof/>
          <w:kern w:val="2"/>
          <w:sz w:val="21"/>
          <w:szCs w:val="21"/>
          <w:lang w:eastAsia="fr-CA"/>
          <w14:ligatures w14:val="standardContextual"/>
        </w:rPr>
      </w:pPr>
      <w:hyperlink w:anchor="_Toc201330536" w:history="1">
        <w:r w:rsidRPr="00544B23">
          <w:rPr>
            <w:rStyle w:val="Lienhypertexte"/>
            <w:noProof/>
            <w:color w:val="auto"/>
            <w:sz w:val="21"/>
            <w:szCs w:val="21"/>
          </w:rPr>
          <w:t>4.1.3</w:t>
        </w:r>
        <w:r w:rsidRPr="00544B23">
          <w:rPr>
            <w:rFonts w:eastAsiaTheme="minorEastAsia"/>
            <w:noProof/>
            <w:kern w:val="2"/>
            <w:sz w:val="21"/>
            <w:szCs w:val="21"/>
            <w:lang w:eastAsia="fr-CA"/>
            <w14:ligatures w14:val="standardContextual"/>
          </w:rPr>
          <w:tab/>
        </w:r>
        <w:r w:rsidRPr="00544B23">
          <w:rPr>
            <w:rStyle w:val="Lienhypertexte"/>
            <w:noProof/>
            <w:color w:val="auto"/>
            <w:sz w:val="21"/>
            <w:szCs w:val="21"/>
          </w:rPr>
          <w:t>La mise sur pied d’un lieu d’échanges pour discuter des meilleures pratiques</w:t>
        </w:r>
        <w:r w:rsidRPr="00544B23">
          <w:rPr>
            <w:noProof/>
            <w:webHidden/>
            <w:sz w:val="21"/>
            <w:szCs w:val="21"/>
          </w:rPr>
          <w:tab/>
        </w:r>
        <w:r w:rsidRPr="00544B23">
          <w:rPr>
            <w:noProof/>
            <w:webHidden/>
            <w:sz w:val="21"/>
            <w:szCs w:val="21"/>
          </w:rPr>
          <w:fldChar w:fldCharType="begin"/>
        </w:r>
        <w:r w:rsidRPr="00544B23">
          <w:rPr>
            <w:noProof/>
            <w:webHidden/>
            <w:sz w:val="21"/>
            <w:szCs w:val="21"/>
          </w:rPr>
          <w:instrText xml:space="preserve"> PAGEREF _Toc201330536 \h </w:instrText>
        </w:r>
        <w:r w:rsidRPr="00544B23">
          <w:rPr>
            <w:noProof/>
            <w:webHidden/>
            <w:sz w:val="21"/>
            <w:szCs w:val="21"/>
          </w:rPr>
        </w:r>
        <w:r w:rsidRPr="00544B23">
          <w:rPr>
            <w:noProof/>
            <w:webHidden/>
            <w:sz w:val="21"/>
            <w:szCs w:val="21"/>
          </w:rPr>
          <w:fldChar w:fldCharType="separate"/>
        </w:r>
        <w:r w:rsidR="0085330E">
          <w:rPr>
            <w:noProof/>
            <w:webHidden/>
            <w:sz w:val="21"/>
            <w:szCs w:val="21"/>
          </w:rPr>
          <w:t>64</w:t>
        </w:r>
        <w:r w:rsidRPr="00544B23">
          <w:rPr>
            <w:noProof/>
            <w:webHidden/>
            <w:sz w:val="21"/>
            <w:szCs w:val="21"/>
          </w:rPr>
          <w:fldChar w:fldCharType="end"/>
        </w:r>
      </w:hyperlink>
    </w:p>
    <w:p w14:paraId="3E6FA005" w14:textId="5B139534" w:rsidR="007F4E24" w:rsidRPr="00544B23" w:rsidRDefault="007F4E24" w:rsidP="00804CFF">
      <w:pPr>
        <w:pStyle w:val="TM2"/>
        <w:rPr>
          <w:rFonts w:ascii="Aptos" w:eastAsiaTheme="minorEastAsia" w:hAnsi="Aptos"/>
          <w:bCs w:val="0"/>
          <w:kern w:val="2"/>
          <w:sz w:val="21"/>
          <w:szCs w:val="21"/>
          <w:lang w:eastAsia="fr-CA"/>
          <w14:ligatures w14:val="standardContextual"/>
        </w:rPr>
      </w:pPr>
      <w:hyperlink w:anchor="_Toc201330537" w:history="1">
        <w:r w:rsidRPr="00544B23">
          <w:rPr>
            <w:rStyle w:val="Lienhypertexte"/>
            <w:rFonts w:ascii="Aptos" w:hAnsi="Aptos"/>
            <w:color w:val="auto"/>
            <w:sz w:val="21"/>
            <w:szCs w:val="21"/>
          </w:rPr>
          <w:t>4.2</w:t>
        </w:r>
        <w:r w:rsidRPr="00544B23">
          <w:rPr>
            <w:rFonts w:ascii="Aptos" w:eastAsiaTheme="minorEastAsia" w:hAnsi="Aptos"/>
            <w:bCs w:val="0"/>
            <w:kern w:val="2"/>
            <w:sz w:val="21"/>
            <w:szCs w:val="21"/>
            <w:lang w:eastAsia="fr-CA"/>
            <w14:ligatures w14:val="standardContextual"/>
          </w:rPr>
          <w:tab/>
        </w:r>
        <w:r w:rsidRPr="00544B23">
          <w:rPr>
            <w:rStyle w:val="Lienhypertexte"/>
            <w:rFonts w:ascii="Aptos" w:hAnsi="Aptos"/>
            <w:color w:val="auto"/>
            <w:sz w:val="21"/>
            <w:szCs w:val="21"/>
          </w:rPr>
          <w:t>Recentrer les pratiques autour de la participation des enfants dans toutes les décisions menant au placement jusqu’à la majorité</w:t>
        </w:r>
        <w:r w:rsidRPr="00544B23">
          <w:rPr>
            <w:rFonts w:ascii="Aptos" w:hAnsi="Aptos"/>
            <w:webHidden/>
            <w:sz w:val="21"/>
            <w:szCs w:val="21"/>
          </w:rPr>
          <w:tab/>
        </w:r>
        <w:r w:rsidRPr="00544B23">
          <w:rPr>
            <w:rFonts w:ascii="Aptos" w:hAnsi="Aptos"/>
            <w:webHidden/>
            <w:sz w:val="21"/>
            <w:szCs w:val="21"/>
          </w:rPr>
          <w:fldChar w:fldCharType="begin"/>
        </w:r>
        <w:r w:rsidRPr="00544B23">
          <w:rPr>
            <w:rFonts w:ascii="Aptos" w:hAnsi="Aptos"/>
            <w:webHidden/>
            <w:sz w:val="21"/>
            <w:szCs w:val="21"/>
          </w:rPr>
          <w:instrText xml:space="preserve"> PAGEREF _Toc201330537 \h </w:instrText>
        </w:r>
        <w:r w:rsidRPr="00544B23">
          <w:rPr>
            <w:rFonts w:ascii="Aptos" w:hAnsi="Aptos"/>
            <w:webHidden/>
            <w:sz w:val="21"/>
            <w:szCs w:val="21"/>
          </w:rPr>
        </w:r>
        <w:r w:rsidRPr="00544B23">
          <w:rPr>
            <w:rFonts w:ascii="Aptos" w:hAnsi="Aptos"/>
            <w:webHidden/>
            <w:sz w:val="21"/>
            <w:szCs w:val="21"/>
          </w:rPr>
          <w:fldChar w:fldCharType="separate"/>
        </w:r>
        <w:r w:rsidR="0085330E">
          <w:rPr>
            <w:rFonts w:ascii="Aptos" w:hAnsi="Aptos"/>
            <w:webHidden/>
            <w:sz w:val="21"/>
            <w:szCs w:val="21"/>
          </w:rPr>
          <w:t>66</w:t>
        </w:r>
        <w:r w:rsidRPr="00544B23">
          <w:rPr>
            <w:rFonts w:ascii="Aptos" w:hAnsi="Aptos"/>
            <w:webHidden/>
            <w:sz w:val="21"/>
            <w:szCs w:val="21"/>
          </w:rPr>
          <w:fldChar w:fldCharType="end"/>
        </w:r>
      </w:hyperlink>
    </w:p>
    <w:p w14:paraId="5B5AA8B8" w14:textId="27D3E0E7" w:rsidR="007F4E24" w:rsidRPr="00544B23" w:rsidRDefault="007F4E24" w:rsidP="00804CFF">
      <w:pPr>
        <w:pStyle w:val="TM2"/>
        <w:rPr>
          <w:rFonts w:ascii="Aptos" w:eastAsiaTheme="minorEastAsia" w:hAnsi="Aptos"/>
          <w:bCs w:val="0"/>
          <w:kern w:val="2"/>
          <w:sz w:val="21"/>
          <w:szCs w:val="21"/>
          <w:lang w:eastAsia="fr-CA"/>
          <w14:ligatures w14:val="standardContextual"/>
        </w:rPr>
      </w:pPr>
      <w:hyperlink w:anchor="_Toc201330538" w:history="1">
        <w:r w:rsidRPr="00544B23">
          <w:rPr>
            <w:rStyle w:val="Lienhypertexte"/>
            <w:rFonts w:ascii="Aptos" w:hAnsi="Aptos"/>
            <w:color w:val="auto"/>
            <w:sz w:val="21"/>
            <w:szCs w:val="21"/>
          </w:rPr>
          <w:t>4.3</w:t>
        </w:r>
        <w:r w:rsidRPr="00544B23">
          <w:rPr>
            <w:rFonts w:ascii="Aptos" w:eastAsiaTheme="minorEastAsia" w:hAnsi="Aptos"/>
            <w:bCs w:val="0"/>
            <w:kern w:val="2"/>
            <w:sz w:val="21"/>
            <w:szCs w:val="21"/>
            <w:lang w:eastAsia="fr-CA"/>
            <w14:ligatures w14:val="standardContextual"/>
          </w:rPr>
          <w:tab/>
        </w:r>
        <w:r w:rsidRPr="00544B23">
          <w:rPr>
            <w:rStyle w:val="Lienhypertexte"/>
            <w:rFonts w:ascii="Aptos" w:hAnsi="Aptos"/>
            <w:color w:val="auto"/>
            <w:sz w:val="21"/>
            <w:szCs w:val="21"/>
          </w:rPr>
          <w:t>Soutenir les interventions cliniques par la formation de toutes les personnes concernées</w:t>
        </w:r>
        <w:r w:rsidRPr="00544B23">
          <w:rPr>
            <w:rFonts w:ascii="Aptos" w:hAnsi="Aptos"/>
            <w:webHidden/>
            <w:sz w:val="21"/>
            <w:szCs w:val="21"/>
          </w:rPr>
          <w:tab/>
        </w:r>
        <w:r w:rsidRPr="00544B23">
          <w:rPr>
            <w:rFonts w:ascii="Aptos" w:hAnsi="Aptos"/>
            <w:webHidden/>
            <w:sz w:val="21"/>
            <w:szCs w:val="21"/>
          </w:rPr>
          <w:fldChar w:fldCharType="begin"/>
        </w:r>
        <w:r w:rsidRPr="00544B23">
          <w:rPr>
            <w:rFonts w:ascii="Aptos" w:hAnsi="Aptos"/>
            <w:webHidden/>
            <w:sz w:val="21"/>
            <w:szCs w:val="21"/>
          </w:rPr>
          <w:instrText xml:space="preserve"> PAGEREF _Toc201330538 \h </w:instrText>
        </w:r>
        <w:r w:rsidRPr="00544B23">
          <w:rPr>
            <w:rFonts w:ascii="Aptos" w:hAnsi="Aptos"/>
            <w:webHidden/>
            <w:sz w:val="21"/>
            <w:szCs w:val="21"/>
          </w:rPr>
        </w:r>
        <w:r w:rsidRPr="00544B23">
          <w:rPr>
            <w:rFonts w:ascii="Aptos" w:hAnsi="Aptos"/>
            <w:webHidden/>
            <w:sz w:val="21"/>
            <w:szCs w:val="21"/>
          </w:rPr>
          <w:fldChar w:fldCharType="separate"/>
        </w:r>
        <w:r w:rsidR="0085330E">
          <w:rPr>
            <w:rFonts w:ascii="Aptos" w:hAnsi="Aptos"/>
            <w:webHidden/>
            <w:sz w:val="21"/>
            <w:szCs w:val="21"/>
          </w:rPr>
          <w:t>70</w:t>
        </w:r>
        <w:r w:rsidRPr="00544B23">
          <w:rPr>
            <w:rFonts w:ascii="Aptos" w:hAnsi="Aptos"/>
            <w:webHidden/>
            <w:sz w:val="21"/>
            <w:szCs w:val="21"/>
          </w:rPr>
          <w:fldChar w:fldCharType="end"/>
        </w:r>
      </w:hyperlink>
    </w:p>
    <w:p w14:paraId="400790EE" w14:textId="58DB5E80" w:rsidR="007F4E24" w:rsidRPr="00544B23" w:rsidRDefault="007F4E24" w:rsidP="00804CFF">
      <w:pPr>
        <w:pStyle w:val="TM2"/>
        <w:rPr>
          <w:rFonts w:ascii="Aptos" w:eastAsiaTheme="minorEastAsia" w:hAnsi="Aptos"/>
          <w:bCs w:val="0"/>
          <w:kern w:val="2"/>
          <w:sz w:val="21"/>
          <w:szCs w:val="21"/>
          <w:lang w:eastAsia="fr-CA"/>
          <w14:ligatures w14:val="standardContextual"/>
        </w:rPr>
      </w:pPr>
      <w:hyperlink w:anchor="_Toc201330539" w:history="1">
        <w:r w:rsidRPr="00544B23">
          <w:rPr>
            <w:rStyle w:val="Lienhypertexte"/>
            <w:rFonts w:ascii="Aptos" w:hAnsi="Aptos"/>
            <w:color w:val="auto"/>
            <w:sz w:val="21"/>
            <w:szCs w:val="21"/>
          </w:rPr>
          <w:t>4.4</w:t>
        </w:r>
        <w:r w:rsidRPr="00544B23">
          <w:rPr>
            <w:rFonts w:ascii="Aptos" w:eastAsiaTheme="minorEastAsia" w:hAnsi="Aptos"/>
            <w:bCs w:val="0"/>
            <w:kern w:val="2"/>
            <w:sz w:val="21"/>
            <w:szCs w:val="21"/>
            <w:lang w:eastAsia="fr-CA"/>
            <w14:ligatures w14:val="standardContextual"/>
          </w:rPr>
          <w:tab/>
        </w:r>
        <w:r w:rsidRPr="00544B23">
          <w:rPr>
            <w:rStyle w:val="Lienhypertexte"/>
            <w:rFonts w:ascii="Aptos" w:hAnsi="Aptos"/>
            <w:color w:val="auto"/>
            <w:sz w:val="21"/>
            <w:szCs w:val="21"/>
          </w:rPr>
          <w:t>Soutenir plus efficacement les parents dans l’exercice de leurs responsabilités parentales à toutes les étapes du projet de vie de leur enfant</w:t>
        </w:r>
        <w:r w:rsidRPr="00544B23">
          <w:rPr>
            <w:rFonts w:ascii="Aptos" w:hAnsi="Aptos"/>
            <w:webHidden/>
            <w:sz w:val="21"/>
            <w:szCs w:val="21"/>
          </w:rPr>
          <w:tab/>
        </w:r>
        <w:r w:rsidRPr="00544B23">
          <w:rPr>
            <w:rFonts w:ascii="Aptos" w:hAnsi="Aptos"/>
            <w:webHidden/>
            <w:sz w:val="21"/>
            <w:szCs w:val="21"/>
          </w:rPr>
          <w:fldChar w:fldCharType="begin"/>
        </w:r>
        <w:r w:rsidRPr="00544B23">
          <w:rPr>
            <w:rFonts w:ascii="Aptos" w:hAnsi="Aptos"/>
            <w:webHidden/>
            <w:sz w:val="21"/>
            <w:szCs w:val="21"/>
          </w:rPr>
          <w:instrText xml:space="preserve"> PAGEREF _Toc201330539 \h </w:instrText>
        </w:r>
        <w:r w:rsidRPr="00544B23">
          <w:rPr>
            <w:rFonts w:ascii="Aptos" w:hAnsi="Aptos"/>
            <w:webHidden/>
            <w:sz w:val="21"/>
            <w:szCs w:val="21"/>
          </w:rPr>
        </w:r>
        <w:r w:rsidRPr="00544B23">
          <w:rPr>
            <w:rFonts w:ascii="Aptos" w:hAnsi="Aptos"/>
            <w:webHidden/>
            <w:sz w:val="21"/>
            <w:szCs w:val="21"/>
          </w:rPr>
          <w:fldChar w:fldCharType="separate"/>
        </w:r>
        <w:r w:rsidR="0085330E">
          <w:rPr>
            <w:rFonts w:ascii="Aptos" w:hAnsi="Aptos"/>
            <w:webHidden/>
            <w:sz w:val="21"/>
            <w:szCs w:val="21"/>
          </w:rPr>
          <w:t>72</w:t>
        </w:r>
        <w:r w:rsidRPr="00544B23">
          <w:rPr>
            <w:rFonts w:ascii="Aptos" w:hAnsi="Aptos"/>
            <w:webHidden/>
            <w:sz w:val="21"/>
            <w:szCs w:val="21"/>
          </w:rPr>
          <w:fldChar w:fldCharType="end"/>
        </w:r>
      </w:hyperlink>
    </w:p>
    <w:p w14:paraId="7D4FDE7D" w14:textId="14279368" w:rsidR="007F4E24" w:rsidRPr="00544B23" w:rsidRDefault="007F4E24" w:rsidP="00804CFF">
      <w:pPr>
        <w:pStyle w:val="TM2"/>
        <w:rPr>
          <w:rFonts w:ascii="Aptos" w:eastAsiaTheme="minorEastAsia" w:hAnsi="Aptos"/>
          <w:bCs w:val="0"/>
          <w:kern w:val="2"/>
          <w:sz w:val="21"/>
          <w:szCs w:val="21"/>
          <w:lang w:eastAsia="fr-CA"/>
          <w14:ligatures w14:val="standardContextual"/>
        </w:rPr>
      </w:pPr>
      <w:hyperlink w:anchor="_Toc201330540" w:history="1">
        <w:r w:rsidRPr="00544B23">
          <w:rPr>
            <w:rStyle w:val="Lienhypertexte"/>
            <w:rFonts w:ascii="Aptos" w:hAnsi="Aptos"/>
            <w:color w:val="auto"/>
            <w:sz w:val="21"/>
            <w:szCs w:val="21"/>
          </w:rPr>
          <w:t>4.5</w:t>
        </w:r>
        <w:r w:rsidRPr="00544B23">
          <w:rPr>
            <w:rFonts w:ascii="Aptos" w:eastAsiaTheme="minorEastAsia" w:hAnsi="Aptos"/>
            <w:bCs w:val="0"/>
            <w:kern w:val="2"/>
            <w:sz w:val="21"/>
            <w:szCs w:val="21"/>
            <w:lang w:eastAsia="fr-CA"/>
            <w14:ligatures w14:val="standardContextual"/>
          </w:rPr>
          <w:tab/>
        </w:r>
        <w:r w:rsidRPr="00544B23">
          <w:rPr>
            <w:rStyle w:val="Lienhypertexte"/>
            <w:rFonts w:ascii="Aptos" w:hAnsi="Aptos"/>
            <w:color w:val="auto"/>
            <w:sz w:val="21"/>
            <w:szCs w:val="21"/>
          </w:rPr>
          <w:t>Reconsidérer les pratiques menant à l’établissement des contacts entre l’enfant, ses parents, sa fratrie et autres personnes qui lui sont significatives</w:t>
        </w:r>
        <w:r w:rsidRPr="00544B23">
          <w:rPr>
            <w:rFonts w:ascii="Aptos" w:hAnsi="Aptos"/>
            <w:webHidden/>
            <w:sz w:val="21"/>
            <w:szCs w:val="21"/>
          </w:rPr>
          <w:tab/>
        </w:r>
        <w:r w:rsidRPr="00544B23">
          <w:rPr>
            <w:rFonts w:ascii="Aptos" w:hAnsi="Aptos"/>
            <w:webHidden/>
            <w:sz w:val="21"/>
            <w:szCs w:val="21"/>
          </w:rPr>
          <w:fldChar w:fldCharType="begin"/>
        </w:r>
        <w:r w:rsidRPr="00544B23">
          <w:rPr>
            <w:rFonts w:ascii="Aptos" w:hAnsi="Aptos"/>
            <w:webHidden/>
            <w:sz w:val="21"/>
            <w:szCs w:val="21"/>
          </w:rPr>
          <w:instrText xml:space="preserve"> PAGEREF _Toc201330540 \h </w:instrText>
        </w:r>
        <w:r w:rsidRPr="00544B23">
          <w:rPr>
            <w:rFonts w:ascii="Aptos" w:hAnsi="Aptos"/>
            <w:webHidden/>
            <w:sz w:val="21"/>
            <w:szCs w:val="21"/>
          </w:rPr>
        </w:r>
        <w:r w:rsidRPr="00544B23">
          <w:rPr>
            <w:rFonts w:ascii="Aptos" w:hAnsi="Aptos"/>
            <w:webHidden/>
            <w:sz w:val="21"/>
            <w:szCs w:val="21"/>
          </w:rPr>
          <w:fldChar w:fldCharType="separate"/>
        </w:r>
        <w:r w:rsidR="0085330E">
          <w:rPr>
            <w:rFonts w:ascii="Aptos" w:hAnsi="Aptos"/>
            <w:webHidden/>
            <w:sz w:val="21"/>
            <w:szCs w:val="21"/>
          </w:rPr>
          <w:t>77</w:t>
        </w:r>
        <w:r w:rsidRPr="00544B23">
          <w:rPr>
            <w:rFonts w:ascii="Aptos" w:hAnsi="Aptos"/>
            <w:webHidden/>
            <w:sz w:val="21"/>
            <w:szCs w:val="21"/>
          </w:rPr>
          <w:fldChar w:fldCharType="end"/>
        </w:r>
      </w:hyperlink>
    </w:p>
    <w:p w14:paraId="7C174E0E" w14:textId="5FCF5A02" w:rsidR="007F4E24" w:rsidRPr="00544B23" w:rsidRDefault="007F4E24" w:rsidP="00804CFF">
      <w:pPr>
        <w:pStyle w:val="TM2"/>
        <w:rPr>
          <w:rFonts w:ascii="Aptos" w:eastAsiaTheme="minorEastAsia" w:hAnsi="Aptos"/>
          <w:bCs w:val="0"/>
          <w:kern w:val="2"/>
          <w:sz w:val="21"/>
          <w:szCs w:val="21"/>
          <w:lang w:eastAsia="fr-CA"/>
          <w14:ligatures w14:val="standardContextual"/>
        </w:rPr>
      </w:pPr>
      <w:hyperlink w:anchor="_Toc201330541" w:history="1">
        <w:r w:rsidRPr="00544B23">
          <w:rPr>
            <w:rStyle w:val="Lienhypertexte"/>
            <w:rFonts w:ascii="Aptos" w:hAnsi="Aptos"/>
            <w:color w:val="auto"/>
            <w:sz w:val="21"/>
            <w:szCs w:val="21"/>
          </w:rPr>
          <w:t>4.6</w:t>
        </w:r>
        <w:r w:rsidRPr="00544B23">
          <w:rPr>
            <w:rFonts w:ascii="Aptos" w:eastAsiaTheme="minorEastAsia" w:hAnsi="Aptos"/>
            <w:bCs w:val="0"/>
            <w:kern w:val="2"/>
            <w:sz w:val="21"/>
            <w:szCs w:val="21"/>
            <w:lang w:eastAsia="fr-CA"/>
            <w14:ligatures w14:val="standardContextual"/>
          </w:rPr>
          <w:tab/>
        </w:r>
        <w:r w:rsidRPr="00544B23">
          <w:rPr>
            <w:rStyle w:val="Lienhypertexte"/>
            <w:rFonts w:ascii="Aptos" w:hAnsi="Aptos"/>
            <w:color w:val="auto"/>
            <w:sz w:val="21"/>
            <w:szCs w:val="21"/>
          </w:rPr>
          <w:t>Explorer la prise en compte des dispositions relatives aux enfants autochtones et aux enfants appartenant à une communauté ethnoculturelle appartenant à une communauté ethnoculturelle</w:t>
        </w:r>
        <w:r w:rsidRPr="00544B23">
          <w:rPr>
            <w:rFonts w:ascii="Aptos" w:hAnsi="Aptos"/>
            <w:webHidden/>
            <w:sz w:val="21"/>
            <w:szCs w:val="21"/>
          </w:rPr>
          <w:tab/>
        </w:r>
        <w:r w:rsidRPr="00544B23">
          <w:rPr>
            <w:rFonts w:ascii="Aptos" w:hAnsi="Aptos"/>
            <w:webHidden/>
            <w:sz w:val="21"/>
            <w:szCs w:val="21"/>
          </w:rPr>
          <w:fldChar w:fldCharType="begin"/>
        </w:r>
        <w:r w:rsidRPr="00544B23">
          <w:rPr>
            <w:rFonts w:ascii="Aptos" w:hAnsi="Aptos"/>
            <w:webHidden/>
            <w:sz w:val="21"/>
            <w:szCs w:val="21"/>
          </w:rPr>
          <w:instrText xml:space="preserve"> PAGEREF _Toc201330541 \h </w:instrText>
        </w:r>
        <w:r w:rsidRPr="00544B23">
          <w:rPr>
            <w:rFonts w:ascii="Aptos" w:hAnsi="Aptos"/>
            <w:webHidden/>
            <w:sz w:val="21"/>
            <w:szCs w:val="21"/>
          </w:rPr>
        </w:r>
        <w:r w:rsidRPr="00544B23">
          <w:rPr>
            <w:rFonts w:ascii="Aptos" w:hAnsi="Aptos"/>
            <w:webHidden/>
            <w:sz w:val="21"/>
            <w:szCs w:val="21"/>
          </w:rPr>
          <w:fldChar w:fldCharType="separate"/>
        </w:r>
        <w:r w:rsidR="0085330E">
          <w:rPr>
            <w:rFonts w:ascii="Aptos" w:hAnsi="Aptos"/>
            <w:webHidden/>
            <w:sz w:val="21"/>
            <w:szCs w:val="21"/>
          </w:rPr>
          <w:t>82</w:t>
        </w:r>
        <w:r w:rsidRPr="00544B23">
          <w:rPr>
            <w:rFonts w:ascii="Aptos" w:hAnsi="Aptos"/>
            <w:webHidden/>
            <w:sz w:val="21"/>
            <w:szCs w:val="21"/>
          </w:rPr>
          <w:fldChar w:fldCharType="end"/>
        </w:r>
      </w:hyperlink>
    </w:p>
    <w:p w14:paraId="251A579D" w14:textId="59A46F23" w:rsidR="007F4E24" w:rsidRPr="00544B23" w:rsidRDefault="007F4E24" w:rsidP="00804CFF">
      <w:pPr>
        <w:pStyle w:val="TM2"/>
        <w:rPr>
          <w:rStyle w:val="Lienhypertexte"/>
          <w:rFonts w:ascii="Aptos" w:hAnsi="Aptos"/>
          <w:color w:val="auto"/>
          <w:sz w:val="21"/>
          <w:szCs w:val="21"/>
        </w:rPr>
      </w:pPr>
      <w:hyperlink w:anchor="_Toc201330542" w:history="1">
        <w:r w:rsidRPr="00544B23">
          <w:rPr>
            <w:rStyle w:val="Lienhypertexte"/>
            <w:rFonts w:ascii="Aptos" w:hAnsi="Aptos"/>
            <w:color w:val="auto"/>
            <w:sz w:val="21"/>
            <w:szCs w:val="21"/>
          </w:rPr>
          <w:t>4.7</w:t>
        </w:r>
        <w:r w:rsidRPr="00544B23">
          <w:rPr>
            <w:rFonts w:ascii="Aptos" w:eastAsiaTheme="minorEastAsia" w:hAnsi="Aptos"/>
            <w:bCs w:val="0"/>
            <w:kern w:val="2"/>
            <w:sz w:val="21"/>
            <w:szCs w:val="21"/>
            <w:lang w:eastAsia="fr-CA"/>
            <w14:ligatures w14:val="standardContextual"/>
          </w:rPr>
          <w:tab/>
        </w:r>
        <w:r w:rsidRPr="00544B23">
          <w:rPr>
            <w:rStyle w:val="Lienhypertexte"/>
            <w:rFonts w:ascii="Aptos" w:hAnsi="Aptos"/>
            <w:color w:val="auto"/>
            <w:sz w:val="21"/>
            <w:szCs w:val="21"/>
          </w:rPr>
          <w:t>Étudier les trajectoires des enfants placés à un milieu de vie substitut jusqu’à majorité afin d’améliorer la compréhension de ses effets sur le développement des enfants concernés</w:t>
        </w:r>
        <w:r w:rsidRPr="00544B23">
          <w:rPr>
            <w:rFonts w:ascii="Aptos" w:hAnsi="Aptos"/>
            <w:webHidden/>
            <w:sz w:val="21"/>
            <w:szCs w:val="21"/>
          </w:rPr>
          <w:tab/>
        </w:r>
        <w:r w:rsidRPr="00544B23">
          <w:rPr>
            <w:rFonts w:ascii="Aptos" w:hAnsi="Aptos"/>
            <w:webHidden/>
            <w:sz w:val="21"/>
            <w:szCs w:val="21"/>
          </w:rPr>
          <w:fldChar w:fldCharType="begin"/>
        </w:r>
        <w:r w:rsidRPr="00544B23">
          <w:rPr>
            <w:rFonts w:ascii="Aptos" w:hAnsi="Aptos"/>
            <w:webHidden/>
            <w:sz w:val="21"/>
            <w:szCs w:val="21"/>
          </w:rPr>
          <w:instrText xml:space="preserve"> PAGEREF _Toc201330542 \h </w:instrText>
        </w:r>
        <w:r w:rsidRPr="00544B23">
          <w:rPr>
            <w:rFonts w:ascii="Aptos" w:hAnsi="Aptos"/>
            <w:webHidden/>
            <w:sz w:val="21"/>
            <w:szCs w:val="21"/>
          </w:rPr>
        </w:r>
        <w:r w:rsidRPr="00544B23">
          <w:rPr>
            <w:rFonts w:ascii="Aptos" w:hAnsi="Aptos"/>
            <w:webHidden/>
            <w:sz w:val="21"/>
            <w:szCs w:val="21"/>
          </w:rPr>
          <w:fldChar w:fldCharType="separate"/>
        </w:r>
        <w:r w:rsidR="0085330E">
          <w:rPr>
            <w:rFonts w:ascii="Aptos" w:hAnsi="Aptos"/>
            <w:webHidden/>
            <w:sz w:val="21"/>
            <w:szCs w:val="21"/>
          </w:rPr>
          <w:t>86</w:t>
        </w:r>
        <w:r w:rsidRPr="00544B23">
          <w:rPr>
            <w:rFonts w:ascii="Aptos" w:hAnsi="Aptos"/>
            <w:webHidden/>
            <w:sz w:val="21"/>
            <w:szCs w:val="21"/>
          </w:rPr>
          <w:fldChar w:fldCharType="end"/>
        </w:r>
      </w:hyperlink>
    </w:p>
    <w:p w14:paraId="64F4D45C" w14:textId="77777777" w:rsidR="007F4E24" w:rsidRPr="00544B23" w:rsidRDefault="007F4E24" w:rsidP="00804CFF">
      <w:pPr>
        <w:jc w:val="left"/>
        <w:rPr>
          <w:noProof/>
          <w:sz w:val="21"/>
          <w:szCs w:val="21"/>
        </w:rPr>
      </w:pPr>
    </w:p>
    <w:p w14:paraId="1D719070" w14:textId="77777777" w:rsidR="007F4E24" w:rsidRPr="00544B23" w:rsidRDefault="007F4E24" w:rsidP="00804CFF">
      <w:pPr>
        <w:jc w:val="left"/>
        <w:rPr>
          <w:noProof/>
          <w:sz w:val="21"/>
          <w:szCs w:val="21"/>
        </w:rPr>
      </w:pPr>
    </w:p>
    <w:p w14:paraId="7E9FE47E" w14:textId="3B751FB0" w:rsidR="007F4E24" w:rsidRPr="00544B23" w:rsidRDefault="007F4E24" w:rsidP="00804CFF">
      <w:pPr>
        <w:pStyle w:val="TM1"/>
        <w:rPr>
          <w:rStyle w:val="Lienhypertexte"/>
          <w:color w:val="auto"/>
          <w:sz w:val="21"/>
          <w:szCs w:val="21"/>
        </w:rPr>
      </w:pPr>
      <w:hyperlink w:anchor="_Toc201330543" w:history="1">
        <w:r w:rsidRPr="00544B23">
          <w:rPr>
            <w:rStyle w:val="Lienhypertexte"/>
            <w:color w:val="auto"/>
            <w:sz w:val="21"/>
            <w:szCs w:val="21"/>
          </w:rPr>
          <w:t>C</w:t>
        </w:r>
        <w:r w:rsidR="00804CFF" w:rsidRPr="00544B23">
          <w:rPr>
            <w:rStyle w:val="Lienhypertexte"/>
            <w:caps w:val="0"/>
            <w:color w:val="auto"/>
            <w:sz w:val="21"/>
            <w:szCs w:val="21"/>
          </w:rPr>
          <w:t>onclusion</w:t>
        </w:r>
        <w:r w:rsidRPr="00544B23">
          <w:rPr>
            <w:b w:val="0"/>
            <w:bCs w:val="0"/>
            <w:webHidden/>
            <w:sz w:val="21"/>
            <w:szCs w:val="21"/>
          </w:rPr>
          <w:tab/>
        </w:r>
        <w:r w:rsidRPr="00544B23">
          <w:rPr>
            <w:b w:val="0"/>
            <w:bCs w:val="0"/>
            <w:webHidden/>
            <w:sz w:val="21"/>
            <w:szCs w:val="21"/>
          </w:rPr>
          <w:fldChar w:fldCharType="begin"/>
        </w:r>
        <w:r w:rsidRPr="00544B23">
          <w:rPr>
            <w:b w:val="0"/>
            <w:bCs w:val="0"/>
            <w:webHidden/>
            <w:sz w:val="21"/>
            <w:szCs w:val="21"/>
          </w:rPr>
          <w:instrText xml:space="preserve"> PAGEREF _Toc201330543 \h </w:instrText>
        </w:r>
        <w:r w:rsidRPr="00544B23">
          <w:rPr>
            <w:b w:val="0"/>
            <w:bCs w:val="0"/>
            <w:webHidden/>
            <w:sz w:val="21"/>
            <w:szCs w:val="21"/>
          </w:rPr>
        </w:r>
        <w:r w:rsidRPr="00544B23">
          <w:rPr>
            <w:b w:val="0"/>
            <w:bCs w:val="0"/>
            <w:webHidden/>
            <w:sz w:val="21"/>
            <w:szCs w:val="21"/>
          </w:rPr>
          <w:fldChar w:fldCharType="separate"/>
        </w:r>
        <w:r w:rsidR="0085330E">
          <w:rPr>
            <w:b w:val="0"/>
            <w:bCs w:val="0"/>
            <w:webHidden/>
            <w:sz w:val="21"/>
            <w:szCs w:val="21"/>
          </w:rPr>
          <w:t>88</w:t>
        </w:r>
        <w:r w:rsidRPr="00544B23">
          <w:rPr>
            <w:b w:val="0"/>
            <w:bCs w:val="0"/>
            <w:webHidden/>
            <w:sz w:val="21"/>
            <w:szCs w:val="21"/>
          </w:rPr>
          <w:fldChar w:fldCharType="end"/>
        </w:r>
      </w:hyperlink>
    </w:p>
    <w:p w14:paraId="442F4C8D" w14:textId="77777777" w:rsidR="007F4E24" w:rsidRPr="00544B23" w:rsidRDefault="007F4E24" w:rsidP="00804CFF">
      <w:pPr>
        <w:jc w:val="left"/>
        <w:rPr>
          <w:noProof/>
          <w:sz w:val="21"/>
          <w:szCs w:val="21"/>
        </w:rPr>
      </w:pPr>
    </w:p>
    <w:p w14:paraId="44B4A203" w14:textId="104BCBE7" w:rsidR="007F4E24" w:rsidRPr="00544B23" w:rsidRDefault="007F4E24" w:rsidP="00804CFF">
      <w:pPr>
        <w:pStyle w:val="TM1"/>
        <w:rPr>
          <w:rFonts w:eastAsiaTheme="minorEastAsia"/>
          <w:b w:val="0"/>
          <w:bCs w:val="0"/>
          <w:caps w:val="0"/>
          <w:kern w:val="2"/>
          <w:sz w:val="21"/>
          <w:szCs w:val="21"/>
          <w:lang w:eastAsia="fr-CA"/>
          <w14:ligatures w14:val="standardContextual"/>
        </w:rPr>
      </w:pPr>
      <w:hyperlink w:anchor="_Toc201330545" w:history="1">
        <w:r w:rsidRPr="00544B23">
          <w:rPr>
            <w:rStyle w:val="Lienhypertexte"/>
            <w:color w:val="auto"/>
            <w:sz w:val="21"/>
            <w:szCs w:val="21"/>
          </w:rPr>
          <w:t>L</w:t>
        </w:r>
        <w:r w:rsidR="00804CFF" w:rsidRPr="00544B23">
          <w:rPr>
            <w:rStyle w:val="Lienhypertexte"/>
            <w:caps w:val="0"/>
            <w:color w:val="auto"/>
            <w:sz w:val="21"/>
            <w:szCs w:val="21"/>
          </w:rPr>
          <w:t>iste des recommandations</w:t>
        </w:r>
        <w:r w:rsidRPr="00544B23">
          <w:rPr>
            <w:b w:val="0"/>
            <w:bCs w:val="0"/>
            <w:webHidden/>
            <w:sz w:val="21"/>
            <w:szCs w:val="21"/>
          </w:rPr>
          <w:tab/>
        </w:r>
        <w:r w:rsidRPr="00544B23">
          <w:rPr>
            <w:b w:val="0"/>
            <w:bCs w:val="0"/>
            <w:webHidden/>
            <w:sz w:val="21"/>
            <w:szCs w:val="21"/>
          </w:rPr>
          <w:fldChar w:fldCharType="begin"/>
        </w:r>
        <w:r w:rsidRPr="00544B23">
          <w:rPr>
            <w:b w:val="0"/>
            <w:bCs w:val="0"/>
            <w:webHidden/>
            <w:sz w:val="21"/>
            <w:szCs w:val="21"/>
          </w:rPr>
          <w:instrText xml:space="preserve"> PAGEREF _Toc201330545 \h </w:instrText>
        </w:r>
        <w:r w:rsidRPr="00544B23">
          <w:rPr>
            <w:b w:val="0"/>
            <w:bCs w:val="0"/>
            <w:webHidden/>
            <w:sz w:val="21"/>
            <w:szCs w:val="21"/>
          </w:rPr>
        </w:r>
        <w:r w:rsidRPr="00544B23">
          <w:rPr>
            <w:b w:val="0"/>
            <w:bCs w:val="0"/>
            <w:webHidden/>
            <w:sz w:val="21"/>
            <w:szCs w:val="21"/>
          </w:rPr>
          <w:fldChar w:fldCharType="separate"/>
        </w:r>
        <w:r w:rsidR="0085330E">
          <w:rPr>
            <w:b w:val="0"/>
            <w:bCs w:val="0"/>
            <w:webHidden/>
            <w:sz w:val="21"/>
            <w:szCs w:val="21"/>
          </w:rPr>
          <w:t>90</w:t>
        </w:r>
        <w:r w:rsidRPr="00544B23">
          <w:rPr>
            <w:b w:val="0"/>
            <w:bCs w:val="0"/>
            <w:webHidden/>
            <w:sz w:val="21"/>
            <w:szCs w:val="21"/>
          </w:rPr>
          <w:fldChar w:fldCharType="end"/>
        </w:r>
      </w:hyperlink>
    </w:p>
    <w:p w14:paraId="6BF63302" w14:textId="60B82774" w:rsidR="001D198A" w:rsidRDefault="007F4E24" w:rsidP="00804CFF">
      <w:pPr>
        <w:jc w:val="left"/>
      </w:pPr>
      <w:r w:rsidRPr="00544B23">
        <w:rPr>
          <w:b/>
          <w:bCs/>
          <w:caps/>
          <w:noProof/>
          <w:sz w:val="21"/>
          <w:szCs w:val="21"/>
        </w:rPr>
        <w:fldChar w:fldCharType="end"/>
      </w:r>
    </w:p>
    <w:p w14:paraId="78B037C4" w14:textId="77777777" w:rsidR="001D198A" w:rsidRDefault="001D198A" w:rsidP="0098108A"/>
    <w:p w14:paraId="0245A50E" w14:textId="550EF6A4" w:rsidR="00FA5D00" w:rsidRDefault="00FA5D00" w:rsidP="0098108A"/>
    <w:p w14:paraId="7271F627" w14:textId="77777777" w:rsidR="00FA5D00" w:rsidRDefault="00FA5D00" w:rsidP="0098108A"/>
    <w:p w14:paraId="44E50EA4" w14:textId="77777777" w:rsidR="00FA5D00" w:rsidRDefault="00FA5D00" w:rsidP="0098108A"/>
    <w:p w14:paraId="72E60B0E" w14:textId="77777777" w:rsidR="00FA5D00" w:rsidRDefault="00FA5D00" w:rsidP="0098108A"/>
    <w:p w14:paraId="6B084EAB" w14:textId="77777777" w:rsidR="00FA5D00" w:rsidRDefault="00FA5D00" w:rsidP="0098108A"/>
    <w:p w14:paraId="0D9E46B3" w14:textId="77777777" w:rsidR="00FA5D00" w:rsidRDefault="00FA5D00" w:rsidP="0098108A"/>
    <w:p w14:paraId="1D9A5049" w14:textId="77777777" w:rsidR="00FA5D00" w:rsidRDefault="00FA5D00" w:rsidP="002A60C5">
      <w:pPr>
        <w:jc w:val="left"/>
      </w:pPr>
    </w:p>
    <w:p w14:paraId="0A2AF9F1" w14:textId="77777777" w:rsidR="00FA5D00" w:rsidRDefault="00FA5D00" w:rsidP="002A60C5">
      <w:pPr>
        <w:jc w:val="left"/>
      </w:pPr>
    </w:p>
    <w:p w14:paraId="7A97E319" w14:textId="77777777" w:rsidR="00FA5D00" w:rsidRDefault="00FA5D00" w:rsidP="002A60C5">
      <w:pPr>
        <w:pStyle w:val="TM2"/>
        <w:ind w:left="1276"/>
        <w:sectPr w:rsidR="00FA5D00" w:rsidSect="0098162B">
          <w:headerReference w:type="even" r:id="rId27"/>
          <w:headerReference w:type="default" r:id="rId28"/>
          <w:headerReference w:type="first" r:id="rId29"/>
          <w:pgSz w:w="12240" w:h="15840" w:code="1"/>
          <w:pgMar w:top="1985" w:right="1134" w:bottom="1418" w:left="1134" w:header="709" w:footer="709" w:gutter="0"/>
          <w:pgNumType w:fmt="lowerRoman"/>
          <w:cols w:space="708"/>
          <w:docGrid w:linePitch="360"/>
        </w:sectPr>
      </w:pPr>
    </w:p>
    <w:p w14:paraId="4635975C" w14:textId="095EF234" w:rsidR="00001A60" w:rsidRPr="0045257B" w:rsidRDefault="0045257B" w:rsidP="00CC5A23">
      <w:pPr>
        <w:pStyle w:val="Titre"/>
      </w:pPr>
      <w:bookmarkStart w:id="7" w:name="_Toc201330474"/>
      <w:r>
        <w:lastRenderedPageBreak/>
        <w:t>Sommaire</w:t>
      </w:r>
      <w:bookmarkEnd w:id="7"/>
    </w:p>
    <w:p w14:paraId="4962EA5D" w14:textId="3D66867F" w:rsidR="00AF2FBF" w:rsidRDefault="00AF2FBF" w:rsidP="003A1427">
      <w:pPr>
        <w:pStyle w:val="Paragraphe"/>
      </w:pPr>
      <w:r>
        <w:t>Dans son quatrième rapport d’évaluation de la mise en œuvre de la</w:t>
      </w:r>
      <w:r w:rsidRPr="00BB25E8">
        <w:rPr>
          <w:i/>
        </w:rPr>
        <w:t xml:space="preserve"> Loi sur la protection</w:t>
      </w:r>
      <w:r>
        <w:t xml:space="preserve"> de la jeunesse</w:t>
      </w:r>
      <w:r w:rsidR="0085330E">
        <w:rPr>
          <w:rFonts w:ascii="ZWAdobeF" w:hAnsi="ZWAdobeF" w:cs="ZWAdobeF"/>
          <w:sz w:val="2"/>
          <w:szCs w:val="2"/>
        </w:rPr>
        <w:t>1F</w:t>
      </w:r>
      <w:r w:rsidR="00AE540F">
        <w:rPr>
          <w:rStyle w:val="Appelnotedebasdep"/>
        </w:rPr>
        <w:footnoteReference w:id="3"/>
      </w:r>
      <w:r>
        <w:t xml:space="preserve">, la Commission des droits </w:t>
      </w:r>
      <w:r w:rsidR="005D229A">
        <w:t xml:space="preserve">de la personne et des droits de la jeunesse </w:t>
      </w:r>
      <w:r>
        <w:t xml:space="preserve">se penche sur </w:t>
      </w:r>
      <w:r w:rsidR="00452A45">
        <w:t>le respect des droits</w:t>
      </w:r>
      <w:r w:rsidR="001A69B0">
        <w:t xml:space="preserve"> des enfants</w:t>
      </w:r>
      <w:r w:rsidR="00EA1C6D">
        <w:t xml:space="preserve"> confiés</w:t>
      </w:r>
      <w:r w:rsidR="00452A45">
        <w:t xml:space="preserve"> </w:t>
      </w:r>
      <w:r w:rsidR="00EA1C6D">
        <w:t>à un milieu de vie substitut jusqu’à la majorité</w:t>
      </w:r>
      <w:r w:rsidR="004B79A1">
        <w:t xml:space="preserve">. Elle </w:t>
      </w:r>
      <w:r w:rsidR="00B16C94">
        <w:t>s’intéresse</w:t>
      </w:r>
      <w:r w:rsidR="002B1DDC">
        <w:t xml:space="preserve"> </w:t>
      </w:r>
      <w:r w:rsidR="00994482">
        <w:t>aux effets de la réforme</w:t>
      </w:r>
      <w:r w:rsidR="00FD5F3F">
        <w:t xml:space="preserve"> </w:t>
      </w:r>
      <w:r w:rsidR="00994482">
        <w:t>de la LPJ</w:t>
      </w:r>
      <w:r w:rsidR="006738F0">
        <w:t xml:space="preserve"> de</w:t>
      </w:r>
      <w:r w:rsidR="00994482">
        <w:t xml:space="preserve"> 2022</w:t>
      </w:r>
      <w:r w:rsidR="006738F0">
        <w:t xml:space="preserve"> </w:t>
      </w:r>
      <w:r w:rsidR="008135CB">
        <w:t>concernant</w:t>
      </w:r>
      <w:r w:rsidR="00994482">
        <w:t xml:space="preserve"> </w:t>
      </w:r>
      <w:r>
        <w:t>l</w:t>
      </w:r>
      <w:r w:rsidR="00AA008F">
        <w:t>a</w:t>
      </w:r>
      <w:r>
        <w:t xml:space="preserve"> stabilité de</w:t>
      </w:r>
      <w:r w:rsidR="00FD5F3F">
        <w:t xml:space="preserve">s </w:t>
      </w:r>
      <w:r>
        <w:t xml:space="preserve">liens </w:t>
      </w:r>
      <w:r w:rsidR="0060737C">
        <w:t xml:space="preserve">de l’enfant </w:t>
      </w:r>
      <w:r>
        <w:t>et de</w:t>
      </w:r>
      <w:r w:rsidR="00FD5F3F">
        <w:t xml:space="preserve"> ses</w:t>
      </w:r>
      <w:r>
        <w:t xml:space="preserve"> conditions de vie</w:t>
      </w:r>
      <w:r w:rsidR="00986C69">
        <w:t xml:space="preserve"> </w:t>
      </w:r>
      <w:r w:rsidR="00986C69" w:rsidRPr="00986C69">
        <w:t>appropriées à ses besoins et à son âge</w:t>
      </w:r>
      <w:r>
        <w:t>.</w:t>
      </w:r>
    </w:p>
    <w:p w14:paraId="72C5CDF2" w14:textId="27B61DDC" w:rsidR="00AF2FBF" w:rsidRDefault="00AF2FBF" w:rsidP="003A1427">
      <w:pPr>
        <w:pStyle w:val="Paragraphe"/>
      </w:pPr>
      <w:r>
        <w:t>L’analyse s’appuie sur une collecte de données jurisprudentielles</w:t>
      </w:r>
      <w:r w:rsidR="00593224">
        <w:t xml:space="preserve">, </w:t>
      </w:r>
      <w:r>
        <w:t>puis de façon complémentaire, sur un sondage effectué auprès de procureures et procureurs de l’enfant exerçant en droit de la jeunesse.</w:t>
      </w:r>
    </w:p>
    <w:p w14:paraId="297AA6CA" w14:textId="63F2BD52" w:rsidR="00AF2FBF" w:rsidRDefault="00AF2FBF" w:rsidP="003A1427">
      <w:pPr>
        <w:pStyle w:val="Paragraphe"/>
      </w:pPr>
      <w:r>
        <w:t xml:space="preserve">Il ressort que </w:t>
      </w:r>
      <w:r w:rsidR="004C3C03">
        <w:t>d</w:t>
      </w:r>
      <w:r>
        <w:t xml:space="preserve">es objectifs de la réforme, dont celui de placer l’intérêt de l’enfant au centre de toutes les décisions le concernant, commencent à se concrétiser dans la jurisprudence alors que d’autres, comme de favoriser le maintien avec sa fratrie ou de confier l’enfant à une famille d’accueil de proximité, tardent à l’être. </w:t>
      </w:r>
      <w:r w:rsidR="005A3756">
        <w:t>La mise en œuvre de c</w:t>
      </w:r>
      <w:r>
        <w:t xml:space="preserve">ertains objectifs </w:t>
      </w:r>
      <w:r w:rsidR="00611180">
        <w:t>es</w:t>
      </w:r>
      <w:r>
        <w:t>t par ailleurs difficile à évaluer uniquement à partir des décisions analysées</w:t>
      </w:r>
      <w:r w:rsidR="009A39AA">
        <w:t xml:space="preserve">, </w:t>
      </w:r>
      <w:r w:rsidR="00115BAF">
        <w:t xml:space="preserve">dont </w:t>
      </w:r>
      <w:r w:rsidR="00E5045A">
        <w:t xml:space="preserve">celui concernant </w:t>
      </w:r>
      <w:r w:rsidR="00115BAF">
        <w:t>l</w:t>
      </w:r>
      <w:r w:rsidR="001B2FE4">
        <w:t>a pl</w:t>
      </w:r>
      <w:r w:rsidR="00E340A4">
        <w:t xml:space="preserve">anification </w:t>
      </w:r>
      <w:r w:rsidR="000757B1">
        <w:t xml:space="preserve">d’un projet </w:t>
      </w:r>
      <w:r w:rsidR="000757B1" w:rsidRPr="000757B1">
        <w:t xml:space="preserve">alternatif visant à assurer sans délai la continuité des soins et la stabilité des liens de </w:t>
      </w:r>
      <w:r w:rsidR="008D1A49">
        <w:t>l’</w:t>
      </w:r>
      <w:r w:rsidR="000757B1" w:rsidRPr="000757B1">
        <w:t>enfant et de ses conditions de vie de façon permanente</w:t>
      </w:r>
      <w:r>
        <w:t>.</w:t>
      </w:r>
    </w:p>
    <w:p w14:paraId="4D46F16D" w14:textId="25078484" w:rsidR="00104D45" w:rsidRPr="00104D45" w:rsidRDefault="00AF2FBF" w:rsidP="003A1427">
      <w:pPr>
        <w:pStyle w:val="Paragraphe"/>
      </w:pPr>
      <w:r>
        <w:t>La Commission identifie les aspects positifs suivant</w:t>
      </w:r>
      <w:r w:rsidR="002258CA">
        <w:t xml:space="preserve">s </w:t>
      </w:r>
      <w:r w:rsidR="0028734E">
        <w:t xml:space="preserve">de </w:t>
      </w:r>
      <w:r w:rsidR="0023248B">
        <w:t xml:space="preserve">l’évaluation </w:t>
      </w:r>
      <w:r w:rsidR="000C4EDC">
        <w:t xml:space="preserve">de la mise en </w:t>
      </w:r>
      <w:r w:rsidR="006A5780">
        <w:t>œuvre</w:t>
      </w:r>
      <w:r w:rsidR="000C4EDC">
        <w:t xml:space="preserve"> </w:t>
      </w:r>
      <w:r w:rsidR="006A5780">
        <w:t>des objectifs de la réforme</w:t>
      </w:r>
      <w:r w:rsidR="00E0563A">
        <w:t> </w:t>
      </w:r>
      <w:r>
        <w:t>:</w:t>
      </w:r>
    </w:p>
    <w:p w14:paraId="45E3D43B" w14:textId="550C69FC" w:rsidR="003762A1" w:rsidRPr="003762A1" w:rsidRDefault="003B6915" w:rsidP="008A59CC">
      <w:pPr>
        <w:pStyle w:val="puces0"/>
        <w:rPr>
          <w:lang w:val="fr-FR"/>
        </w:rPr>
      </w:pPr>
      <w:r>
        <w:t>Le</w:t>
      </w:r>
      <w:r w:rsidR="00DB426C">
        <w:rPr>
          <w:lang w:val="fr-FR"/>
        </w:rPr>
        <w:t xml:space="preserve"> placement de</w:t>
      </w:r>
      <w:r w:rsidR="003762A1">
        <w:rPr>
          <w:lang w:val="fr-FR"/>
        </w:rPr>
        <w:t xml:space="preserve"> </w:t>
      </w:r>
      <w:r w:rsidR="003762A1" w:rsidRPr="003762A1">
        <w:rPr>
          <w:lang w:val="fr-FR"/>
        </w:rPr>
        <w:t>l’enfant</w:t>
      </w:r>
      <w:r w:rsidR="003762A1" w:rsidRPr="003762A1">
        <w:rPr>
          <w:spacing w:val="-8"/>
          <w:lang w:val="fr-FR"/>
        </w:rPr>
        <w:t xml:space="preserve"> </w:t>
      </w:r>
      <w:r w:rsidR="00841400">
        <w:rPr>
          <w:lang w:val="fr-FR"/>
        </w:rPr>
        <w:t>dans</w:t>
      </w:r>
      <w:r w:rsidR="003762A1" w:rsidRPr="003762A1">
        <w:rPr>
          <w:spacing w:val="-3"/>
          <w:lang w:val="fr-FR"/>
        </w:rPr>
        <w:t xml:space="preserve"> </w:t>
      </w:r>
      <w:r w:rsidR="003762A1" w:rsidRPr="003762A1">
        <w:rPr>
          <w:lang w:val="fr-FR"/>
        </w:rPr>
        <w:t>un</w:t>
      </w:r>
      <w:r w:rsidR="003762A1" w:rsidRPr="003762A1">
        <w:rPr>
          <w:spacing w:val="-7"/>
          <w:lang w:val="fr-FR"/>
        </w:rPr>
        <w:t xml:space="preserve"> </w:t>
      </w:r>
      <w:r w:rsidR="003762A1" w:rsidRPr="003762A1">
        <w:rPr>
          <w:lang w:val="fr-FR"/>
        </w:rPr>
        <w:t>milieu</w:t>
      </w:r>
      <w:r w:rsidR="003762A1" w:rsidRPr="003762A1">
        <w:rPr>
          <w:spacing w:val="-5"/>
          <w:lang w:val="fr-FR"/>
        </w:rPr>
        <w:t xml:space="preserve"> </w:t>
      </w:r>
      <w:r w:rsidR="003762A1" w:rsidRPr="003762A1">
        <w:rPr>
          <w:lang w:val="fr-FR"/>
        </w:rPr>
        <w:t>de</w:t>
      </w:r>
      <w:r w:rsidR="003762A1" w:rsidRPr="003762A1">
        <w:rPr>
          <w:spacing w:val="-4"/>
          <w:lang w:val="fr-FR"/>
        </w:rPr>
        <w:t xml:space="preserve"> </w:t>
      </w:r>
      <w:r w:rsidR="003762A1" w:rsidRPr="003762A1">
        <w:rPr>
          <w:lang w:val="fr-FR"/>
        </w:rPr>
        <w:t>vie</w:t>
      </w:r>
      <w:r w:rsidR="003762A1" w:rsidRPr="003762A1">
        <w:rPr>
          <w:spacing w:val="-5"/>
          <w:lang w:val="fr-FR"/>
        </w:rPr>
        <w:t xml:space="preserve"> </w:t>
      </w:r>
      <w:r w:rsidR="003762A1" w:rsidRPr="003762A1">
        <w:rPr>
          <w:lang w:val="fr-FR"/>
        </w:rPr>
        <w:t>substitut</w:t>
      </w:r>
      <w:r w:rsidR="003762A1" w:rsidRPr="003762A1">
        <w:rPr>
          <w:spacing w:val="-5"/>
          <w:lang w:val="fr-FR"/>
        </w:rPr>
        <w:t xml:space="preserve"> </w:t>
      </w:r>
      <w:r w:rsidR="003762A1" w:rsidRPr="003762A1">
        <w:rPr>
          <w:lang w:val="fr-FR"/>
        </w:rPr>
        <w:t>jusqu’à</w:t>
      </w:r>
      <w:r w:rsidR="003762A1" w:rsidRPr="003762A1">
        <w:rPr>
          <w:spacing w:val="-3"/>
          <w:lang w:val="fr-FR"/>
        </w:rPr>
        <w:t xml:space="preserve"> </w:t>
      </w:r>
      <w:r w:rsidR="003762A1" w:rsidRPr="003762A1">
        <w:rPr>
          <w:lang w:val="fr-FR"/>
        </w:rPr>
        <w:t>la</w:t>
      </w:r>
      <w:r w:rsidR="003762A1" w:rsidRPr="003762A1">
        <w:rPr>
          <w:spacing w:val="-5"/>
          <w:lang w:val="fr-FR"/>
        </w:rPr>
        <w:t xml:space="preserve"> </w:t>
      </w:r>
      <w:r w:rsidR="003762A1" w:rsidRPr="003762A1">
        <w:rPr>
          <w:lang w:val="fr-FR"/>
        </w:rPr>
        <w:t>majorité</w:t>
      </w:r>
      <w:r w:rsidR="003762A1" w:rsidRPr="003762A1">
        <w:rPr>
          <w:spacing w:val="1"/>
          <w:lang w:val="fr-FR"/>
        </w:rPr>
        <w:t xml:space="preserve"> </w:t>
      </w:r>
      <w:r w:rsidR="003762A1" w:rsidRPr="003762A1">
        <w:rPr>
          <w:lang w:val="fr-FR"/>
        </w:rPr>
        <w:t>est</w:t>
      </w:r>
      <w:r w:rsidR="003762A1" w:rsidRPr="003762A1">
        <w:rPr>
          <w:spacing w:val="-5"/>
          <w:lang w:val="fr-FR"/>
        </w:rPr>
        <w:t xml:space="preserve"> </w:t>
      </w:r>
      <w:r>
        <w:rPr>
          <w:spacing w:val="-5"/>
          <w:lang w:val="fr-FR"/>
        </w:rPr>
        <w:t>considé</w:t>
      </w:r>
      <w:r w:rsidR="00467DA1">
        <w:rPr>
          <w:spacing w:val="-5"/>
          <w:lang w:val="fr-FR"/>
        </w:rPr>
        <w:t xml:space="preserve">ré être </w:t>
      </w:r>
      <w:r w:rsidR="003762A1" w:rsidRPr="003762A1">
        <w:rPr>
          <w:lang w:val="fr-FR"/>
        </w:rPr>
        <w:t>dans</w:t>
      </w:r>
      <w:r w:rsidR="003762A1" w:rsidRPr="003762A1">
        <w:rPr>
          <w:spacing w:val="-5"/>
          <w:lang w:val="fr-FR"/>
        </w:rPr>
        <w:t xml:space="preserve"> </w:t>
      </w:r>
      <w:r w:rsidR="003762A1" w:rsidRPr="003762A1">
        <w:rPr>
          <w:lang w:val="fr-FR"/>
        </w:rPr>
        <w:t>son</w:t>
      </w:r>
      <w:r w:rsidR="003762A1" w:rsidRPr="003762A1">
        <w:rPr>
          <w:spacing w:val="-4"/>
          <w:lang w:val="fr-FR"/>
        </w:rPr>
        <w:t xml:space="preserve"> </w:t>
      </w:r>
      <w:r w:rsidR="003762A1" w:rsidRPr="003762A1">
        <w:rPr>
          <w:lang w:val="fr-FR"/>
        </w:rPr>
        <w:t>intérêt</w:t>
      </w:r>
      <w:r w:rsidR="00914C42">
        <w:rPr>
          <w:rFonts w:ascii="Arial" w:hAnsi="Arial" w:cs="Arial"/>
          <w:spacing w:val="-2"/>
          <w:lang w:val="fr-FR"/>
        </w:rPr>
        <w:t> </w:t>
      </w:r>
      <w:r w:rsidR="003762A1" w:rsidRPr="003762A1">
        <w:rPr>
          <w:spacing w:val="-10"/>
          <w:lang w:val="fr-FR"/>
        </w:rPr>
        <w:t>;</w:t>
      </w:r>
    </w:p>
    <w:p w14:paraId="5051BB57" w14:textId="4C7C74F9" w:rsidR="003762A1" w:rsidRPr="003762A1" w:rsidRDefault="003762A1" w:rsidP="008A59CC">
      <w:pPr>
        <w:pStyle w:val="puces0"/>
        <w:rPr>
          <w:lang w:val="fr-FR"/>
        </w:rPr>
      </w:pPr>
      <w:r w:rsidRPr="003762A1">
        <w:rPr>
          <w:lang w:val="fr-FR"/>
        </w:rPr>
        <w:t>La</w:t>
      </w:r>
      <w:r w:rsidRPr="003762A1">
        <w:rPr>
          <w:spacing w:val="-2"/>
          <w:lang w:val="fr-FR"/>
        </w:rPr>
        <w:t xml:space="preserve"> </w:t>
      </w:r>
      <w:r w:rsidRPr="003762A1">
        <w:rPr>
          <w:lang w:val="fr-FR"/>
        </w:rPr>
        <w:t>décision</w:t>
      </w:r>
      <w:r w:rsidRPr="003762A1">
        <w:rPr>
          <w:spacing w:val="-4"/>
          <w:lang w:val="fr-FR"/>
        </w:rPr>
        <w:t xml:space="preserve"> </w:t>
      </w:r>
      <w:r w:rsidRPr="003762A1">
        <w:rPr>
          <w:lang w:val="fr-FR"/>
        </w:rPr>
        <w:t>de</w:t>
      </w:r>
      <w:r w:rsidRPr="003762A1">
        <w:rPr>
          <w:spacing w:val="-3"/>
          <w:lang w:val="fr-FR"/>
        </w:rPr>
        <w:t xml:space="preserve"> </w:t>
      </w:r>
      <w:r w:rsidRPr="003762A1">
        <w:rPr>
          <w:lang w:val="fr-FR"/>
        </w:rPr>
        <w:t>confier</w:t>
      </w:r>
      <w:r w:rsidRPr="003762A1">
        <w:rPr>
          <w:spacing w:val="-3"/>
          <w:lang w:val="fr-FR"/>
        </w:rPr>
        <w:t xml:space="preserve"> </w:t>
      </w:r>
      <w:r w:rsidRPr="003762A1">
        <w:rPr>
          <w:lang w:val="fr-FR"/>
        </w:rPr>
        <w:t>l’enfant</w:t>
      </w:r>
      <w:r w:rsidRPr="003762A1">
        <w:rPr>
          <w:spacing w:val="-4"/>
          <w:lang w:val="fr-FR"/>
        </w:rPr>
        <w:t xml:space="preserve"> </w:t>
      </w:r>
      <w:r w:rsidRPr="003762A1">
        <w:rPr>
          <w:lang w:val="fr-FR"/>
        </w:rPr>
        <w:t>à</w:t>
      </w:r>
      <w:r w:rsidRPr="003762A1">
        <w:rPr>
          <w:spacing w:val="-2"/>
          <w:lang w:val="fr-FR"/>
        </w:rPr>
        <w:t xml:space="preserve"> </w:t>
      </w:r>
      <w:r w:rsidRPr="003762A1">
        <w:rPr>
          <w:lang w:val="fr-FR"/>
        </w:rPr>
        <w:t>un</w:t>
      </w:r>
      <w:r w:rsidRPr="003762A1">
        <w:rPr>
          <w:spacing w:val="-4"/>
          <w:lang w:val="fr-FR"/>
        </w:rPr>
        <w:t xml:space="preserve"> </w:t>
      </w:r>
      <w:r w:rsidRPr="003762A1">
        <w:rPr>
          <w:lang w:val="fr-FR"/>
        </w:rPr>
        <w:t>milieu</w:t>
      </w:r>
      <w:r w:rsidRPr="003762A1">
        <w:rPr>
          <w:spacing w:val="-3"/>
          <w:lang w:val="fr-FR"/>
        </w:rPr>
        <w:t xml:space="preserve"> </w:t>
      </w:r>
      <w:r w:rsidRPr="003762A1">
        <w:rPr>
          <w:lang w:val="fr-FR"/>
        </w:rPr>
        <w:t>de</w:t>
      </w:r>
      <w:r w:rsidRPr="003762A1">
        <w:rPr>
          <w:spacing w:val="-3"/>
          <w:lang w:val="fr-FR"/>
        </w:rPr>
        <w:t xml:space="preserve"> </w:t>
      </w:r>
      <w:r w:rsidRPr="003762A1">
        <w:rPr>
          <w:lang w:val="fr-FR"/>
        </w:rPr>
        <w:t>vie</w:t>
      </w:r>
      <w:r w:rsidRPr="003762A1">
        <w:rPr>
          <w:spacing w:val="-3"/>
          <w:lang w:val="fr-FR"/>
        </w:rPr>
        <w:t xml:space="preserve"> </w:t>
      </w:r>
      <w:r w:rsidRPr="003762A1">
        <w:rPr>
          <w:lang w:val="fr-FR"/>
        </w:rPr>
        <w:t>substitut</w:t>
      </w:r>
      <w:r w:rsidRPr="003762A1">
        <w:rPr>
          <w:spacing w:val="-4"/>
          <w:lang w:val="fr-FR"/>
        </w:rPr>
        <w:t xml:space="preserve"> </w:t>
      </w:r>
      <w:r w:rsidRPr="003762A1">
        <w:rPr>
          <w:lang w:val="fr-FR"/>
        </w:rPr>
        <w:t>jusqu’à</w:t>
      </w:r>
      <w:r w:rsidRPr="003762A1">
        <w:rPr>
          <w:spacing w:val="-4"/>
          <w:lang w:val="fr-FR"/>
        </w:rPr>
        <w:t xml:space="preserve"> </w:t>
      </w:r>
      <w:r w:rsidRPr="003762A1">
        <w:rPr>
          <w:lang w:val="fr-FR"/>
        </w:rPr>
        <w:t>sa</w:t>
      </w:r>
      <w:r w:rsidRPr="003762A1">
        <w:rPr>
          <w:spacing w:val="-4"/>
          <w:lang w:val="fr-FR"/>
        </w:rPr>
        <w:t xml:space="preserve"> </w:t>
      </w:r>
      <w:r w:rsidRPr="003762A1">
        <w:rPr>
          <w:lang w:val="fr-FR"/>
        </w:rPr>
        <w:t>majorité</w:t>
      </w:r>
      <w:r w:rsidRPr="003762A1">
        <w:rPr>
          <w:spacing w:val="-1"/>
          <w:lang w:val="fr-FR"/>
        </w:rPr>
        <w:t xml:space="preserve"> </w:t>
      </w:r>
      <w:r w:rsidRPr="003762A1">
        <w:rPr>
          <w:lang w:val="fr-FR"/>
        </w:rPr>
        <w:t>repose principalement sur l’objectif d’assurer sa stabilité affective</w:t>
      </w:r>
      <w:r w:rsidR="00E0563A">
        <w:rPr>
          <w:rFonts w:ascii="Arial" w:hAnsi="Arial" w:cs="Arial"/>
          <w:lang w:val="fr-FR"/>
        </w:rPr>
        <w:t> </w:t>
      </w:r>
      <w:r w:rsidRPr="003762A1">
        <w:rPr>
          <w:lang w:val="fr-FR"/>
        </w:rPr>
        <w:t>;</w:t>
      </w:r>
    </w:p>
    <w:p w14:paraId="6A8CE5A0" w14:textId="38A2B611" w:rsidR="003762A1" w:rsidRPr="003762A1" w:rsidRDefault="003762A1" w:rsidP="008A59CC">
      <w:pPr>
        <w:pStyle w:val="puces0"/>
        <w:rPr>
          <w:lang w:val="fr-FR"/>
        </w:rPr>
      </w:pPr>
      <w:r w:rsidRPr="003762A1">
        <w:rPr>
          <w:lang w:val="fr-FR"/>
        </w:rPr>
        <w:t>Les liens d’attachement développés entre l’enfant et les membres du milieu de vie substitut sont</w:t>
      </w:r>
      <w:r w:rsidRPr="003762A1">
        <w:rPr>
          <w:spacing w:val="-4"/>
          <w:lang w:val="fr-FR"/>
        </w:rPr>
        <w:t xml:space="preserve"> </w:t>
      </w:r>
      <w:r w:rsidRPr="003762A1">
        <w:rPr>
          <w:lang w:val="fr-FR"/>
        </w:rPr>
        <w:t>généralement</w:t>
      </w:r>
      <w:r w:rsidRPr="003762A1">
        <w:rPr>
          <w:spacing w:val="-4"/>
          <w:lang w:val="fr-FR"/>
        </w:rPr>
        <w:t xml:space="preserve"> </w:t>
      </w:r>
      <w:r w:rsidRPr="003762A1">
        <w:rPr>
          <w:lang w:val="fr-FR"/>
        </w:rPr>
        <w:t>évalués.</w:t>
      </w:r>
      <w:r w:rsidRPr="003762A1">
        <w:rPr>
          <w:spacing w:val="-2"/>
          <w:lang w:val="fr-FR"/>
        </w:rPr>
        <w:t xml:space="preserve"> </w:t>
      </w:r>
      <w:r w:rsidRPr="003762A1">
        <w:rPr>
          <w:lang w:val="fr-FR"/>
        </w:rPr>
        <w:t>Il</w:t>
      </w:r>
      <w:r w:rsidRPr="003762A1">
        <w:rPr>
          <w:spacing w:val="-4"/>
          <w:lang w:val="fr-FR"/>
        </w:rPr>
        <w:t xml:space="preserve"> </w:t>
      </w:r>
      <w:r w:rsidRPr="003762A1">
        <w:rPr>
          <w:lang w:val="fr-FR"/>
        </w:rPr>
        <w:t>en</w:t>
      </w:r>
      <w:r w:rsidRPr="003762A1">
        <w:rPr>
          <w:spacing w:val="-4"/>
          <w:lang w:val="fr-FR"/>
        </w:rPr>
        <w:t xml:space="preserve"> </w:t>
      </w:r>
      <w:r w:rsidRPr="003762A1">
        <w:rPr>
          <w:lang w:val="fr-FR"/>
        </w:rPr>
        <w:t>est</w:t>
      </w:r>
      <w:r w:rsidRPr="003762A1">
        <w:rPr>
          <w:spacing w:val="-4"/>
          <w:lang w:val="fr-FR"/>
        </w:rPr>
        <w:t xml:space="preserve"> </w:t>
      </w:r>
      <w:r w:rsidRPr="003762A1">
        <w:rPr>
          <w:lang w:val="fr-FR"/>
        </w:rPr>
        <w:t>de</w:t>
      </w:r>
      <w:r w:rsidRPr="003762A1">
        <w:rPr>
          <w:spacing w:val="-3"/>
          <w:lang w:val="fr-FR"/>
        </w:rPr>
        <w:t xml:space="preserve"> </w:t>
      </w:r>
      <w:r w:rsidRPr="003762A1">
        <w:rPr>
          <w:lang w:val="fr-FR"/>
        </w:rPr>
        <w:t>même</w:t>
      </w:r>
      <w:r w:rsidRPr="003762A1">
        <w:rPr>
          <w:spacing w:val="-3"/>
          <w:lang w:val="fr-FR"/>
        </w:rPr>
        <w:t xml:space="preserve"> </w:t>
      </w:r>
      <w:r w:rsidRPr="003762A1">
        <w:rPr>
          <w:lang w:val="fr-FR"/>
        </w:rPr>
        <w:t>de l’engagement</w:t>
      </w:r>
      <w:r w:rsidRPr="003762A1">
        <w:rPr>
          <w:spacing w:val="-4"/>
          <w:lang w:val="fr-FR"/>
        </w:rPr>
        <w:t xml:space="preserve"> </w:t>
      </w:r>
      <w:r w:rsidRPr="003762A1">
        <w:rPr>
          <w:lang w:val="fr-FR"/>
        </w:rPr>
        <w:t>de</w:t>
      </w:r>
      <w:r w:rsidRPr="003762A1">
        <w:rPr>
          <w:spacing w:val="-1"/>
          <w:lang w:val="fr-FR"/>
        </w:rPr>
        <w:t xml:space="preserve"> </w:t>
      </w:r>
      <w:r w:rsidRPr="003762A1">
        <w:rPr>
          <w:lang w:val="fr-FR"/>
        </w:rPr>
        <w:t>ce</w:t>
      </w:r>
      <w:r w:rsidRPr="003762A1">
        <w:rPr>
          <w:spacing w:val="-5"/>
          <w:lang w:val="fr-FR"/>
        </w:rPr>
        <w:t xml:space="preserve"> </w:t>
      </w:r>
      <w:r w:rsidRPr="003762A1">
        <w:rPr>
          <w:lang w:val="fr-FR"/>
        </w:rPr>
        <w:t>milieu</w:t>
      </w:r>
      <w:r w:rsidRPr="003762A1">
        <w:rPr>
          <w:spacing w:val="-5"/>
          <w:lang w:val="fr-FR"/>
        </w:rPr>
        <w:t xml:space="preserve"> </w:t>
      </w:r>
      <w:r w:rsidRPr="003762A1">
        <w:rPr>
          <w:lang w:val="fr-FR"/>
        </w:rPr>
        <w:t>à</w:t>
      </w:r>
      <w:r w:rsidRPr="003762A1">
        <w:rPr>
          <w:spacing w:val="-1"/>
          <w:lang w:val="fr-FR"/>
        </w:rPr>
        <w:t xml:space="preserve"> </w:t>
      </w:r>
      <w:r w:rsidRPr="003762A1">
        <w:rPr>
          <w:lang w:val="fr-FR"/>
        </w:rPr>
        <w:t>prendre</w:t>
      </w:r>
      <w:r w:rsidRPr="003762A1">
        <w:rPr>
          <w:spacing w:val="-2"/>
          <w:lang w:val="fr-FR"/>
        </w:rPr>
        <w:t xml:space="preserve"> </w:t>
      </w:r>
      <w:r w:rsidRPr="003762A1">
        <w:rPr>
          <w:lang w:val="fr-FR"/>
        </w:rPr>
        <w:t>soin</w:t>
      </w:r>
      <w:r w:rsidRPr="003762A1">
        <w:rPr>
          <w:spacing w:val="-3"/>
          <w:lang w:val="fr-FR"/>
        </w:rPr>
        <w:t xml:space="preserve"> </w:t>
      </w:r>
      <w:r w:rsidRPr="003762A1">
        <w:rPr>
          <w:lang w:val="fr-FR"/>
        </w:rPr>
        <w:t>de lui jusqu’à sa majorité</w:t>
      </w:r>
      <w:r w:rsidR="00914C42">
        <w:rPr>
          <w:rFonts w:ascii="Arial" w:hAnsi="Arial" w:cs="Arial"/>
          <w:lang w:val="fr-FR"/>
        </w:rPr>
        <w:t> </w:t>
      </w:r>
      <w:r w:rsidRPr="003762A1">
        <w:rPr>
          <w:lang w:val="fr-FR"/>
        </w:rPr>
        <w:t>;</w:t>
      </w:r>
    </w:p>
    <w:p w14:paraId="3A520FFB" w14:textId="1B69B94F" w:rsidR="003762A1" w:rsidRPr="003762A1" w:rsidRDefault="003762A1" w:rsidP="008A59CC">
      <w:pPr>
        <w:pStyle w:val="puces0"/>
        <w:rPr>
          <w:lang w:val="fr-FR"/>
        </w:rPr>
      </w:pPr>
      <w:r w:rsidRPr="003762A1">
        <w:rPr>
          <w:lang w:val="fr-FR"/>
        </w:rPr>
        <w:t>Le choix du milieu de vie substitut pour le placement à majorité se fait majoritairement en tenant</w:t>
      </w:r>
      <w:r w:rsidRPr="003762A1">
        <w:rPr>
          <w:spacing w:val="-2"/>
          <w:lang w:val="fr-FR"/>
        </w:rPr>
        <w:t xml:space="preserve"> </w:t>
      </w:r>
      <w:r w:rsidRPr="003762A1">
        <w:rPr>
          <w:lang w:val="fr-FR"/>
        </w:rPr>
        <w:t>compte</w:t>
      </w:r>
      <w:r w:rsidRPr="003762A1">
        <w:rPr>
          <w:spacing w:val="-4"/>
          <w:lang w:val="fr-FR"/>
        </w:rPr>
        <w:t xml:space="preserve"> </w:t>
      </w:r>
      <w:r w:rsidRPr="003762A1">
        <w:rPr>
          <w:lang w:val="fr-FR"/>
        </w:rPr>
        <w:t>des</w:t>
      </w:r>
      <w:r w:rsidRPr="003762A1">
        <w:rPr>
          <w:spacing w:val="-4"/>
          <w:lang w:val="fr-FR"/>
        </w:rPr>
        <w:t xml:space="preserve"> </w:t>
      </w:r>
      <w:r w:rsidRPr="003762A1">
        <w:rPr>
          <w:lang w:val="fr-FR"/>
        </w:rPr>
        <w:t>besoins</w:t>
      </w:r>
      <w:r w:rsidRPr="003762A1">
        <w:rPr>
          <w:spacing w:val="-4"/>
          <w:lang w:val="fr-FR"/>
        </w:rPr>
        <w:t xml:space="preserve"> </w:t>
      </w:r>
      <w:r w:rsidRPr="003762A1">
        <w:rPr>
          <w:lang w:val="fr-FR"/>
        </w:rPr>
        <w:t>de l’enfant,</w:t>
      </w:r>
      <w:r w:rsidRPr="003762A1">
        <w:rPr>
          <w:spacing w:val="-5"/>
          <w:lang w:val="fr-FR"/>
        </w:rPr>
        <w:t xml:space="preserve"> </w:t>
      </w:r>
      <w:r w:rsidRPr="003762A1">
        <w:rPr>
          <w:lang w:val="fr-FR"/>
        </w:rPr>
        <w:t>de</w:t>
      </w:r>
      <w:r w:rsidRPr="003762A1">
        <w:rPr>
          <w:spacing w:val="-2"/>
          <w:lang w:val="fr-FR"/>
        </w:rPr>
        <w:t xml:space="preserve"> </w:t>
      </w:r>
      <w:r w:rsidRPr="003762A1">
        <w:rPr>
          <w:lang w:val="fr-FR"/>
        </w:rPr>
        <w:t>son</w:t>
      </w:r>
      <w:r w:rsidRPr="003762A1">
        <w:rPr>
          <w:spacing w:val="-4"/>
          <w:lang w:val="fr-FR"/>
        </w:rPr>
        <w:t xml:space="preserve"> </w:t>
      </w:r>
      <w:r w:rsidRPr="003762A1">
        <w:rPr>
          <w:lang w:val="fr-FR"/>
        </w:rPr>
        <w:t>évolution</w:t>
      </w:r>
      <w:r w:rsidRPr="003762A1">
        <w:rPr>
          <w:spacing w:val="-4"/>
          <w:lang w:val="fr-FR"/>
        </w:rPr>
        <w:t xml:space="preserve"> </w:t>
      </w:r>
      <w:r w:rsidRPr="003762A1">
        <w:rPr>
          <w:lang w:val="fr-FR"/>
        </w:rPr>
        <w:t>positive</w:t>
      </w:r>
      <w:r w:rsidRPr="003762A1">
        <w:rPr>
          <w:spacing w:val="-4"/>
          <w:lang w:val="fr-FR"/>
        </w:rPr>
        <w:t xml:space="preserve"> </w:t>
      </w:r>
      <w:r w:rsidRPr="003762A1">
        <w:rPr>
          <w:lang w:val="fr-FR"/>
        </w:rPr>
        <w:t>ainsi</w:t>
      </w:r>
      <w:r w:rsidRPr="003762A1">
        <w:rPr>
          <w:spacing w:val="-5"/>
          <w:lang w:val="fr-FR"/>
        </w:rPr>
        <w:t xml:space="preserve"> </w:t>
      </w:r>
      <w:r w:rsidRPr="003762A1">
        <w:rPr>
          <w:lang w:val="fr-FR"/>
        </w:rPr>
        <w:t>que</w:t>
      </w:r>
      <w:r w:rsidRPr="003762A1">
        <w:rPr>
          <w:spacing w:val="-4"/>
          <w:lang w:val="fr-FR"/>
        </w:rPr>
        <w:t xml:space="preserve"> </w:t>
      </w:r>
      <w:r w:rsidRPr="003762A1">
        <w:rPr>
          <w:lang w:val="fr-FR"/>
        </w:rPr>
        <w:t>de</w:t>
      </w:r>
      <w:r w:rsidRPr="003762A1">
        <w:rPr>
          <w:spacing w:val="-4"/>
          <w:lang w:val="fr-FR"/>
        </w:rPr>
        <w:t xml:space="preserve"> </w:t>
      </w:r>
      <w:r w:rsidRPr="003762A1">
        <w:rPr>
          <w:lang w:val="fr-FR"/>
        </w:rPr>
        <w:t>ses</w:t>
      </w:r>
      <w:r w:rsidRPr="003762A1">
        <w:rPr>
          <w:spacing w:val="-4"/>
          <w:lang w:val="fr-FR"/>
        </w:rPr>
        <w:t xml:space="preserve"> </w:t>
      </w:r>
      <w:r w:rsidRPr="003762A1">
        <w:rPr>
          <w:lang w:val="fr-FR"/>
        </w:rPr>
        <w:t>progrès</w:t>
      </w:r>
      <w:r w:rsidRPr="003762A1">
        <w:rPr>
          <w:spacing w:val="-2"/>
          <w:lang w:val="fr-FR"/>
        </w:rPr>
        <w:t xml:space="preserve"> </w:t>
      </w:r>
      <w:r w:rsidRPr="003762A1">
        <w:rPr>
          <w:lang w:val="fr-FR"/>
        </w:rPr>
        <w:t>sur</w:t>
      </w:r>
      <w:r w:rsidRPr="003762A1">
        <w:rPr>
          <w:spacing w:val="-5"/>
          <w:lang w:val="fr-FR"/>
        </w:rPr>
        <w:t xml:space="preserve"> </w:t>
      </w:r>
      <w:r w:rsidRPr="003762A1">
        <w:rPr>
          <w:lang w:val="fr-FR"/>
        </w:rPr>
        <w:t>le plan de son développement depuis qu’il y est confié</w:t>
      </w:r>
      <w:r w:rsidR="00914C42">
        <w:rPr>
          <w:rFonts w:ascii="Arial" w:hAnsi="Arial" w:cs="Arial"/>
          <w:lang w:val="fr-FR"/>
        </w:rPr>
        <w:t> </w:t>
      </w:r>
      <w:r w:rsidRPr="003762A1">
        <w:rPr>
          <w:lang w:val="fr-FR"/>
        </w:rPr>
        <w:t>;</w:t>
      </w:r>
    </w:p>
    <w:p w14:paraId="793BD663" w14:textId="75321FFD" w:rsidR="003762A1" w:rsidRPr="003762A1" w:rsidRDefault="00FD33CF" w:rsidP="008A59CC">
      <w:pPr>
        <w:pStyle w:val="puces0"/>
        <w:rPr>
          <w:lang w:val="fr-FR"/>
        </w:rPr>
      </w:pPr>
      <w:r>
        <w:rPr>
          <w:lang w:val="fr-FR"/>
        </w:rPr>
        <w:t>La</w:t>
      </w:r>
      <w:r w:rsidR="003762A1" w:rsidRPr="003762A1">
        <w:rPr>
          <w:lang w:val="fr-FR"/>
        </w:rPr>
        <w:t xml:space="preserve"> dynamique familiale dans l</w:t>
      </w:r>
      <w:r w:rsidR="00F917EB">
        <w:rPr>
          <w:lang w:val="fr-FR"/>
        </w:rPr>
        <w:t>a</w:t>
      </w:r>
      <w:r w:rsidR="003762A1" w:rsidRPr="003762A1">
        <w:rPr>
          <w:lang w:val="fr-FR"/>
        </w:rPr>
        <w:t>quel</w:t>
      </w:r>
      <w:r w:rsidR="00F917EB">
        <w:rPr>
          <w:lang w:val="fr-FR"/>
        </w:rPr>
        <w:t>le</w:t>
      </w:r>
      <w:r w:rsidR="003762A1" w:rsidRPr="003762A1">
        <w:rPr>
          <w:lang w:val="fr-FR"/>
        </w:rPr>
        <w:t xml:space="preserve"> l’enfant évolue</w:t>
      </w:r>
      <w:r>
        <w:rPr>
          <w:lang w:val="fr-FR"/>
        </w:rPr>
        <w:t xml:space="preserve"> semble mieux prise en </w:t>
      </w:r>
      <w:r w:rsidR="00F917EB">
        <w:rPr>
          <w:lang w:val="fr-FR"/>
        </w:rPr>
        <w:t>compte</w:t>
      </w:r>
      <w:r w:rsidR="003762A1" w:rsidRPr="003762A1">
        <w:rPr>
          <w:lang w:val="fr-FR"/>
        </w:rPr>
        <w:t>,</w:t>
      </w:r>
      <w:r w:rsidR="003762A1" w:rsidRPr="003762A1">
        <w:rPr>
          <w:spacing w:val="-5"/>
          <w:lang w:val="fr-FR"/>
        </w:rPr>
        <w:t xml:space="preserve"> </w:t>
      </w:r>
      <w:r w:rsidR="003762A1" w:rsidRPr="003762A1">
        <w:rPr>
          <w:lang w:val="fr-FR"/>
        </w:rPr>
        <w:t>notamment la</w:t>
      </w:r>
      <w:r w:rsidR="003762A1" w:rsidRPr="003762A1">
        <w:rPr>
          <w:spacing w:val="-5"/>
          <w:lang w:val="fr-FR"/>
        </w:rPr>
        <w:t xml:space="preserve"> </w:t>
      </w:r>
      <w:r w:rsidR="003762A1" w:rsidRPr="003762A1">
        <w:rPr>
          <w:lang w:val="fr-FR"/>
        </w:rPr>
        <w:t>présence</w:t>
      </w:r>
      <w:r w:rsidR="003762A1" w:rsidRPr="003762A1">
        <w:rPr>
          <w:spacing w:val="-4"/>
          <w:lang w:val="fr-FR"/>
        </w:rPr>
        <w:t xml:space="preserve"> </w:t>
      </w:r>
      <w:r w:rsidR="003762A1" w:rsidRPr="003762A1">
        <w:rPr>
          <w:lang w:val="fr-FR"/>
        </w:rPr>
        <w:t>de</w:t>
      </w:r>
      <w:r w:rsidR="003762A1" w:rsidRPr="003762A1">
        <w:rPr>
          <w:spacing w:val="-2"/>
          <w:lang w:val="fr-FR"/>
        </w:rPr>
        <w:t xml:space="preserve"> </w:t>
      </w:r>
      <w:r w:rsidR="003762A1" w:rsidRPr="003762A1">
        <w:rPr>
          <w:lang w:val="fr-FR"/>
        </w:rPr>
        <w:t>violence</w:t>
      </w:r>
      <w:r w:rsidR="003762A1" w:rsidRPr="003762A1">
        <w:rPr>
          <w:spacing w:val="-2"/>
          <w:lang w:val="fr-FR"/>
        </w:rPr>
        <w:t xml:space="preserve"> </w:t>
      </w:r>
      <w:r w:rsidR="003762A1" w:rsidRPr="003762A1">
        <w:rPr>
          <w:lang w:val="fr-FR"/>
        </w:rPr>
        <w:t>conjugale,</w:t>
      </w:r>
      <w:r w:rsidR="003762A1" w:rsidRPr="003762A1">
        <w:rPr>
          <w:spacing w:val="-3"/>
          <w:lang w:val="fr-FR"/>
        </w:rPr>
        <w:t xml:space="preserve"> </w:t>
      </w:r>
      <w:r w:rsidR="003762A1" w:rsidRPr="003762A1">
        <w:rPr>
          <w:lang w:val="fr-FR"/>
        </w:rPr>
        <w:t>pour</w:t>
      </w:r>
      <w:r w:rsidR="003762A1" w:rsidRPr="003762A1">
        <w:rPr>
          <w:spacing w:val="-5"/>
          <w:lang w:val="fr-FR"/>
        </w:rPr>
        <w:t xml:space="preserve"> </w:t>
      </w:r>
      <w:r w:rsidR="003762A1" w:rsidRPr="003762A1">
        <w:rPr>
          <w:lang w:val="fr-FR"/>
        </w:rPr>
        <w:t>évaluer</w:t>
      </w:r>
      <w:r w:rsidR="003762A1" w:rsidRPr="003762A1">
        <w:rPr>
          <w:spacing w:val="-2"/>
          <w:lang w:val="fr-FR"/>
        </w:rPr>
        <w:t xml:space="preserve"> </w:t>
      </w:r>
      <w:r w:rsidR="003762A1" w:rsidRPr="003762A1">
        <w:rPr>
          <w:lang w:val="fr-FR"/>
        </w:rPr>
        <w:t>la</w:t>
      </w:r>
      <w:r w:rsidR="003762A1" w:rsidRPr="003762A1">
        <w:rPr>
          <w:spacing w:val="-3"/>
          <w:lang w:val="fr-FR"/>
        </w:rPr>
        <w:t xml:space="preserve"> </w:t>
      </w:r>
      <w:r w:rsidR="003762A1" w:rsidRPr="003762A1">
        <w:rPr>
          <w:lang w:val="fr-FR"/>
        </w:rPr>
        <w:t>capacité</w:t>
      </w:r>
      <w:r w:rsidR="003762A1" w:rsidRPr="003762A1">
        <w:rPr>
          <w:spacing w:val="-2"/>
          <w:lang w:val="fr-FR"/>
        </w:rPr>
        <w:t xml:space="preserve"> </w:t>
      </w:r>
      <w:r w:rsidR="003762A1" w:rsidRPr="003762A1">
        <w:rPr>
          <w:lang w:val="fr-FR"/>
        </w:rPr>
        <w:t>des</w:t>
      </w:r>
      <w:r w:rsidR="003762A1" w:rsidRPr="003762A1">
        <w:rPr>
          <w:spacing w:val="-4"/>
          <w:lang w:val="fr-FR"/>
        </w:rPr>
        <w:t xml:space="preserve"> </w:t>
      </w:r>
      <w:r w:rsidR="003762A1" w:rsidRPr="003762A1">
        <w:rPr>
          <w:lang w:val="fr-FR"/>
        </w:rPr>
        <w:t>parents à prendre soin de lui</w:t>
      </w:r>
      <w:r w:rsidR="00914C42">
        <w:rPr>
          <w:rFonts w:ascii="Arial" w:hAnsi="Arial" w:cs="Arial"/>
          <w:lang w:val="fr-FR"/>
        </w:rPr>
        <w:t> </w:t>
      </w:r>
      <w:r w:rsidR="003762A1" w:rsidRPr="003762A1">
        <w:rPr>
          <w:lang w:val="fr-FR"/>
        </w:rPr>
        <w:t>;</w:t>
      </w:r>
    </w:p>
    <w:p w14:paraId="079C9BBD" w14:textId="17FDDF80" w:rsidR="003762A1" w:rsidRPr="003762A1" w:rsidRDefault="003762A1" w:rsidP="008A59CC">
      <w:pPr>
        <w:pStyle w:val="puces0"/>
        <w:rPr>
          <w:lang w:val="fr-FR"/>
        </w:rPr>
      </w:pPr>
      <w:r w:rsidRPr="003762A1">
        <w:rPr>
          <w:lang w:val="fr-FR"/>
        </w:rPr>
        <w:lastRenderedPageBreak/>
        <w:t>Les</w:t>
      </w:r>
      <w:r w:rsidRPr="003762A1">
        <w:rPr>
          <w:spacing w:val="-4"/>
          <w:lang w:val="fr-FR"/>
        </w:rPr>
        <w:t xml:space="preserve"> </w:t>
      </w:r>
      <w:r w:rsidRPr="003762A1">
        <w:rPr>
          <w:lang w:val="fr-FR"/>
        </w:rPr>
        <w:t>enfants</w:t>
      </w:r>
      <w:r w:rsidRPr="003762A1">
        <w:rPr>
          <w:spacing w:val="-4"/>
          <w:lang w:val="fr-FR"/>
        </w:rPr>
        <w:t xml:space="preserve"> </w:t>
      </w:r>
      <w:r w:rsidRPr="003762A1">
        <w:rPr>
          <w:lang w:val="fr-FR"/>
        </w:rPr>
        <w:t>plus</w:t>
      </w:r>
      <w:r w:rsidRPr="003762A1">
        <w:rPr>
          <w:spacing w:val="-4"/>
          <w:lang w:val="fr-FR"/>
        </w:rPr>
        <w:t xml:space="preserve"> </w:t>
      </w:r>
      <w:r w:rsidRPr="003762A1">
        <w:rPr>
          <w:lang w:val="fr-FR"/>
        </w:rPr>
        <w:t>âgés</w:t>
      </w:r>
      <w:r w:rsidRPr="003762A1">
        <w:rPr>
          <w:spacing w:val="-4"/>
          <w:lang w:val="fr-FR"/>
        </w:rPr>
        <w:t xml:space="preserve"> </w:t>
      </w:r>
      <w:r w:rsidRPr="003762A1">
        <w:rPr>
          <w:lang w:val="fr-FR"/>
        </w:rPr>
        <w:t>et</w:t>
      </w:r>
      <w:r w:rsidRPr="003762A1">
        <w:rPr>
          <w:spacing w:val="-5"/>
          <w:lang w:val="fr-FR"/>
        </w:rPr>
        <w:t xml:space="preserve"> </w:t>
      </w:r>
      <w:r w:rsidRPr="003762A1">
        <w:rPr>
          <w:lang w:val="fr-FR"/>
        </w:rPr>
        <w:t>les</w:t>
      </w:r>
      <w:r w:rsidRPr="003762A1">
        <w:rPr>
          <w:spacing w:val="-4"/>
          <w:lang w:val="fr-FR"/>
        </w:rPr>
        <w:t xml:space="preserve"> </w:t>
      </w:r>
      <w:r w:rsidRPr="003762A1">
        <w:rPr>
          <w:lang w:val="fr-FR"/>
        </w:rPr>
        <w:t>parents</w:t>
      </w:r>
      <w:r w:rsidRPr="003762A1">
        <w:rPr>
          <w:spacing w:val="-4"/>
          <w:lang w:val="fr-FR"/>
        </w:rPr>
        <w:t xml:space="preserve"> </w:t>
      </w:r>
      <w:r w:rsidRPr="003762A1">
        <w:rPr>
          <w:lang w:val="fr-FR"/>
        </w:rPr>
        <w:t>participent</w:t>
      </w:r>
      <w:r w:rsidRPr="003762A1">
        <w:rPr>
          <w:spacing w:val="-5"/>
          <w:lang w:val="fr-FR"/>
        </w:rPr>
        <w:t xml:space="preserve"> </w:t>
      </w:r>
      <w:r w:rsidRPr="003762A1">
        <w:rPr>
          <w:lang w:val="fr-FR"/>
        </w:rPr>
        <w:t>dans</w:t>
      </w:r>
      <w:r w:rsidRPr="003762A1">
        <w:rPr>
          <w:spacing w:val="-2"/>
          <w:lang w:val="fr-FR"/>
        </w:rPr>
        <w:t xml:space="preserve"> </w:t>
      </w:r>
      <w:r w:rsidRPr="003762A1">
        <w:rPr>
          <w:lang w:val="fr-FR"/>
        </w:rPr>
        <w:t>une grande</w:t>
      </w:r>
      <w:r w:rsidRPr="003762A1">
        <w:rPr>
          <w:spacing w:val="-4"/>
          <w:lang w:val="fr-FR"/>
        </w:rPr>
        <w:t xml:space="preserve"> </w:t>
      </w:r>
      <w:r w:rsidRPr="003762A1">
        <w:rPr>
          <w:lang w:val="fr-FR"/>
        </w:rPr>
        <w:t>proportion</w:t>
      </w:r>
      <w:r w:rsidRPr="003762A1">
        <w:rPr>
          <w:spacing w:val="-4"/>
          <w:lang w:val="fr-FR"/>
        </w:rPr>
        <w:t xml:space="preserve"> </w:t>
      </w:r>
      <w:r w:rsidRPr="003762A1">
        <w:rPr>
          <w:lang w:val="fr-FR"/>
        </w:rPr>
        <w:t>au</w:t>
      </w:r>
      <w:r w:rsidRPr="003762A1">
        <w:rPr>
          <w:spacing w:val="-3"/>
          <w:lang w:val="fr-FR"/>
        </w:rPr>
        <w:t xml:space="preserve"> </w:t>
      </w:r>
      <w:r w:rsidRPr="003762A1">
        <w:rPr>
          <w:lang w:val="fr-FR"/>
        </w:rPr>
        <w:t>processus décisionnel menant au projet de vie</w:t>
      </w:r>
      <w:r w:rsidR="00914C42">
        <w:rPr>
          <w:rFonts w:ascii="Arial" w:hAnsi="Arial" w:cs="Arial"/>
          <w:lang w:val="fr-FR"/>
        </w:rPr>
        <w:t> </w:t>
      </w:r>
      <w:r w:rsidRPr="003762A1">
        <w:rPr>
          <w:lang w:val="fr-FR"/>
        </w:rPr>
        <w:t>;</w:t>
      </w:r>
    </w:p>
    <w:p w14:paraId="1E0F5A3C" w14:textId="569FB16D" w:rsidR="003762A1" w:rsidRPr="003762A1" w:rsidRDefault="003762A1" w:rsidP="008A59CC">
      <w:pPr>
        <w:pStyle w:val="puces0"/>
        <w:rPr>
          <w:lang w:val="fr-FR"/>
        </w:rPr>
      </w:pPr>
      <w:r w:rsidRPr="003762A1">
        <w:rPr>
          <w:lang w:val="fr-FR"/>
        </w:rPr>
        <w:t>Les</w:t>
      </w:r>
      <w:r w:rsidRPr="003762A1">
        <w:rPr>
          <w:spacing w:val="-3"/>
          <w:lang w:val="fr-FR"/>
        </w:rPr>
        <w:t xml:space="preserve"> </w:t>
      </w:r>
      <w:r w:rsidRPr="003762A1">
        <w:rPr>
          <w:lang w:val="fr-FR"/>
        </w:rPr>
        <w:t>enfants</w:t>
      </w:r>
      <w:r w:rsidRPr="003762A1">
        <w:rPr>
          <w:spacing w:val="-2"/>
          <w:lang w:val="fr-FR"/>
        </w:rPr>
        <w:t xml:space="preserve"> </w:t>
      </w:r>
      <w:r w:rsidRPr="003762A1">
        <w:rPr>
          <w:lang w:val="fr-FR"/>
        </w:rPr>
        <w:t>ou</w:t>
      </w:r>
      <w:r w:rsidRPr="003762A1">
        <w:rPr>
          <w:spacing w:val="-1"/>
          <w:lang w:val="fr-FR"/>
        </w:rPr>
        <w:t xml:space="preserve"> </w:t>
      </w:r>
      <w:r w:rsidRPr="003762A1">
        <w:rPr>
          <w:lang w:val="fr-FR"/>
        </w:rPr>
        <w:t>leurs</w:t>
      </w:r>
      <w:r w:rsidRPr="003762A1">
        <w:rPr>
          <w:spacing w:val="-3"/>
          <w:lang w:val="fr-FR"/>
        </w:rPr>
        <w:t xml:space="preserve"> </w:t>
      </w:r>
      <w:r w:rsidRPr="003762A1">
        <w:rPr>
          <w:lang w:val="fr-FR"/>
        </w:rPr>
        <w:t>procureurs</w:t>
      </w:r>
      <w:r w:rsidRPr="003762A1">
        <w:rPr>
          <w:spacing w:val="-3"/>
          <w:lang w:val="fr-FR"/>
        </w:rPr>
        <w:t xml:space="preserve"> </w:t>
      </w:r>
      <w:r w:rsidRPr="003762A1">
        <w:rPr>
          <w:lang w:val="fr-FR"/>
        </w:rPr>
        <w:t>adh</w:t>
      </w:r>
      <w:r w:rsidR="000F4603">
        <w:rPr>
          <w:lang w:val="fr-FR"/>
        </w:rPr>
        <w:t>è</w:t>
      </w:r>
      <w:r w:rsidRPr="003762A1">
        <w:rPr>
          <w:lang w:val="fr-FR"/>
        </w:rPr>
        <w:t>rent</w:t>
      </w:r>
      <w:r w:rsidRPr="003762A1">
        <w:rPr>
          <w:spacing w:val="-4"/>
          <w:lang w:val="fr-FR"/>
        </w:rPr>
        <w:t xml:space="preserve"> </w:t>
      </w:r>
      <w:r w:rsidRPr="003762A1">
        <w:rPr>
          <w:lang w:val="fr-FR"/>
        </w:rPr>
        <w:t>dans</w:t>
      </w:r>
      <w:r w:rsidRPr="003762A1">
        <w:rPr>
          <w:spacing w:val="-1"/>
          <w:lang w:val="fr-FR"/>
        </w:rPr>
        <w:t xml:space="preserve"> </w:t>
      </w:r>
      <w:r w:rsidRPr="003762A1">
        <w:rPr>
          <w:lang w:val="fr-FR"/>
        </w:rPr>
        <w:t>une</w:t>
      </w:r>
      <w:r w:rsidRPr="003762A1">
        <w:rPr>
          <w:spacing w:val="-3"/>
          <w:lang w:val="fr-FR"/>
        </w:rPr>
        <w:t xml:space="preserve"> </w:t>
      </w:r>
      <w:r w:rsidRPr="003762A1">
        <w:rPr>
          <w:lang w:val="fr-FR"/>
        </w:rPr>
        <w:t>vaste</w:t>
      </w:r>
      <w:r w:rsidRPr="003762A1">
        <w:rPr>
          <w:spacing w:val="-3"/>
          <w:lang w:val="fr-FR"/>
        </w:rPr>
        <w:t xml:space="preserve"> </w:t>
      </w:r>
      <w:r w:rsidRPr="003762A1">
        <w:rPr>
          <w:lang w:val="fr-FR"/>
        </w:rPr>
        <w:t>majorité</w:t>
      </w:r>
      <w:r w:rsidRPr="003762A1">
        <w:rPr>
          <w:spacing w:val="-3"/>
          <w:lang w:val="fr-FR"/>
        </w:rPr>
        <w:t xml:space="preserve"> </w:t>
      </w:r>
      <w:r w:rsidRPr="003762A1">
        <w:rPr>
          <w:lang w:val="fr-FR"/>
        </w:rPr>
        <w:t>au</w:t>
      </w:r>
      <w:r w:rsidRPr="003762A1">
        <w:rPr>
          <w:spacing w:val="-4"/>
          <w:lang w:val="fr-FR"/>
        </w:rPr>
        <w:t xml:space="preserve"> </w:t>
      </w:r>
      <w:r w:rsidRPr="003762A1">
        <w:rPr>
          <w:lang w:val="fr-FR"/>
        </w:rPr>
        <w:t>projet</w:t>
      </w:r>
      <w:r w:rsidRPr="003762A1">
        <w:rPr>
          <w:spacing w:val="-4"/>
          <w:lang w:val="fr-FR"/>
        </w:rPr>
        <w:t xml:space="preserve"> </w:t>
      </w:r>
      <w:r w:rsidRPr="003762A1">
        <w:rPr>
          <w:lang w:val="fr-FR"/>
        </w:rPr>
        <w:t>de</w:t>
      </w:r>
      <w:r w:rsidRPr="003762A1">
        <w:rPr>
          <w:spacing w:val="-3"/>
          <w:lang w:val="fr-FR"/>
        </w:rPr>
        <w:t xml:space="preserve"> </w:t>
      </w:r>
      <w:r w:rsidRPr="003762A1">
        <w:rPr>
          <w:lang w:val="fr-FR"/>
        </w:rPr>
        <w:t>vie</w:t>
      </w:r>
      <w:r w:rsidRPr="003762A1">
        <w:rPr>
          <w:spacing w:val="-3"/>
          <w:lang w:val="fr-FR"/>
        </w:rPr>
        <w:t xml:space="preserve"> </w:t>
      </w:r>
      <w:r w:rsidRPr="003762A1">
        <w:rPr>
          <w:lang w:val="fr-FR"/>
        </w:rPr>
        <w:t>de</w:t>
      </w:r>
      <w:r w:rsidRPr="003762A1">
        <w:rPr>
          <w:spacing w:val="-3"/>
          <w:lang w:val="fr-FR"/>
        </w:rPr>
        <w:t xml:space="preserve"> </w:t>
      </w:r>
      <w:r w:rsidRPr="003762A1">
        <w:rPr>
          <w:lang w:val="fr-FR"/>
        </w:rPr>
        <w:t>le</w:t>
      </w:r>
      <w:r w:rsidR="00287301">
        <w:rPr>
          <w:lang w:val="fr-FR"/>
        </w:rPr>
        <w:t>s</w:t>
      </w:r>
      <w:r w:rsidRPr="003762A1">
        <w:rPr>
          <w:spacing w:val="-3"/>
          <w:lang w:val="fr-FR"/>
        </w:rPr>
        <w:t xml:space="preserve"> </w:t>
      </w:r>
      <w:r w:rsidRPr="003762A1">
        <w:rPr>
          <w:lang w:val="fr-FR"/>
        </w:rPr>
        <w:t xml:space="preserve">confier </w:t>
      </w:r>
      <w:r w:rsidR="00E036AC">
        <w:rPr>
          <w:lang w:val="fr-FR"/>
        </w:rPr>
        <w:t>à un</w:t>
      </w:r>
      <w:r w:rsidRPr="003762A1">
        <w:rPr>
          <w:lang w:val="fr-FR"/>
        </w:rPr>
        <w:t xml:space="preserve"> milieu de vie substitut</w:t>
      </w:r>
      <w:r w:rsidR="000E012A">
        <w:rPr>
          <w:lang w:val="fr-FR"/>
        </w:rPr>
        <w:t xml:space="preserve"> jusqu’à la majorité</w:t>
      </w:r>
      <w:r w:rsidR="00914C42">
        <w:rPr>
          <w:rFonts w:ascii="Arial" w:hAnsi="Arial" w:cs="Arial"/>
          <w:lang w:val="fr-FR"/>
        </w:rPr>
        <w:t> </w:t>
      </w:r>
      <w:r w:rsidRPr="003762A1">
        <w:rPr>
          <w:lang w:val="fr-FR"/>
        </w:rPr>
        <w:t>;</w:t>
      </w:r>
    </w:p>
    <w:p w14:paraId="408A5CEB" w14:textId="7E66CBE1" w:rsidR="003762A1" w:rsidRPr="003762A1" w:rsidRDefault="003762A1" w:rsidP="008A59CC">
      <w:pPr>
        <w:pStyle w:val="puces0"/>
        <w:rPr>
          <w:lang w:val="fr-FR"/>
        </w:rPr>
      </w:pPr>
      <w:r w:rsidRPr="003762A1">
        <w:rPr>
          <w:lang w:val="fr-FR"/>
        </w:rPr>
        <w:t>L’établissement</w:t>
      </w:r>
      <w:r w:rsidRPr="003762A1">
        <w:rPr>
          <w:spacing w:val="-8"/>
          <w:lang w:val="fr-FR"/>
        </w:rPr>
        <w:t xml:space="preserve"> </w:t>
      </w:r>
      <w:r w:rsidRPr="003762A1">
        <w:rPr>
          <w:lang w:val="fr-FR"/>
        </w:rPr>
        <w:t>des</w:t>
      </w:r>
      <w:r w:rsidRPr="003762A1">
        <w:rPr>
          <w:spacing w:val="-3"/>
          <w:lang w:val="fr-FR"/>
        </w:rPr>
        <w:t xml:space="preserve"> </w:t>
      </w:r>
      <w:r w:rsidRPr="003762A1">
        <w:rPr>
          <w:lang w:val="fr-FR"/>
        </w:rPr>
        <w:t>contacts</w:t>
      </w:r>
      <w:r w:rsidRPr="003762A1">
        <w:rPr>
          <w:spacing w:val="-5"/>
          <w:lang w:val="fr-FR"/>
        </w:rPr>
        <w:t xml:space="preserve"> </w:t>
      </w:r>
      <w:r w:rsidRPr="003762A1">
        <w:rPr>
          <w:lang w:val="fr-FR"/>
        </w:rPr>
        <w:t>des</w:t>
      </w:r>
      <w:r w:rsidRPr="003762A1">
        <w:rPr>
          <w:spacing w:val="-5"/>
          <w:lang w:val="fr-FR"/>
        </w:rPr>
        <w:t xml:space="preserve"> </w:t>
      </w:r>
      <w:r w:rsidRPr="003762A1">
        <w:rPr>
          <w:lang w:val="fr-FR"/>
        </w:rPr>
        <w:t>enfants</w:t>
      </w:r>
      <w:r w:rsidRPr="003762A1">
        <w:rPr>
          <w:spacing w:val="-5"/>
          <w:lang w:val="fr-FR"/>
        </w:rPr>
        <w:t xml:space="preserve"> </w:t>
      </w:r>
      <w:r w:rsidRPr="003762A1">
        <w:rPr>
          <w:lang w:val="fr-FR"/>
        </w:rPr>
        <w:t>plus</w:t>
      </w:r>
      <w:r w:rsidRPr="003762A1">
        <w:rPr>
          <w:spacing w:val="-5"/>
          <w:lang w:val="fr-FR"/>
        </w:rPr>
        <w:t xml:space="preserve"> </w:t>
      </w:r>
      <w:r w:rsidRPr="003762A1">
        <w:rPr>
          <w:lang w:val="fr-FR"/>
        </w:rPr>
        <w:t>âgés</w:t>
      </w:r>
      <w:r w:rsidRPr="003762A1">
        <w:rPr>
          <w:spacing w:val="-3"/>
          <w:lang w:val="fr-FR"/>
        </w:rPr>
        <w:t xml:space="preserve"> </w:t>
      </w:r>
      <w:r w:rsidRPr="003762A1">
        <w:rPr>
          <w:lang w:val="fr-FR"/>
        </w:rPr>
        <w:t>avec</w:t>
      </w:r>
      <w:r w:rsidRPr="003762A1">
        <w:rPr>
          <w:spacing w:val="-6"/>
          <w:lang w:val="fr-FR"/>
        </w:rPr>
        <w:t xml:space="preserve"> </w:t>
      </w:r>
      <w:r w:rsidRPr="003762A1">
        <w:rPr>
          <w:lang w:val="fr-FR"/>
        </w:rPr>
        <w:t>leurs</w:t>
      </w:r>
      <w:r w:rsidRPr="003762A1">
        <w:rPr>
          <w:spacing w:val="-5"/>
          <w:lang w:val="fr-FR"/>
        </w:rPr>
        <w:t xml:space="preserve"> </w:t>
      </w:r>
      <w:r w:rsidRPr="003762A1">
        <w:rPr>
          <w:lang w:val="fr-FR"/>
        </w:rPr>
        <w:t>parents</w:t>
      </w:r>
      <w:r w:rsidRPr="003762A1">
        <w:rPr>
          <w:spacing w:val="-3"/>
          <w:lang w:val="fr-FR"/>
        </w:rPr>
        <w:t xml:space="preserve"> </w:t>
      </w:r>
      <w:r w:rsidRPr="003762A1">
        <w:rPr>
          <w:lang w:val="fr-FR"/>
        </w:rPr>
        <w:t>ou</w:t>
      </w:r>
      <w:r w:rsidRPr="003762A1">
        <w:rPr>
          <w:spacing w:val="-6"/>
          <w:lang w:val="fr-FR"/>
        </w:rPr>
        <w:t xml:space="preserve"> </w:t>
      </w:r>
      <w:r w:rsidRPr="003762A1">
        <w:rPr>
          <w:lang w:val="fr-FR"/>
        </w:rPr>
        <w:t>toute</w:t>
      </w:r>
      <w:r w:rsidRPr="003762A1">
        <w:rPr>
          <w:spacing w:val="-5"/>
          <w:lang w:val="fr-FR"/>
        </w:rPr>
        <w:t xml:space="preserve"> </w:t>
      </w:r>
      <w:r w:rsidRPr="003762A1">
        <w:rPr>
          <w:lang w:val="fr-FR"/>
        </w:rPr>
        <w:t>autre</w:t>
      </w:r>
      <w:r w:rsidRPr="003762A1">
        <w:rPr>
          <w:spacing w:val="-4"/>
          <w:lang w:val="fr-FR"/>
        </w:rPr>
        <w:t xml:space="preserve"> </w:t>
      </w:r>
      <w:r w:rsidRPr="003762A1">
        <w:rPr>
          <w:spacing w:val="-2"/>
          <w:lang w:val="fr-FR"/>
        </w:rPr>
        <w:t xml:space="preserve">personne </w:t>
      </w:r>
      <w:r w:rsidRPr="003762A1">
        <w:rPr>
          <w:lang w:val="fr-FR"/>
        </w:rPr>
        <w:t>significative</w:t>
      </w:r>
      <w:r w:rsidRPr="003762A1">
        <w:rPr>
          <w:spacing w:val="-8"/>
          <w:lang w:val="fr-FR"/>
        </w:rPr>
        <w:t xml:space="preserve"> </w:t>
      </w:r>
      <w:r w:rsidRPr="003762A1">
        <w:rPr>
          <w:lang w:val="fr-FR"/>
        </w:rPr>
        <w:t>se</w:t>
      </w:r>
      <w:r w:rsidRPr="003762A1">
        <w:rPr>
          <w:spacing w:val="-4"/>
          <w:lang w:val="fr-FR"/>
        </w:rPr>
        <w:t xml:space="preserve"> </w:t>
      </w:r>
      <w:r w:rsidRPr="003762A1">
        <w:rPr>
          <w:lang w:val="fr-FR"/>
        </w:rPr>
        <w:t>fait</w:t>
      </w:r>
      <w:r w:rsidRPr="003762A1">
        <w:rPr>
          <w:spacing w:val="-6"/>
          <w:lang w:val="fr-FR"/>
        </w:rPr>
        <w:t xml:space="preserve"> </w:t>
      </w:r>
      <w:r w:rsidRPr="003762A1">
        <w:rPr>
          <w:lang w:val="fr-FR"/>
        </w:rPr>
        <w:t>très</w:t>
      </w:r>
      <w:r w:rsidRPr="003762A1">
        <w:rPr>
          <w:spacing w:val="-6"/>
          <w:lang w:val="fr-FR"/>
        </w:rPr>
        <w:t xml:space="preserve"> </w:t>
      </w:r>
      <w:r w:rsidRPr="003762A1">
        <w:rPr>
          <w:lang w:val="fr-FR"/>
        </w:rPr>
        <w:t>généralement</w:t>
      </w:r>
      <w:r w:rsidRPr="003762A1">
        <w:rPr>
          <w:spacing w:val="-6"/>
          <w:lang w:val="fr-FR"/>
        </w:rPr>
        <w:t xml:space="preserve"> </w:t>
      </w:r>
      <w:r w:rsidRPr="003762A1">
        <w:rPr>
          <w:lang w:val="fr-FR"/>
        </w:rPr>
        <w:t>en</w:t>
      </w:r>
      <w:r w:rsidRPr="003762A1">
        <w:rPr>
          <w:spacing w:val="-4"/>
          <w:lang w:val="fr-FR"/>
        </w:rPr>
        <w:t xml:space="preserve"> </w:t>
      </w:r>
      <w:r w:rsidRPr="003762A1">
        <w:rPr>
          <w:lang w:val="fr-FR"/>
        </w:rPr>
        <w:t>tenant</w:t>
      </w:r>
      <w:r w:rsidRPr="003762A1">
        <w:rPr>
          <w:spacing w:val="-4"/>
          <w:lang w:val="fr-FR"/>
        </w:rPr>
        <w:t xml:space="preserve"> </w:t>
      </w:r>
      <w:r w:rsidRPr="003762A1">
        <w:rPr>
          <w:lang w:val="fr-FR"/>
        </w:rPr>
        <w:t>compte</w:t>
      </w:r>
      <w:r w:rsidRPr="003762A1">
        <w:rPr>
          <w:spacing w:val="-6"/>
          <w:lang w:val="fr-FR"/>
        </w:rPr>
        <w:t xml:space="preserve"> </w:t>
      </w:r>
      <w:r w:rsidRPr="003762A1">
        <w:rPr>
          <w:lang w:val="fr-FR"/>
        </w:rPr>
        <w:t>de</w:t>
      </w:r>
      <w:r w:rsidRPr="003762A1">
        <w:rPr>
          <w:spacing w:val="-6"/>
          <w:lang w:val="fr-FR"/>
        </w:rPr>
        <w:t xml:space="preserve"> </w:t>
      </w:r>
      <w:r w:rsidRPr="003762A1">
        <w:rPr>
          <w:lang w:val="fr-FR"/>
        </w:rPr>
        <w:t>leurs</w:t>
      </w:r>
      <w:r w:rsidRPr="003762A1">
        <w:rPr>
          <w:spacing w:val="-5"/>
          <w:lang w:val="fr-FR"/>
        </w:rPr>
        <w:t xml:space="preserve"> </w:t>
      </w:r>
      <w:r w:rsidRPr="003762A1">
        <w:rPr>
          <w:spacing w:val="-2"/>
          <w:lang w:val="fr-FR"/>
        </w:rPr>
        <w:t>désirs.</w:t>
      </w:r>
    </w:p>
    <w:p w14:paraId="02428723" w14:textId="46EB9E89" w:rsidR="00104D45" w:rsidRPr="003762A1" w:rsidRDefault="00AE540F" w:rsidP="003A1427">
      <w:pPr>
        <w:pStyle w:val="Paragraphe"/>
        <w:rPr>
          <w:lang w:val="fr-FR"/>
        </w:rPr>
      </w:pPr>
      <w:r w:rsidRPr="00AE540F">
        <w:rPr>
          <w:lang w:val="fr-FR"/>
        </w:rPr>
        <w:t xml:space="preserve">Au contraire, la Commission note des aspects </w:t>
      </w:r>
      <w:r w:rsidR="00305564">
        <w:rPr>
          <w:lang w:val="fr-FR"/>
        </w:rPr>
        <w:t>moins présents</w:t>
      </w:r>
      <w:r w:rsidR="00B4329E">
        <w:rPr>
          <w:lang w:val="fr-FR"/>
        </w:rPr>
        <w:t xml:space="preserve"> dans la mise en œuvre de la réforme</w:t>
      </w:r>
      <w:r w:rsidR="006C6430">
        <w:rPr>
          <w:lang w:val="fr-FR"/>
        </w:rPr>
        <w:t> </w:t>
      </w:r>
      <w:r w:rsidRPr="00AE540F">
        <w:rPr>
          <w:lang w:val="fr-FR"/>
        </w:rPr>
        <w:t>:</w:t>
      </w:r>
    </w:p>
    <w:p w14:paraId="62BB29D6" w14:textId="5D83277C" w:rsidR="0030639D" w:rsidRPr="0030639D" w:rsidRDefault="0030639D" w:rsidP="008A59CC">
      <w:pPr>
        <w:pStyle w:val="puces0"/>
        <w:rPr>
          <w:lang w:val="fr-FR"/>
        </w:rPr>
      </w:pPr>
      <w:r w:rsidRPr="0030639D">
        <w:rPr>
          <w:lang w:val="fr-FR"/>
        </w:rPr>
        <w:t>Les</w:t>
      </w:r>
      <w:r w:rsidRPr="0030639D">
        <w:rPr>
          <w:spacing w:val="-5"/>
          <w:lang w:val="fr-FR"/>
        </w:rPr>
        <w:t xml:space="preserve"> </w:t>
      </w:r>
      <w:r w:rsidRPr="0030639D">
        <w:rPr>
          <w:lang w:val="fr-FR"/>
        </w:rPr>
        <w:t>spécificités</w:t>
      </w:r>
      <w:r w:rsidRPr="0030639D">
        <w:rPr>
          <w:spacing w:val="-5"/>
          <w:lang w:val="fr-FR"/>
        </w:rPr>
        <w:t xml:space="preserve"> </w:t>
      </w:r>
      <w:r w:rsidRPr="0030639D">
        <w:rPr>
          <w:lang w:val="fr-FR"/>
        </w:rPr>
        <w:t>des</w:t>
      </w:r>
      <w:r w:rsidRPr="0030639D">
        <w:rPr>
          <w:spacing w:val="-5"/>
          <w:lang w:val="fr-FR"/>
        </w:rPr>
        <w:t xml:space="preserve"> </w:t>
      </w:r>
      <w:r w:rsidRPr="0030639D">
        <w:rPr>
          <w:lang w:val="fr-FR"/>
        </w:rPr>
        <w:t>enfants</w:t>
      </w:r>
      <w:r w:rsidRPr="0030639D">
        <w:rPr>
          <w:spacing w:val="-5"/>
          <w:lang w:val="fr-FR"/>
        </w:rPr>
        <w:t xml:space="preserve"> </w:t>
      </w:r>
      <w:r w:rsidRPr="0030639D">
        <w:rPr>
          <w:lang w:val="fr-FR"/>
        </w:rPr>
        <w:t>autochtones</w:t>
      </w:r>
      <w:r w:rsidRPr="0030639D">
        <w:rPr>
          <w:spacing w:val="-5"/>
          <w:lang w:val="fr-FR"/>
        </w:rPr>
        <w:t xml:space="preserve"> </w:t>
      </w:r>
      <w:r w:rsidRPr="0030639D">
        <w:rPr>
          <w:lang w:val="fr-FR"/>
        </w:rPr>
        <w:t>n’apparaissent</w:t>
      </w:r>
      <w:r w:rsidRPr="0030639D">
        <w:rPr>
          <w:spacing w:val="-6"/>
          <w:lang w:val="fr-FR"/>
        </w:rPr>
        <w:t xml:space="preserve"> </w:t>
      </w:r>
      <w:r w:rsidRPr="0030639D">
        <w:rPr>
          <w:lang w:val="fr-FR"/>
        </w:rPr>
        <w:t>pas</w:t>
      </w:r>
      <w:r w:rsidRPr="0030639D">
        <w:rPr>
          <w:spacing w:val="-5"/>
          <w:lang w:val="fr-FR"/>
        </w:rPr>
        <w:t xml:space="preserve"> </w:t>
      </w:r>
      <w:r w:rsidRPr="0030639D">
        <w:rPr>
          <w:lang w:val="fr-FR"/>
        </w:rPr>
        <w:t>dans</w:t>
      </w:r>
      <w:r w:rsidRPr="0030639D">
        <w:rPr>
          <w:spacing w:val="-5"/>
          <w:lang w:val="fr-FR"/>
        </w:rPr>
        <w:t xml:space="preserve"> </w:t>
      </w:r>
      <w:r w:rsidRPr="0030639D">
        <w:rPr>
          <w:lang w:val="fr-FR"/>
        </w:rPr>
        <w:t>les</w:t>
      </w:r>
      <w:r w:rsidRPr="0030639D">
        <w:rPr>
          <w:spacing w:val="-5"/>
          <w:lang w:val="fr-FR"/>
        </w:rPr>
        <w:t xml:space="preserve"> </w:t>
      </w:r>
      <w:r w:rsidRPr="0030639D">
        <w:rPr>
          <w:lang w:val="fr-FR"/>
        </w:rPr>
        <w:t>ordonnances</w:t>
      </w:r>
      <w:r w:rsidRPr="0030639D">
        <w:rPr>
          <w:spacing w:val="-5"/>
          <w:lang w:val="fr-FR"/>
        </w:rPr>
        <w:t xml:space="preserve"> </w:t>
      </w:r>
      <w:r w:rsidRPr="0030639D">
        <w:rPr>
          <w:lang w:val="fr-FR"/>
        </w:rPr>
        <w:t>de placement jusqu’à la majorité</w:t>
      </w:r>
      <w:r w:rsidR="00914C42">
        <w:rPr>
          <w:rFonts w:ascii="Arial" w:hAnsi="Arial" w:cs="Arial"/>
          <w:lang w:val="fr-FR"/>
        </w:rPr>
        <w:t> </w:t>
      </w:r>
      <w:r w:rsidRPr="0030639D">
        <w:rPr>
          <w:lang w:val="fr-FR"/>
        </w:rPr>
        <w:t>;</w:t>
      </w:r>
    </w:p>
    <w:p w14:paraId="72FB42D8" w14:textId="207DEB90" w:rsidR="0030639D" w:rsidRPr="0030639D" w:rsidRDefault="0030639D" w:rsidP="008A59CC">
      <w:pPr>
        <w:pStyle w:val="puces0"/>
        <w:rPr>
          <w:lang w:val="fr-FR"/>
        </w:rPr>
      </w:pPr>
      <w:r w:rsidRPr="0030639D">
        <w:rPr>
          <w:lang w:val="fr-FR"/>
        </w:rPr>
        <w:t>Les</w:t>
      </w:r>
      <w:r w:rsidRPr="0030639D">
        <w:rPr>
          <w:spacing w:val="-6"/>
          <w:lang w:val="fr-FR"/>
        </w:rPr>
        <w:t xml:space="preserve"> </w:t>
      </w:r>
      <w:r w:rsidRPr="0030639D">
        <w:rPr>
          <w:lang w:val="fr-FR"/>
        </w:rPr>
        <w:t>caractéristiques</w:t>
      </w:r>
      <w:r w:rsidRPr="0030639D">
        <w:rPr>
          <w:spacing w:val="-7"/>
          <w:lang w:val="fr-FR"/>
        </w:rPr>
        <w:t xml:space="preserve"> </w:t>
      </w:r>
      <w:r w:rsidRPr="0030639D">
        <w:rPr>
          <w:lang w:val="fr-FR"/>
        </w:rPr>
        <w:t>de</w:t>
      </w:r>
      <w:r w:rsidRPr="0030639D">
        <w:rPr>
          <w:spacing w:val="-6"/>
          <w:lang w:val="fr-FR"/>
        </w:rPr>
        <w:t xml:space="preserve"> </w:t>
      </w:r>
      <w:r w:rsidRPr="0030639D">
        <w:rPr>
          <w:lang w:val="fr-FR"/>
        </w:rPr>
        <w:t>la</w:t>
      </w:r>
      <w:r w:rsidRPr="0030639D">
        <w:rPr>
          <w:spacing w:val="-4"/>
          <w:lang w:val="fr-FR"/>
        </w:rPr>
        <w:t xml:space="preserve"> </w:t>
      </w:r>
      <w:r w:rsidRPr="0030639D">
        <w:rPr>
          <w:lang w:val="fr-FR"/>
        </w:rPr>
        <w:t>«</w:t>
      </w:r>
      <w:r w:rsidR="00D16B99">
        <w:rPr>
          <w:rFonts w:ascii="Arial" w:hAnsi="Arial" w:cs="Arial"/>
          <w:spacing w:val="-5"/>
          <w:lang w:val="fr-FR"/>
        </w:rPr>
        <w:t> </w:t>
      </w:r>
      <w:r w:rsidRPr="0030639D">
        <w:rPr>
          <w:lang w:val="fr-FR"/>
        </w:rPr>
        <w:t>communauté</w:t>
      </w:r>
      <w:r w:rsidRPr="0030639D">
        <w:rPr>
          <w:spacing w:val="-6"/>
          <w:lang w:val="fr-FR"/>
        </w:rPr>
        <w:t xml:space="preserve"> </w:t>
      </w:r>
      <w:r w:rsidRPr="0030639D">
        <w:rPr>
          <w:lang w:val="fr-FR"/>
        </w:rPr>
        <w:t>ethnoculturelle</w:t>
      </w:r>
      <w:r w:rsidR="00D16B99">
        <w:rPr>
          <w:rFonts w:ascii="Arial" w:hAnsi="Arial" w:cs="Arial"/>
          <w:spacing w:val="-2"/>
          <w:lang w:val="fr-FR"/>
        </w:rPr>
        <w:t> </w:t>
      </w:r>
      <w:r w:rsidRPr="0030639D">
        <w:rPr>
          <w:lang w:val="fr-FR"/>
        </w:rPr>
        <w:t>»</w:t>
      </w:r>
      <w:r w:rsidRPr="0030639D">
        <w:rPr>
          <w:spacing w:val="-8"/>
          <w:lang w:val="fr-FR"/>
        </w:rPr>
        <w:t xml:space="preserve"> </w:t>
      </w:r>
      <w:r w:rsidRPr="0030639D">
        <w:rPr>
          <w:lang w:val="fr-FR"/>
        </w:rPr>
        <w:t>à</w:t>
      </w:r>
      <w:r w:rsidRPr="0030639D">
        <w:rPr>
          <w:spacing w:val="-5"/>
          <w:lang w:val="fr-FR"/>
        </w:rPr>
        <w:t xml:space="preserve"> </w:t>
      </w:r>
      <w:r w:rsidRPr="0030639D">
        <w:rPr>
          <w:lang w:val="fr-FR"/>
        </w:rPr>
        <w:t>laquelle</w:t>
      </w:r>
      <w:r w:rsidRPr="0030639D">
        <w:rPr>
          <w:spacing w:val="-4"/>
          <w:lang w:val="fr-FR"/>
        </w:rPr>
        <w:t xml:space="preserve"> </w:t>
      </w:r>
      <w:r w:rsidRPr="0030639D">
        <w:rPr>
          <w:lang w:val="fr-FR"/>
        </w:rPr>
        <w:t>appartient</w:t>
      </w:r>
      <w:r w:rsidRPr="0030639D">
        <w:rPr>
          <w:spacing w:val="-5"/>
          <w:lang w:val="fr-FR"/>
        </w:rPr>
        <w:t xml:space="preserve"> </w:t>
      </w:r>
      <w:r w:rsidRPr="0030639D">
        <w:rPr>
          <w:lang w:val="fr-FR"/>
        </w:rPr>
        <w:t>un</w:t>
      </w:r>
      <w:r w:rsidRPr="0030639D">
        <w:rPr>
          <w:spacing w:val="-7"/>
          <w:lang w:val="fr-FR"/>
        </w:rPr>
        <w:t xml:space="preserve"> </w:t>
      </w:r>
      <w:r w:rsidRPr="0030639D">
        <w:rPr>
          <w:lang w:val="fr-FR"/>
        </w:rPr>
        <w:t>enfant</w:t>
      </w:r>
      <w:r w:rsidRPr="0030639D">
        <w:rPr>
          <w:spacing w:val="-5"/>
          <w:lang w:val="fr-FR"/>
        </w:rPr>
        <w:t xml:space="preserve"> </w:t>
      </w:r>
      <w:r w:rsidRPr="0030639D">
        <w:rPr>
          <w:lang w:val="fr-FR"/>
        </w:rPr>
        <w:t>sont</w:t>
      </w:r>
      <w:r w:rsidRPr="0030639D">
        <w:rPr>
          <w:spacing w:val="-9"/>
          <w:lang w:val="fr-FR"/>
        </w:rPr>
        <w:t xml:space="preserve"> </w:t>
      </w:r>
      <w:r w:rsidR="002F42DC">
        <w:rPr>
          <w:lang w:val="fr-FR"/>
        </w:rPr>
        <w:t xml:space="preserve">rarement </w:t>
      </w:r>
      <w:r w:rsidRPr="0030639D">
        <w:rPr>
          <w:lang w:val="fr-FR"/>
        </w:rPr>
        <w:t>mentionnées</w:t>
      </w:r>
      <w:r w:rsidRPr="0030639D">
        <w:rPr>
          <w:spacing w:val="-6"/>
          <w:lang w:val="fr-FR"/>
        </w:rPr>
        <w:t xml:space="preserve"> </w:t>
      </w:r>
      <w:r w:rsidRPr="0030639D">
        <w:rPr>
          <w:lang w:val="fr-FR"/>
        </w:rPr>
        <w:t>dans</w:t>
      </w:r>
      <w:r w:rsidRPr="0030639D">
        <w:rPr>
          <w:spacing w:val="-4"/>
          <w:lang w:val="fr-FR"/>
        </w:rPr>
        <w:t xml:space="preserve"> </w:t>
      </w:r>
      <w:r w:rsidRPr="0030639D">
        <w:rPr>
          <w:lang w:val="fr-FR"/>
        </w:rPr>
        <w:t>les</w:t>
      </w:r>
      <w:r w:rsidRPr="0030639D">
        <w:rPr>
          <w:spacing w:val="-6"/>
          <w:lang w:val="fr-FR"/>
        </w:rPr>
        <w:t xml:space="preserve"> </w:t>
      </w:r>
      <w:r w:rsidRPr="0030639D">
        <w:rPr>
          <w:lang w:val="fr-FR"/>
        </w:rPr>
        <w:t>ordonnances</w:t>
      </w:r>
      <w:r w:rsidRPr="0030639D">
        <w:rPr>
          <w:spacing w:val="-5"/>
          <w:lang w:val="fr-FR"/>
        </w:rPr>
        <w:t xml:space="preserve"> </w:t>
      </w:r>
      <w:r w:rsidRPr="0030639D">
        <w:rPr>
          <w:lang w:val="fr-FR"/>
        </w:rPr>
        <w:t>de</w:t>
      </w:r>
      <w:r w:rsidRPr="0030639D">
        <w:rPr>
          <w:spacing w:val="-6"/>
          <w:lang w:val="fr-FR"/>
        </w:rPr>
        <w:t xml:space="preserve"> </w:t>
      </w:r>
      <w:r w:rsidRPr="0030639D">
        <w:rPr>
          <w:lang w:val="fr-FR"/>
        </w:rPr>
        <w:t>placement</w:t>
      </w:r>
      <w:r w:rsidRPr="0030639D">
        <w:rPr>
          <w:spacing w:val="-6"/>
          <w:lang w:val="fr-FR"/>
        </w:rPr>
        <w:t xml:space="preserve"> </w:t>
      </w:r>
      <w:r w:rsidRPr="0030639D">
        <w:rPr>
          <w:lang w:val="fr-FR"/>
        </w:rPr>
        <w:t>jusqu’à</w:t>
      </w:r>
      <w:r w:rsidRPr="0030639D">
        <w:rPr>
          <w:spacing w:val="-6"/>
          <w:lang w:val="fr-FR"/>
        </w:rPr>
        <w:t xml:space="preserve"> </w:t>
      </w:r>
      <w:r w:rsidRPr="0030639D">
        <w:rPr>
          <w:lang w:val="fr-FR"/>
        </w:rPr>
        <w:t>la</w:t>
      </w:r>
      <w:r w:rsidRPr="0030639D">
        <w:rPr>
          <w:spacing w:val="-6"/>
          <w:lang w:val="fr-FR"/>
        </w:rPr>
        <w:t xml:space="preserve"> </w:t>
      </w:r>
      <w:r w:rsidRPr="0030639D">
        <w:rPr>
          <w:spacing w:val="-2"/>
          <w:lang w:val="fr-FR"/>
        </w:rPr>
        <w:t>majorité</w:t>
      </w:r>
      <w:r w:rsidR="00E0563A">
        <w:rPr>
          <w:rFonts w:ascii="Arial" w:hAnsi="Arial" w:cs="Arial"/>
          <w:spacing w:val="-2"/>
          <w:lang w:val="fr-FR"/>
        </w:rPr>
        <w:t> </w:t>
      </w:r>
      <w:r w:rsidR="00C77AE4">
        <w:rPr>
          <w:spacing w:val="-2"/>
          <w:lang w:val="fr-FR"/>
        </w:rPr>
        <w:t>;</w:t>
      </w:r>
    </w:p>
    <w:p w14:paraId="2C404BC9" w14:textId="3BCC15CA" w:rsidR="0030639D" w:rsidRPr="0030639D" w:rsidRDefault="0030639D" w:rsidP="008A59CC">
      <w:pPr>
        <w:pStyle w:val="puces0"/>
        <w:rPr>
          <w:lang w:val="fr-FR"/>
        </w:rPr>
      </w:pPr>
      <w:r w:rsidRPr="0030639D">
        <w:rPr>
          <w:lang w:val="fr-FR"/>
        </w:rPr>
        <w:t>Les</w:t>
      </w:r>
      <w:r w:rsidRPr="0030639D">
        <w:rPr>
          <w:spacing w:val="-3"/>
          <w:lang w:val="fr-FR"/>
        </w:rPr>
        <w:t xml:space="preserve"> </w:t>
      </w:r>
      <w:r w:rsidRPr="0030639D">
        <w:rPr>
          <w:lang w:val="fr-FR"/>
        </w:rPr>
        <w:t>enfants</w:t>
      </w:r>
      <w:r w:rsidRPr="0030639D">
        <w:rPr>
          <w:spacing w:val="-3"/>
          <w:lang w:val="fr-FR"/>
        </w:rPr>
        <w:t xml:space="preserve"> </w:t>
      </w:r>
      <w:r w:rsidRPr="0030639D">
        <w:rPr>
          <w:lang w:val="fr-FR"/>
        </w:rPr>
        <w:t>demeurent</w:t>
      </w:r>
      <w:r w:rsidRPr="0030639D">
        <w:rPr>
          <w:spacing w:val="-4"/>
          <w:lang w:val="fr-FR"/>
        </w:rPr>
        <w:t xml:space="preserve"> </w:t>
      </w:r>
      <w:r w:rsidRPr="0030639D">
        <w:rPr>
          <w:lang w:val="fr-FR"/>
        </w:rPr>
        <w:t>plus</w:t>
      </w:r>
      <w:r w:rsidRPr="0030639D">
        <w:rPr>
          <w:spacing w:val="-2"/>
          <w:lang w:val="fr-FR"/>
        </w:rPr>
        <w:t xml:space="preserve"> </w:t>
      </w:r>
      <w:r w:rsidRPr="0030639D">
        <w:rPr>
          <w:lang w:val="fr-FR"/>
        </w:rPr>
        <w:t>souvent</w:t>
      </w:r>
      <w:r w:rsidRPr="0030639D">
        <w:rPr>
          <w:spacing w:val="-4"/>
          <w:lang w:val="fr-FR"/>
        </w:rPr>
        <w:t xml:space="preserve"> </w:t>
      </w:r>
      <w:r w:rsidRPr="0030639D">
        <w:rPr>
          <w:lang w:val="fr-FR"/>
        </w:rPr>
        <w:t>placés</w:t>
      </w:r>
      <w:r w:rsidRPr="0030639D">
        <w:rPr>
          <w:spacing w:val="-3"/>
          <w:lang w:val="fr-FR"/>
        </w:rPr>
        <w:t xml:space="preserve"> </w:t>
      </w:r>
      <w:r w:rsidRPr="0030639D">
        <w:rPr>
          <w:lang w:val="fr-FR"/>
        </w:rPr>
        <w:t>en</w:t>
      </w:r>
      <w:r w:rsidRPr="0030639D">
        <w:rPr>
          <w:spacing w:val="-4"/>
          <w:lang w:val="fr-FR"/>
        </w:rPr>
        <w:t xml:space="preserve"> </w:t>
      </w:r>
      <w:r w:rsidRPr="0030639D">
        <w:rPr>
          <w:lang w:val="fr-FR"/>
        </w:rPr>
        <w:t>famille</w:t>
      </w:r>
      <w:r w:rsidRPr="0030639D">
        <w:rPr>
          <w:spacing w:val="-3"/>
          <w:lang w:val="fr-FR"/>
        </w:rPr>
        <w:t xml:space="preserve"> </w:t>
      </w:r>
      <w:r w:rsidRPr="0030639D">
        <w:rPr>
          <w:lang w:val="fr-FR"/>
        </w:rPr>
        <w:t>d’accueil «</w:t>
      </w:r>
      <w:r w:rsidR="00D16B99">
        <w:rPr>
          <w:rFonts w:ascii="Arial" w:hAnsi="Arial" w:cs="Arial"/>
          <w:spacing w:val="-2"/>
          <w:lang w:val="fr-FR"/>
        </w:rPr>
        <w:t> </w:t>
      </w:r>
      <w:r w:rsidRPr="0030639D">
        <w:rPr>
          <w:lang w:val="fr-FR"/>
        </w:rPr>
        <w:t>régulière</w:t>
      </w:r>
      <w:r w:rsidR="00D16B99">
        <w:rPr>
          <w:rFonts w:ascii="Arial" w:hAnsi="Arial" w:cs="Arial"/>
          <w:spacing w:val="-2"/>
          <w:lang w:val="fr-FR"/>
        </w:rPr>
        <w:t> </w:t>
      </w:r>
      <w:r w:rsidRPr="0030639D">
        <w:rPr>
          <w:lang w:val="fr-FR"/>
        </w:rPr>
        <w:t>»</w:t>
      </w:r>
      <w:r w:rsidRPr="0030639D">
        <w:rPr>
          <w:spacing w:val="-5"/>
          <w:lang w:val="fr-FR"/>
        </w:rPr>
        <w:t xml:space="preserve"> </w:t>
      </w:r>
      <w:r w:rsidRPr="0030639D">
        <w:rPr>
          <w:lang w:val="fr-FR"/>
        </w:rPr>
        <w:t>plutôt</w:t>
      </w:r>
      <w:r w:rsidRPr="0030639D">
        <w:rPr>
          <w:spacing w:val="-4"/>
          <w:lang w:val="fr-FR"/>
        </w:rPr>
        <w:t xml:space="preserve"> </w:t>
      </w:r>
      <w:r w:rsidRPr="0030639D">
        <w:rPr>
          <w:lang w:val="fr-FR"/>
        </w:rPr>
        <w:t>qu’en famille d’accueil de proximité</w:t>
      </w:r>
      <w:r w:rsidR="00914C42">
        <w:rPr>
          <w:rFonts w:ascii="Arial" w:hAnsi="Arial" w:cs="Arial"/>
          <w:lang w:val="fr-FR"/>
        </w:rPr>
        <w:t> </w:t>
      </w:r>
      <w:r w:rsidRPr="0030639D">
        <w:rPr>
          <w:lang w:val="fr-FR"/>
        </w:rPr>
        <w:t>;</w:t>
      </w:r>
    </w:p>
    <w:p w14:paraId="39A8267A" w14:textId="1BAA6C1E" w:rsidR="0030639D" w:rsidRPr="0030639D" w:rsidRDefault="0030639D" w:rsidP="008A59CC">
      <w:pPr>
        <w:pStyle w:val="puces0"/>
        <w:rPr>
          <w:lang w:val="fr-FR"/>
        </w:rPr>
      </w:pPr>
      <w:r w:rsidRPr="0030639D">
        <w:rPr>
          <w:lang w:val="fr-FR"/>
        </w:rPr>
        <w:t>Le</w:t>
      </w:r>
      <w:r w:rsidRPr="0030639D">
        <w:rPr>
          <w:spacing w:val="-4"/>
          <w:lang w:val="fr-FR"/>
        </w:rPr>
        <w:t xml:space="preserve"> </w:t>
      </w:r>
      <w:r w:rsidRPr="0030639D">
        <w:rPr>
          <w:lang w:val="fr-FR"/>
        </w:rPr>
        <w:t>placement</w:t>
      </w:r>
      <w:r w:rsidRPr="0030639D">
        <w:rPr>
          <w:spacing w:val="-5"/>
          <w:lang w:val="fr-FR"/>
        </w:rPr>
        <w:t xml:space="preserve"> </w:t>
      </w:r>
      <w:r w:rsidRPr="0030639D">
        <w:rPr>
          <w:lang w:val="fr-FR"/>
        </w:rPr>
        <w:t>des</w:t>
      </w:r>
      <w:r w:rsidRPr="0030639D">
        <w:rPr>
          <w:spacing w:val="-4"/>
          <w:lang w:val="fr-FR"/>
        </w:rPr>
        <w:t xml:space="preserve"> </w:t>
      </w:r>
      <w:r w:rsidRPr="0030639D">
        <w:rPr>
          <w:lang w:val="fr-FR"/>
        </w:rPr>
        <w:t>enfants</w:t>
      </w:r>
      <w:r w:rsidRPr="0030639D">
        <w:rPr>
          <w:spacing w:val="-4"/>
          <w:lang w:val="fr-FR"/>
        </w:rPr>
        <w:t xml:space="preserve"> </w:t>
      </w:r>
      <w:r w:rsidRPr="0030639D">
        <w:rPr>
          <w:lang w:val="fr-FR"/>
        </w:rPr>
        <w:t>avec</w:t>
      </w:r>
      <w:r w:rsidRPr="0030639D">
        <w:rPr>
          <w:spacing w:val="-3"/>
          <w:lang w:val="fr-FR"/>
        </w:rPr>
        <w:t xml:space="preserve"> </w:t>
      </w:r>
      <w:r w:rsidRPr="0030639D">
        <w:rPr>
          <w:lang w:val="fr-FR"/>
        </w:rPr>
        <w:t>leur</w:t>
      </w:r>
      <w:r w:rsidRPr="0030639D">
        <w:rPr>
          <w:spacing w:val="-5"/>
          <w:lang w:val="fr-FR"/>
        </w:rPr>
        <w:t xml:space="preserve"> </w:t>
      </w:r>
      <w:r w:rsidRPr="0030639D">
        <w:rPr>
          <w:lang w:val="fr-FR"/>
        </w:rPr>
        <w:t>fratrie</w:t>
      </w:r>
      <w:r w:rsidRPr="0030639D">
        <w:rPr>
          <w:spacing w:val="-4"/>
          <w:lang w:val="fr-FR"/>
        </w:rPr>
        <w:t xml:space="preserve"> </w:t>
      </w:r>
      <w:r w:rsidR="00D61748">
        <w:rPr>
          <w:spacing w:val="-4"/>
          <w:lang w:val="fr-FR"/>
        </w:rPr>
        <w:t xml:space="preserve">jusqu’à la majorité </w:t>
      </w:r>
      <w:r w:rsidRPr="0030639D">
        <w:rPr>
          <w:lang w:val="fr-FR"/>
        </w:rPr>
        <w:t>n’est</w:t>
      </w:r>
      <w:r w:rsidRPr="0030639D">
        <w:rPr>
          <w:spacing w:val="-5"/>
          <w:lang w:val="fr-FR"/>
        </w:rPr>
        <w:t xml:space="preserve"> </w:t>
      </w:r>
      <w:r w:rsidRPr="0030639D">
        <w:rPr>
          <w:lang w:val="fr-FR"/>
        </w:rPr>
        <w:t>pas</w:t>
      </w:r>
      <w:r w:rsidRPr="0030639D">
        <w:rPr>
          <w:spacing w:val="-4"/>
          <w:lang w:val="fr-FR"/>
        </w:rPr>
        <w:t xml:space="preserve"> </w:t>
      </w:r>
      <w:r w:rsidRPr="0030639D">
        <w:rPr>
          <w:lang w:val="fr-FR"/>
        </w:rPr>
        <w:t>suffisamment</w:t>
      </w:r>
      <w:r w:rsidRPr="0030639D">
        <w:rPr>
          <w:spacing w:val="-5"/>
          <w:lang w:val="fr-FR"/>
        </w:rPr>
        <w:t xml:space="preserve"> </w:t>
      </w:r>
      <w:r w:rsidRPr="0030639D">
        <w:rPr>
          <w:lang w:val="fr-FR"/>
        </w:rPr>
        <w:t>assuré,</w:t>
      </w:r>
      <w:r w:rsidRPr="0030639D">
        <w:rPr>
          <w:spacing w:val="-3"/>
          <w:lang w:val="fr-FR"/>
        </w:rPr>
        <w:t xml:space="preserve"> </w:t>
      </w:r>
      <w:r w:rsidRPr="0030639D">
        <w:rPr>
          <w:lang w:val="fr-FR"/>
        </w:rPr>
        <w:t>surtout</w:t>
      </w:r>
      <w:r w:rsidRPr="0030639D">
        <w:rPr>
          <w:spacing w:val="-5"/>
          <w:lang w:val="fr-FR"/>
        </w:rPr>
        <w:t xml:space="preserve"> </w:t>
      </w:r>
      <w:r w:rsidRPr="0030639D">
        <w:rPr>
          <w:lang w:val="fr-FR"/>
        </w:rPr>
        <w:t>lorsqu’ils sont confiés à une famille d’accueil «</w:t>
      </w:r>
      <w:r w:rsidR="00D16B99">
        <w:rPr>
          <w:rFonts w:ascii="Arial" w:hAnsi="Arial" w:cs="Arial"/>
          <w:lang w:val="fr-FR"/>
        </w:rPr>
        <w:t> </w:t>
      </w:r>
      <w:r w:rsidRPr="0030639D">
        <w:rPr>
          <w:lang w:val="fr-FR"/>
        </w:rPr>
        <w:t>régulière</w:t>
      </w:r>
      <w:r w:rsidR="00D16B99">
        <w:rPr>
          <w:rFonts w:ascii="Arial" w:hAnsi="Arial" w:cs="Arial"/>
          <w:lang w:val="fr-FR"/>
        </w:rPr>
        <w:t> </w:t>
      </w:r>
      <w:r w:rsidRPr="0030639D">
        <w:rPr>
          <w:lang w:val="fr-FR"/>
        </w:rPr>
        <w:t>»</w:t>
      </w:r>
      <w:r w:rsidR="00914C42">
        <w:rPr>
          <w:rFonts w:ascii="Arial" w:hAnsi="Arial" w:cs="Arial"/>
          <w:lang w:val="fr-FR"/>
        </w:rPr>
        <w:t> </w:t>
      </w:r>
      <w:r w:rsidRPr="0030639D">
        <w:rPr>
          <w:lang w:val="fr-FR"/>
        </w:rPr>
        <w:t>;</w:t>
      </w:r>
    </w:p>
    <w:p w14:paraId="02D8E29A" w14:textId="1E6D2CD2" w:rsidR="0030639D" w:rsidRPr="005F521D" w:rsidRDefault="0030639D" w:rsidP="008A59CC">
      <w:pPr>
        <w:pStyle w:val="puces0"/>
        <w:rPr>
          <w:rFonts w:asciiTheme="minorHAnsi" w:hAnsiTheme="minorHAnsi"/>
          <w:lang w:val="fr-FR"/>
        </w:rPr>
      </w:pPr>
      <w:r w:rsidRPr="0030639D">
        <w:rPr>
          <w:lang w:val="fr-FR"/>
        </w:rPr>
        <w:t>Les</w:t>
      </w:r>
      <w:r w:rsidRPr="0030639D">
        <w:rPr>
          <w:spacing w:val="-5"/>
          <w:lang w:val="fr-FR"/>
        </w:rPr>
        <w:t xml:space="preserve"> </w:t>
      </w:r>
      <w:r w:rsidRPr="0030639D">
        <w:rPr>
          <w:lang w:val="fr-FR"/>
        </w:rPr>
        <w:t>enfants</w:t>
      </w:r>
      <w:r w:rsidRPr="0030639D">
        <w:rPr>
          <w:spacing w:val="-4"/>
          <w:lang w:val="fr-FR"/>
        </w:rPr>
        <w:t xml:space="preserve"> </w:t>
      </w:r>
      <w:r w:rsidRPr="0030639D">
        <w:rPr>
          <w:lang w:val="fr-FR"/>
        </w:rPr>
        <w:t>plus</w:t>
      </w:r>
      <w:r w:rsidRPr="0030639D">
        <w:rPr>
          <w:spacing w:val="-4"/>
          <w:lang w:val="fr-FR"/>
        </w:rPr>
        <w:t xml:space="preserve"> </w:t>
      </w:r>
      <w:r w:rsidRPr="0030639D">
        <w:rPr>
          <w:lang w:val="fr-FR"/>
        </w:rPr>
        <w:t>jeunes</w:t>
      </w:r>
      <w:r w:rsidRPr="0030639D">
        <w:rPr>
          <w:spacing w:val="-4"/>
          <w:lang w:val="fr-FR"/>
        </w:rPr>
        <w:t xml:space="preserve"> </w:t>
      </w:r>
      <w:r w:rsidRPr="0030639D">
        <w:rPr>
          <w:lang w:val="fr-FR"/>
        </w:rPr>
        <w:t>ne</w:t>
      </w:r>
      <w:r w:rsidRPr="0030639D">
        <w:rPr>
          <w:spacing w:val="-4"/>
          <w:lang w:val="fr-FR"/>
        </w:rPr>
        <w:t xml:space="preserve"> </w:t>
      </w:r>
      <w:r w:rsidRPr="0030639D">
        <w:rPr>
          <w:lang w:val="fr-FR"/>
        </w:rPr>
        <w:t>participent</w:t>
      </w:r>
      <w:r w:rsidRPr="0030639D">
        <w:rPr>
          <w:spacing w:val="-5"/>
          <w:lang w:val="fr-FR"/>
        </w:rPr>
        <w:t xml:space="preserve"> </w:t>
      </w:r>
      <w:r w:rsidRPr="0030639D">
        <w:rPr>
          <w:lang w:val="fr-FR"/>
        </w:rPr>
        <w:t>pas</w:t>
      </w:r>
      <w:r w:rsidRPr="0030639D">
        <w:rPr>
          <w:spacing w:val="-2"/>
          <w:lang w:val="fr-FR"/>
        </w:rPr>
        <w:t xml:space="preserve"> </w:t>
      </w:r>
      <w:r w:rsidRPr="0030639D">
        <w:rPr>
          <w:lang w:val="fr-FR"/>
        </w:rPr>
        <w:t>au</w:t>
      </w:r>
      <w:r w:rsidRPr="0030639D">
        <w:rPr>
          <w:spacing w:val="-3"/>
          <w:lang w:val="fr-FR"/>
        </w:rPr>
        <w:t xml:space="preserve"> </w:t>
      </w:r>
      <w:r w:rsidRPr="0030639D">
        <w:rPr>
          <w:lang w:val="fr-FR"/>
        </w:rPr>
        <w:t>choix</w:t>
      </w:r>
      <w:r w:rsidRPr="0030639D">
        <w:rPr>
          <w:spacing w:val="-4"/>
          <w:lang w:val="fr-FR"/>
        </w:rPr>
        <w:t xml:space="preserve"> </w:t>
      </w:r>
      <w:r w:rsidRPr="0030639D">
        <w:rPr>
          <w:lang w:val="fr-FR"/>
        </w:rPr>
        <w:t>d</w:t>
      </w:r>
      <w:r w:rsidR="005F521D">
        <w:rPr>
          <w:lang w:val="fr-FR"/>
        </w:rPr>
        <w:t>e leur</w:t>
      </w:r>
      <w:r w:rsidRPr="0030639D">
        <w:rPr>
          <w:spacing w:val="-6"/>
          <w:lang w:val="fr-FR"/>
        </w:rPr>
        <w:t xml:space="preserve"> </w:t>
      </w:r>
      <w:r w:rsidRPr="0030639D">
        <w:rPr>
          <w:lang w:val="fr-FR"/>
        </w:rPr>
        <w:t>projet</w:t>
      </w:r>
      <w:r w:rsidR="00914C42">
        <w:rPr>
          <w:rFonts w:ascii="Arial" w:hAnsi="Arial" w:cs="Arial"/>
          <w:spacing w:val="4"/>
          <w:lang w:val="fr-FR"/>
        </w:rPr>
        <w:t> </w:t>
      </w:r>
      <w:r w:rsidR="00D61748" w:rsidRPr="005F521D">
        <w:rPr>
          <w:rFonts w:asciiTheme="minorHAnsi" w:hAnsiTheme="minorHAnsi" w:cs="Arial"/>
          <w:spacing w:val="4"/>
          <w:lang w:val="fr-FR"/>
        </w:rPr>
        <w:t>de vie</w:t>
      </w:r>
      <w:r w:rsidR="00E0563A">
        <w:rPr>
          <w:rFonts w:ascii="Arial" w:hAnsi="Arial" w:cs="Arial"/>
          <w:spacing w:val="4"/>
          <w:lang w:val="fr-FR"/>
        </w:rPr>
        <w:t> </w:t>
      </w:r>
      <w:r w:rsidRPr="005F521D">
        <w:rPr>
          <w:rFonts w:asciiTheme="minorHAnsi" w:hAnsiTheme="minorHAnsi"/>
          <w:spacing w:val="-10"/>
          <w:lang w:val="fr-FR"/>
        </w:rPr>
        <w:t>;</w:t>
      </w:r>
    </w:p>
    <w:p w14:paraId="5579DDF9" w14:textId="35A9B8CA" w:rsidR="0030639D" w:rsidRPr="0030639D" w:rsidRDefault="0030639D" w:rsidP="008A59CC">
      <w:pPr>
        <w:pStyle w:val="puces0"/>
        <w:rPr>
          <w:lang w:val="fr-FR"/>
        </w:rPr>
      </w:pPr>
      <w:r w:rsidRPr="0030639D">
        <w:rPr>
          <w:lang w:val="fr-FR"/>
        </w:rPr>
        <w:t>Les</w:t>
      </w:r>
      <w:r w:rsidRPr="0030639D">
        <w:rPr>
          <w:spacing w:val="-3"/>
          <w:lang w:val="fr-FR"/>
        </w:rPr>
        <w:t xml:space="preserve"> </w:t>
      </w:r>
      <w:r w:rsidRPr="0030639D">
        <w:rPr>
          <w:lang w:val="fr-FR"/>
        </w:rPr>
        <w:t>décisions</w:t>
      </w:r>
      <w:r w:rsidRPr="0030639D">
        <w:rPr>
          <w:spacing w:val="-3"/>
          <w:lang w:val="fr-FR"/>
        </w:rPr>
        <w:t xml:space="preserve"> </w:t>
      </w:r>
      <w:r w:rsidRPr="0030639D">
        <w:rPr>
          <w:lang w:val="fr-FR"/>
        </w:rPr>
        <w:t>de</w:t>
      </w:r>
      <w:r w:rsidRPr="0030639D">
        <w:rPr>
          <w:spacing w:val="-1"/>
          <w:lang w:val="fr-FR"/>
        </w:rPr>
        <w:t xml:space="preserve"> </w:t>
      </w:r>
      <w:r w:rsidRPr="0030639D">
        <w:rPr>
          <w:lang w:val="fr-FR"/>
        </w:rPr>
        <w:t>confier</w:t>
      </w:r>
      <w:r w:rsidRPr="0030639D">
        <w:rPr>
          <w:spacing w:val="-4"/>
          <w:lang w:val="fr-FR"/>
        </w:rPr>
        <w:t xml:space="preserve"> </w:t>
      </w:r>
      <w:r w:rsidRPr="0030639D">
        <w:rPr>
          <w:lang w:val="fr-FR"/>
        </w:rPr>
        <w:t>l’enfant</w:t>
      </w:r>
      <w:r w:rsidRPr="0030639D">
        <w:rPr>
          <w:spacing w:val="-1"/>
          <w:lang w:val="fr-FR"/>
        </w:rPr>
        <w:t xml:space="preserve"> </w:t>
      </w:r>
      <w:r w:rsidRPr="0030639D">
        <w:rPr>
          <w:lang w:val="fr-FR"/>
        </w:rPr>
        <w:t>à</w:t>
      </w:r>
      <w:r w:rsidRPr="0030639D">
        <w:rPr>
          <w:spacing w:val="-4"/>
          <w:lang w:val="fr-FR"/>
        </w:rPr>
        <w:t xml:space="preserve"> </w:t>
      </w:r>
      <w:r w:rsidRPr="0030639D">
        <w:rPr>
          <w:lang w:val="fr-FR"/>
        </w:rPr>
        <w:t>un</w:t>
      </w:r>
      <w:r w:rsidRPr="0030639D">
        <w:rPr>
          <w:spacing w:val="-4"/>
          <w:lang w:val="fr-FR"/>
        </w:rPr>
        <w:t xml:space="preserve"> </w:t>
      </w:r>
      <w:r w:rsidRPr="0030639D">
        <w:rPr>
          <w:lang w:val="fr-FR"/>
        </w:rPr>
        <w:t>milieu</w:t>
      </w:r>
      <w:r w:rsidRPr="0030639D">
        <w:rPr>
          <w:spacing w:val="-5"/>
          <w:lang w:val="fr-FR"/>
        </w:rPr>
        <w:t xml:space="preserve"> </w:t>
      </w:r>
      <w:r w:rsidRPr="0030639D">
        <w:rPr>
          <w:lang w:val="fr-FR"/>
        </w:rPr>
        <w:t>de</w:t>
      </w:r>
      <w:r w:rsidRPr="0030639D">
        <w:rPr>
          <w:spacing w:val="-3"/>
          <w:lang w:val="fr-FR"/>
        </w:rPr>
        <w:t xml:space="preserve"> </w:t>
      </w:r>
      <w:r w:rsidRPr="0030639D">
        <w:rPr>
          <w:lang w:val="fr-FR"/>
        </w:rPr>
        <w:t>vie substitut</w:t>
      </w:r>
      <w:r w:rsidRPr="0030639D">
        <w:rPr>
          <w:spacing w:val="-4"/>
          <w:lang w:val="fr-FR"/>
        </w:rPr>
        <w:t xml:space="preserve"> </w:t>
      </w:r>
      <w:r w:rsidRPr="0030639D">
        <w:rPr>
          <w:lang w:val="fr-FR"/>
        </w:rPr>
        <w:t>sont</w:t>
      </w:r>
      <w:r w:rsidRPr="0030639D">
        <w:rPr>
          <w:spacing w:val="-4"/>
          <w:lang w:val="fr-FR"/>
        </w:rPr>
        <w:t xml:space="preserve"> </w:t>
      </w:r>
      <w:r w:rsidRPr="0030639D">
        <w:rPr>
          <w:lang w:val="fr-FR"/>
        </w:rPr>
        <w:t>rendues</w:t>
      </w:r>
      <w:r w:rsidRPr="0030639D">
        <w:rPr>
          <w:spacing w:val="-3"/>
          <w:lang w:val="fr-FR"/>
        </w:rPr>
        <w:t xml:space="preserve"> </w:t>
      </w:r>
      <w:r w:rsidRPr="0030639D">
        <w:rPr>
          <w:lang w:val="fr-FR"/>
        </w:rPr>
        <w:t>alors</w:t>
      </w:r>
      <w:r w:rsidRPr="0030639D">
        <w:rPr>
          <w:spacing w:val="-1"/>
          <w:lang w:val="fr-FR"/>
        </w:rPr>
        <w:t xml:space="preserve"> </w:t>
      </w:r>
      <w:r w:rsidRPr="0030639D">
        <w:rPr>
          <w:lang w:val="fr-FR"/>
        </w:rPr>
        <w:t>que</w:t>
      </w:r>
      <w:r w:rsidRPr="0030639D">
        <w:rPr>
          <w:spacing w:val="-1"/>
          <w:lang w:val="fr-FR"/>
        </w:rPr>
        <w:t xml:space="preserve"> </w:t>
      </w:r>
      <w:r w:rsidRPr="0030639D">
        <w:rPr>
          <w:lang w:val="fr-FR"/>
        </w:rPr>
        <w:t>les</w:t>
      </w:r>
      <w:r w:rsidRPr="0030639D">
        <w:rPr>
          <w:spacing w:val="-3"/>
          <w:lang w:val="fr-FR"/>
        </w:rPr>
        <w:t xml:space="preserve"> </w:t>
      </w:r>
      <w:r w:rsidRPr="0030639D">
        <w:rPr>
          <w:lang w:val="fr-FR"/>
        </w:rPr>
        <w:t>délais maximaux de placement sont atteints depuis des mois, voire des années</w:t>
      </w:r>
      <w:r w:rsidR="00914C42">
        <w:rPr>
          <w:rFonts w:ascii="Arial" w:hAnsi="Arial" w:cs="Arial"/>
          <w:lang w:val="fr-FR"/>
        </w:rPr>
        <w:t> </w:t>
      </w:r>
      <w:r w:rsidRPr="0030639D">
        <w:rPr>
          <w:lang w:val="fr-FR"/>
        </w:rPr>
        <w:t>;</w:t>
      </w:r>
    </w:p>
    <w:p w14:paraId="3F4583DC" w14:textId="4254A12B" w:rsidR="0030639D" w:rsidRPr="0030639D" w:rsidRDefault="0030639D" w:rsidP="008A59CC">
      <w:pPr>
        <w:pStyle w:val="puces0"/>
        <w:rPr>
          <w:lang w:val="fr-FR"/>
        </w:rPr>
      </w:pPr>
      <w:r w:rsidRPr="0030639D">
        <w:rPr>
          <w:lang w:val="fr-FR"/>
        </w:rPr>
        <w:t>Les services rendus aux parents pour les aider ou les amener à exercer leurs responsabilités parentales</w:t>
      </w:r>
      <w:r w:rsidRPr="0030639D">
        <w:rPr>
          <w:spacing w:val="-4"/>
          <w:lang w:val="fr-FR"/>
        </w:rPr>
        <w:t xml:space="preserve"> </w:t>
      </w:r>
      <w:r w:rsidRPr="0030639D">
        <w:rPr>
          <w:lang w:val="fr-FR"/>
        </w:rPr>
        <w:t>n’occupent</w:t>
      </w:r>
      <w:r w:rsidRPr="0030639D">
        <w:rPr>
          <w:spacing w:val="-5"/>
          <w:lang w:val="fr-FR"/>
        </w:rPr>
        <w:t xml:space="preserve"> </w:t>
      </w:r>
      <w:r w:rsidRPr="0030639D">
        <w:rPr>
          <w:lang w:val="fr-FR"/>
        </w:rPr>
        <w:t>pas</w:t>
      </w:r>
      <w:r w:rsidRPr="0030639D">
        <w:rPr>
          <w:spacing w:val="-3"/>
          <w:lang w:val="fr-FR"/>
        </w:rPr>
        <w:t xml:space="preserve"> </w:t>
      </w:r>
      <w:r w:rsidRPr="0030639D">
        <w:rPr>
          <w:lang w:val="fr-FR"/>
        </w:rPr>
        <w:t>une</w:t>
      </w:r>
      <w:r w:rsidRPr="0030639D">
        <w:rPr>
          <w:spacing w:val="-4"/>
          <w:lang w:val="fr-FR"/>
        </w:rPr>
        <w:t xml:space="preserve"> </w:t>
      </w:r>
      <w:r w:rsidRPr="0030639D">
        <w:rPr>
          <w:lang w:val="fr-FR"/>
        </w:rPr>
        <w:t>place</w:t>
      </w:r>
      <w:r w:rsidRPr="0030639D">
        <w:rPr>
          <w:spacing w:val="-3"/>
          <w:lang w:val="fr-FR"/>
        </w:rPr>
        <w:t xml:space="preserve"> </w:t>
      </w:r>
      <w:r w:rsidRPr="0030639D">
        <w:rPr>
          <w:lang w:val="fr-FR"/>
        </w:rPr>
        <w:t>importante</w:t>
      </w:r>
      <w:r w:rsidRPr="0030639D">
        <w:rPr>
          <w:spacing w:val="-4"/>
          <w:lang w:val="fr-FR"/>
        </w:rPr>
        <w:t xml:space="preserve"> </w:t>
      </w:r>
      <w:r w:rsidRPr="0030639D">
        <w:rPr>
          <w:lang w:val="fr-FR"/>
        </w:rPr>
        <w:t>dans</w:t>
      </w:r>
      <w:r w:rsidRPr="0030639D">
        <w:rPr>
          <w:spacing w:val="-4"/>
          <w:lang w:val="fr-FR"/>
        </w:rPr>
        <w:t xml:space="preserve"> </w:t>
      </w:r>
      <w:r w:rsidRPr="0030639D">
        <w:rPr>
          <w:lang w:val="fr-FR"/>
        </w:rPr>
        <w:t>les</w:t>
      </w:r>
      <w:r w:rsidRPr="0030639D">
        <w:rPr>
          <w:spacing w:val="-4"/>
          <w:lang w:val="fr-FR"/>
        </w:rPr>
        <w:t xml:space="preserve"> </w:t>
      </w:r>
      <w:r w:rsidRPr="0030639D">
        <w:rPr>
          <w:lang w:val="fr-FR"/>
        </w:rPr>
        <w:t>décisions</w:t>
      </w:r>
      <w:r w:rsidRPr="0030639D">
        <w:rPr>
          <w:spacing w:val="-3"/>
          <w:lang w:val="fr-FR"/>
        </w:rPr>
        <w:t xml:space="preserve"> </w:t>
      </w:r>
      <w:r w:rsidRPr="0030639D">
        <w:rPr>
          <w:lang w:val="fr-FR"/>
        </w:rPr>
        <w:t>confiant</w:t>
      </w:r>
      <w:r w:rsidRPr="0030639D">
        <w:rPr>
          <w:spacing w:val="-3"/>
          <w:lang w:val="fr-FR"/>
        </w:rPr>
        <w:t xml:space="preserve"> </w:t>
      </w:r>
      <w:r w:rsidRPr="0030639D">
        <w:rPr>
          <w:lang w:val="fr-FR"/>
        </w:rPr>
        <w:t>l’enfant</w:t>
      </w:r>
      <w:r w:rsidRPr="0030639D">
        <w:rPr>
          <w:spacing w:val="-5"/>
          <w:lang w:val="fr-FR"/>
        </w:rPr>
        <w:t xml:space="preserve"> </w:t>
      </w:r>
      <w:r w:rsidR="001718F2">
        <w:rPr>
          <w:lang w:val="fr-FR"/>
        </w:rPr>
        <w:t>à un</w:t>
      </w:r>
      <w:r>
        <w:rPr>
          <w:lang w:val="fr-FR"/>
        </w:rPr>
        <w:t xml:space="preserve"> </w:t>
      </w:r>
      <w:r w:rsidRPr="0030639D">
        <w:rPr>
          <w:lang w:val="fr-FR"/>
        </w:rPr>
        <w:t>milieu de vie substitut jusqu’à la majorité</w:t>
      </w:r>
      <w:r w:rsidR="00914C42">
        <w:rPr>
          <w:rFonts w:ascii="Arial" w:hAnsi="Arial" w:cs="Arial"/>
          <w:lang w:val="fr-FR"/>
        </w:rPr>
        <w:t> </w:t>
      </w:r>
      <w:r w:rsidRPr="0030639D">
        <w:rPr>
          <w:lang w:val="fr-FR"/>
        </w:rPr>
        <w:t>;</w:t>
      </w:r>
    </w:p>
    <w:p w14:paraId="016B11AF" w14:textId="190BC0FD" w:rsidR="0030639D" w:rsidRPr="005168A2" w:rsidRDefault="0030639D" w:rsidP="008A59CC">
      <w:pPr>
        <w:pStyle w:val="puces0"/>
        <w:rPr>
          <w:lang w:val="fr-FR"/>
        </w:rPr>
      </w:pPr>
      <w:r w:rsidRPr="005168A2">
        <w:rPr>
          <w:lang w:val="fr-FR"/>
        </w:rPr>
        <w:t>La</w:t>
      </w:r>
      <w:r w:rsidRPr="005168A2">
        <w:rPr>
          <w:spacing w:val="-8"/>
          <w:lang w:val="fr-FR"/>
        </w:rPr>
        <w:t xml:space="preserve"> </w:t>
      </w:r>
      <w:r w:rsidRPr="005168A2">
        <w:rPr>
          <w:lang w:val="fr-FR"/>
        </w:rPr>
        <w:t>situation</w:t>
      </w:r>
      <w:r w:rsidRPr="005168A2">
        <w:rPr>
          <w:spacing w:val="-5"/>
          <w:lang w:val="fr-FR"/>
        </w:rPr>
        <w:t xml:space="preserve"> </w:t>
      </w:r>
      <w:r w:rsidRPr="005168A2">
        <w:rPr>
          <w:lang w:val="fr-FR"/>
        </w:rPr>
        <w:t>socioéconomique</w:t>
      </w:r>
      <w:r w:rsidRPr="005168A2">
        <w:rPr>
          <w:spacing w:val="-6"/>
          <w:lang w:val="fr-FR"/>
        </w:rPr>
        <w:t xml:space="preserve"> </w:t>
      </w:r>
      <w:r w:rsidRPr="005168A2">
        <w:rPr>
          <w:lang w:val="fr-FR"/>
        </w:rPr>
        <w:t>des</w:t>
      </w:r>
      <w:r w:rsidRPr="005168A2">
        <w:rPr>
          <w:spacing w:val="-6"/>
          <w:lang w:val="fr-FR"/>
        </w:rPr>
        <w:t xml:space="preserve"> </w:t>
      </w:r>
      <w:r w:rsidRPr="005168A2">
        <w:rPr>
          <w:lang w:val="fr-FR"/>
        </w:rPr>
        <w:t>parents</w:t>
      </w:r>
      <w:r w:rsidRPr="005168A2">
        <w:rPr>
          <w:spacing w:val="-6"/>
          <w:lang w:val="fr-FR"/>
        </w:rPr>
        <w:t xml:space="preserve"> </w:t>
      </w:r>
      <w:r w:rsidRPr="005168A2">
        <w:rPr>
          <w:lang w:val="fr-FR"/>
        </w:rPr>
        <w:t>est</w:t>
      </w:r>
      <w:r w:rsidRPr="005168A2">
        <w:rPr>
          <w:spacing w:val="-4"/>
          <w:lang w:val="fr-FR"/>
        </w:rPr>
        <w:t xml:space="preserve"> </w:t>
      </w:r>
      <w:r w:rsidRPr="005168A2">
        <w:rPr>
          <w:lang w:val="fr-FR"/>
        </w:rPr>
        <w:t>un</w:t>
      </w:r>
      <w:r w:rsidRPr="005168A2">
        <w:rPr>
          <w:spacing w:val="-7"/>
          <w:lang w:val="fr-FR"/>
        </w:rPr>
        <w:t xml:space="preserve"> </w:t>
      </w:r>
      <w:r w:rsidRPr="005168A2">
        <w:rPr>
          <w:lang w:val="fr-FR"/>
        </w:rPr>
        <w:t>facteur</w:t>
      </w:r>
      <w:r w:rsidRPr="005168A2">
        <w:rPr>
          <w:spacing w:val="-6"/>
          <w:lang w:val="fr-FR"/>
        </w:rPr>
        <w:t xml:space="preserve"> </w:t>
      </w:r>
      <w:r w:rsidRPr="005168A2">
        <w:rPr>
          <w:lang w:val="fr-FR"/>
        </w:rPr>
        <w:t>peu</w:t>
      </w:r>
      <w:r w:rsidRPr="005168A2">
        <w:rPr>
          <w:spacing w:val="-6"/>
          <w:lang w:val="fr-FR"/>
        </w:rPr>
        <w:t xml:space="preserve"> </w:t>
      </w:r>
      <w:r w:rsidRPr="005168A2">
        <w:rPr>
          <w:lang w:val="fr-FR"/>
        </w:rPr>
        <w:t>considéré</w:t>
      </w:r>
      <w:r w:rsidRPr="005168A2">
        <w:rPr>
          <w:spacing w:val="-6"/>
          <w:lang w:val="fr-FR"/>
        </w:rPr>
        <w:t xml:space="preserve"> </w:t>
      </w:r>
      <w:r w:rsidRPr="005168A2">
        <w:rPr>
          <w:lang w:val="fr-FR"/>
        </w:rPr>
        <w:t>dans</w:t>
      </w:r>
      <w:r w:rsidRPr="005168A2">
        <w:rPr>
          <w:spacing w:val="-6"/>
          <w:lang w:val="fr-FR"/>
        </w:rPr>
        <w:t xml:space="preserve"> </w:t>
      </w:r>
      <w:r w:rsidRPr="005168A2">
        <w:rPr>
          <w:lang w:val="fr-FR"/>
        </w:rPr>
        <w:t>l’analyse</w:t>
      </w:r>
      <w:r w:rsidRPr="005168A2">
        <w:rPr>
          <w:spacing w:val="-6"/>
          <w:lang w:val="fr-FR"/>
        </w:rPr>
        <w:t xml:space="preserve"> </w:t>
      </w:r>
      <w:r w:rsidRPr="005168A2">
        <w:rPr>
          <w:lang w:val="fr-FR"/>
        </w:rPr>
        <w:t>de</w:t>
      </w:r>
      <w:r w:rsidRPr="005168A2">
        <w:rPr>
          <w:spacing w:val="-5"/>
          <w:lang w:val="fr-FR"/>
        </w:rPr>
        <w:t xml:space="preserve"> la</w:t>
      </w:r>
      <w:r w:rsidR="005168A2" w:rsidRPr="005168A2">
        <w:rPr>
          <w:spacing w:val="-5"/>
          <w:lang w:val="fr-FR"/>
        </w:rPr>
        <w:t xml:space="preserve"> </w:t>
      </w:r>
      <w:r w:rsidRPr="005168A2">
        <w:rPr>
          <w:lang w:val="fr-FR"/>
        </w:rPr>
        <w:t>situation</w:t>
      </w:r>
      <w:r w:rsidRPr="005168A2">
        <w:rPr>
          <w:spacing w:val="-10"/>
          <w:lang w:val="fr-FR"/>
        </w:rPr>
        <w:t xml:space="preserve"> </w:t>
      </w:r>
      <w:r w:rsidRPr="005168A2">
        <w:rPr>
          <w:lang w:val="fr-FR"/>
        </w:rPr>
        <w:t>familiale</w:t>
      </w:r>
      <w:r w:rsidR="00914C42">
        <w:rPr>
          <w:rFonts w:ascii="Arial" w:hAnsi="Arial" w:cs="Arial"/>
          <w:spacing w:val="-5"/>
          <w:lang w:val="fr-FR"/>
        </w:rPr>
        <w:t> </w:t>
      </w:r>
      <w:r w:rsidRPr="005168A2">
        <w:rPr>
          <w:spacing w:val="-10"/>
          <w:lang w:val="fr-FR"/>
        </w:rPr>
        <w:t>;</w:t>
      </w:r>
    </w:p>
    <w:p w14:paraId="03921555" w14:textId="77777777" w:rsidR="0030639D" w:rsidRPr="0030639D" w:rsidRDefault="0030639D" w:rsidP="008A59CC">
      <w:pPr>
        <w:pStyle w:val="puces0"/>
        <w:rPr>
          <w:lang w:val="fr-FR"/>
        </w:rPr>
      </w:pPr>
      <w:r w:rsidRPr="0030639D">
        <w:rPr>
          <w:lang w:val="fr-FR"/>
        </w:rPr>
        <w:t>Les contacts entre l’enfant et ses parents sont laissés en majorité à la discrétion des parties alors</w:t>
      </w:r>
      <w:r w:rsidRPr="0030639D">
        <w:rPr>
          <w:spacing w:val="-4"/>
          <w:lang w:val="fr-FR"/>
        </w:rPr>
        <w:t xml:space="preserve"> </w:t>
      </w:r>
      <w:r w:rsidRPr="0030639D">
        <w:rPr>
          <w:lang w:val="fr-FR"/>
        </w:rPr>
        <w:t>qu’une</w:t>
      </w:r>
      <w:r w:rsidRPr="0030639D">
        <w:rPr>
          <w:spacing w:val="-4"/>
          <w:lang w:val="fr-FR"/>
        </w:rPr>
        <w:t xml:space="preserve"> </w:t>
      </w:r>
      <w:r w:rsidRPr="0030639D">
        <w:rPr>
          <w:lang w:val="fr-FR"/>
        </w:rPr>
        <w:t>proportion</w:t>
      </w:r>
      <w:r w:rsidRPr="0030639D">
        <w:rPr>
          <w:spacing w:val="-4"/>
          <w:lang w:val="fr-FR"/>
        </w:rPr>
        <w:t xml:space="preserve"> </w:t>
      </w:r>
      <w:r w:rsidRPr="0030639D">
        <w:rPr>
          <w:lang w:val="fr-FR"/>
        </w:rPr>
        <w:t>importante</w:t>
      </w:r>
      <w:r w:rsidRPr="0030639D">
        <w:rPr>
          <w:spacing w:val="-4"/>
          <w:lang w:val="fr-FR"/>
        </w:rPr>
        <w:t xml:space="preserve"> </w:t>
      </w:r>
      <w:r w:rsidRPr="0030639D">
        <w:rPr>
          <w:lang w:val="fr-FR"/>
        </w:rPr>
        <w:t>des</w:t>
      </w:r>
      <w:r w:rsidRPr="0030639D">
        <w:rPr>
          <w:spacing w:val="-7"/>
          <w:lang w:val="fr-FR"/>
        </w:rPr>
        <w:t xml:space="preserve"> </w:t>
      </w:r>
      <w:r w:rsidRPr="0030639D">
        <w:rPr>
          <w:lang w:val="fr-FR"/>
        </w:rPr>
        <w:t>enfants</w:t>
      </w:r>
      <w:r w:rsidRPr="0030639D">
        <w:rPr>
          <w:spacing w:val="-4"/>
          <w:lang w:val="fr-FR"/>
        </w:rPr>
        <w:t xml:space="preserve"> </w:t>
      </w:r>
      <w:r w:rsidRPr="0030639D">
        <w:rPr>
          <w:lang w:val="fr-FR"/>
        </w:rPr>
        <w:t>voit</w:t>
      </w:r>
      <w:r w:rsidRPr="0030639D">
        <w:rPr>
          <w:spacing w:val="-2"/>
          <w:lang w:val="fr-FR"/>
        </w:rPr>
        <w:t xml:space="preserve"> </w:t>
      </w:r>
      <w:r w:rsidRPr="0030639D">
        <w:rPr>
          <w:lang w:val="fr-FR"/>
        </w:rPr>
        <w:t>ses</w:t>
      </w:r>
      <w:r w:rsidRPr="0030639D">
        <w:rPr>
          <w:spacing w:val="-4"/>
          <w:lang w:val="fr-FR"/>
        </w:rPr>
        <w:t xml:space="preserve"> </w:t>
      </w:r>
      <w:r w:rsidRPr="0030639D">
        <w:rPr>
          <w:lang w:val="fr-FR"/>
        </w:rPr>
        <w:t>contacts</w:t>
      </w:r>
      <w:r w:rsidRPr="0030639D">
        <w:rPr>
          <w:spacing w:val="-4"/>
          <w:lang w:val="fr-FR"/>
        </w:rPr>
        <w:t xml:space="preserve"> </w:t>
      </w:r>
      <w:r w:rsidRPr="0030639D">
        <w:rPr>
          <w:lang w:val="fr-FR"/>
        </w:rPr>
        <w:t>être</w:t>
      </w:r>
      <w:r w:rsidRPr="0030639D">
        <w:rPr>
          <w:spacing w:val="-3"/>
          <w:lang w:val="fr-FR"/>
        </w:rPr>
        <w:t xml:space="preserve"> </w:t>
      </w:r>
      <w:r w:rsidRPr="0030639D">
        <w:rPr>
          <w:lang w:val="fr-FR"/>
        </w:rPr>
        <w:t>interdits</w:t>
      </w:r>
      <w:r w:rsidRPr="0030639D">
        <w:rPr>
          <w:spacing w:val="-4"/>
          <w:lang w:val="fr-FR"/>
        </w:rPr>
        <w:t xml:space="preserve"> </w:t>
      </w:r>
      <w:r w:rsidRPr="0030639D">
        <w:rPr>
          <w:lang w:val="fr-FR"/>
        </w:rPr>
        <w:t>ou</w:t>
      </w:r>
      <w:r w:rsidRPr="0030639D">
        <w:rPr>
          <w:spacing w:val="-3"/>
          <w:lang w:val="fr-FR"/>
        </w:rPr>
        <w:t xml:space="preserve"> </w:t>
      </w:r>
      <w:r w:rsidRPr="0030639D">
        <w:rPr>
          <w:lang w:val="fr-FR"/>
        </w:rPr>
        <w:t>suspendus avec l’un ou les deux parents.</w:t>
      </w:r>
    </w:p>
    <w:p w14:paraId="0E5C0DD9" w14:textId="14827CF5" w:rsidR="00E7792E" w:rsidRPr="0030639D" w:rsidRDefault="00F01CE0" w:rsidP="003A1427">
      <w:pPr>
        <w:pStyle w:val="Paragraphe"/>
        <w:rPr>
          <w:lang w:val="fr-FR"/>
        </w:rPr>
      </w:pPr>
      <w:r w:rsidRPr="00F01CE0">
        <w:rPr>
          <w:lang w:val="fr-FR"/>
        </w:rPr>
        <w:t>Afin d’assurer le plein respect des droits et de l’intérêt des enfants confiés à un milieu de vie substitut</w:t>
      </w:r>
      <w:r>
        <w:rPr>
          <w:lang w:val="fr-FR"/>
        </w:rPr>
        <w:t xml:space="preserve"> </w:t>
      </w:r>
      <w:r w:rsidRPr="00F01CE0">
        <w:rPr>
          <w:lang w:val="fr-FR"/>
        </w:rPr>
        <w:t>jusqu’à la majorité, la Commission des droits cible, à travers 12</w:t>
      </w:r>
      <w:r w:rsidR="00220FCC">
        <w:rPr>
          <w:lang w:val="fr-FR"/>
        </w:rPr>
        <w:t> </w:t>
      </w:r>
      <w:r w:rsidRPr="00F01CE0">
        <w:rPr>
          <w:lang w:val="fr-FR"/>
        </w:rPr>
        <w:t xml:space="preserve">recommandations, les mesures à entreprendre pour renforcer l’application des </w:t>
      </w:r>
      <w:r w:rsidR="002D028E">
        <w:rPr>
          <w:lang w:val="fr-FR"/>
        </w:rPr>
        <w:t>articles</w:t>
      </w:r>
      <w:r w:rsidRPr="00F01CE0">
        <w:rPr>
          <w:lang w:val="fr-FR"/>
        </w:rPr>
        <w:t xml:space="preserve"> de la LPJ </w:t>
      </w:r>
      <w:r w:rsidR="002D028E">
        <w:rPr>
          <w:lang w:val="fr-FR"/>
        </w:rPr>
        <w:t xml:space="preserve">visant à assurer </w:t>
      </w:r>
      <w:r w:rsidRPr="00F01CE0">
        <w:rPr>
          <w:lang w:val="fr-FR"/>
        </w:rPr>
        <w:t>la stabilité des liens et des conditions de vie</w:t>
      </w:r>
      <w:r w:rsidR="002D028E">
        <w:rPr>
          <w:lang w:val="fr-FR"/>
        </w:rPr>
        <w:t xml:space="preserve"> </w:t>
      </w:r>
      <w:r w:rsidR="002D028E" w:rsidRPr="00986C69">
        <w:t>appropriées à ses besoins et à son âge</w:t>
      </w:r>
      <w:r w:rsidRPr="00F01CE0">
        <w:rPr>
          <w:lang w:val="fr-FR"/>
        </w:rPr>
        <w:t>.</w:t>
      </w:r>
      <w:r w:rsidR="002817F8">
        <w:rPr>
          <w:lang w:val="fr-FR"/>
        </w:rPr>
        <w:t xml:space="preserve"> Celles-ci ont trait à :</w:t>
      </w:r>
    </w:p>
    <w:p w14:paraId="21BEF080" w14:textId="6D8DC8FB" w:rsidR="0066194B" w:rsidRPr="0066194B" w:rsidRDefault="0066194B" w:rsidP="008A59CC">
      <w:pPr>
        <w:pStyle w:val="puces0"/>
        <w:rPr>
          <w:lang w:val="fr-FR"/>
        </w:rPr>
      </w:pPr>
      <w:r w:rsidRPr="0066194B">
        <w:rPr>
          <w:lang w:val="fr-FR"/>
        </w:rPr>
        <w:t>L’uniformisation</w:t>
      </w:r>
      <w:r w:rsidRPr="0066194B">
        <w:rPr>
          <w:spacing w:val="-6"/>
          <w:lang w:val="fr-FR"/>
        </w:rPr>
        <w:t xml:space="preserve"> </w:t>
      </w:r>
      <w:r w:rsidRPr="0066194B">
        <w:rPr>
          <w:lang w:val="fr-FR"/>
        </w:rPr>
        <w:t>de</w:t>
      </w:r>
      <w:r w:rsidRPr="0066194B">
        <w:rPr>
          <w:spacing w:val="-4"/>
          <w:lang w:val="fr-FR"/>
        </w:rPr>
        <w:t xml:space="preserve"> </w:t>
      </w:r>
      <w:r w:rsidRPr="0066194B">
        <w:rPr>
          <w:lang w:val="fr-FR"/>
        </w:rPr>
        <w:t>l’application</w:t>
      </w:r>
      <w:r w:rsidRPr="0066194B">
        <w:rPr>
          <w:spacing w:val="-7"/>
          <w:lang w:val="fr-FR"/>
        </w:rPr>
        <w:t xml:space="preserve"> </w:t>
      </w:r>
      <w:r w:rsidRPr="0066194B">
        <w:rPr>
          <w:lang w:val="fr-FR"/>
        </w:rPr>
        <w:t>de</w:t>
      </w:r>
      <w:r w:rsidRPr="0066194B">
        <w:rPr>
          <w:spacing w:val="-6"/>
          <w:lang w:val="fr-FR"/>
        </w:rPr>
        <w:t xml:space="preserve"> </w:t>
      </w:r>
      <w:r w:rsidRPr="0066194B">
        <w:rPr>
          <w:lang w:val="fr-FR"/>
        </w:rPr>
        <w:t>la</w:t>
      </w:r>
      <w:r w:rsidRPr="0066194B">
        <w:rPr>
          <w:spacing w:val="-7"/>
          <w:lang w:val="fr-FR"/>
        </w:rPr>
        <w:t xml:space="preserve"> </w:t>
      </w:r>
      <w:r w:rsidRPr="0066194B">
        <w:rPr>
          <w:lang w:val="fr-FR"/>
        </w:rPr>
        <w:t>LPJ</w:t>
      </w:r>
      <w:r w:rsidRPr="0066194B">
        <w:rPr>
          <w:spacing w:val="-6"/>
          <w:lang w:val="fr-FR"/>
        </w:rPr>
        <w:t xml:space="preserve"> </w:t>
      </w:r>
      <w:r w:rsidRPr="0066194B">
        <w:rPr>
          <w:lang w:val="fr-FR"/>
        </w:rPr>
        <w:t>par</w:t>
      </w:r>
      <w:r w:rsidRPr="0066194B">
        <w:rPr>
          <w:spacing w:val="-6"/>
          <w:lang w:val="fr-FR"/>
        </w:rPr>
        <w:t xml:space="preserve"> </w:t>
      </w:r>
      <w:r w:rsidR="00305564">
        <w:rPr>
          <w:spacing w:val="-6"/>
          <w:lang w:val="fr-FR"/>
        </w:rPr>
        <w:t xml:space="preserve">le développement </w:t>
      </w:r>
      <w:r w:rsidRPr="0066194B">
        <w:rPr>
          <w:lang w:val="fr-FR"/>
        </w:rPr>
        <w:t>d</w:t>
      </w:r>
      <w:r w:rsidR="00305564">
        <w:rPr>
          <w:lang w:val="fr-FR"/>
        </w:rPr>
        <w:t>’</w:t>
      </w:r>
      <w:r w:rsidRPr="0066194B">
        <w:rPr>
          <w:lang w:val="fr-FR"/>
        </w:rPr>
        <w:t>outils</w:t>
      </w:r>
      <w:r w:rsidRPr="0066194B">
        <w:rPr>
          <w:spacing w:val="-4"/>
          <w:lang w:val="fr-FR"/>
        </w:rPr>
        <w:t xml:space="preserve"> </w:t>
      </w:r>
      <w:r w:rsidRPr="0066194B">
        <w:rPr>
          <w:lang w:val="fr-FR"/>
        </w:rPr>
        <w:t>cliniques</w:t>
      </w:r>
      <w:r w:rsidR="00914C42">
        <w:rPr>
          <w:rFonts w:ascii="Arial" w:hAnsi="Arial" w:cs="Arial"/>
          <w:spacing w:val="2"/>
          <w:lang w:val="fr-FR"/>
        </w:rPr>
        <w:t> </w:t>
      </w:r>
      <w:r w:rsidRPr="0066194B">
        <w:rPr>
          <w:spacing w:val="-10"/>
          <w:lang w:val="fr-FR"/>
        </w:rPr>
        <w:t>;</w:t>
      </w:r>
    </w:p>
    <w:p w14:paraId="351D223C" w14:textId="1FCCF22B" w:rsidR="0066194B" w:rsidRPr="0066194B" w:rsidRDefault="0066194B" w:rsidP="008A59CC">
      <w:pPr>
        <w:pStyle w:val="puces0"/>
        <w:rPr>
          <w:lang w:val="fr-FR"/>
        </w:rPr>
      </w:pPr>
      <w:r w:rsidRPr="0066194B">
        <w:rPr>
          <w:lang w:val="fr-FR"/>
        </w:rPr>
        <w:t>La</w:t>
      </w:r>
      <w:r w:rsidRPr="0066194B">
        <w:rPr>
          <w:spacing w:val="-4"/>
          <w:lang w:val="fr-FR"/>
        </w:rPr>
        <w:t xml:space="preserve"> </w:t>
      </w:r>
      <w:r w:rsidRPr="0066194B">
        <w:rPr>
          <w:lang w:val="fr-FR"/>
        </w:rPr>
        <w:t>mise</w:t>
      </w:r>
      <w:r w:rsidRPr="0066194B">
        <w:rPr>
          <w:spacing w:val="-3"/>
          <w:lang w:val="fr-FR"/>
        </w:rPr>
        <w:t xml:space="preserve"> </w:t>
      </w:r>
      <w:r w:rsidRPr="0066194B">
        <w:rPr>
          <w:lang w:val="fr-FR"/>
        </w:rPr>
        <w:t>en</w:t>
      </w:r>
      <w:r w:rsidRPr="0066194B">
        <w:rPr>
          <w:spacing w:val="-1"/>
          <w:lang w:val="fr-FR"/>
        </w:rPr>
        <w:t xml:space="preserve"> </w:t>
      </w:r>
      <w:r w:rsidRPr="0066194B">
        <w:rPr>
          <w:lang w:val="fr-FR"/>
        </w:rPr>
        <w:t>place</w:t>
      </w:r>
      <w:r w:rsidRPr="0066194B">
        <w:rPr>
          <w:spacing w:val="-3"/>
          <w:lang w:val="fr-FR"/>
        </w:rPr>
        <w:t xml:space="preserve"> </w:t>
      </w:r>
      <w:r w:rsidRPr="0066194B">
        <w:rPr>
          <w:lang w:val="fr-FR"/>
        </w:rPr>
        <w:t>d’un</w:t>
      </w:r>
      <w:r w:rsidRPr="0066194B">
        <w:rPr>
          <w:spacing w:val="-1"/>
          <w:lang w:val="fr-FR"/>
        </w:rPr>
        <w:t xml:space="preserve"> </w:t>
      </w:r>
      <w:r w:rsidRPr="0066194B">
        <w:rPr>
          <w:lang w:val="fr-FR"/>
        </w:rPr>
        <w:t>lieu</w:t>
      </w:r>
      <w:r w:rsidRPr="0066194B">
        <w:rPr>
          <w:spacing w:val="-5"/>
          <w:lang w:val="fr-FR"/>
        </w:rPr>
        <w:t xml:space="preserve"> </w:t>
      </w:r>
      <w:r w:rsidRPr="0066194B">
        <w:rPr>
          <w:lang w:val="fr-FR"/>
        </w:rPr>
        <w:t>d’échanges</w:t>
      </w:r>
      <w:r w:rsidRPr="0066194B">
        <w:rPr>
          <w:spacing w:val="-2"/>
          <w:lang w:val="fr-FR"/>
        </w:rPr>
        <w:t xml:space="preserve"> </w:t>
      </w:r>
      <w:r w:rsidRPr="0066194B">
        <w:rPr>
          <w:lang w:val="fr-FR"/>
        </w:rPr>
        <w:t>en</w:t>
      </w:r>
      <w:r w:rsidRPr="0066194B">
        <w:rPr>
          <w:spacing w:val="-4"/>
          <w:lang w:val="fr-FR"/>
        </w:rPr>
        <w:t xml:space="preserve"> </w:t>
      </w:r>
      <w:r w:rsidRPr="0066194B">
        <w:rPr>
          <w:lang w:val="fr-FR"/>
        </w:rPr>
        <w:t>vue</w:t>
      </w:r>
      <w:r w:rsidRPr="0066194B">
        <w:rPr>
          <w:spacing w:val="-3"/>
          <w:lang w:val="fr-FR"/>
        </w:rPr>
        <w:t xml:space="preserve"> </w:t>
      </w:r>
      <w:r w:rsidRPr="0066194B">
        <w:rPr>
          <w:lang w:val="fr-FR"/>
        </w:rPr>
        <w:t>d’arrimer</w:t>
      </w:r>
      <w:r w:rsidRPr="0066194B">
        <w:rPr>
          <w:spacing w:val="-1"/>
          <w:lang w:val="fr-FR"/>
        </w:rPr>
        <w:t xml:space="preserve"> </w:t>
      </w:r>
      <w:r w:rsidRPr="0066194B">
        <w:rPr>
          <w:lang w:val="fr-FR"/>
        </w:rPr>
        <w:t>les</w:t>
      </w:r>
      <w:r w:rsidRPr="0066194B">
        <w:rPr>
          <w:spacing w:val="-1"/>
          <w:lang w:val="fr-FR"/>
        </w:rPr>
        <w:t xml:space="preserve"> </w:t>
      </w:r>
      <w:r w:rsidRPr="0066194B">
        <w:rPr>
          <w:lang w:val="fr-FR"/>
        </w:rPr>
        <w:t>interventions</w:t>
      </w:r>
      <w:r w:rsidRPr="0066194B">
        <w:rPr>
          <w:spacing w:val="-3"/>
          <w:lang w:val="fr-FR"/>
        </w:rPr>
        <w:t xml:space="preserve"> </w:t>
      </w:r>
      <w:r w:rsidRPr="0066194B">
        <w:rPr>
          <w:lang w:val="fr-FR"/>
        </w:rPr>
        <w:t>sociales</w:t>
      </w:r>
      <w:r w:rsidRPr="0066194B">
        <w:rPr>
          <w:spacing w:val="-4"/>
          <w:lang w:val="fr-FR"/>
        </w:rPr>
        <w:t xml:space="preserve"> </w:t>
      </w:r>
      <w:r w:rsidRPr="0066194B">
        <w:rPr>
          <w:lang w:val="fr-FR"/>
        </w:rPr>
        <w:t>et</w:t>
      </w:r>
      <w:r w:rsidRPr="0066194B">
        <w:rPr>
          <w:spacing w:val="-4"/>
          <w:lang w:val="fr-FR"/>
        </w:rPr>
        <w:t xml:space="preserve"> </w:t>
      </w:r>
      <w:r w:rsidRPr="0066194B">
        <w:rPr>
          <w:lang w:val="fr-FR"/>
        </w:rPr>
        <w:t>judiciaires en protection de la jeunesse</w:t>
      </w:r>
      <w:r w:rsidR="004A21EC">
        <w:rPr>
          <w:rFonts w:ascii="Arial" w:hAnsi="Arial" w:cs="Arial"/>
          <w:lang w:val="fr-FR"/>
        </w:rPr>
        <w:t> </w:t>
      </w:r>
      <w:r w:rsidRPr="0066194B">
        <w:rPr>
          <w:lang w:val="fr-FR"/>
        </w:rPr>
        <w:t>;</w:t>
      </w:r>
    </w:p>
    <w:p w14:paraId="39B7396E" w14:textId="209ABB47" w:rsidR="0066194B" w:rsidRPr="0066194B" w:rsidRDefault="0066194B" w:rsidP="008A59CC">
      <w:pPr>
        <w:pStyle w:val="puces0"/>
        <w:rPr>
          <w:lang w:val="fr-FR"/>
        </w:rPr>
      </w:pPr>
      <w:r w:rsidRPr="0066194B">
        <w:rPr>
          <w:lang w:val="fr-FR"/>
        </w:rPr>
        <w:lastRenderedPageBreak/>
        <w:t>L’élaboration</w:t>
      </w:r>
      <w:r w:rsidRPr="0066194B">
        <w:rPr>
          <w:spacing w:val="-4"/>
          <w:lang w:val="fr-FR"/>
        </w:rPr>
        <w:t xml:space="preserve"> </w:t>
      </w:r>
      <w:r w:rsidRPr="0066194B">
        <w:rPr>
          <w:lang w:val="fr-FR"/>
        </w:rPr>
        <w:t>de</w:t>
      </w:r>
      <w:r w:rsidRPr="0066194B">
        <w:rPr>
          <w:spacing w:val="-4"/>
          <w:lang w:val="fr-FR"/>
        </w:rPr>
        <w:t xml:space="preserve"> </w:t>
      </w:r>
      <w:r w:rsidRPr="0066194B">
        <w:rPr>
          <w:lang w:val="fr-FR"/>
        </w:rPr>
        <w:t>balises</w:t>
      </w:r>
      <w:r w:rsidRPr="0066194B">
        <w:rPr>
          <w:spacing w:val="-4"/>
          <w:lang w:val="fr-FR"/>
        </w:rPr>
        <w:t xml:space="preserve"> </w:t>
      </w:r>
      <w:r w:rsidRPr="0066194B">
        <w:rPr>
          <w:lang w:val="fr-FR"/>
        </w:rPr>
        <w:t>visant</w:t>
      </w:r>
      <w:r w:rsidRPr="0066194B">
        <w:rPr>
          <w:spacing w:val="-2"/>
          <w:lang w:val="fr-FR"/>
        </w:rPr>
        <w:t xml:space="preserve"> </w:t>
      </w:r>
      <w:r w:rsidRPr="0066194B">
        <w:rPr>
          <w:lang w:val="fr-FR"/>
        </w:rPr>
        <w:t>la</w:t>
      </w:r>
      <w:r w:rsidRPr="0066194B">
        <w:rPr>
          <w:spacing w:val="-3"/>
          <w:lang w:val="fr-FR"/>
        </w:rPr>
        <w:t xml:space="preserve"> </w:t>
      </w:r>
      <w:r w:rsidRPr="0066194B">
        <w:rPr>
          <w:lang w:val="fr-FR"/>
        </w:rPr>
        <w:t>participation</w:t>
      </w:r>
      <w:r w:rsidRPr="0066194B">
        <w:rPr>
          <w:spacing w:val="-5"/>
          <w:lang w:val="fr-FR"/>
        </w:rPr>
        <w:t xml:space="preserve"> </w:t>
      </w:r>
      <w:r w:rsidRPr="0066194B">
        <w:rPr>
          <w:lang w:val="fr-FR"/>
        </w:rPr>
        <w:t>de</w:t>
      </w:r>
      <w:r w:rsidRPr="0066194B">
        <w:rPr>
          <w:spacing w:val="-4"/>
          <w:lang w:val="fr-FR"/>
        </w:rPr>
        <w:t xml:space="preserve"> </w:t>
      </w:r>
      <w:r w:rsidRPr="0066194B">
        <w:rPr>
          <w:lang w:val="fr-FR"/>
        </w:rPr>
        <w:t>l’enfant</w:t>
      </w:r>
      <w:r w:rsidRPr="0066194B">
        <w:rPr>
          <w:spacing w:val="-5"/>
          <w:lang w:val="fr-FR"/>
        </w:rPr>
        <w:t xml:space="preserve"> </w:t>
      </w:r>
      <w:r w:rsidRPr="0066194B">
        <w:rPr>
          <w:lang w:val="fr-FR"/>
        </w:rPr>
        <w:t>dans</w:t>
      </w:r>
      <w:r w:rsidRPr="0066194B">
        <w:rPr>
          <w:spacing w:val="-2"/>
          <w:lang w:val="fr-FR"/>
        </w:rPr>
        <w:t xml:space="preserve"> </w:t>
      </w:r>
      <w:r w:rsidRPr="0066194B">
        <w:rPr>
          <w:lang w:val="fr-FR"/>
        </w:rPr>
        <w:t>le</w:t>
      </w:r>
      <w:r w:rsidRPr="0066194B">
        <w:rPr>
          <w:spacing w:val="-4"/>
          <w:lang w:val="fr-FR"/>
        </w:rPr>
        <w:t xml:space="preserve"> </w:t>
      </w:r>
      <w:r w:rsidRPr="0066194B">
        <w:rPr>
          <w:lang w:val="fr-FR"/>
        </w:rPr>
        <w:t>processus clinique</w:t>
      </w:r>
      <w:r w:rsidRPr="0066194B">
        <w:rPr>
          <w:spacing w:val="-3"/>
          <w:lang w:val="fr-FR"/>
        </w:rPr>
        <w:t xml:space="preserve"> </w:t>
      </w:r>
      <w:r w:rsidRPr="0066194B">
        <w:rPr>
          <w:lang w:val="fr-FR"/>
        </w:rPr>
        <w:t>menant</w:t>
      </w:r>
      <w:r w:rsidRPr="0066194B">
        <w:rPr>
          <w:spacing w:val="-5"/>
          <w:lang w:val="fr-FR"/>
        </w:rPr>
        <w:t xml:space="preserve"> </w:t>
      </w:r>
      <w:r w:rsidRPr="0066194B">
        <w:rPr>
          <w:lang w:val="fr-FR"/>
        </w:rPr>
        <w:t>à son projet de vie</w:t>
      </w:r>
      <w:r w:rsidR="004A21EC">
        <w:rPr>
          <w:rFonts w:ascii="Arial" w:hAnsi="Arial" w:cs="Arial"/>
          <w:lang w:val="fr-FR"/>
        </w:rPr>
        <w:t> </w:t>
      </w:r>
      <w:r w:rsidRPr="0066194B">
        <w:rPr>
          <w:lang w:val="fr-FR"/>
        </w:rPr>
        <w:t>;</w:t>
      </w:r>
    </w:p>
    <w:p w14:paraId="6A87E17B" w14:textId="13D89714" w:rsidR="0066194B" w:rsidRPr="00B40E08" w:rsidRDefault="0066194B" w:rsidP="008A59CC">
      <w:pPr>
        <w:pStyle w:val="puces0"/>
        <w:rPr>
          <w:lang w:val="fr-FR"/>
        </w:rPr>
      </w:pPr>
      <w:r w:rsidRPr="00B40E08">
        <w:rPr>
          <w:lang w:val="fr-FR"/>
        </w:rPr>
        <w:t>L’élaboration</w:t>
      </w:r>
      <w:r w:rsidRPr="00B40E08">
        <w:rPr>
          <w:spacing w:val="-9"/>
          <w:lang w:val="fr-FR"/>
        </w:rPr>
        <w:t xml:space="preserve"> </w:t>
      </w:r>
      <w:r w:rsidRPr="00B40E08">
        <w:rPr>
          <w:lang w:val="fr-FR"/>
        </w:rPr>
        <w:t>d’un</w:t>
      </w:r>
      <w:r w:rsidRPr="00B40E08">
        <w:rPr>
          <w:spacing w:val="-7"/>
          <w:lang w:val="fr-FR"/>
        </w:rPr>
        <w:t xml:space="preserve"> </w:t>
      </w:r>
      <w:r w:rsidRPr="00B40E08">
        <w:rPr>
          <w:lang w:val="fr-FR"/>
        </w:rPr>
        <w:t>guide</w:t>
      </w:r>
      <w:r w:rsidRPr="00B40E08">
        <w:rPr>
          <w:spacing w:val="-8"/>
          <w:lang w:val="fr-FR"/>
        </w:rPr>
        <w:t xml:space="preserve"> </w:t>
      </w:r>
      <w:r w:rsidRPr="00B40E08">
        <w:rPr>
          <w:lang w:val="fr-FR"/>
        </w:rPr>
        <w:t>de</w:t>
      </w:r>
      <w:r w:rsidRPr="00B40E08">
        <w:rPr>
          <w:spacing w:val="-6"/>
          <w:lang w:val="fr-FR"/>
        </w:rPr>
        <w:t xml:space="preserve"> </w:t>
      </w:r>
      <w:r w:rsidRPr="00B40E08">
        <w:rPr>
          <w:lang w:val="fr-FR"/>
        </w:rPr>
        <w:t>pratiques</w:t>
      </w:r>
      <w:r w:rsidRPr="00B40E08">
        <w:rPr>
          <w:spacing w:val="-5"/>
          <w:lang w:val="fr-FR"/>
        </w:rPr>
        <w:t xml:space="preserve"> </w:t>
      </w:r>
      <w:r w:rsidRPr="00B40E08">
        <w:rPr>
          <w:lang w:val="fr-FR"/>
        </w:rPr>
        <w:t>destiné</w:t>
      </w:r>
      <w:r w:rsidRPr="00B40E08">
        <w:rPr>
          <w:spacing w:val="-5"/>
          <w:lang w:val="fr-FR"/>
        </w:rPr>
        <w:t xml:space="preserve"> </w:t>
      </w:r>
      <w:r w:rsidRPr="00B40E08">
        <w:rPr>
          <w:lang w:val="fr-FR"/>
        </w:rPr>
        <w:t>aux</w:t>
      </w:r>
      <w:r w:rsidRPr="00B40E08">
        <w:rPr>
          <w:spacing w:val="-5"/>
          <w:lang w:val="fr-FR"/>
        </w:rPr>
        <w:t xml:space="preserve"> </w:t>
      </w:r>
      <w:r w:rsidR="00EA4983">
        <w:rPr>
          <w:lang w:val="fr-FR"/>
        </w:rPr>
        <w:t>procureures et procureurs</w:t>
      </w:r>
      <w:r w:rsidRPr="00B40E08">
        <w:rPr>
          <w:spacing w:val="-6"/>
          <w:lang w:val="fr-FR"/>
        </w:rPr>
        <w:t xml:space="preserve"> </w:t>
      </w:r>
      <w:r w:rsidRPr="00B40E08">
        <w:rPr>
          <w:lang w:val="fr-FR"/>
        </w:rPr>
        <w:t>qui</w:t>
      </w:r>
      <w:r w:rsidRPr="00B40E08">
        <w:rPr>
          <w:spacing w:val="-7"/>
          <w:lang w:val="fr-FR"/>
        </w:rPr>
        <w:t xml:space="preserve"> </w:t>
      </w:r>
      <w:r w:rsidRPr="00B40E08">
        <w:rPr>
          <w:lang w:val="fr-FR"/>
        </w:rPr>
        <w:t>représentent</w:t>
      </w:r>
      <w:r w:rsidRPr="00B40E08">
        <w:rPr>
          <w:spacing w:val="-6"/>
          <w:lang w:val="fr-FR"/>
        </w:rPr>
        <w:t xml:space="preserve"> </w:t>
      </w:r>
      <w:r w:rsidRPr="00B40E08">
        <w:rPr>
          <w:spacing w:val="-5"/>
          <w:lang w:val="fr-FR"/>
        </w:rPr>
        <w:t>des</w:t>
      </w:r>
      <w:r w:rsidR="00B40E08" w:rsidRPr="00B40E08">
        <w:rPr>
          <w:spacing w:val="-5"/>
          <w:lang w:val="fr-FR"/>
        </w:rPr>
        <w:t xml:space="preserve"> </w:t>
      </w:r>
      <w:r w:rsidRPr="00B40E08">
        <w:rPr>
          <w:lang w:val="fr-FR"/>
        </w:rPr>
        <w:t>enfants</w:t>
      </w:r>
      <w:r w:rsidR="004A21EC">
        <w:rPr>
          <w:rFonts w:ascii="Arial" w:hAnsi="Arial" w:cs="Arial"/>
          <w:spacing w:val="-4"/>
          <w:lang w:val="fr-FR"/>
        </w:rPr>
        <w:t> </w:t>
      </w:r>
      <w:r w:rsidRPr="00B40E08">
        <w:rPr>
          <w:spacing w:val="-10"/>
          <w:lang w:val="fr-FR"/>
        </w:rPr>
        <w:t>;</w:t>
      </w:r>
    </w:p>
    <w:p w14:paraId="79E220DE" w14:textId="6BFFF8BC" w:rsidR="0066194B" w:rsidRPr="0066194B" w:rsidRDefault="0066194B" w:rsidP="008A59CC">
      <w:pPr>
        <w:pStyle w:val="puces0"/>
        <w:rPr>
          <w:lang w:val="fr-FR"/>
        </w:rPr>
      </w:pPr>
      <w:r w:rsidRPr="0066194B">
        <w:rPr>
          <w:lang w:val="fr-FR"/>
        </w:rPr>
        <w:t>Le</w:t>
      </w:r>
      <w:r w:rsidRPr="0066194B">
        <w:rPr>
          <w:spacing w:val="-4"/>
          <w:lang w:val="fr-FR"/>
        </w:rPr>
        <w:t xml:space="preserve"> </w:t>
      </w:r>
      <w:r w:rsidRPr="0066194B">
        <w:rPr>
          <w:lang w:val="fr-FR"/>
        </w:rPr>
        <w:t>déploiement</w:t>
      </w:r>
      <w:r w:rsidRPr="0066194B">
        <w:rPr>
          <w:spacing w:val="-3"/>
          <w:lang w:val="fr-FR"/>
        </w:rPr>
        <w:t xml:space="preserve"> </w:t>
      </w:r>
      <w:r w:rsidRPr="0066194B">
        <w:rPr>
          <w:lang w:val="fr-FR"/>
        </w:rPr>
        <w:t>d’un</w:t>
      </w:r>
      <w:r w:rsidRPr="0066194B">
        <w:rPr>
          <w:spacing w:val="-5"/>
          <w:lang w:val="fr-FR"/>
        </w:rPr>
        <w:t xml:space="preserve"> </w:t>
      </w:r>
      <w:r w:rsidRPr="0066194B">
        <w:rPr>
          <w:lang w:val="fr-FR"/>
        </w:rPr>
        <w:t>plan</w:t>
      </w:r>
      <w:r w:rsidRPr="0066194B">
        <w:rPr>
          <w:spacing w:val="-6"/>
          <w:lang w:val="fr-FR"/>
        </w:rPr>
        <w:t xml:space="preserve"> </w:t>
      </w:r>
      <w:r w:rsidRPr="0066194B">
        <w:rPr>
          <w:lang w:val="fr-FR"/>
        </w:rPr>
        <w:t>de</w:t>
      </w:r>
      <w:r w:rsidRPr="0066194B">
        <w:rPr>
          <w:spacing w:val="-4"/>
          <w:lang w:val="fr-FR"/>
        </w:rPr>
        <w:t xml:space="preserve"> </w:t>
      </w:r>
      <w:r w:rsidRPr="0066194B">
        <w:rPr>
          <w:lang w:val="fr-FR"/>
        </w:rPr>
        <w:t>formation</w:t>
      </w:r>
      <w:r w:rsidRPr="0066194B">
        <w:rPr>
          <w:spacing w:val="-1"/>
          <w:lang w:val="fr-FR"/>
        </w:rPr>
        <w:t xml:space="preserve"> </w:t>
      </w:r>
      <w:r w:rsidRPr="0066194B">
        <w:rPr>
          <w:lang w:val="fr-FR"/>
        </w:rPr>
        <w:t>continue</w:t>
      </w:r>
      <w:r w:rsidRPr="0066194B">
        <w:rPr>
          <w:spacing w:val="-3"/>
          <w:lang w:val="fr-FR"/>
        </w:rPr>
        <w:t xml:space="preserve"> </w:t>
      </w:r>
      <w:r w:rsidRPr="0066194B">
        <w:rPr>
          <w:lang w:val="fr-FR"/>
        </w:rPr>
        <w:t>dans</w:t>
      </w:r>
      <w:r w:rsidRPr="0066194B">
        <w:rPr>
          <w:spacing w:val="-1"/>
          <w:lang w:val="fr-FR"/>
        </w:rPr>
        <w:t xml:space="preserve"> </w:t>
      </w:r>
      <w:r w:rsidRPr="0066194B">
        <w:rPr>
          <w:lang w:val="fr-FR"/>
        </w:rPr>
        <w:t>l’ensemble</w:t>
      </w:r>
      <w:r w:rsidRPr="0066194B">
        <w:rPr>
          <w:spacing w:val="-4"/>
          <w:lang w:val="fr-FR"/>
        </w:rPr>
        <w:t xml:space="preserve"> </w:t>
      </w:r>
      <w:r w:rsidRPr="0066194B">
        <w:rPr>
          <w:lang w:val="fr-FR"/>
        </w:rPr>
        <w:t>des</w:t>
      </w:r>
      <w:r w:rsidRPr="0066194B">
        <w:rPr>
          <w:spacing w:val="-3"/>
          <w:lang w:val="fr-FR"/>
        </w:rPr>
        <w:t xml:space="preserve"> </w:t>
      </w:r>
      <w:r w:rsidRPr="0066194B">
        <w:rPr>
          <w:lang w:val="fr-FR"/>
        </w:rPr>
        <w:t>directions</w:t>
      </w:r>
      <w:r w:rsidRPr="0066194B">
        <w:rPr>
          <w:spacing w:val="-4"/>
          <w:lang w:val="fr-FR"/>
        </w:rPr>
        <w:t xml:space="preserve"> </w:t>
      </w:r>
      <w:r w:rsidRPr="0066194B">
        <w:rPr>
          <w:lang w:val="fr-FR"/>
        </w:rPr>
        <w:t>de</w:t>
      </w:r>
      <w:r w:rsidRPr="0066194B">
        <w:rPr>
          <w:spacing w:val="-4"/>
          <w:lang w:val="fr-FR"/>
        </w:rPr>
        <w:t xml:space="preserve"> </w:t>
      </w:r>
      <w:r w:rsidRPr="0066194B">
        <w:rPr>
          <w:lang w:val="fr-FR"/>
        </w:rPr>
        <w:t>la protection de la jeunesse (DPJ) du Québec</w:t>
      </w:r>
      <w:r w:rsidR="004A21EC">
        <w:rPr>
          <w:rFonts w:ascii="Arial" w:hAnsi="Arial" w:cs="Arial"/>
          <w:lang w:val="fr-FR"/>
        </w:rPr>
        <w:t> </w:t>
      </w:r>
      <w:r w:rsidRPr="0066194B">
        <w:rPr>
          <w:lang w:val="fr-FR"/>
        </w:rPr>
        <w:t>;</w:t>
      </w:r>
    </w:p>
    <w:p w14:paraId="7313E825" w14:textId="5FFFDEAA" w:rsidR="0066194B" w:rsidRPr="0066194B" w:rsidRDefault="0066194B" w:rsidP="008A59CC">
      <w:pPr>
        <w:pStyle w:val="puces0"/>
        <w:rPr>
          <w:lang w:val="fr-FR"/>
        </w:rPr>
      </w:pPr>
      <w:r w:rsidRPr="0066194B">
        <w:rPr>
          <w:lang w:val="fr-FR"/>
        </w:rPr>
        <w:t>La</w:t>
      </w:r>
      <w:r w:rsidRPr="0066194B">
        <w:rPr>
          <w:spacing w:val="-4"/>
          <w:lang w:val="fr-FR"/>
        </w:rPr>
        <w:t xml:space="preserve"> </w:t>
      </w:r>
      <w:r w:rsidRPr="0066194B">
        <w:rPr>
          <w:lang w:val="fr-FR"/>
        </w:rPr>
        <w:t>modification</w:t>
      </w:r>
      <w:r w:rsidRPr="0066194B">
        <w:rPr>
          <w:spacing w:val="-4"/>
          <w:lang w:val="fr-FR"/>
        </w:rPr>
        <w:t xml:space="preserve"> </w:t>
      </w:r>
      <w:r w:rsidRPr="0066194B">
        <w:rPr>
          <w:lang w:val="fr-FR"/>
        </w:rPr>
        <w:t>de</w:t>
      </w:r>
      <w:r w:rsidRPr="0066194B">
        <w:rPr>
          <w:spacing w:val="-1"/>
          <w:lang w:val="fr-FR"/>
        </w:rPr>
        <w:t xml:space="preserve"> </w:t>
      </w:r>
      <w:r w:rsidRPr="0066194B">
        <w:rPr>
          <w:lang w:val="fr-FR"/>
        </w:rPr>
        <w:t>la</w:t>
      </w:r>
      <w:r w:rsidRPr="0066194B">
        <w:rPr>
          <w:spacing w:val="-4"/>
          <w:lang w:val="fr-FR"/>
        </w:rPr>
        <w:t xml:space="preserve"> </w:t>
      </w:r>
      <w:r w:rsidRPr="0066194B">
        <w:rPr>
          <w:lang w:val="fr-FR"/>
        </w:rPr>
        <w:t>LPJ</w:t>
      </w:r>
      <w:r w:rsidRPr="0066194B">
        <w:rPr>
          <w:spacing w:val="-5"/>
          <w:lang w:val="fr-FR"/>
        </w:rPr>
        <w:t xml:space="preserve"> </w:t>
      </w:r>
      <w:r w:rsidRPr="0066194B">
        <w:rPr>
          <w:lang w:val="fr-FR"/>
        </w:rPr>
        <w:t>pour</w:t>
      </w:r>
      <w:r w:rsidRPr="0066194B">
        <w:rPr>
          <w:spacing w:val="-1"/>
          <w:lang w:val="fr-FR"/>
        </w:rPr>
        <w:t xml:space="preserve"> </w:t>
      </w:r>
      <w:r w:rsidRPr="0066194B">
        <w:rPr>
          <w:lang w:val="fr-FR"/>
        </w:rPr>
        <w:t>autoriser</w:t>
      </w:r>
      <w:r w:rsidRPr="0066194B">
        <w:rPr>
          <w:spacing w:val="-3"/>
          <w:lang w:val="fr-FR"/>
        </w:rPr>
        <w:t xml:space="preserve"> </w:t>
      </w:r>
      <w:r w:rsidRPr="0066194B">
        <w:rPr>
          <w:lang w:val="fr-FR"/>
        </w:rPr>
        <w:t>le</w:t>
      </w:r>
      <w:r w:rsidRPr="0066194B">
        <w:rPr>
          <w:spacing w:val="-1"/>
          <w:lang w:val="fr-FR"/>
        </w:rPr>
        <w:t xml:space="preserve"> </w:t>
      </w:r>
      <w:r w:rsidRPr="0066194B">
        <w:rPr>
          <w:lang w:val="fr-FR"/>
        </w:rPr>
        <w:t>tribunal</w:t>
      </w:r>
      <w:r w:rsidRPr="0066194B">
        <w:rPr>
          <w:spacing w:val="-4"/>
          <w:lang w:val="fr-FR"/>
        </w:rPr>
        <w:t xml:space="preserve"> </w:t>
      </w:r>
      <w:r w:rsidRPr="0066194B">
        <w:rPr>
          <w:lang w:val="fr-FR"/>
        </w:rPr>
        <w:t>à</w:t>
      </w:r>
      <w:r w:rsidRPr="0066194B">
        <w:rPr>
          <w:spacing w:val="-2"/>
          <w:lang w:val="fr-FR"/>
        </w:rPr>
        <w:t xml:space="preserve"> </w:t>
      </w:r>
      <w:r w:rsidRPr="0066194B">
        <w:rPr>
          <w:lang w:val="fr-FR"/>
        </w:rPr>
        <w:t>ordonner</w:t>
      </w:r>
      <w:r w:rsidRPr="0066194B">
        <w:rPr>
          <w:spacing w:val="-4"/>
          <w:lang w:val="fr-FR"/>
        </w:rPr>
        <w:t xml:space="preserve"> </w:t>
      </w:r>
      <w:r w:rsidRPr="0066194B">
        <w:rPr>
          <w:lang w:val="fr-FR"/>
        </w:rPr>
        <w:t>que</w:t>
      </w:r>
      <w:r w:rsidRPr="0066194B">
        <w:rPr>
          <w:spacing w:val="-1"/>
          <w:lang w:val="fr-FR"/>
        </w:rPr>
        <w:t xml:space="preserve"> </w:t>
      </w:r>
      <w:r w:rsidRPr="0066194B">
        <w:rPr>
          <w:lang w:val="fr-FR"/>
        </w:rPr>
        <w:t>les</w:t>
      </w:r>
      <w:r w:rsidRPr="0066194B">
        <w:rPr>
          <w:spacing w:val="-3"/>
          <w:lang w:val="fr-FR"/>
        </w:rPr>
        <w:t xml:space="preserve"> </w:t>
      </w:r>
      <w:r w:rsidRPr="0066194B">
        <w:rPr>
          <w:lang w:val="fr-FR"/>
        </w:rPr>
        <w:t>établissements</w:t>
      </w:r>
      <w:r w:rsidRPr="0066194B">
        <w:rPr>
          <w:spacing w:val="-3"/>
          <w:lang w:val="fr-FR"/>
        </w:rPr>
        <w:t xml:space="preserve"> </w:t>
      </w:r>
      <w:r w:rsidRPr="0066194B">
        <w:rPr>
          <w:lang w:val="fr-FR"/>
        </w:rPr>
        <w:t>et organismes concernés fournissent les services requis pour soutenir les parents</w:t>
      </w:r>
      <w:r w:rsidR="004A21EC">
        <w:rPr>
          <w:rFonts w:ascii="Arial" w:hAnsi="Arial" w:cs="Arial"/>
          <w:lang w:val="fr-FR"/>
        </w:rPr>
        <w:t> </w:t>
      </w:r>
      <w:r w:rsidRPr="0066194B">
        <w:rPr>
          <w:lang w:val="fr-FR"/>
        </w:rPr>
        <w:t>;</w:t>
      </w:r>
    </w:p>
    <w:p w14:paraId="552B412C" w14:textId="305D677C" w:rsidR="0066194B" w:rsidRPr="00B40E08" w:rsidRDefault="0066194B" w:rsidP="008A59CC">
      <w:pPr>
        <w:pStyle w:val="puces0"/>
        <w:rPr>
          <w:lang w:val="fr-FR"/>
        </w:rPr>
      </w:pPr>
      <w:r w:rsidRPr="00B40E08">
        <w:rPr>
          <w:lang w:val="fr-FR"/>
        </w:rPr>
        <w:t>L’allocation</w:t>
      </w:r>
      <w:r w:rsidRPr="00B40E08">
        <w:rPr>
          <w:spacing w:val="-5"/>
          <w:lang w:val="fr-FR"/>
        </w:rPr>
        <w:t xml:space="preserve"> </w:t>
      </w:r>
      <w:r w:rsidRPr="00B40E08">
        <w:rPr>
          <w:lang w:val="fr-FR"/>
        </w:rPr>
        <w:t>de</w:t>
      </w:r>
      <w:r w:rsidRPr="00B40E08">
        <w:rPr>
          <w:spacing w:val="-5"/>
          <w:lang w:val="fr-FR"/>
        </w:rPr>
        <w:t xml:space="preserve"> </w:t>
      </w:r>
      <w:r w:rsidRPr="00B40E08">
        <w:rPr>
          <w:lang w:val="fr-FR"/>
        </w:rPr>
        <w:t>sommes</w:t>
      </w:r>
      <w:r w:rsidRPr="00B40E08">
        <w:rPr>
          <w:spacing w:val="-6"/>
          <w:lang w:val="fr-FR"/>
        </w:rPr>
        <w:t xml:space="preserve"> </w:t>
      </w:r>
      <w:r w:rsidRPr="00B40E08">
        <w:rPr>
          <w:lang w:val="fr-FR"/>
        </w:rPr>
        <w:t>nécessaires</w:t>
      </w:r>
      <w:r w:rsidRPr="00B40E08">
        <w:rPr>
          <w:spacing w:val="-4"/>
          <w:lang w:val="fr-FR"/>
        </w:rPr>
        <w:t xml:space="preserve"> </w:t>
      </w:r>
      <w:r w:rsidRPr="00B40E08">
        <w:rPr>
          <w:lang w:val="fr-FR"/>
        </w:rPr>
        <w:t>pour</w:t>
      </w:r>
      <w:r w:rsidRPr="00B40E08">
        <w:rPr>
          <w:spacing w:val="-5"/>
          <w:lang w:val="fr-FR"/>
        </w:rPr>
        <w:t xml:space="preserve"> </w:t>
      </w:r>
      <w:r w:rsidRPr="00B40E08">
        <w:rPr>
          <w:lang w:val="fr-FR"/>
        </w:rPr>
        <w:t>que</w:t>
      </w:r>
      <w:r w:rsidRPr="00B40E08">
        <w:rPr>
          <w:spacing w:val="-5"/>
          <w:lang w:val="fr-FR"/>
        </w:rPr>
        <w:t xml:space="preserve"> </w:t>
      </w:r>
      <w:r w:rsidRPr="00B40E08">
        <w:rPr>
          <w:lang w:val="fr-FR"/>
        </w:rPr>
        <w:t>l’ensemble</w:t>
      </w:r>
      <w:r w:rsidRPr="00B40E08">
        <w:rPr>
          <w:spacing w:val="-6"/>
          <w:lang w:val="fr-FR"/>
        </w:rPr>
        <w:t xml:space="preserve"> </w:t>
      </w:r>
      <w:r w:rsidRPr="00B40E08">
        <w:rPr>
          <w:lang w:val="fr-FR"/>
        </w:rPr>
        <w:t>des</w:t>
      </w:r>
      <w:r w:rsidRPr="00B40E08">
        <w:rPr>
          <w:spacing w:val="-5"/>
          <w:lang w:val="fr-FR"/>
        </w:rPr>
        <w:t xml:space="preserve"> </w:t>
      </w:r>
      <w:r w:rsidRPr="00B40E08">
        <w:rPr>
          <w:lang w:val="fr-FR"/>
        </w:rPr>
        <w:t>enfants</w:t>
      </w:r>
      <w:r w:rsidRPr="00B40E08">
        <w:rPr>
          <w:spacing w:val="-6"/>
          <w:lang w:val="fr-FR"/>
        </w:rPr>
        <w:t xml:space="preserve"> </w:t>
      </w:r>
      <w:r w:rsidRPr="00B40E08">
        <w:rPr>
          <w:lang w:val="fr-FR"/>
        </w:rPr>
        <w:t>et</w:t>
      </w:r>
      <w:r w:rsidRPr="00B40E08">
        <w:rPr>
          <w:spacing w:val="-6"/>
          <w:lang w:val="fr-FR"/>
        </w:rPr>
        <w:t xml:space="preserve"> </w:t>
      </w:r>
      <w:r w:rsidRPr="00B40E08">
        <w:rPr>
          <w:lang w:val="fr-FR"/>
        </w:rPr>
        <w:t>familles</w:t>
      </w:r>
      <w:r w:rsidRPr="00B40E08">
        <w:rPr>
          <w:spacing w:val="-5"/>
          <w:lang w:val="fr-FR"/>
        </w:rPr>
        <w:t xml:space="preserve"> </w:t>
      </w:r>
      <w:r w:rsidR="00424439">
        <w:rPr>
          <w:spacing w:val="-2"/>
          <w:lang w:val="fr-FR"/>
        </w:rPr>
        <w:t>d</w:t>
      </w:r>
      <w:r w:rsidRPr="00B40E08">
        <w:rPr>
          <w:lang w:val="fr-FR"/>
        </w:rPr>
        <w:t>u</w:t>
      </w:r>
      <w:r w:rsidRPr="00B40E08">
        <w:rPr>
          <w:spacing w:val="-4"/>
          <w:lang w:val="fr-FR"/>
        </w:rPr>
        <w:t xml:space="preserve"> </w:t>
      </w:r>
      <w:r w:rsidRPr="00B40E08">
        <w:rPr>
          <w:lang w:val="fr-FR"/>
        </w:rPr>
        <w:t>Québec</w:t>
      </w:r>
      <w:r w:rsidR="00424439">
        <w:rPr>
          <w:lang w:val="fr-FR"/>
        </w:rPr>
        <w:t xml:space="preserve"> bénéficient</w:t>
      </w:r>
      <w:r w:rsidRPr="00B40E08">
        <w:rPr>
          <w:spacing w:val="-5"/>
          <w:lang w:val="fr-FR"/>
        </w:rPr>
        <w:t xml:space="preserve"> </w:t>
      </w:r>
      <w:r w:rsidRPr="00B40E08">
        <w:rPr>
          <w:lang w:val="fr-FR"/>
        </w:rPr>
        <w:t>des</w:t>
      </w:r>
      <w:r w:rsidRPr="00B40E08">
        <w:rPr>
          <w:spacing w:val="-4"/>
          <w:lang w:val="fr-FR"/>
        </w:rPr>
        <w:t xml:space="preserve"> </w:t>
      </w:r>
      <w:r w:rsidRPr="00B40E08">
        <w:rPr>
          <w:lang w:val="fr-FR"/>
        </w:rPr>
        <w:t>services</w:t>
      </w:r>
      <w:r w:rsidRPr="00B40E08">
        <w:rPr>
          <w:spacing w:val="-4"/>
          <w:lang w:val="fr-FR"/>
        </w:rPr>
        <w:t xml:space="preserve"> </w:t>
      </w:r>
      <w:r w:rsidRPr="00B40E08">
        <w:rPr>
          <w:lang w:val="fr-FR"/>
        </w:rPr>
        <w:t>qui</w:t>
      </w:r>
      <w:r w:rsidRPr="00B40E08">
        <w:rPr>
          <w:spacing w:val="-3"/>
          <w:lang w:val="fr-FR"/>
        </w:rPr>
        <w:t xml:space="preserve"> </w:t>
      </w:r>
      <w:r w:rsidRPr="00B40E08">
        <w:rPr>
          <w:lang w:val="fr-FR"/>
        </w:rPr>
        <w:t>répondent</w:t>
      </w:r>
      <w:r w:rsidRPr="00B40E08">
        <w:rPr>
          <w:spacing w:val="-5"/>
          <w:lang w:val="fr-FR"/>
        </w:rPr>
        <w:t xml:space="preserve"> </w:t>
      </w:r>
      <w:r w:rsidRPr="00B40E08">
        <w:rPr>
          <w:lang w:val="fr-FR"/>
        </w:rPr>
        <w:t>à</w:t>
      </w:r>
      <w:r w:rsidRPr="00B40E08">
        <w:rPr>
          <w:spacing w:val="-3"/>
          <w:lang w:val="fr-FR"/>
        </w:rPr>
        <w:t xml:space="preserve"> </w:t>
      </w:r>
      <w:r w:rsidRPr="00B40E08">
        <w:rPr>
          <w:lang w:val="fr-FR"/>
        </w:rPr>
        <w:t>leurs</w:t>
      </w:r>
      <w:r w:rsidRPr="00B40E08">
        <w:rPr>
          <w:spacing w:val="-4"/>
          <w:lang w:val="fr-FR"/>
        </w:rPr>
        <w:t xml:space="preserve"> </w:t>
      </w:r>
      <w:r w:rsidRPr="00B40E08">
        <w:rPr>
          <w:spacing w:val="-2"/>
          <w:lang w:val="fr-FR"/>
        </w:rPr>
        <w:t>besoins</w:t>
      </w:r>
      <w:r w:rsidR="004A21EC">
        <w:rPr>
          <w:rFonts w:ascii="Arial" w:hAnsi="Arial" w:cs="Arial"/>
          <w:spacing w:val="-2"/>
          <w:lang w:val="fr-FR"/>
        </w:rPr>
        <w:t> </w:t>
      </w:r>
      <w:r w:rsidRPr="00B40E08">
        <w:rPr>
          <w:spacing w:val="-2"/>
          <w:lang w:val="fr-FR"/>
        </w:rPr>
        <w:t>;</w:t>
      </w:r>
    </w:p>
    <w:p w14:paraId="2A61A91E" w14:textId="1F455D6F" w:rsidR="00790CAF" w:rsidRDefault="00790CAF" w:rsidP="008A59CC">
      <w:pPr>
        <w:pStyle w:val="puces0"/>
      </w:pPr>
      <w:r>
        <w:t>La</w:t>
      </w:r>
      <w:r>
        <w:rPr>
          <w:spacing w:val="-4"/>
        </w:rPr>
        <w:t xml:space="preserve"> </w:t>
      </w:r>
      <w:r>
        <w:t>mise</w:t>
      </w:r>
      <w:r>
        <w:rPr>
          <w:spacing w:val="-3"/>
        </w:rPr>
        <w:t xml:space="preserve"> </w:t>
      </w:r>
      <w:r>
        <w:t>en</w:t>
      </w:r>
      <w:r>
        <w:rPr>
          <w:spacing w:val="-1"/>
        </w:rPr>
        <w:t xml:space="preserve"> </w:t>
      </w:r>
      <w:r>
        <w:t>place</w:t>
      </w:r>
      <w:r>
        <w:rPr>
          <w:spacing w:val="-4"/>
        </w:rPr>
        <w:t xml:space="preserve"> </w:t>
      </w:r>
      <w:r>
        <w:t>et</w:t>
      </w:r>
      <w:r>
        <w:rPr>
          <w:spacing w:val="-1"/>
        </w:rPr>
        <w:t xml:space="preserve"> </w:t>
      </w:r>
      <w:r>
        <w:t>la</w:t>
      </w:r>
      <w:r>
        <w:rPr>
          <w:spacing w:val="-4"/>
        </w:rPr>
        <w:t xml:space="preserve"> </w:t>
      </w:r>
      <w:r>
        <w:t>diffusion</w:t>
      </w:r>
      <w:r>
        <w:rPr>
          <w:spacing w:val="-1"/>
        </w:rPr>
        <w:t xml:space="preserve"> </w:t>
      </w:r>
      <w:r>
        <w:t>d’un</w:t>
      </w:r>
      <w:r>
        <w:rPr>
          <w:spacing w:val="-4"/>
        </w:rPr>
        <w:t xml:space="preserve"> </w:t>
      </w:r>
      <w:r>
        <w:t>outil</w:t>
      </w:r>
      <w:r>
        <w:rPr>
          <w:spacing w:val="-2"/>
        </w:rPr>
        <w:t xml:space="preserve"> </w:t>
      </w:r>
      <w:r>
        <w:t>évolutif</w:t>
      </w:r>
      <w:r>
        <w:rPr>
          <w:spacing w:val="-2"/>
        </w:rPr>
        <w:t xml:space="preserve"> </w:t>
      </w:r>
      <w:r>
        <w:t>répertoriant</w:t>
      </w:r>
      <w:r>
        <w:rPr>
          <w:spacing w:val="-1"/>
        </w:rPr>
        <w:t xml:space="preserve"> </w:t>
      </w:r>
      <w:r>
        <w:t>les</w:t>
      </w:r>
      <w:r>
        <w:rPr>
          <w:spacing w:val="-1"/>
        </w:rPr>
        <w:t xml:space="preserve"> </w:t>
      </w:r>
      <w:r>
        <w:t>services</w:t>
      </w:r>
      <w:r>
        <w:rPr>
          <w:spacing w:val="-3"/>
        </w:rPr>
        <w:t xml:space="preserve"> </w:t>
      </w:r>
      <w:r>
        <w:t>de</w:t>
      </w:r>
      <w:r>
        <w:rPr>
          <w:spacing w:val="-3"/>
        </w:rPr>
        <w:t xml:space="preserve"> </w:t>
      </w:r>
      <w:r>
        <w:t>soutien</w:t>
      </w:r>
      <w:r>
        <w:rPr>
          <w:spacing w:val="-4"/>
        </w:rPr>
        <w:t xml:space="preserve"> </w:t>
      </w:r>
      <w:r>
        <w:t>aux parents existants dans chacune des régions du Québec</w:t>
      </w:r>
      <w:r w:rsidR="004A21EC">
        <w:rPr>
          <w:rFonts w:ascii="Arial" w:hAnsi="Arial" w:cs="Arial"/>
        </w:rPr>
        <w:t> </w:t>
      </w:r>
      <w:r>
        <w:t>;</w:t>
      </w:r>
    </w:p>
    <w:p w14:paraId="7FA1B1BF" w14:textId="2BAA1341" w:rsidR="00790CAF" w:rsidRDefault="00790CAF" w:rsidP="008A59CC">
      <w:pPr>
        <w:pStyle w:val="puces0"/>
      </w:pPr>
      <w:r>
        <w:t>L’intensification</w:t>
      </w:r>
      <w:r>
        <w:rPr>
          <w:spacing w:val="-4"/>
        </w:rPr>
        <w:t xml:space="preserve"> </w:t>
      </w:r>
      <w:r>
        <w:t>des</w:t>
      </w:r>
      <w:r>
        <w:rPr>
          <w:spacing w:val="-4"/>
        </w:rPr>
        <w:t xml:space="preserve"> </w:t>
      </w:r>
      <w:r>
        <w:t>moyens</w:t>
      </w:r>
      <w:r>
        <w:rPr>
          <w:spacing w:val="-1"/>
        </w:rPr>
        <w:t xml:space="preserve"> </w:t>
      </w:r>
      <w:r>
        <w:t>pour</w:t>
      </w:r>
      <w:r>
        <w:rPr>
          <w:spacing w:val="-5"/>
        </w:rPr>
        <w:t xml:space="preserve"> </w:t>
      </w:r>
      <w:r>
        <w:t>favoriser</w:t>
      </w:r>
      <w:r>
        <w:rPr>
          <w:spacing w:val="-4"/>
        </w:rPr>
        <w:t xml:space="preserve"> </w:t>
      </w:r>
      <w:r>
        <w:t>les</w:t>
      </w:r>
      <w:r>
        <w:rPr>
          <w:spacing w:val="-2"/>
        </w:rPr>
        <w:t xml:space="preserve"> </w:t>
      </w:r>
      <w:r>
        <w:t>contacts</w:t>
      </w:r>
      <w:r>
        <w:rPr>
          <w:spacing w:val="-3"/>
        </w:rPr>
        <w:t xml:space="preserve"> </w:t>
      </w:r>
      <w:r>
        <w:t>entre</w:t>
      </w:r>
      <w:r>
        <w:rPr>
          <w:spacing w:val="-3"/>
        </w:rPr>
        <w:t xml:space="preserve"> </w:t>
      </w:r>
      <w:r>
        <w:t>l’enfant</w:t>
      </w:r>
      <w:r>
        <w:rPr>
          <w:spacing w:val="-2"/>
        </w:rPr>
        <w:t xml:space="preserve"> </w:t>
      </w:r>
      <w:r>
        <w:t>confié</w:t>
      </w:r>
      <w:r>
        <w:rPr>
          <w:spacing w:val="-4"/>
        </w:rPr>
        <w:t xml:space="preserve"> </w:t>
      </w:r>
      <w:r>
        <w:t>à</w:t>
      </w:r>
      <w:r>
        <w:rPr>
          <w:spacing w:val="-3"/>
        </w:rPr>
        <w:t xml:space="preserve"> </w:t>
      </w:r>
      <w:r>
        <w:t>un</w:t>
      </w:r>
      <w:r>
        <w:rPr>
          <w:spacing w:val="-5"/>
        </w:rPr>
        <w:t xml:space="preserve"> </w:t>
      </w:r>
      <w:r>
        <w:t>milieu</w:t>
      </w:r>
      <w:r>
        <w:rPr>
          <w:spacing w:val="-4"/>
        </w:rPr>
        <w:t xml:space="preserve"> </w:t>
      </w:r>
      <w:r>
        <w:t>de</w:t>
      </w:r>
      <w:r>
        <w:rPr>
          <w:spacing w:val="-4"/>
        </w:rPr>
        <w:t xml:space="preserve"> </w:t>
      </w:r>
      <w:r>
        <w:t xml:space="preserve">vie substitut jusqu’à </w:t>
      </w:r>
      <w:r w:rsidRPr="00AE71D7">
        <w:t>la majorité</w:t>
      </w:r>
      <w:r w:rsidR="00C56661" w:rsidRPr="00AE71D7">
        <w:t xml:space="preserve"> et</w:t>
      </w:r>
      <w:r w:rsidRPr="00AE71D7">
        <w:t xml:space="preserve"> ses parents,</w:t>
      </w:r>
      <w:r>
        <w:t xml:space="preserve"> sa fratrie et les autres personnes qui lui sont significatives</w:t>
      </w:r>
      <w:r w:rsidR="004A21EC">
        <w:rPr>
          <w:rFonts w:ascii="Arial" w:hAnsi="Arial" w:cs="Arial"/>
        </w:rPr>
        <w:t> </w:t>
      </w:r>
      <w:r>
        <w:t>;</w:t>
      </w:r>
    </w:p>
    <w:p w14:paraId="792CE205" w14:textId="7D6C9EB5" w:rsidR="00790CAF" w:rsidRDefault="00790CAF" w:rsidP="008A59CC">
      <w:pPr>
        <w:pStyle w:val="puces0"/>
      </w:pPr>
      <w:r>
        <w:t>L’analyse</w:t>
      </w:r>
      <w:r>
        <w:rPr>
          <w:spacing w:val="-5"/>
        </w:rPr>
        <w:t xml:space="preserve"> </w:t>
      </w:r>
      <w:r>
        <w:t>des</w:t>
      </w:r>
      <w:r>
        <w:rPr>
          <w:spacing w:val="-3"/>
        </w:rPr>
        <w:t xml:space="preserve"> </w:t>
      </w:r>
      <w:r>
        <w:t>pratiques</w:t>
      </w:r>
      <w:r>
        <w:rPr>
          <w:spacing w:val="-5"/>
        </w:rPr>
        <w:t xml:space="preserve"> </w:t>
      </w:r>
      <w:r>
        <w:t>régionales</w:t>
      </w:r>
      <w:r>
        <w:rPr>
          <w:spacing w:val="-5"/>
        </w:rPr>
        <w:t xml:space="preserve"> </w:t>
      </w:r>
      <w:r>
        <w:t>entourant</w:t>
      </w:r>
      <w:r>
        <w:rPr>
          <w:spacing w:val="-5"/>
        </w:rPr>
        <w:t xml:space="preserve"> </w:t>
      </w:r>
      <w:r>
        <w:t>l’établissement</w:t>
      </w:r>
      <w:r>
        <w:rPr>
          <w:spacing w:val="-5"/>
        </w:rPr>
        <w:t xml:space="preserve"> </w:t>
      </w:r>
      <w:r>
        <w:t>des</w:t>
      </w:r>
      <w:r>
        <w:rPr>
          <w:spacing w:val="-5"/>
        </w:rPr>
        <w:t xml:space="preserve"> </w:t>
      </w:r>
      <w:r>
        <w:t>modalités</w:t>
      </w:r>
      <w:r>
        <w:rPr>
          <w:spacing w:val="-5"/>
        </w:rPr>
        <w:t xml:space="preserve"> </w:t>
      </w:r>
      <w:r>
        <w:t>des</w:t>
      </w:r>
      <w:r>
        <w:rPr>
          <w:spacing w:val="-5"/>
        </w:rPr>
        <w:t xml:space="preserve"> </w:t>
      </w:r>
      <w:r>
        <w:t>contacts</w:t>
      </w:r>
      <w:r>
        <w:rPr>
          <w:spacing w:val="-5"/>
        </w:rPr>
        <w:t xml:space="preserve"> </w:t>
      </w:r>
      <w:r>
        <w:t xml:space="preserve">entre l’enfant, ses parents et autres personnes significatives en contexte de placement </w:t>
      </w:r>
      <w:r w:rsidR="001718F2">
        <w:t>à un</w:t>
      </w:r>
      <w:r>
        <w:t xml:space="preserve"> milieu de vie substitut jusqu’à la majorité</w:t>
      </w:r>
      <w:r w:rsidR="004A21EC">
        <w:rPr>
          <w:rFonts w:ascii="Arial" w:hAnsi="Arial" w:cs="Arial"/>
        </w:rPr>
        <w:t> </w:t>
      </w:r>
      <w:r>
        <w:t>;</w:t>
      </w:r>
    </w:p>
    <w:p w14:paraId="49E7E0E9" w14:textId="700EFE7B" w:rsidR="00790CAF" w:rsidRDefault="00790CAF" w:rsidP="008A59CC">
      <w:pPr>
        <w:pStyle w:val="puces0"/>
      </w:pPr>
      <w:r>
        <w:t>Le soutien à la recherche sur les trajectoires de placement des enfants autochtones et des enfants</w:t>
      </w:r>
      <w:r>
        <w:rPr>
          <w:spacing w:val="-3"/>
        </w:rPr>
        <w:t xml:space="preserve"> </w:t>
      </w:r>
      <w:r>
        <w:t>des</w:t>
      </w:r>
      <w:r>
        <w:rPr>
          <w:spacing w:val="-3"/>
        </w:rPr>
        <w:t xml:space="preserve"> </w:t>
      </w:r>
      <w:r>
        <w:t>minorités</w:t>
      </w:r>
      <w:r>
        <w:rPr>
          <w:spacing w:val="-3"/>
        </w:rPr>
        <w:t xml:space="preserve"> </w:t>
      </w:r>
      <w:r>
        <w:t>racisées</w:t>
      </w:r>
      <w:r w:rsidR="00F96A3B">
        <w:t xml:space="preserve"> qui</w:t>
      </w:r>
      <w:r w:rsidR="00F96A3B">
        <w:rPr>
          <w:spacing w:val="-3"/>
        </w:rPr>
        <w:t xml:space="preserve"> </w:t>
      </w:r>
      <w:r w:rsidR="00F96A3B">
        <w:t>s’inscrit</w:t>
      </w:r>
      <w:r w:rsidR="00F96A3B">
        <w:rPr>
          <w:spacing w:val="-5"/>
        </w:rPr>
        <w:t xml:space="preserve"> </w:t>
      </w:r>
      <w:r w:rsidR="00F96A3B">
        <w:t>dans</w:t>
      </w:r>
      <w:r w:rsidR="00F96A3B">
        <w:rPr>
          <w:spacing w:val="-2"/>
        </w:rPr>
        <w:t xml:space="preserve"> </w:t>
      </w:r>
      <w:r w:rsidR="00F96A3B">
        <w:t>une</w:t>
      </w:r>
      <w:r w:rsidR="00F96A3B">
        <w:rPr>
          <w:spacing w:val="-1"/>
        </w:rPr>
        <w:t xml:space="preserve"> </w:t>
      </w:r>
      <w:r w:rsidR="00F96A3B">
        <w:t>approche</w:t>
      </w:r>
      <w:r w:rsidR="00F96A3B">
        <w:rPr>
          <w:spacing w:val="-4"/>
        </w:rPr>
        <w:t xml:space="preserve"> </w:t>
      </w:r>
      <w:r w:rsidR="00F96A3B">
        <w:t>participative</w:t>
      </w:r>
      <w:r>
        <w:t>,</w:t>
      </w:r>
      <w:r>
        <w:rPr>
          <w:spacing w:val="-5"/>
        </w:rPr>
        <w:t xml:space="preserve"> </w:t>
      </w:r>
      <w:r>
        <w:t>et</w:t>
      </w:r>
      <w:r>
        <w:rPr>
          <w:spacing w:val="-2"/>
        </w:rPr>
        <w:t xml:space="preserve"> </w:t>
      </w:r>
      <w:r>
        <w:t>ce,</w:t>
      </w:r>
      <w:r>
        <w:rPr>
          <w:spacing w:val="-4"/>
        </w:rPr>
        <w:t xml:space="preserve"> </w:t>
      </w:r>
      <w:r>
        <w:t>en</w:t>
      </w:r>
      <w:r>
        <w:rPr>
          <w:spacing w:val="-4"/>
        </w:rPr>
        <w:t xml:space="preserve"> </w:t>
      </w:r>
      <w:r>
        <w:t>tenant</w:t>
      </w:r>
      <w:r>
        <w:rPr>
          <w:spacing w:val="-2"/>
        </w:rPr>
        <w:t xml:space="preserve"> </w:t>
      </w:r>
      <w:r>
        <w:t>compte</w:t>
      </w:r>
      <w:r>
        <w:rPr>
          <w:spacing w:val="-3"/>
        </w:rPr>
        <w:t xml:space="preserve"> </w:t>
      </w:r>
      <w:r>
        <w:t>des</w:t>
      </w:r>
      <w:r>
        <w:rPr>
          <w:spacing w:val="-2"/>
        </w:rPr>
        <w:t xml:space="preserve"> </w:t>
      </w:r>
      <w:r>
        <w:t>réalités</w:t>
      </w:r>
      <w:r>
        <w:rPr>
          <w:spacing w:val="-3"/>
        </w:rPr>
        <w:t xml:space="preserve"> </w:t>
      </w:r>
      <w:r>
        <w:t>des</w:t>
      </w:r>
      <w:r>
        <w:rPr>
          <w:spacing w:val="-3"/>
        </w:rPr>
        <w:t xml:space="preserve"> </w:t>
      </w:r>
      <w:r>
        <w:t>enfants</w:t>
      </w:r>
      <w:r>
        <w:rPr>
          <w:spacing w:val="-3"/>
        </w:rPr>
        <w:t xml:space="preserve"> </w:t>
      </w:r>
      <w:r>
        <w:t>de</w:t>
      </w:r>
      <w:r>
        <w:rPr>
          <w:spacing w:val="-3"/>
        </w:rPr>
        <w:t xml:space="preserve"> </w:t>
      </w:r>
      <w:r>
        <w:t>la</w:t>
      </w:r>
      <w:r>
        <w:rPr>
          <w:spacing w:val="-4"/>
        </w:rPr>
        <w:t xml:space="preserve"> </w:t>
      </w:r>
      <w:r>
        <w:t>minorité noire</w:t>
      </w:r>
      <w:r w:rsidR="004A21EC">
        <w:rPr>
          <w:rFonts w:ascii="Arial" w:hAnsi="Arial" w:cs="Arial"/>
        </w:rPr>
        <w:t> </w:t>
      </w:r>
      <w:r>
        <w:t>;</w:t>
      </w:r>
    </w:p>
    <w:p w14:paraId="5FAC37AA" w14:textId="794A2563" w:rsidR="00790CAF" w:rsidRDefault="00790CAF" w:rsidP="008A59CC">
      <w:pPr>
        <w:pStyle w:val="puces0"/>
      </w:pPr>
      <w:r>
        <w:t>Le</w:t>
      </w:r>
      <w:r>
        <w:rPr>
          <w:spacing w:val="-4"/>
        </w:rPr>
        <w:t xml:space="preserve"> </w:t>
      </w:r>
      <w:r>
        <w:t>soutien</w:t>
      </w:r>
      <w:r>
        <w:rPr>
          <w:spacing w:val="-5"/>
        </w:rPr>
        <w:t xml:space="preserve"> </w:t>
      </w:r>
      <w:r>
        <w:t>de</w:t>
      </w:r>
      <w:r>
        <w:rPr>
          <w:spacing w:val="-2"/>
        </w:rPr>
        <w:t xml:space="preserve"> </w:t>
      </w:r>
      <w:r>
        <w:t>la</w:t>
      </w:r>
      <w:r>
        <w:rPr>
          <w:spacing w:val="-5"/>
        </w:rPr>
        <w:t xml:space="preserve"> </w:t>
      </w:r>
      <w:r>
        <w:t>recherche</w:t>
      </w:r>
      <w:r>
        <w:rPr>
          <w:spacing w:val="-3"/>
        </w:rPr>
        <w:t xml:space="preserve"> </w:t>
      </w:r>
      <w:r>
        <w:t>qui</w:t>
      </w:r>
      <w:r>
        <w:rPr>
          <w:spacing w:val="-3"/>
        </w:rPr>
        <w:t xml:space="preserve"> </w:t>
      </w:r>
      <w:r>
        <w:t>s’inscrit</w:t>
      </w:r>
      <w:r>
        <w:rPr>
          <w:spacing w:val="-5"/>
        </w:rPr>
        <w:t xml:space="preserve"> </w:t>
      </w:r>
      <w:r>
        <w:t>dans</w:t>
      </w:r>
      <w:r>
        <w:rPr>
          <w:spacing w:val="-2"/>
        </w:rPr>
        <w:t xml:space="preserve"> </w:t>
      </w:r>
      <w:r>
        <w:t>une</w:t>
      </w:r>
      <w:r>
        <w:rPr>
          <w:spacing w:val="-1"/>
        </w:rPr>
        <w:t xml:space="preserve"> </w:t>
      </w:r>
      <w:r>
        <w:t>approche</w:t>
      </w:r>
      <w:r>
        <w:rPr>
          <w:spacing w:val="-4"/>
        </w:rPr>
        <w:t xml:space="preserve"> </w:t>
      </w:r>
      <w:r>
        <w:t>participative</w:t>
      </w:r>
      <w:r>
        <w:rPr>
          <w:spacing w:val="-2"/>
        </w:rPr>
        <w:t xml:space="preserve"> </w:t>
      </w:r>
      <w:r>
        <w:t>avec</w:t>
      </w:r>
      <w:r>
        <w:rPr>
          <w:spacing w:val="-3"/>
        </w:rPr>
        <w:t xml:space="preserve"> </w:t>
      </w:r>
      <w:r>
        <w:t>les jeunes</w:t>
      </w:r>
      <w:r>
        <w:rPr>
          <w:spacing w:val="-3"/>
        </w:rPr>
        <w:t xml:space="preserve"> </w:t>
      </w:r>
      <w:r>
        <w:t>sur</w:t>
      </w:r>
      <w:r>
        <w:rPr>
          <w:spacing w:val="-5"/>
        </w:rPr>
        <w:t xml:space="preserve"> </w:t>
      </w:r>
      <w:r>
        <w:t xml:space="preserve">les trajectoires des enfants placés </w:t>
      </w:r>
      <w:r w:rsidR="001718F2">
        <w:t>à un</w:t>
      </w:r>
      <w:r>
        <w:t xml:space="preserve"> milieu de vie substitut jusqu’à la majorité.</w:t>
      </w:r>
    </w:p>
    <w:p w14:paraId="556E5AF1" w14:textId="0094F1D5" w:rsidR="00A574ED" w:rsidRPr="00562324" w:rsidRDefault="006D656E" w:rsidP="003A1427">
      <w:pPr>
        <w:pStyle w:val="Paragraphe"/>
      </w:pPr>
      <w:r w:rsidRPr="00562324">
        <w:t xml:space="preserve">Le </w:t>
      </w:r>
      <w:r w:rsidR="004B6987" w:rsidRPr="00562324">
        <w:t xml:space="preserve">rapport présente en détail les résultats </w:t>
      </w:r>
      <w:r w:rsidR="00874A28" w:rsidRPr="00562324">
        <w:t xml:space="preserve">des données recueillies </w:t>
      </w:r>
      <w:r w:rsidR="004B6987" w:rsidRPr="00562324">
        <w:t>et</w:t>
      </w:r>
      <w:r w:rsidR="00EE249C" w:rsidRPr="00562324">
        <w:t xml:space="preserve"> </w:t>
      </w:r>
      <w:r w:rsidR="008F75B0" w:rsidRPr="00562324">
        <w:t>son analyse</w:t>
      </w:r>
      <w:r w:rsidR="00BB3752" w:rsidRPr="00562324">
        <w:t>. Celle-ci s’appuie sur différentes sources</w:t>
      </w:r>
      <w:r w:rsidR="00F868A1" w:rsidRPr="00562324">
        <w:t xml:space="preserve"> qui permettent d’avoir </w:t>
      </w:r>
      <w:r w:rsidR="00347717" w:rsidRPr="00562324">
        <w:t xml:space="preserve">un regard complet de la situation des enfants confiés </w:t>
      </w:r>
      <w:r w:rsidR="001718F2" w:rsidRPr="00562324">
        <w:t>à un</w:t>
      </w:r>
      <w:r w:rsidR="00347717" w:rsidRPr="00562324">
        <w:t xml:space="preserve"> milieu de vie substitut jusqu’à la majo</w:t>
      </w:r>
      <w:r w:rsidR="009E09F6" w:rsidRPr="00562324">
        <w:t>rité</w:t>
      </w:r>
      <w:r w:rsidR="006216A7" w:rsidRPr="00562324">
        <w:t xml:space="preserve">. </w:t>
      </w:r>
      <w:r w:rsidR="00F34954" w:rsidRPr="00562324">
        <w:t xml:space="preserve"> </w:t>
      </w:r>
    </w:p>
    <w:p w14:paraId="4A274B21" w14:textId="64B73EEC" w:rsidR="006D656E" w:rsidRDefault="0048369D" w:rsidP="003A1427">
      <w:pPr>
        <w:pStyle w:val="Paragraphe"/>
      </w:pPr>
      <w:r w:rsidRPr="00562324">
        <w:t xml:space="preserve">Les </w:t>
      </w:r>
      <w:r w:rsidR="004F4390" w:rsidRPr="00562324">
        <w:t xml:space="preserve">quatre </w:t>
      </w:r>
      <w:r w:rsidRPr="00562324">
        <w:t>parties</w:t>
      </w:r>
      <w:r w:rsidR="00D421A7" w:rsidRPr="00562324">
        <w:t xml:space="preserve"> </w:t>
      </w:r>
      <w:r w:rsidR="004F4390" w:rsidRPr="00562324">
        <w:t xml:space="preserve">du rapport </w:t>
      </w:r>
      <w:r w:rsidRPr="00562324">
        <w:t xml:space="preserve">doivent être lues </w:t>
      </w:r>
      <w:r w:rsidR="00903A80" w:rsidRPr="00562324">
        <w:t xml:space="preserve">et comprises comme </w:t>
      </w:r>
      <w:r w:rsidR="00EC0E16" w:rsidRPr="00562324">
        <w:t xml:space="preserve">étant </w:t>
      </w:r>
      <w:r w:rsidR="00903A80" w:rsidRPr="00562324">
        <w:t>un tout</w:t>
      </w:r>
      <w:r w:rsidR="00D421A7" w:rsidRPr="00562324">
        <w:t xml:space="preserve"> cohérent</w:t>
      </w:r>
      <w:r w:rsidR="006335BF" w:rsidRPr="00562324">
        <w:t>. Elle</w:t>
      </w:r>
      <w:r w:rsidR="00FE205D" w:rsidRPr="00562324">
        <w:t xml:space="preserve">s sont ordonnées </w:t>
      </w:r>
      <w:r w:rsidR="00C2346D" w:rsidRPr="00562324">
        <w:t xml:space="preserve">chronologiquement </w:t>
      </w:r>
      <w:r w:rsidR="00FE205D" w:rsidRPr="00562324">
        <w:t>suivant</w:t>
      </w:r>
      <w:r w:rsidR="00070B9E" w:rsidRPr="00562324">
        <w:t xml:space="preserve"> </w:t>
      </w:r>
      <w:r w:rsidR="00D20BDE" w:rsidRPr="00562324">
        <w:t xml:space="preserve">l’évolution de la notion de </w:t>
      </w:r>
      <w:r w:rsidR="00CA40BB" w:rsidRPr="00562324">
        <w:t>stabilité des liens et des conditions de vie des enfants</w:t>
      </w:r>
      <w:r w:rsidR="00F34954" w:rsidRPr="00562324">
        <w:t xml:space="preserve"> en protection de la jeunesse</w:t>
      </w:r>
      <w:r w:rsidR="00CA40BB" w:rsidRPr="00562324">
        <w:t>.</w:t>
      </w:r>
    </w:p>
    <w:p w14:paraId="2957924C" w14:textId="77777777" w:rsidR="00790CAF" w:rsidRDefault="00790CAF" w:rsidP="003A1427">
      <w:pPr>
        <w:pStyle w:val="Paragraphe"/>
      </w:pPr>
    </w:p>
    <w:p w14:paraId="489E2757" w14:textId="77777777" w:rsidR="00790CAF" w:rsidRDefault="00790CAF" w:rsidP="003A1427">
      <w:pPr>
        <w:pStyle w:val="Paragraphe"/>
        <w:sectPr w:rsidR="00790CAF" w:rsidSect="0098162B">
          <w:headerReference w:type="even" r:id="rId30"/>
          <w:headerReference w:type="default" r:id="rId31"/>
          <w:headerReference w:type="first" r:id="rId32"/>
          <w:pgSz w:w="12240" w:h="15840" w:code="1"/>
          <w:pgMar w:top="1985" w:right="1134" w:bottom="1418" w:left="1134" w:header="709" w:footer="709" w:gutter="0"/>
          <w:pgNumType w:fmt="lowerRoman"/>
          <w:cols w:space="708"/>
          <w:docGrid w:linePitch="360"/>
        </w:sectPr>
      </w:pPr>
    </w:p>
    <w:p w14:paraId="1489B540" w14:textId="77777777" w:rsidR="006A5AD3" w:rsidRDefault="006A5AD3" w:rsidP="00CC5A23">
      <w:pPr>
        <w:pStyle w:val="Titre"/>
      </w:pPr>
      <w:bookmarkStart w:id="8" w:name="_Toc174709138"/>
      <w:bookmarkStart w:id="9" w:name="_Toc174710668"/>
      <w:bookmarkStart w:id="10" w:name="_Toc174712235"/>
      <w:bookmarkStart w:id="11" w:name="_Toc174713085"/>
      <w:bookmarkStart w:id="12" w:name="_Toc174713450"/>
      <w:bookmarkStart w:id="13" w:name="_Toc174714080"/>
      <w:bookmarkStart w:id="14" w:name="_Toc194313967"/>
      <w:bookmarkStart w:id="15" w:name="_Toc201330475"/>
      <w:r w:rsidRPr="007C2FDF">
        <w:lastRenderedPageBreak/>
        <w:t>Liste des acronymes et des sigles</w:t>
      </w:r>
      <w:bookmarkEnd w:id="8"/>
      <w:bookmarkEnd w:id="9"/>
      <w:bookmarkEnd w:id="10"/>
      <w:bookmarkEnd w:id="11"/>
      <w:bookmarkEnd w:id="12"/>
      <w:bookmarkEnd w:id="13"/>
      <w:bookmarkEnd w:id="14"/>
      <w:bookmarkEnd w:id="15"/>
    </w:p>
    <w:tbl>
      <w:tblPr>
        <w:tblStyle w:val="Grilledutableau"/>
        <w:tblW w:w="5000" w:type="pct"/>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4A0" w:firstRow="1" w:lastRow="0" w:firstColumn="1" w:lastColumn="0" w:noHBand="0" w:noVBand="1"/>
      </w:tblPr>
      <w:tblGrid>
        <w:gridCol w:w="1642"/>
        <w:gridCol w:w="8320"/>
      </w:tblGrid>
      <w:tr w:rsidR="007E500B" w:rsidRPr="00E86184" w14:paraId="732CE6B1" w14:textId="77777777">
        <w:trPr>
          <w:trHeight w:val="510"/>
        </w:trPr>
        <w:tc>
          <w:tcPr>
            <w:tcW w:w="824" w:type="pct"/>
          </w:tcPr>
          <w:p w14:paraId="69F2FADF" w14:textId="09D2F604" w:rsidR="007E500B" w:rsidRPr="007E500B" w:rsidRDefault="007E500B" w:rsidP="007E500B">
            <w:pPr>
              <w:spacing w:before="120"/>
              <w:jc w:val="left"/>
              <w:rPr>
                <w:b/>
                <w:bCs/>
              </w:rPr>
            </w:pPr>
            <w:r w:rsidRPr="007E500B">
              <w:rPr>
                <w:b/>
                <w:bCs/>
              </w:rPr>
              <w:t>CISSS</w:t>
            </w:r>
          </w:p>
        </w:tc>
        <w:tc>
          <w:tcPr>
            <w:tcW w:w="4176" w:type="pct"/>
          </w:tcPr>
          <w:p w14:paraId="298F228B" w14:textId="7D34B2A5" w:rsidR="007E500B" w:rsidRPr="00B772F4" w:rsidRDefault="007E500B" w:rsidP="007E500B">
            <w:pPr>
              <w:spacing w:before="120"/>
              <w:jc w:val="left"/>
            </w:pPr>
            <w:r w:rsidRPr="000917FE">
              <w:t>Centre Intégré de santé et de services sociaux</w:t>
            </w:r>
          </w:p>
        </w:tc>
      </w:tr>
      <w:tr w:rsidR="007E500B" w:rsidRPr="00E86184" w14:paraId="07331790" w14:textId="77777777">
        <w:trPr>
          <w:trHeight w:val="510"/>
        </w:trPr>
        <w:tc>
          <w:tcPr>
            <w:tcW w:w="824" w:type="pct"/>
          </w:tcPr>
          <w:p w14:paraId="16AD33DE" w14:textId="69B650CF" w:rsidR="007E500B" w:rsidRPr="007E500B" w:rsidRDefault="007E500B" w:rsidP="007E500B">
            <w:pPr>
              <w:spacing w:before="120"/>
              <w:jc w:val="left"/>
              <w:rPr>
                <w:b/>
                <w:bCs/>
              </w:rPr>
            </w:pPr>
            <w:r w:rsidRPr="007E500B">
              <w:rPr>
                <w:b/>
                <w:bCs/>
              </w:rPr>
              <w:t>CIUSSS</w:t>
            </w:r>
          </w:p>
        </w:tc>
        <w:tc>
          <w:tcPr>
            <w:tcW w:w="4176" w:type="pct"/>
          </w:tcPr>
          <w:p w14:paraId="0DAB7EFB" w14:textId="1247128F" w:rsidR="007E500B" w:rsidRPr="00E86184" w:rsidRDefault="007E500B" w:rsidP="007E500B">
            <w:pPr>
              <w:spacing w:before="120"/>
              <w:jc w:val="left"/>
            </w:pPr>
            <w:r w:rsidRPr="000917FE">
              <w:t>Centre intégré universitaire de santé et de services sociaux</w:t>
            </w:r>
          </w:p>
        </w:tc>
      </w:tr>
      <w:tr w:rsidR="007E500B" w:rsidRPr="00E86184" w14:paraId="24BF7756" w14:textId="77777777">
        <w:trPr>
          <w:trHeight w:val="510"/>
        </w:trPr>
        <w:tc>
          <w:tcPr>
            <w:tcW w:w="824" w:type="pct"/>
          </w:tcPr>
          <w:p w14:paraId="4E1BA184" w14:textId="4B9FA701" w:rsidR="007E500B" w:rsidRPr="007E500B" w:rsidRDefault="007E500B" w:rsidP="007E500B">
            <w:pPr>
              <w:spacing w:before="120"/>
              <w:jc w:val="left"/>
              <w:rPr>
                <w:b/>
                <w:bCs/>
              </w:rPr>
            </w:pPr>
            <w:r w:rsidRPr="007E500B">
              <w:rPr>
                <w:b/>
                <w:bCs/>
              </w:rPr>
              <w:t>CRDE</w:t>
            </w:r>
          </w:p>
        </w:tc>
        <w:tc>
          <w:tcPr>
            <w:tcW w:w="4176" w:type="pct"/>
          </w:tcPr>
          <w:p w14:paraId="15101342" w14:textId="46D6ADE6" w:rsidR="007E500B" w:rsidRPr="00EB0597" w:rsidRDefault="007E500B" w:rsidP="007E500B">
            <w:pPr>
              <w:spacing w:before="120"/>
              <w:jc w:val="left"/>
              <w:rPr>
                <w:i/>
              </w:rPr>
            </w:pPr>
            <w:r w:rsidRPr="00EB0597">
              <w:rPr>
                <w:i/>
              </w:rPr>
              <w:t>Convention relative aux droits de l’enfant</w:t>
            </w:r>
          </w:p>
        </w:tc>
      </w:tr>
      <w:tr w:rsidR="007E500B" w:rsidRPr="00E86184" w14:paraId="0F4713E7" w14:textId="77777777">
        <w:trPr>
          <w:trHeight w:val="510"/>
        </w:trPr>
        <w:tc>
          <w:tcPr>
            <w:tcW w:w="824" w:type="pct"/>
          </w:tcPr>
          <w:p w14:paraId="481A72F6" w14:textId="34DA36E8" w:rsidR="007E500B" w:rsidRPr="007E500B" w:rsidRDefault="007E500B" w:rsidP="007E500B">
            <w:pPr>
              <w:spacing w:before="120"/>
              <w:jc w:val="left"/>
              <w:rPr>
                <w:b/>
                <w:bCs/>
              </w:rPr>
            </w:pPr>
            <w:r w:rsidRPr="007E500B">
              <w:rPr>
                <w:b/>
                <w:bCs/>
              </w:rPr>
              <w:t>CSDEPJ</w:t>
            </w:r>
          </w:p>
        </w:tc>
        <w:tc>
          <w:tcPr>
            <w:tcW w:w="4176" w:type="pct"/>
          </w:tcPr>
          <w:p w14:paraId="39B9282D" w14:textId="327940C4" w:rsidR="007E500B" w:rsidRPr="00B772F4" w:rsidRDefault="007E500B" w:rsidP="007E500B">
            <w:pPr>
              <w:spacing w:before="120"/>
              <w:jc w:val="left"/>
            </w:pPr>
            <w:r w:rsidRPr="000917FE">
              <w:t>Commission spéciale sur les droits des enfants et la protection de la jeunesse</w:t>
            </w:r>
          </w:p>
        </w:tc>
      </w:tr>
      <w:tr w:rsidR="007E500B" w:rsidRPr="00E86184" w14:paraId="18FF909B" w14:textId="77777777">
        <w:trPr>
          <w:trHeight w:val="510"/>
        </w:trPr>
        <w:tc>
          <w:tcPr>
            <w:tcW w:w="824" w:type="pct"/>
          </w:tcPr>
          <w:p w14:paraId="6051E619" w14:textId="70B67AEA" w:rsidR="007E500B" w:rsidRPr="007E500B" w:rsidRDefault="007E500B" w:rsidP="007E500B">
            <w:pPr>
              <w:spacing w:before="120"/>
              <w:jc w:val="left"/>
              <w:rPr>
                <w:b/>
                <w:bCs/>
              </w:rPr>
            </w:pPr>
            <w:r w:rsidRPr="007E500B">
              <w:rPr>
                <w:b/>
                <w:bCs/>
              </w:rPr>
              <w:t>CSSS</w:t>
            </w:r>
          </w:p>
        </w:tc>
        <w:tc>
          <w:tcPr>
            <w:tcW w:w="4176" w:type="pct"/>
          </w:tcPr>
          <w:p w14:paraId="40F52E57" w14:textId="23964970" w:rsidR="007E500B" w:rsidRPr="00E86184" w:rsidRDefault="007E500B" w:rsidP="007E500B">
            <w:pPr>
              <w:spacing w:before="120"/>
              <w:jc w:val="left"/>
            </w:pPr>
            <w:r w:rsidRPr="000917FE">
              <w:t>Centres de santé et de services sociaux</w:t>
            </w:r>
          </w:p>
        </w:tc>
      </w:tr>
      <w:tr w:rsidR="007E500B" w:rsidRPr="00E86184" w14:paraId="4ED552E6" w14:textId="77777777">
        <w:trPr>
          <w:trHeight w:val="510"/>
        </w:trPr>
        <w:tc>
          <w:tcPr>
            <w:tcW w:w="824" w:type="pct"/>
          </w:tcPr>
          <w:p w14:paraId="1F5B4B59" w14:textId="578C0CDA" w:rsidR="007E500B" w:rsidRPr="007E500B" w:rsidRDefault="007E500B" w:rsidP="007E500B">
            <w:pPr>
              <w:spacing w:before="120"/>
              <w:jc w:val="left"/>
              <w:rPr>
                <w:b/>
                <w:bCs/>
              </w:rPr>
            </w:pPr>
            <w:r w:rsidRPr="007E500B">
              <w:rPr>
                <w:b/>
                <w:bCs/>
              </w:rPr>
              <w:t>DPJ</w:t>
            </w:r>
          </w:p>
        </w:tc>
        <w:tc>
          <w:tcPr>
            <w:tcW w:w="4176" w:type="pct"/>
          </w:tcPr>
          <w:p w14:paraId="0C666249" w14:textId="70663F25" w:rsidR="007E500B" w:rsidRPr="00E86184" w:rsidRDefault="007E500B" w:rsidP="007E500B">
            <w:pPr>
              <w:spacing w:before="120"/>
              <w:jc w:val="left"/>
            </w:pPr>
            <w:r w:rsidRPr="000917FE">
              <w:t xml:space="preserve">Direction </w:t>
            </w:r>
            <w:r w:rsidR="00A82514">
              <w:t xml:space="preserve">ou Directeur </w:t>
            </w:r>
            <w:r w:rsidRPr="000917FE">
              <w:t>de la protection de la jeunesse</w:t>
            </w:r>
          </w:p>
        </w:tc>
      </w:tr>
      <w:tr w:rsidR="007E500B" w:rsidRPr="00E86184" w14:paraId="1E1F1228" w14:textId="77777777">
        <w:trPr>
          <w:trHeight w:val="510"/>
        </w:trPr>
        <w:tc>
          <w:tcPr>
            <w:tcW w:w="824" w:type="pct"/>
          </w:tcPr>
          <w:p w14:paraId="68DA2D39" w14:textId="52DBFFCB" w:rsidR="007E500B" w:rsidRPr="007E500B" w:rsidRDefault="007E500B" w:rsidP="007E500B">
            <w:pPr>
              <w:spacing w:before="120"/>
              <w:jc w:val="left"/>
              <w:rPr>
                <w:b/>
                <w:bCs/>
              </w:rPr>
            </w:pPr>
            <w:r w:rsidRPr="007E500B">
              <w:rPr>
                <w:b/>
                <w:bCs/>
              </w:rPr>
              <w:t>LAÉE</w:t>
            </w:r>
          </w:p>
        </w:tc>
        <w:tc>
          <w:tcPr>
            <w:tcW w:w="4176" w:type="pct"/>
          </w:tcPr>
          <w:p w14:paraId="1505E496" w14:textId="5CF0F10D" w:rsidR="007E500B" w:rsidRPr="00EB0597" w:rsidRDefault="007E500B" w:rsidP="007E500B">
            <w:pPr>
              <w:spacing w:before="120"/>
              <w:jc w:val="left"/>
              <w:rPr>
                <w:i/>
              </w:rPr>
            </w:pPr>
            <w:r w:rsidRPr="00EB0597">
              <w:rPr>
                <w:i/>
              </w:rPr>
              <w:t>Loi sur l’accès à l’égalité en emploi dans des organismes publics</w:t>
            </w:r>
          </w:p>
        </w:tc>
      </w:tr>
      <w:tr w:rsidR="007E500B" w:rsidRPr="00E86184" w14:paraId="2E1DB13E" w14:textId="77777777">
        <w:trPr>
          <w:trHeight w:val="510"/>
        </w:trPr>
        <w:tc>
          <w:tcPr>
            <w:tcW w:w="824" w:type="pct"/>
          </w:tcPr>
          <w:p w14:paraId="29083CD5" w14:textId="225C658D" w:rsidR="007E500B" w:rsidRPr="007E500B" w:rsidRDefault="007E500B" w:rsidP="007E500B">
            <w:pPr>
              <w:spacing w:before="120"/>
              <w:jc w:val="left"/>
              <w:rPr>
                <w:b/>
                <w:bCs/>
              </w:rPr>
            </w:pPr>
            <w:r w:rsidRPr="007E500B">
              <w:rPr>
                <w:b/>
                <w:bCs/>
              </w:rPr>
              <w:t>LPJ</w:t>
            </w:r>
          </w:p>
        </w:tc>
        <w:tc>
          <w:tcPr>
            <w:tcW w:w="4176" w:type="pct"/>
          </w:tcPr>
          <w:p w14:paraId="3C1288FA" w14:textId="4DB0A64B" w:rsidR="007E500B" w:rsidRPr="00EB0597" w:rsidRDefault="007E500B" w:rsidP="007E500B">
            <w:pPr>
              <w:spacing w:before="120"/>
              <w:jc w:val="left"/>
              <w:rPr>
                <w:i/>
              </w:rPr>
            </w:pPr>
            <w:r w:rsidRPr="00EB0597">
              <w:rPr>
                <w:i/>
              </w:rPr>
              <w:t>Loi sur la protection de la jeunesse</w:t>
            </w:r>
          </w:p>
        </w:tc>
      </w:tr>
      <w:tr w:rsidR="007E500B" w:rsidRPr="00E86184" w14:paraId="4DCDDAD4" w14:textId="77777777">
        <w:trPr>
          <w:trHeight w:val="510"/>
        </w:trPr>
        <w:tc>
          <w:tcPr>
            <w:tcW w:w="824" w:type="pct"/>
          </w:tcPr>
          <w:p w14:paraId="442569DF" w14:textId="0CE85D72" w:rsidR="007E500B" w:rsidRPr="007E500B" w:rsidRDefault="007E500B" w:rsidP="007E500B">
            <w:pPr>
              <w:spacing w:before="120"/>
              <w:jc w:val="left"/>
              <w:rPr>
                <w:b/>
                <w:bCs/>
              </w:rPr>
            </w:pPr>
            <w:r w:rsidRPr="007E500B">
              <w:rPr>
                <w:b/>
                <w:bCs/>
              </w:rPr>
              <w:t>MSSS</w:t>
            </w:r>
          </w:p>
        </w:tc>
        <w:tc>
          <w:tcPr>
            <w:tcW w:w="4176" w:type="pct"/>
          </w:tcPr>
          <w:p w14:paraId="6A5B5B63" w14:textId="49559BDB" w:rsidR="007E500B" w:rsidRPr="00E86184" w:rsidRDefault="007E500B" w:rsidP="007E500B">
            <w:pPr>
              <w:spacing w:before="120"/>
              <w:jc w:val="left"/>
            </w:pPr>
            <w:r w:rsidRPr="000917FE">
              <w:t>Ministère de la Santé et des Services sociaux</w:t>
            </w:r>
          </w:p>
        </w:tc>
      </w:tr>
      <w:tr w:rsidR="007E500B" w:rsidRPr="00E86184" w14:paraId="1E8D8163" w14:textId="77777777">
        <w:trPr>
          <w:trHeight w:val="510"/>
        </w:trPr>
        <w:tc>
          <w:tcPr>
            <w:tcW w:w="824" w:type="pct"/>
          </w:tcPr>
          <w:p w14:paraId="7D327729" w14:textId="7448F84C" w:rsidR="007E500B" w:rsidRPr="007E500B" w:rsidRDefault="007E500B" w:rsidP="007E500B">
            <w:pPr>
              <w:spacing w:before="120"/>
              <w:jc w:val="left"/>
              <w:rPr>
                <w:b/>
                <w:bCs/>
              </w:rPr>
            </w:pPr>
            <w:r w:rsidRPr="007E500B">
              <w:rPr>
                <w:b/>
                <w:bCs/>
              </w:rPr>
              <w:t>PJ</w:t>
            </w:r>
          </w:p>
        </w:tc>
        <w:tc>
          <w:tcPr>
            <w:tcW w:w="4176" w:type="pct"/>
          </w:tcPr>
          <w:p w14:paraId="14125682" w14:textId="2E6A7059" w:rsidR="007E500B" w:rsidRPr="00B772F4" w:rsidRDefault="007E500B" w:rsidP="007E500B">
            <w:pPr>
              <w:spacing w:before="120"/>
              <w:jc w:val="left"/>
            </w:pPr>
            <w:r w:rsidRPr="000917FE">
              <w:t>Protection de la jeunesse</w:t>
            </w:r>
          </w:p>
        </w:tc>
      </w:tr>
    </w:tbl>
    <w:p w14:paraId="688164E7" w14:textId="77777777" w:rsidR="006A5AD3" w:rsidRPr="002B7C75" w:rsidRDefault="006A5AD3" w:rsidP="002A60C5">
      <w:pPr>
        <w:jc w:val="left"/>
      </w:pPr>
    </w:p>
    <w:p w14:paraId="41F401EF" w14:textId="77777777" w:rsidR="00E7792E" w:rsidRDefault="00E7792E" w:rsidP="002A60C5">
      <w:pPr>
        <w:jc w:val="left"/>
      </w:pPr>
    </w:p>
    <w:p w14:paraId="62676AA9" w14:textId="77777777" w:rsidR="00E7792E" w:rsidRDefault="00E7792E" w:rsidP="002A60C5">
      <w:pPr>
        <w:jc w:val="left"/>
      </w:pPr>
    </w:p>
    <w:p w14:paraId="7958EFF5" w14:textId="77777777" w:rsidR="006A5AD3" w:rsidRDefault="006A5AD3" w:rsidP="002A60C5">
      <w:pPr>
        <w:jc w:val="left"/>
        <w:sectPr w:rsidR="006A5AD3" w:rsidSect="0098162B">
          <w:pgSz w:w="12240" w:h="15840" w:code="1"/>
          <w:pgMar w:top="1985" w:right="1134" w:bottom="1418" w:left="1134" w:header="709" w:footer="709" w:gutter="0"/>
          <w:pgNumType w:fmt="lowerRoman"/>
          <w:cols w:space="708"/>
          <w:docGrid w:linePitch="360"/>
        </w:sectPr>
      </w:pPr>
    </w:p>
    <w:p w14:paraId="6348ADDF" w14:textId="43C163DD" w:rsidR="00E7792E" w:rsidRDefault="007E500B" w:rsidP="00CC5A23">
      <w:pPr>
        <w:pStyle w:val="Titre"/>
      </w:pPr>
      <w:bookmarkStart w:id="16" w:name="_Toc194313968"/>
      <w:bookmarkStart w:id="17" w:name="_Toc201330476"/>
      <w:r>
        <w:lastRenderedPageBreak/>
        <w:t>Introduction</w:t>
      </w:r>
      <w:bookmarkEnd w:id="16"/>
      <w:bookmarkEnd w:id="17"/>
    </w:p>
    <w:p w14:paraId="4276237C" w14:textId="2FFD3CCC" w:rsidR="00F06F00" w:rsidRDefault="000E3BA8" w:rsidP="003A1427">
      <w:pPr>
        <w:pStyle w:val="Paragraphe"/>
      </w:pPr>
      <w:r w:rsidRPr="000E3BA8">
        <w:t>La Commission des droits de la personne et des droits de la jeunesse doit, en vertu de l’article</w:t>
      </w:r>
      <w:r w:rsidR="004F6518">
        <w:t> </w:t>
      </w:r>
      <w:r w:rsidRPr="000E3BA8">
        <w:t>156.1 de la LPJ, produire un rapport quinquennal sur sa mise en œuvre et, le cas échéant, sur l’opportunité de la modifier. Ce rapport est déposé devant l’Assemblée nationale. Il s’agit du quatrième rapport réalisé par la Commission depuis 2010.</w:t>
      </w:r>
    </w:p>
    <w:p w14:paraId="251B94E7" w14:textId="4857C121" w:rsidR="00F06F00" w:rsidRPr="008C01D4" w:rsidRDefault="008C01D4" w:rsidP="008C01D4">
      <w:pPr>
        <w:rPr>
          <w:b/>
          <w:bCs/>
        </w:rPr>
      </w:pPr>
      <w:r w:rsidRPr="008C01D4">
        <w:rPr>
          <w:b/>
          <w:bCs/>
        </w:rPr>
        <w:t>Les précédents rapports 156.1</w:t>
      </w:r>
      <w:r w:rsidR="00220FCC">
        <w:rPr>
          <w:b/>
          <w:bCs/>
        </w:rPr>
        <w:t> </w:t>
      </w:r>
      <w:r w:rsidRPr="008C01D4">
        <w:rPr>
          <w:b/>
          <w:bCs/>
        </w:rPr>
        <w:t>LPJ</w:t>
      </w:r>
    </w:p>
    <w:p w14:paraId="71147D9F" w14:textId="6BA86A5D" w:rsidR="00F06F00" w:rsidRDefault="00352D38" w:rsidP="003A1427">
      <w:pPr>
        <w:pStyle w:val="Paragraphe"/>
      </w:pPr>
      <w:r>
        <w:t>Les précédents rapport</w:t>
      </w:r>
      <w:r w:rsidR="001942CA">
        <w:t>s</w:t>
      </w:r>
      <w:r>
        <w:t xml:space="preserve"> </w:t>
      </w:r>
      <w:r w:rsidR="00B64108" w:rsidRPr="00B64108">
        <w:t>ont traité de thématiques en lien avec les processus de collaboration entre les personnes, directions, instances ou organismes impliqués dans la prestation des services offerts à l’enfant dont la situation est prise en charge par le Directeur de la protection de la jeunesse (DPJ) et à sa famille.</w:t>
      </w:r>
    </w:p>
    <w:p w14:paraId="62EE128F" w14:textId="69E4A419" w:rsidR="0017204A" w:rsidRPr="0017204A" w:rsidRDefault="0017204A" w:rsidP="008A59CC">
      <w:pPr>
        <w:pStyle w:val="puces0"/>
      </w:pPr>
      <w:r w:rsidRPr="0017204A">
        <w:t>Le</w:t>
      </w:r>
      <w:r w:rsidRPr="0017204A">
        <w:rPr>
          <w:spacing w:val="-1"/>
        </w:rPr>
        <w:t xml:space="preserve"> </w:t>
      </w:r>
      <w:r w:rsidRPr="0017204A">
        <w:rPr>
          <w:b/>
        </w:rPr>
        <w:t>rapport</w:t>
      </w:r>
      <w:r w:rsidRPr="0017204A">
        <w:rPr>
          <w:b/>
          <w:spacing w:val="-4"/>
        </w:rPr>
        <w:t xml:space="preserve"> </w:t>
      </w:r>
      <w:r w:rsidRPr="0017204A">
        <w:rPr>
          <w:b/>
        </w:rPr>
        <w:t>de</w:t>
      </w:r>
      <w:r w:rsidRPr="0017204A">
        <w:rPr>
          <w:b/>
          <w:spacing w:val="-3"/>
        </w:rPr>
        <w:t xml:space="preserve"> </w:t>
      </w:r>
      <w:r w:rsidRPr="0017204A">
        <w:rPr>
          <w:b/>
        </w:rPr>
        <w:t>2011</w:t>
      </w:r>
      <w:r w:rsidRPr="0017204A">
        <w:rPr>
          <w:b/>
          <w:spacing w:val="-2"/>
        </w:rPr>
        <w:t xml:space="preserve"> </w:t>
      </w:r>
      <w:r w:rsidRPr="0017204A">
        <w:t>aborde</w:t>
      </w:r>
      <w:r w:rsidRPr="0017204A">
        <w:rPr>
          <w:spacing w:val="-1"/>
        </w:rPr>
        <w:t xml:space="preserve"> </w:t>
      </w:r>
      <w:r w:rsidRPr="0017204A">
        <w:t>la</w:t>
      </w:r>
      <w:r w:rsidRPr="0017204A">
        <w:rPr>
          <w:spacing w:val="-3"/>
        </w:rPr>
        <w:t xml:space="preserve"> </w:t>
      </w:r>
      <w:r w:rsidRPr="0017204A">
        <w:t>collaboration</w:t>
      </w:r>
      <w:r w:rsidRPr="0017204A">
        <w:rPr>
          <w:spacing w:val="-5"/>
        </w:rPr>
        <w:t xml:space="preserve"> </w:t>
      </w:r>
      <w:r w:rsidRPr="0017204A">
        <w:t>entre</w:t>
      </w:r>
      <w:r w:rsidRPr="0017204A">
        <w:rPr>
          <w:spacing w:val="-2"/>
        </w:rPr>
        <w:t xml:space="preserve"> </w:t>
      </w:r>
      <w:r w:rsidRPr="0017204A">
        <w:t>les</w:t>
      </w:r>
      <w:r w:rsidRPr="0017204A">
        <w:rPr>
          <w:spacing w:val="-2"/>
        </w:rPr>
        <w:t xml:space="preserve"> </w:t>
      </w:r>
      <w:r w:rsidRPr="0017204A">
        <w:t>centres</w:t>
      </w:r>
      <w:r w:rsidRPr="0017204A">
        <w:rPr>
          <w:spacing w:val="-3"/>
        </w:rPr>
        <w:t xml:space="preserve"> </w:t>
      </w:r>
      <w:r w:rsidRPr="0017204A">
        <w:t>jeunesse</w:t>
      </w:r>
      <w:r w:rsidRPr="0017204A">
        <w:rPr>
          <w:spacing w:val="-4"/>
        </w:rPr>
        <w:t xml:space="preserve"> </w:t>
      </w:r>
      <w:r w:rsidRPr="0017204A">
        <w:t>et</w:t>
      </w:r>
      <w:r w:rsidRPr="0017204A">
        <w:rPr>
          <w:spacing w:val="-2"/>
        </w:rPr>
        <w:t xml:space="preserve"> </w:t>
      </w:r>
      <w:r w:rsidRPr="0017204A">
        <w:t>les</w:t>
      </w:r>
      <w:r w:rsidRPr="0017204A">
        <w:rPr>
          <w:spacing w:val="-4"/>
        </w:rPr>
        <w:t xml:space="preserve"> </w:t>
      </w:r>
      <w:r w:rsidRPr="0017204A">
        <w:t>centres</w:t>
      </w:r>
      <w:r w:rsidRPr="0017204A">
        <w:rPr>
          <w:spacing w:val="-5"/>
        </w:rPr>
        <w:t xml:space="preserve"> </w:t>
      </w:r>
      <w:r w:rsidRPr="0017204A">
        <w:t>de</w:t>
      </w:r>
      <w:r w:rsidRPr="0017204A">
        <w:rPr>
          <w:spacing w:val="-2"/>
        </w:rPr>
        <w:t xml:space="preserve"> </w:t>
      </w:r>
      <w:r w:rsidRPr="0017204A">
        <w:t>santé</w:t>
      </w:r>
      <w:r w:rsidRPr="0017204A">
        <w:rPr>
          <w:spacing w:val="-4"/>
        </w:rPr>
        <w:t xml:space="preserve"> </w:t>
      </w:r>
      <w:r w:rsidRPr="0017204A">
        <w:t>et de services sociaux (CSSS) dans une perspective de continuité des services de santé et de services sociaux</w:t>
      </w:r>
      <w:bookmarkStart w:id="18" w:name="_Ref200631412"/>
      <w:r w:rsidR="0085330E">
        <w:rPr>
          <w:rFonts w:ascii="ZWAdobeF" w:hAnsi="ZWAdobeF" w:cs="ZWAdobeF"/>
          <w:color w:val="auto"/>
          <w:sz w:val="2"/>
          <w:szCs w:val="2"/>
        </w:rPr>
        <w:t>2F</w:t>
      </w:r>
      <w:r w:rsidR="00165891">
        <w:rPr>
          <w:rStyle w:val="Appelnotedebasdep"/>
        </w:rPr>
        <w:footnoteReference w:id="4"/>
      </w:r>
      <w:bookmarkEnd w:id="18"/>
      <w:r w:rsidRPr="0017204A">
        <w:t>. Plusieurs recommandations ont été formulées au ministère de la Santé et des Services sociaux (MSSS), dont celle visant à assurer des services pour les familles vulnérables qui soient conformes aux orientations ministérielles sur les standards d’accès, de continuité, de qualité, d’efficacité et d’efficience. Malgré l’attention constante qu’a accordée</w:t>
      </w:r>
      <w:r w:rsidRPr="0017204A">
        <w:rPr>
          <w:spacing w:val="40"/>
        </w:rPr>
        <w:t xml:space="preserve"> </w:t>
      </w:r>
      <w:r w:rsidRPr="0017204A">
        <w:t>la Commission des droits à cette recommandation</w:t>
      </w:r>
      <w:r w:rsidRPr="0017204A">
        <w:rPr>
          <w:spacing w:val="-1"/>
        </w:rPr>
        <w:t xml:space="preserve"> </w:t>
      </w:r>
      <w:r w:rsidRPr="0017204A">
        <w:t>au fil des ans, elle a continué à recevoir des demandes d’enquête en lien avec l’accès aux services.</w:t>
      </w:r>
    </w:p>
    <w:p w14:paraId="6CA0F591" w14:textId="0378450D" w:rsidR="0017204A" w:rsidRDefault="0017204A" w:rsidP="008A59CC">
      <w:pPr>
        <w:pStyle w:val="puces0"/>
      </w:pPr>
      <w:r w:rsidRPr="0017204A">
        <w:t>Dans</w:t>
      </w:r>
      <w:r w:rsidRPr="0017204A">
        <w:rPr>
          <w:spacing w:val="-4"/>
        </w:rPr>
        <w:t xml:space="preserve"> </w:t>
      </w:r>
      <w:r w:rsidRPr="0017204A">
        <w:t>le</w:t>
      </w:r>
      <w:r w:rsidRPr="0017204A">
        <w:rPr>
          <w:spacing w:val="-2"/>
        </w:rPr>
        <w:t xml:space="preserve"> </w:t>
      </w:r>
      <w:r w:rsidRPr="0017204A">
        <w:t>prolongement</w:t>
      </w:r>
      <w:r w:rsidRPr="0017204A">
        <w:rPr>
          <w:spacing w:val="-5"/>
        </w:rPr>
        <w:t xml:space="preserve"> </w:t>
      </w:r>
      <w:r w:rsidRPr="0017204A">
        <w:t>de</w:t>
      </w:r>
      <w:r w:rsidRPr="0017204A">
        <w:rPr>
          <w:spacing w:val="-4"/>
        </w:rPr>
        <w:t xml:space="preserve"> </w:t>
      </w:r>
      <w:r w:rsidRPr="0017204A">
        <w:t>ce</w:t>
      </w:r>
      <w:r w:rsidRPr="0017204A">
        <w:rPr>
          <w:spacing w:val="-2"/>
        </w:rPr>
        <w:t xml:space="preserve"> </w:t>
      </w:r>
      <w:r w:rsidRPr="0017204A">
        <w:t>sujet</w:t>
      </w:r>
      <w:r w:rsidRPr="0017204A">
        <w:rPr>
          <w:spacing w:val="-5"/>
        </w:rPr>
        <w:t xml:space="preserve"> </w:t>
      </w:r>
      <w:r w:rsidRPr="0017204A">
        <w:t>et</w:t>
      </w:r>
      <w:r w:rsidRPr="0017204A">
        <w:rPr>
          <w:spacing w:val="-2"/>
        </w:rPr>
        <w:t xml:space="preserve"> </w:t>
      </w:r>
      <w:r w:rsidRPr="0017204A">
        <w:t>constatant</w:t>
      </w:r>
      <w:r w:rsidRPr="0017204A">
        <w:rPr>
          <w:spacing w:val="-2"/>
        </w:rPr>
        <w:t xml:space="preserve"> </w:t>
      </w:r>
      <w:r w:rsidRPr="0017204A">
        <w:t>la</w:t>
      </w:r>
      <w:r w:rsidRPr="0017204A">
        <w:rPr>
          <w:spacing w:val="-1"/>
        </w:rPr>
        <w:t xml:space="preserve"> </w:t>
      </w:r>
      <w:r w:rsidRPr="0017204A">
        <w:t>récurrence</w:t>
      </w:r>
      <w:r w:rsidRPr="0017204A">
        <w:rPr>
          <w:spacing w:val="-4"/>
        </w:rPr>
        <w:t xml:space="preserve"> </w:t>
      </w:r>
      <w:r w:rsidRPr="0017204A">
        <w:t>des</w:t>
      </w:r>
      <w:r w:rsidRPr="0017204A">
        <w:rPr>
          <w:spacing w:val="-4"/>
        </w:rPr>
        <w:t xml:space="preserve"> </w:t>
      </w:r>
      <w:r w:rsidRPr="0017204A">
        <w:t>problématiques,</w:t>
      </w:r>
      <w:r w:rsidRPr="0017204A">
        <w:rPr>
          <w:spacing w:val="-3"/>
        </w:rPr>
        <w:t xml:space="preserve"> </w:t>
      </w:r>
      <w:r w:rsidRPr="0017204A">
        <w:t xml:space="preserve">le </w:t>
      </w:r>
      <w:r w:rsidRPr="0017204A">
        <w:rPr>
          <w:b/>
        </w:rPr>
        <w:t xml:space="preserve">rapport de 2015 </w:t>
      </w:r>
      <w:r w:rsidR="001942CA">
        <w:t>traite de</w:t>
      </w:r>
      <w:r w:rsidRPr="0017204A">
        <w:t xml:space="preserve"> la collaboration dans le contexte de la réforme de la </w:t>
      </w:r>
      <w:r w:rsidRPr="0017204A">
        <w:rPr>
          <w:i/>
          <w:sz w:val="23"/>
        </w:rPr>
        <w:t xml:space="preserve">Loi modifiant </w:t>
      </w:r>
      <w:r w:rsidRPr="0017204A">
        <w:rPr>
          <w:i/>
          <w:spacing w:val="-4"/>
          <w:sz w:val="23"/>
        </w:rPr>
        <w:t>l’organisation</w:t>
      </w:r>
      <w:r w:rsidRPr="0017204A">
        <w:rPr>
          <w:i/>
          <w:spacing w:val="-8"/>
          <w:sz w:val="23"/>
        </w:rPr>
        <w:t xml:space="preserve"> </w:t>
      </w:r>
      <w:r w:rsidRPr="0017204A">
        <w:rPr>
          <w:i/>
          <w:spacing w:val="-4"/>
          <w:sz w:val="23"/>
        </w:rPr>
        <w:t>et</w:t>
      </w:r>
      <w:r w:rsidRPr="0017204A">
        <w:rPr>
          <w:i/>
          <w:spacing w:val="-8"/>
          <w:sz w:val="23"/>
        </w:rPr>
        <w:t xml:space="preserve"> </w:t>
      </w:r>
      <w:r w:rsidRPr="0017204A">
        <w:rPr>
          <w:i/>
          <w:spacing w:val="-4"/>
          <w:sz w:val="23"/>
        </w:rPr>
        <w:t>la</w:t>
      </w:r>
      <w:r w:rsidRPr="0017204A">
        <w:rPr>
          <w:i/>
          <w:spacing w:val="-8"/>
          <w:sz w:val="23"/>
        </w:rPr>
        <w:t xml:space="preserve"> </w:t>
      </w:r>
      <w:r w:rsidRPr="0017204A">
        <w:rPr>
          <w:i/>
          <w:spacing w:val="-4"/>
          <w:sz w:val="23"/>
        </w:rPr>
        <w:t>gouvernance</w:t>
      </w:r>
      <w:r w:rsidRPr="0017204A">
        <w:rPr>
          <w:i/>
          <w:spacing w:val="-7"/>
          <w:sz w:val="23"/>
        </w:rPr>
        <w:t xml:space="preserve"> </w:t>
      </w:r>
      <w:r w:rsidRPr="0017204A">
        <w:rPr>
          <w:i/>
          <w:spacing w:val="-4"/>
          <w:sz w:val="23"/>
        </w:rPr>
        <w:t>du</w:t>
      </w:r>
      <w:r w:rsidRPr="0017204A">
        <w:rPr>
          <w:i/>
          <w:spacing w:val="-8"/>
          <w:sz w:val="23"/>
        </w:rPr>
        <w:t xml:space="preserve"> </w:t>
      </w:r>
      <w:r w:rsidRPr="0017204A">
        <w:rPr>
          <w:i/>
          <w:spacing w:val="-4"/>
          <w:sz w:val="23"/>
        </w:rPr>
        <w:t>réseau</w:t>
      </w:r>
      <w:r w:rsidRPr="0017204A">
        <w:rPr>
          <w:i/>
          <w:spacing w:val="-8"/>
          <w:sz w:val="23"/>
        </w:rPr>
        <w:t xml:space="preserve"> </w:t>
      </w:r>
      <w:r w:rsidRPr="0017204A">
        <w:rPr>
          <w:i/>
          <w:spacing w:val="-4"/>
          <w:sz w:val="23"/>
        </w:rPr>
        <w:t>de</w:t>
      </w:r>
      <w:r w:rsidRPr="0017204A">
        <w:rPr>
          <w:i/>
          <w:spacing w:val="-7"/>
          <w:sz w:val="23"/>
        </w:rPr>
        <w:t xml:space="preserve"> </w:t>
      </w:r>
      <w:r w:rsidRPr="0017204A">
        <w:rPr>
          <w:i/>
          <w:spacing w:val="-4"/>
          <w:sz w:val="23"/>
        </w:rPr>
        <w:t>la</w:t>
      </w:r>
      <w:r w:rsidRPr="0017204A">
        <w:rPr>
          <w:i/>
          <w:spacing w:val="-8"/>
          <w:sz w:val="23"/>
        </w:rPr>
        <w:t xml:space="preserve"> </w:t>
      </w:r>
      <w:r w:rsidRPr="0017204A">
        <w:rPr>
          <w:i/>
          <w:spacing w:val="-4"/>
          <w:sz w:val="23"/>
        </w:rPr>
        <w:t>santé</w:t>
      </w:r>
      <w:r w:rsidRPr="0017204A">
        <w:rPr>
          <w:i/>
          <w:spacing w:val="-8"/>
          <w:sz w:val="23"/>
        </w:rPr>
        <w:t xml:space="preserve"> </w:t>
      </w:r>
      <w:r w:rsidRPr="0017204A">
        <w:rPr>
          <w:i/>
          <w:spacing w:val="-4"/>
          <w:sz w:val="23"/>
        </w:rPr>
        <w:t>et</w:t>
      </w:r>
      <w:r w:rsidRPr="0017204A">
        <w:rPr>
          <w:i/>
          <w:spacing w:val="-7"/>
          <w:sz w:val="23"/>
        </w:rPr>
        <w:t xml:space="preserve"> </w:t>
      </w:r>
      <w:r w:rsidRPr="0017204A">
        <w:rPr>
          <w:i/>
          <w:spacing w:val="-4"/>
          <w:sz w:val="23"/>
        </w:rPr>
        <w:t>des</w:t>
      </w:r>
      <w:r w:rsidRPr="0017204A">
        <w:rPr>
          <w:i/>
          <w:spacing w:val="-8"/>
          <w:sz w:val="23"/>
        </w:rPr>
        <w:t xml:space="preserve"> </w:t>
      </w:r>
      <w:r w:rsidRPr="0017204A">
        <w:rPr>
          <w:i/>
          <w:spacing w:val="-4"/>
          <w:sz w:val="23"/>
        </w:rPr>
        <w:t>services</w:t>
      </w:r>
      <w:r w:rsidRPr="0017204A">
        <w:rPr>
          <w:i/>
          <w:spacing w:val="-8"/>
          <w:sz w:val="23"/>
        </w:rPr>
        <w:t xml:space="preserve"> </w:t>
      </w:r>
      <w:r w:rsidRPr="0017204A">
        <w:rPr>
          <w:i/>
          <w:spacing w:val="-4"/>
          <w:sz w:val="23"/>
        </w:rPr>
        <w:t>sociaux</w:t>
      </w:r>
      <w:r w:rsidRPr="0017204A">
        <w:rPr>
          <w:i/>
          <w:spacing w:val="-7"/>
          <w:sz w:val="23"/>
        </w:rPr>
        <w:t xml:space="preserve"> </w:t>
      </w:r>
      <w:r w:rsidRPr="0017204A">
        <w:rPr>
          <w:i/>
          <w:spacing w:val="-4"/>
          <w:sz w:val="23"/>
        </w:rPr>
        <w:t>notamment</w:t>
      </w:r>
      <w:r w:rsidRPr="0017204A">
        <w:rPr>
          <w:i/>
          <w:spacing w:val="-8"/>
          <w:sz w:val="23"/>
        </w:rPr>
        <w:t xml:space="preserve"> </w:t>
      </w:r>
      <w:r w:rsidRPr="0017204A">
        <w:rPr>
          <w:i/>
          <w:spacing w:val="-4"/>
          <w:sz w:val="23"/>
        </w:rPr>
        <w:t xml:space="preserve">par </w:t>
      </w:r>
      <w:r w:rsidRPr="0017204A">
        <w:rPr>
          <w:i/>
          <w:sz w:val="23"/>
        </w:rPr>
        <w:t>l’abolition</w:t>
      </w:r>
      <w:r w:rsidRPr="0017204A">
        <w:rPr>
          <w:i/>
          <w:spacing w:val="-5"/>
          <w:sz w:val="23"/>
        </w:rPr>
        <w:t xml:space="preserve"> </w:t>
      </w:r>
      <w:r w:rsidRPr="0017204A">
        <w:rPr>
          <w:i/>
          <w:sz w:val="23"/>
        </w:rPr>
        <w:t>des</w:t>
      </w:r>
      <w:r w:rsidRPr="0017204A">
        <w:rPr>
          <w:i/>
          <w:spacing w:val="-5"/>
          <w:sz w:val="23"/>
        </w:rPr>
        <w:t xml:space="preserve"> </w:t>
      </w:r>
      <w:r w:rsidRPr="0017204A">
        <w:rPr>
          <w:i/>
          <w:sz w:val="23"/>
        </w:rPr>
        <w:t>agences</w:t>
      </w:r>
      <w:r w:rsidRPr="0017204A">
        <w:rPr>
          <w:i/>
          <w:spacing w:val="-5"/>
          <w:sz w:val="23"/>
        </w:rPr>
        <w:t xml:space="preserve"> </w:t>
      </w:r>
      <w:r w:rsidRPr="0017204A">
        <w:rPr>
          <w:i/>
          <w:sz w:val="23"/>
        </w:rPr>
        <w:t>régionales</w:t>
      </w:r>
      <w:r w:rsidR="0085330E">
        <w:rPr>
          <w:rFonts w:ascii="ZWAdobeF" w:hAnsi="ZWAdobeF" w:cs="ZWAdobeF"/>
          <w:color w:val="auto"/>
          <w:sz w:val="2"/>
          <w:szCs w:val="2"/>
        </w:rPr>
        <w:t>3F</w:t>
      </w:r>
      <w:r w:rsidR="00165891">
        <w:rPr>
          <w:rStyle w:val="Appelnotedebasdep"/>
          <w:i/>
          <w:sz w:val="23"/>
        </w:rPr>
        <w:footnoteReference w:id="5"/>
      </w:r>
      <w:r w:rsidRPr="0017204A">
        <w:rPr>
          <w:i/>
          <w:sz w:val="23"/>
        </w:rPr>
        <w:t>.</w:t>
      </w:r>
      <w:r w:rsidRPr="0017204A">
        <w:rPr>
          <w:i/>
          <w:spacing w:val="-4"/>
          <w:sz w:val="23"/>
        </w:rPr>
        <w:t xml:space="preserve"> </w:t>
      </w:r>
      <w:r>
        <w:t>Malgré</w:t>
      </w:r>
      <w:r w:rsidRPr="0017204A">
        <w:rPr>
          <w:spacing w:val="-1"/>
        </w:rPr>
        <w:t xml:space="preserve"> </w:t>
      </w:r>
      <w:r>
        <w:t>celle-ci,</w:t>
      </w:r>
      <w:r w:rsidRPr="0017204A">
        <w:rPr>
          <w:spacing w:val="-4"/>
        </w:rPr>
        <w:t xml:space="preserve"> </w:t>
      </w:r>
      <w:r>
        <w:t>il</w:t>
      </w:r>
      <w:r w:rsidRPr="0017204A">
        <w:rPr>
          <w:spacing w:val="-2"/>
        </w:rPr>
        <w:t xml:space="preserve"> </w:t>
      </w:r>
      <w:r w:rsidR="008F75B0">
        <w:t>soulignait</w:t>
      </w:r>
      <w:r w:rsidRPr="0017204A">
        <w:rPr>
          <w:spacing w:val="-3"/>
        </w:rPr>
        <w:t xml:space="preserve"> </w:t>
      </w:r>
      <w:r>
        <w:t>que</w:t>
      </w:r>
      <w:r w:rsidRPr="0017204A">
        <w:rPr>
          <w:spacing w:val="-3"/>
        </w:rPr>
        <w:t xml:space="preserve"> </w:t>
      </w:r>
      <w:r>
        <w:t>des</w:t>
      </w:r>
      <w:r w:rsidRPr="0017204A">
        <w:rPr>
          <w:spacing w:val="-3"/>
        </w:rPr>
        <w:t xml:space="preserve"> </w:t>
      </w:r>
      <w:r>
        <w:t>changements demeuraient nécessaires pour favoriser les pratiques de collaboration entre les missions de première et de deuxième lignes, et ce, dans le respect des droits de l’enfant. En réponse aux recommandations formulées, le MSSS a affirmé que la réforme législative favorisera la continuité des services et contribuera à une meilleure fluidité pour répondre aux différents besoins des jeunes et de leur famille.</w:t>
      </w:r>
    </w:p>
    <w:p w14:paraId="6958AC39" w14:textId="37FDC1C4" w:rsidR="00DF02C9" w:rsidRDefault="0017204A" w:rsidP="008A59CC">
      <w:pPr>
        <w:pStyle w:val="puces0"/>
      </w:pPr>
      <w:r w:rsidRPr="0017204A">
        <w:lastRenderedPageBreak/>
        <w:t xml:space="preserve">Le </w:t>
      </w:r>
      <w:r w:rsidRPr="00A56602">
        <w:rPr>
          <w:b/>
        </w:rPr>
        <w:t xml:space="preserve">rapport de 2020 </w:t>
      </w:r>
      <w:r w:rsidRPr="0017204A">
        <w:t>se penche sur les répercussions de la réforme du système de santé et de services</w:t>
      </w:r>
      <w:r w:rsidRPr="00A56602">
        <w:rPr>
          <w:spacing w:val="-4"/>
        </w:rPr>
        <w:t xml:space="preserve"> </w:t>
      </w:r>
      <w:r w:rsidRPr="0017204A">
        <w:t>sociaux</w:t>
      </w:r>
      <w:r w:rsidRPr="00A56602">
        <w:rPr>
          <w:spacing w:val="-4"/>
        </w:rPr>
        <w:t xml:space="preserve"> </w:t>
      </w:r>
      <w:r w:rsidRPr="0017204A">
        <w:t>de 2015</w:t>
      </w:r>
      <w:r w:rsidR="0085330E">
        <w:rPr>
          <w:rFonts w:ascii="ZWAdobeF" w:hAnsi="ZWAdobeF" w:cs="ZWAdobeF"/>
          <w:color w:val="auto"/>
          <w:sz w:val="2"/>
          <w:szCs w:val="2"/>
        </w:rPr>
        <w:t>4F</w:t>
      </w:r>
      <w:r w:rsidR="00165891">
        <w:rPr>
          <w:rStyle w:val="Appelnotedebasdep"/>
        </w:rPr>
        <w:footnoteReference w:id="6"/>
      </w:r>
      <w:r w:rsidRPr="00A56602">
        <w:rPr>
          <w:spacing w:val="13"/>
          <w:position w:val="8"/>
          <w:sz w:val="13"/>
        </w:rPr>
        <w:t xml:space="preserve"> </w:t>
      </w:r>
      <w:r w:rsidRPr="0017204A">
        <w:t>sur</w:t>
      </w:r>
      <w:r w:rsidRPr="00A56602">
        <w:rPr>
          <w:spacing w:val="-2"/>
        </w:rPr>
        <w:t xml:space="preserve"> </w:t>
      </w:r>
      <w:r w:rsidRPr="0017204A">
        <w:t>les</w:t>
      </w:r>
      <w:r w:rsidRPr="00A56602">
        <w:rPr>
          <w:spacing w:val="-4"/>
        </w:rPr>
        <w:t xml:space="preserve"> </w:t>
      </w:r>
      <w:r w:rsidRPr="0017204A">
        <w:t>services</w:t>
      </w:r>
      <w:r w:rsidRPr="00A56602">
        <w:rPr>
          <w:spacing w:val="-4"/>
        </w:rPr>
        <w:t xml:space="preserve"> </w:t>
      </w:r>
      <w:r w:rsidRPr="0017204A">
        <w:t>dispensés</w:t>
      </w:r>
      <w:r w:rsidRPr="00A56602">
        <w:rPr>
          <w:spacing w:val="-4"/>
        </w:rPr>
        <w:t xml:space="preserve"> </w:t>
      </w:r>
      <w:r w:rsidRPr="0017204A">
        <w:t>en</w:t>
      </w:r>
      <w:r w:rsidRPr="00A56602">
        <w:rPr>
          <w:spacing w:val="-5"/>
        </w:rPr>
        <w:t xml:space="preserve"> </w:t>
      </w:r>
      <w:r w:rsidRPr="0017204A">
        <w:t>matière</w:t>
      </w:r>
      <w:r w:rsidRPr="00A56602">
        <w:rPr>
          <w:spacing w:val="-4"/>
        </w:rPr>
        <w:t xml:space="preserve"> </w:t>
      </w:r>
      <w:r w:rsidRPr="0017204A">
        <w:t>de</w:t>
      </w:r>
      <w:r w:rsidRPr="00A56602">
        <w:rPr>
          <w:spacing w:val="-4"/>
        </w:rPr>
        <w:t xml:space="preserve"> </w:t>
      </w:r>
      <w:r w:rsidRPr="0017204A">
        <w:t>protection</w:t>
      </w:r>
      <w:r w:rsidRPr="00A56602">
        <w:rPr>
          <w:spacing w:val="-2"/>
        </w:rPr>
        <w:t xml:space="preserve"> </w:t>
      </w:r>
      <w:r w:rsidRPr="0017204A">
        <w:t>de</w:t>
      </w:r>
      <w:r w:rsidRPr="00A56602">
        <w:rPr>
          <w:spacing w:val="-4"/>
        </w:rPr>
        <w:t xml:space="preserve"> </w:t>
      </w:r>
      <w:r w:rsidRPr="0017204A">
        <w:t>la</w:t>
      </w:r>
      <w:r w:rsidRPr="00A56602">
        <w:rPr>
          <w:spacing w:val="-2"/>
        </w:rPr>
        <w:t xml:space="preserve"> </w:t>
      </w:r>
      <w:r w:rsidRPr="0017204A">
        <w:t>jeunesse</w:t>
      </w:r>
      <w:r w:rsidRPr="00A56602">
        <w:rPr>
          <w:spacing w:val="-4"/>
        </w:rPr>
        <w:t xml:space="preserve"> </w:t>
      </w:r>
      <w:r w:rsidRPr="0017204A">
        <w:t xml:space="preserve">et évalue </w:t>
      </w:r>
      <w:r w:rsidR="008D1A49">
        <w:t>de quelle manière</w:t>
      </w:r>
      <w:r w:rsidRPr="0017204A">
        <w:t xml:space="preserve"> ses objectifs se sont concrétisés dans ce secteur précis du réseau. La Commission constate que la réforme n’a pas atteint</w:t>
      </w:r>
      <w:r w:rsidRPr="00A56602">
        <w:rPr>
          <w:spacing w:val="-1"/>
        </w:rPr>
        <w:t xml:space="preserve"> </w:t>
      </w:r>
      <w:r w:rsidRPr="0017204A">
        <w:t>ses objectifs.</w:t>
      </w:r>
      <w:r w:rsidRPr="00A56602">
        <w:rPr>
          <w:spacing w:val="-1"/>
        </w:rPr>
        <w:t xml:space="preserve"> </w:t>
      </w:r>
      <w:r>
        <w:t>L’accès aux services pose toujours un</w:t>
      </w:r>
      <w:r w:rsidR="00A56602" w:rsidRPr="00A56602">
        <w:t xml:space="preserve"> problème. De nombreux délais</w:t>
      </w:r>
      <w:r w:rsidR="00A56602">
        <w:t xml:space="preserve"> </w:t>
      </w:r>
      <w:r w:rsidR="007156D4" w:rsidRPr="007156D4">
        <w:t>à toutes les étapes de l’application de la LPJ sont observés et la difficulté d’avoir accès aux services requis du Centre Intégré de santé et de services sociaux (CISSS)/Centre intégré universitaire de santé et de services sociaux (CIUSSS) affecte directement les droits des enfants et de leur famille. La fusion des DPJ avec le reste du système de santé et de services sociaux n’a pas réglé les problèmes de collaboration qui existaient entre les centres jeunesse et les CSSS. La Commission des droits a ainsi notamment recommandé au MSSS de mettre à jour ses standards de pratique pour s’assurer qu’ils répondent aux besoins et aux droits des enfants et que le personnel disponible en protection de la jeunesse soit suffisant en nombre dans l’ensemble du Québec dans ce même objectif de respect des droits des enfants et de répondre adéquatement à leurs besoins, tout en étant soutenu convenablement dans sa pratique. Notons que certains indicateurs des standards de pratique ont depuis été révisés et sont appliqués depuis septembre 2024.</w:t>
      </w:r>
    </w:p>
    <w:p w14:paraId="3AB21CB7" w14:textId="2CA22295" w:rsidR="007156D4" w:rsidRPr="00A843F1" w:rsidRDefault="00A843F1" w:rsidP="00A843F1">
      <w:pPr>
        <w:spacing w:before="240" w:after="240"/>
        <w:rPr>
          <w:b/>
          <w:bCs/>
        </w:rPr>
      </w:pPr>
      <w:r w:rsidRPr="00A843F1">
        <w:rPr>
          <w:b/>
          <w:bCs/>
        </w:rPr>
        <w:t>Le contexte du présent rapport</w:t>
      </w:r>
    </w:p>
    <w:p w14:paraId="132CEA4F" w14:textId="6A2FF1A1" w:rsidR="00557202" w:rsidRDefault="00F713AF" w:rsidP="003A1427">
      <w:pPr>
        <w:pStyle w:val="Paragraphe"/>
      </w:pPr>
      <w:r>
        <w:t xml:space="preserve">L’actuel rapport s’inscrit dans une perspective différente des précédents et vise de façon particulière l’évaluation de la mise en œuvre des </w:t>
      </w:r>
      <w:r w:rsidR="009B768A">
        <w:t>articles</w:t>
      </w:r>
      <w:r>
        <w:t xml:space="preserve"> de la LPJ qui </w:t>
      </w:r>
      <w:r w:rsidR="005F6673">
        <w:t>portent sur</w:t>
      </w:r>
      <w:r>
        <w:t xml:space="preserve"> la stabilité des liens et des conditions de vie des enfants. </w:t>
      </w:r>
      <w:r w:rsidR="00EA28D1">
        <w:t>La situation de ce</w:t>
      </w:r>
      <w:r w:rsidR="00D74209">
        <w:t>ux confiés</w:t>
      </w:r>
      <w:r w:rsidR="00365264">
        <w:t xml:space="preserve"> à un milieu de vie substitut</w:t>
      </w:r>
      <w:r w:rsidR="00D74209">
        <w:t xml:space="preserve"> jusqu’à la ma</w:t>
      </w:r>
      <w:r w:rsidR="00365264">
        <w:t>jorité</w:t>
      </w:r>
      <w:r w:rsidR="00865873">
        <w:t xml:space="preserve"> </w:t>
      </w:r>
      <w:r w:rsidR="00B24E58">
        <w:t>fait</w:t>
      </w:r>
      <w:r w:rsidR="00865873">
        <w:t xml:space="preserve"> </w:t>
      </w:r>
      <w:r w:rsidR="00487552">
        <w:t xml:space="preserve">l’objet de </w:t>
      </w:r>
      <w:r w:rsidR="00912A18">
        <w:t>la présente analyse</w:t>
      </w:r>
      <w:r w:rsidR="00865873">
        <w:t>.</w:t>
      </w:r>
    </w:p>
    <w:p w14:paraId="2037972C" w14:textId="0F28369D" w:rsidR="00F713AF" w:rsidRDefault="00F713AF" w:rsidP="003A1427">
      <w:pPr>
        <w:pStyle w:val="Paragraphe"/>
      </w:pPr>
      <w:r>
        <w:t xml:space="preserve">La LPJ prévoit que toute décision prise en vertu de celle-ci doit viser à assurer à l’enfant la continuité des soins et la stabilité des liens et des conditions de vie appropriées à ses besoins et à son âge, et ce, en accordant une considération primordiale à son intérêt. C’est dans cette optique qu’elle prévoit les délais maximaux de placement pour l’enfant retiré du milieu familial et confié </w:t>
      </w:r>
      <w:r w:rsidR="001718F2">
        <w:t>à un</w:t>
      </w:r>
      <w:r>
        <w:t xml:space="preserve"> milieu de vie substitut. À l’atteinte de ces délais, une ordonnance judiciaire doit être rendue dans ce même objectif de continuité et de stabilité.</w:t>
      </w:r>
    </w:p>
    <w:p w14:paraId="0FAF493B" w14:textId="39C8BA94" w:rsidR="00F713AF" w:rsidRDefault="00F713AF" w:rsidP="003A1427">
      <w:pPr>
        <w:pStyle w:val="Paragraphe"/>
      </w:pPr>
      <w:r>
        <w:t>D’autres dispositions prévues à la LPJ participent</w:t>
      </w:r>
      <w:r w:rsidR="002D1ED7">
        <w:t xml:space="preserve"> </w:t>
      </w:r>
      <w:r>
        <w:t xml:space="preserve">à assurer à l’enfant confié </w:t>
      </w:r>
      <w:r w:rsidR="001718F2">
        <w:t>à un</w:t>
      </w:r>
      <w:r>
        <w:t xml:space="preserve"> milieu de vie substitut une stabilité, dont celles prévoyant le maintien des liens avec les personnes qui lui sont significatives. Dans le cas des enfants autochtones, le maintien de tels liens doit aussi permettre de leur assurer une continuité culturelle.</w:t>
      </w:r>
    </w:p>
    <w:p w14:paraId="52991288" w14:textId="38B91116" w:rsidR="00F713AF" w:rsidRDefault="00F713AF" w:rsidP="003A1427">
      <w:pPr>
        <w:pStyle w:val="Paragraphe"/>
      </w:pPr>
      <w:r>
        <w:t>En plus de la responsabilité dévolue à la Commission des droits par l’article</w:t>
      </w:r>
      <w:r w:rsidR="00104A0F">
        <w:t> </w:t>
      </w:r>
      <w:r>
        <w:t>156.1 LPJ, la LPJ prévoit à l’article</w:t>
      </w:r>
      <w:r w:rsidR="00104A0F">
        <w:t> </w:t>
      </w:r>
      <w:r>
        <w:t xml:space="preserve">156.2 que le </w:t>
      </w:r>
      <w:r w:rsidR="005651B4" w:rsidRPr="00802E12">
        <w:t xml:space="preserve">ministre de la Santé et des Services sociaux </w:t>
      </w:r>
      <w:r>
        <w:t xml:space="preserve">dépose à l’Assemblée nationale une </w:t>
      </w:r>
      <w:r>
        <w:lastRenderedPageBreak/>
        <w:t xml:space="preserve">étude mesurant les impacts de la LPJ sur la stabilité et les conditions de vie des enfants. Les études ainsi réalisées sur les impacts de cette loi sur la stabilité et les conditions de vie des enfants (2011, 2015 et 2020) ont démontré que la capacité du système de protection québécois à assurer un milieu de vie pour les enfants demeure un défi. Par ailleurs, elles révèlent que les placements </w:t>
      </w:r>
      <w:r w:rsidR="001718F2">
        <w:t>à un</w:t>
      </w:r>
      <w:r>
        <w:t xml:space="preserve"> milieu de vie substitut jusqu’à la majorité ne sont pas stables, menant à des déplacements de l’enfant vers un autre milieu de vie substitut dans une proportion significative de cas.</w:t>
      </w:r>
    </w:p>
    <w:p w14:paraId="1C17F171" w14:textId="1CFF3EF7" w:rsidR="00F713AF" w:rsidRDefault="00F713AF" w:rsidP="003A1427">
      <w:pPr>
        <w:pStyle w:val="Paragraphe"/>
      </w:pPr>
      <w:r>
        <w:t>Ces problématiques ont été au cœur des travaux de la Commission spéciale sur les droits des enfants et la protection de la jeunesse (CSDEPJ), laquelle a consacré un chapitre entier à l’importance de garantir aux enfants une famille pour la vie</w:t>
      </w:r>
      <w:bookmarkStart w:id="19" w:name="_Ref200460822"/>
      <w:r w:rsidR="0085330E">
        <w:rPr>
          <w:rFonts w:ascii="ZWAdobeF" w:hAnsi="ZWAdobeF" w:cs="ZWAdobeF"/>
          <w:sz w:val="2"/>
          <w:szCs w:val="2"/>
        </w:rPr>
        <w:t>5F</w:t>
      </w:r>
      <w:r w:rsidR="005765E1">
        <w:rPr>
          <w:rStyle w:val="Appelnotedebasdep"/>
        </w:rPr>
        <w:footnoteReference w:id="7"/>
      </w:r>
      <w:bookmarkEnd w:id="19"/>
      <w:r>
        <w:t>. Elle a posé de nombreux constats et formulé des recommandations à cet égard.</w:t>
      </w:r>
    </w:p>
    <w:p w14:paraId="6BDC02DF" w14:textId="5D962B67" w:rsidR="007156D4" w:rsidRDefault="00F713AF" w:rsidP="003A1427">
      <w:pPr>
        <w:pStyle w:val="Paragraphe"/>
      </w:pPr>
      <w:r>
        <w:t>Pour y répondre, le gouvernement a proposé une réforme de la LPJ, laquelle concrétise entre autres les recommandations liées à la stabilité des liens de l’enfant et de ses conditions de vie. Elle définit plus clairement les droits de l’enfant et ceux de ses parents ainsi que les obligations qui en découlent pour les acteurs du système de protection de la jeunesse.</w:t>
      </w:r>
    </w:p>
    <w:p w14:paraId="791FCB54" w14:textId="00A1EB5A" w:rsidR="007156D4" w:rsidRPr="00DE4415" w:rsidRDefault="00DE4415" w:rsidP="00DE4415">
      <w:pPr>
        <w:spacing w:before="240" w:after="240"/>
        <w:rPr>
          <w:b/>
          <w:bCs/>
        </w:rPr>
      </w:pPr>
      <w:r w:rsidRPr="00DE4415">
        <w:rPr>
          <w:b/>
          <w:bCs/>
        </w:rPr>
        <w:t>La structure du rapport</w:t>
      </w:r>
    </w:p>
    <w:p w14:paraId="3401DA57" w14:textId="2CEA065E" w:rsidR="00BD3D77" w:rsidRDefault="00AA6EAD" w:rsidP="003A1427">
      <w:pPr>
        <w:pStyle w:val="Paragraphe"/>
      </w:pPr>
      <w:r>
        <w:t xml:space="preserve">Dans le présent rapport, la première partie expose l’évolution des éléments du cadre normatif relatifs à la stabilité des liens et aux conditions de vie des enfants placés </w:t>
      </w:r>
      <w:r w:rsidR="00D623CF">
        <w:t xml:space="preserve">dans un milieu de vie substitut </w:t>
      </w:r>
      <w:r>
        <w:t>jusqu’à la majorité. Les rapports produits en vertu de l’article</w:t>
      </w:r>
      <w:r w:rsidR="00104A0F">
        <w:t> </w:t>
      </w:r>
      <w:r>
        <w:t xml:space="preserve">156.2 de la LPJ et le rapport de la CSDEPJ servent à illustrer la situation qui prévalait avant la réforme de 2022. </w:t>
      </w:r>
    </w:p>
    <w:p w14:paraId="477086E2" w14:textId="3EA204D7" w:rsidR="007156D4" w:rsidRDefault="00AA6EAD" w:rsidP="003A1427">
      <w:pPr>
        <w:pStyle w:val="Paragraphe"/>
      </w:pPr>
      <w:r>
        <w:t>La seconde partie présente les résultats de l’analyse de décisions des tribunaux ordonnant que l’enfant soit confié à un milieu de vie jusqu’à sa majorité. Ces décisions ont été rendues dans la période allant de l’entrée en vigueur des modifications législatives le 26</w:t>
      </w:r>
      <w:r w:rsidR="00220FCC">
        <w:t> </w:t>
      </w:r>
      <w:r>
        <w:t>avril 2022 jusqu’au 1</w:t>
      </w:r>
      <w:r w:rsidRPr="009E694C">
        <w:rPr>
          <w:vertAlign w:val="superscript"/>
        </w:rPr>
        <w:t>er</w:t>
      </w:r>
      <w:r w:rsidR="00220FCC">
        <w:t> </w:t>
      </w:r>
      <w:r>
        <w:t>septembre 2024. Celles-ci ont trait à l’application des dispositions de la LPJ, liées à l’intérêt de l’enfant (art.</w:t>
      </w:r>
      <w:r w:rsidR="00104A0F">
        <w:t> </w:t>
      </w:r>
      <w:r>
        <w:t>3), au maintien des liens et des conditions de vie de l’enfant retiré du milieu familial (art.4), à l’implication des parents pour les aider ou les amener à exercer leurs responsabilités parentales (art.</w:t>
      </w:r>
      <w:r w:rsidR="00104A0F">
        <w:t> </w:t>
      </w:r>
      <w:r>
        <w:t>4.2), à la participation active des parents à la prise des décisions qui concernent leur enfant (art.</w:t>
      </w:r>
      <w:r w:rsidR="00104A0F">
        <w:t> </w:t>
      </w:r>
      <w:r>
        <w:t>4.3), à la participation et à la prise en compte de l’opinion de l’enfant pour les décisions et mesures qui le concernent (art.</w:t>
      </w:r>
      <w:r w:rsidR="00104A0F">
        <w:t> </w:t>
      </w:r>
      <w:r>
        <w:t>4.3 et 6.1 a) et c)) ainsi qu’au contact de l’enfant avec les personnes qui lui sont significatives (art.</w:t>
      </w:r>
      <w:r w:rsidR="00104A0F">
        <w:t> </w:t>
      </w:r>
      <w:r>
        <w:t>9.1).</w:t>
      </w:r>
    </w:p>
    <w:p w14:paraId="1001F00F" w14:textId="1F81713C" w:rsidR="007156D4" w:rsidRDefault="003B6795" w:rsidP="003A1427">
      <w:pPr>
        <w:pStyle w:val="Paragraphe"/>
      </w:pPr>
      <w:r w:rsidRPr="003B6795">
        <w:t>Les constats qui s’en dégagent sont mis en perspective avec les perceptions des effets de la réforme qu’ont des procureures et procureurs qui ont représenté des enfants visés par des ordonnances de placement jusqu’à la majorité.</w:t>
      </w:r>
    </w:p>
    <w:p w14:paraId="71915F58" w14:textId="77777777" w:rsidR="005231F3" w:rsidRPr="005231F3" w:rsidRDefault="005231F3" w:rsidP="005231F3">
      <w:pPr>
        <w:spacing w:before="240" w:after="240"/>
        <w:rPr>
          <w:b/>
          <w:bCs/>
        </w:rPr>
      </w:pPr>
      <w:r w:rsidRPr="005231F3">
        <w:rPr>
          <w:b/>
          <w:bCs/>
        </w:rPr>
        <w:lastRenderedPageBreak/>
        <w:t>Les considérations méthodologiques</w:t>
      </w:r>
    </w:p>
    <w:p w14:paraId="2397E382" w14:textId="59538354" w:rsidR="005231F3" w:rsidRDefault="005231F3" w:rsidP="003A1427">
      <w:pPr>
        <w:pStyle w:val="Paragraphe"/>
      </w:pPr>
      <w:r>
        <w:t>L</w:t>
      </w:r>
      <w:r w:rsidR="002E7FF5">
        <w:t>e</w:t>
      </w:r>
      <w:r>
        <w:t xml:space="preserve"> présent rapport </w:t>
      </w:r>
      <w:r w:rsidR="00B24E58">
        <w:t>s’appuie</w:t>
      </w:r>
      <w:r>
        <w:t xml:space="preserve"> sur les sources documentaires suivantes</w:t>
      </w:r>
      <w:r w:rsidR="006C6430">
        <w:t> </w:t>
      </w:r>
      <w:r>
        <w:t>:</w:t>
      </w:r>
    </w:p>
    <w:p w14:paraId="34B88C6D" w14:textId="7D76B5DA" w:rsidR="00802E12" w:rsidRPr="00802E12" w:rsidRDefault="00802E12" w:rsidP="00BA3E6E">
      <w:pPr>
        <w:pStyle w:val="puces0"/>
      </w:pPr>
      <w:r w:rsidRPr="00802E12">
        <w:t>Doctrine</w:t>
      </w:r>
      <w:r w:rsidRPr="00802E12">
        <w:rPr>
          <w:spacing w:val="-9"/>
        </w:rPr>
        <w:t xml:space="preserve"> </w:t>
      </w:r>
      <w:r w:rsidRPr="00802E12">
        <w:t>juridique</w:t>
      </w:r>
      <w:r w:rsidRPr="00802E12">
        <w:rPr>
          <w:spacing w:val="-8"/>
        </w:rPr>
        <w:t xml:space="preserve"> </w:t>
      </w:r>
      <w:r w:rsidRPr="00802E12">
        <w:t>et</w:t>
      </w:r>
      <w:r w:rsidRPr="00802E12">
        <w:rPr>
          <w:spacing w:val="-10"/>
        </w:rPr>
        <w:t xml:space="preserve"> </w:t>
      </w:r>
      <w:r w:rsidRPr="00802E12">
        <w:t>littérature</w:t>
      </w:r>
      <w:r w:rsidRPr="00802E12">
        <w:rPr>
          <w:spacing w:val="-5"/>
        </w:rPr>
        <w:t xml:space="preserve"> </w:t>
      </w:r>
      <w:r w:rsidRPr="00802E12">
        <w:t>scientifique</w:t>
      </w:r>
      <w:r w:rsidR="004A21EC">
        <w:rPr>
          <w:rFonts w:ascii="Arial" w:hAnsi="Arial" w:cs="Arial"/>
          <w:spacing w:val="-6"/>
        </w:rPr>
        <w:t> </w:t>
      </w:r>
      <w:r w:rsidRPr="00802E12">
        <w:rPr>
          <w:spacing w:val="-10"/>
        </w:rPr>
        <w:t>;</w:t>
      </w:r>
    </w:p>
    <w:p w14:paraId="26F012B5" w14:textId="2161C28C" w:rsidR="00802E12" w:rsidRPr="00802E12" w:rsidRDefault="00802E12" w:rsidP="00BA3E6E">
      <w:pPr>
        <w:pStyle w:val="puces0"/>
      </w:pPr>
      <w:r w:rsidRPr="00802E12">
        <w:t>Rapports</w:t>
      </w:r>
      <w:r w:rsidRPr="00802E12">
        <w:rPr>
          <w:spacing w:val="-2"/>
        </w:rPr>
        <w:t xml:space="preserve"> </w:t>
      </w:r>
      <w:r w:rsidRPr="00802E12">
        <w:t>antérieurs</w:t>
      </w:r>
      <w:r w:rsidRPr="00802E12">
        <w:rPr>
          <w:spacing w:val="-2"/>
        </w:rPr>
        <w:t xml:space="preserve"> </w:t>
      </w:r>
      <w:r w:rsidRPr="00802E12">
        <w:t>produits</w:t>
      </w:r>
      <w:r w:rsidRPr="00802E12">
        <w:rPr>
          <w:spacing w:val="-3"/>
        </w:rPr>
        <w:t xml:space="preserve"> </w:t>
      </w:r>
      <w:r w:rsidRPr="00802E12">
        <w:t>par</w:t>
      </w:r>
      <w:r w:rsidRPr="00802E12">
        <w:rPr>
          <w:spacing w:val="-3"/>
        </w:rPr>
        <w:t xml:space="preserve"> </w:t>
      </w:r>
      <w:r w:rsidRPr="00802E12">
        <w:t>la</w:t>
      </w:r>
      <w:r w:rsidRPr="00802E12">
        <w:rPr>
          <w:spacing w:val="-4"/>
        </w:rPr>
        <w:t xml:space="preserve"> </w:t>
      </w:r>
      <w:r w:rsidRPr="00802E12">
        <w:t>Commission</w:t>
      </w:r>
      <w:r w:rsidRPr="00802E12">
        <w:rPr>
          <w:spacing w:val="-1"/>
        </w:rPr>
        <w:t xml:space="preserve"> </w:t>
      </w:r>
      <w:r w:rsidRPr="00802E12">
        <w:t>des</w:t>
      </w:r>
      <w:r w:rsidRPr="00802E12">
        <w:rPr>
          <w:spacing w:val="-3"/>
        </w:rPr>
        <w:t xml:space="preserve"> </w:t>
      </w:r>
      <w:r w:rsidRPr="00802E12">
        <w:t>droits</w:t>
      </w:r>
      <w:r w:rsidRPr="00802E12">
        <w:rPr>
          <w:spacing w:val="-2"/>
        </w:rPr>
        <w:t xml:space="preserve"> </w:t>
      </w:r>
      <w:r w:rsidRPr="00802E12">
        <w:t>selon</w:t>
      </w:r>
      <w:r w:rsidRPr="00802E12">
        <w:rPr>
          <w:spacing w:val="-2"/>
        </w:rPr>
        <w:t xml:space="preserve"> </w:t>
      </w:r>
      <w:r w:rsidRPr="00802E12">
        <w:t>l’article</w:t>
      </w:r>
      <w:r w:rsidR="00104A0F">
        <w:t> </w:t>
      </w:r>
      <w:r w:rsidRPr="00802E12">
        <w:t>156.1</w:t>
      </w:r>
      <w:r w:rsidRPr="00802E12">
        <w:rPr>
          <w:spacing w:val="-2"/>
        </w:rPr>
        <w:t xml:space="preserve"> </w:t>
      </w:r>
      <w:r w:rsidRPr="00802E12">
        <w:t>de</w:t>
      </w:r>
      <w:r w:rsidRPr="00802E12">
        <w:rPr>
          <w:spacing w:val="-1"/>
        </w:rPr>
        <w:t xml:space="preserve"> </w:t>
      </w:r>
      <w:r w:rsidRPr="00802E12">
        <w:t>la</w:t>
      </w:r>
      <w:r w:rsidRPr="00802E12">
        <w:rPr>
          <w:spacing w:val="-4"/>
        </w:rPr>
        <w:t xml:space="preserve"> </w:t>
      </w:r>
      <w:r w:rsidRPr="00802E12">
        <w:t>LPJ</w:t>
      </w:r>
      <w:r w:rsidRPr="00802E12">
        <w:rPr>
          <w:spacing w:val="-4"/>
        </w:rPr>
        <w:t xml:space="preserve"> </w:t>
      </w:r>
      <w:r w:rsidRPr="00802E12">
        <w:t>et</w:t>
      </w:r>
      <w:r w:rsidRPr="00802E12">
        <w:rPr>
          <w:spacing w:val="-3"/>
        </w:rPr>
        <w:t xml:space="preserve"> </w:t>
      </w:r>
      <w:r w:rsidRPr="00802E12">
        <w:t>ceux produits par les équipes de recherche selon les mandats confiés par le ministre de la Santé et des Services sociaux en vertu de l’article</w:t>
      </w:r>
      <w:r w:rsidR="00104A0F">
        <w:t> </w:t>
      </w:r>
      <w:r w:rsidRPr="00802E12">
        <w:t>156.2 de la LPJ</w:t>
      </w:r>
      <w:r w:rsidR="004A21EC">
        <w:rPr>
          <w:rFonts w:ascii="Arial" w:hAnsi="Arial" w:cs="Arial"/>
        </w:rPr>
        <w:t> </w:t>
      </w:r>
      <w:r w:rsidRPr="00802E12">
        <w:t>;</w:t>
      </w:r>
    </w:p>
    <w:p w14:paraId="630A6CD0" w14:textId="5B18CCDF" w:rsidR="00802E12" w:rsidRPr="00802E12" w:rsidRDefault="00802E12" w:rsidP="00BA3E6E">
      <w:pPr>
        <w:pStyle w:val="puces0"/>
      </w:pPr>
      <w:r w:rsidRPr="00802E12">
        <w:t>Rapport</w:t>
      </w:r>
      <w:r w:rsidRPr="00802E12">
        <w:rPr>
          <w:spacing w:val="-7"/>
        </w:rPr>
        <w:t xml:space="preserve"> </w:t>
      </w:r>
      <w:r w:rsidRPr="00802E12">
        <w:t>de</w:t>
      </w:r>
      <w:r w:rsidRPr="00802E12">
        <w:rPr>
          <w:spacing w:val="-3"/>
        </w:rPr>
        <w:t xml:space="preserve"> </w:t>
      </w:r>
      <w:r w:rsidRPr="00802E12">
        <w:t>la</w:t>
      </w:r>
      <w:r w:rsidRPr="00802E12">
        <w:rPr>
          <w:spacing w:val="-4"/>
        </w:rPr>
        <w:t xml:space="preserve"> </w:t>
      </w:r>
      <w:r w:rsidR="007959AA">
        <w:t>CSDEPJ</w:t>
      </w:r>
      <w:r w:rsidR="00E0563A">
        <w:rPr>
          <w:rFonts w:ascii="Arial" w:hAnsi="Arial" w:cs="Arial"/>
        </w:rPr>
        <w:t> </w:t>
      </w:r>
      <w:r w:rsidRPr="00802E12">
        <w:rPr>
          <w:spacing w:val="-10"/>
        </w:rPr>
        <w:t>;</w:t>
      </w:r>
    </w:p>
    <w:p w14:paraId="1A7D0284" w14:textId="77777777" w:rsidR="00C965A8" w:rsidRDefault="00C965A8" w:rsidP="00BA3E6E">
      <w:pPr>
        <w:pStyle w:val="puces0"/>
      </w:pPr>
      <w:r>
        <w:t>Différents</w:t>
      </w:r>
      <w:r>
        <w:rPr>
          <w:spacing w:val="-9"/>
        </w:rPr>
        <w:t xml:space="preserve"> </w:t>
      </w:r>
      <w:r>
        <w:t>outils</w:t>
      </w:r>
      <w:r>
        <w:rPr>
          <w:spacing w:val="-4"/>
        </w:rPr>
        <w:t xml:space="preserve"> </w:t>
      </w:r>
      <w:r>
        <w:t>cliniques</w:t>
      </w:r>
      <w:r>
        <w:rPr>
          <w:spacing w:val="-4"/>
        </w:rPr>
        <w:t xml:space="preserve"> </w:t>
      </w:r>
      <w:r>
        <w:t>produits</w:t>
      </w:r>
      <w:r>
        <w:rPr>
          <w:spacing w:val="-6"/>
        </w:rPr>
        <w:t xml:space="preserve"> </w:t>
      </w:r>
      <w:r>
        <w:t>par</w:t>
      </w:r>
      <w:r>
        <w:rPr>
          <w:spacing w:val="-4"/>
        </w:rPr>
        <w:t xml:space="preserve"> </w:t>
      </w:r>
      <w:r>
        <w:t>le</w:t>
      </w:r>
      <w:r>
        <w:rPr>
          <w:spacing w:val="-6"/>
        </w:rPr>
        <w:t xml:space="preserve"> </w:t>
      </w:r>
      <w:r>
        <w:rPr>
          <w:spacing w:val="-2"/>
        </w:rPr>
        <w:t>MSSS.</w:t>
      </w:r>
    </w:p>
    <w:p w14:paraId="3A78AAA7" w14:textId="710ADF4B" w:rsidR="007156D4" w:rsidRDefault="00070B02" w:rsidP="003A1427">
      <w:pPr>
        <w:pStyle w:val="Paragraphe"/>
      </w:pPr>
      <w:r w:rsidRPr="00070B02">
        <w:t xml:space="preserve">L’analyse est principalement basée sur une collecte de données jurisprudentielles, puis de façon complémentaire, sur un sondage effectué auprès de procureures et procureurs de l’enfant exerçant en droit de la jeunesse. </w:t>
      </w:r>
    </w:p>
    <w:p w14:paraId="1F25C6DE" w14:textId="77777777" w:rsidR="00A63CF4" w:rsidRPr="00A63CF4" w:rsidRDefault="00A63CF4" w:rsidP="00A63CF4">
      <w:pPr>
        <w:spacing w:before="240" w:after="240"/>
        <w:rPr>
          <w:b/>
          <w:bCs/>
        </w:rPr>
      </w:pPr>
      <w:r w:rsidRPr="00A63CF4">
        <w:rPr>
          <w:b/>
          <w:bCs/>
        </w:rPr>
        <w:t>L’analyse jurisprudentielle</w:t>
      </w:r>
    </w:p>
    <w:p w14:paraId="074AEC59" w14:textId="4AAD09BB" w:rsidR="00A63CF4" w:rsidRDefault="00A63CF4" w:rsidP="003A1427">
      <w:pPr>
        <w:pStyle w:val="Paragraphe"/>
      </w:pPr>
      <w:r>
        <w:t>L’analyse jurisprudentielle repose sur 501</w:t>
      </w:r>
      <w:r w:rsidR="00220FCC">
        <w:t> </w:t>
      </w:r>
      <w:r>
        <w:t>décisions, lesquelles concernent 501</w:t>
      </w:r>
      <w:r w:rsidR="00220FCC">
        <w:t> </w:t>
      </w:r>
      <w:r>
        <w:t>enfants, sélectionnées dans la banque de décisions SOQUIJ</w:t>
      </w:r>
      <w:r w:rsidR="00EA1527">
        <w:t xml:space="preserve">, une </w:t>
      </w:r>
      <w:r>
        <w:t>banque juridique qui répertorie, par année et par secteur, un ensemble de décisions judiciaires québécoises.</w:t>
      </w:r>
    </w:p>
    <w:p w14:paraId="6C4AFC6C" w14:textId="7F6D777C" w:rsidR="007156D4" w:rsidRDefault="00A63CF4" w:rsidP="003A1427">
      <w:pPr>
        <w:pStyle w:val="Paragraphe"/>
      </w:pPr>
      <w:r>
        <w:t>Les critères d’inclusion sont</w:t>
      </w:r>
      <w:r w:rsidR="003A2BBE">
        <w:t xml:space="preserve"> les</w:t>
      </w:r>
      <w:r w:rsidR="006C6430">
        <w:t> </w:t>
      </w:r>
      <w:r>
        <w:t>:</w:t>
      </w:r>
    </w:p>
    <w:p w14:paraId="73C666B6" w14:textId="23E0831E" w:rsidR="0005799B" w:rsidRPr="0005799B" w:rsidRDefault="0005799B" w:rsidP="00BA3E6E">
      <w:pPr>
        <w:pStyle w:val="puces0"/>
        <w:rPr>
          <w:lang w:val="fr-FR"/>
        </w:rPr>
      </w:pPr>
      <w:r w:rsidRPr="0005799B">
        <w:rPr>
          <w:lang w:val="fr-FR"/>
        </w:rPr>
        <w:t>Décisions rendues par la Chambre de la jeunesse de la Cour du Québec</w:t>
      </w:r>
      <w:r w:rsidR="00C51514">
        <w:rPr>
          <w:lang w:val="fr-FR"/>
        </w:rPr>
        <w:t xml:space="preserve">, </w:t>
      </w:r>
      <w:r w:rsidR="0077187A">
        <w:rPr>
          <w:lang w:val="fr-FR"/>
        </w:rPr>
        <w:t>qui</w:t>
      </w:r>
      <w:r w:rsidR="00C51514">
        <w:rPr>
          <w:lang w:val="fr-FR"/>
        </w:rPr>
        <w:t xml:space="preserve"> compte</w:t>
      </w:r>
      <w:r w:rsidR="00F1190A" w:rsidRPr="0005799B">
        <w:rPr>
          <w:lang w:val="fr-FR"/>
        </w:rPr>
        <w:t xml:space="preserve"> 36</w:t>
      </w:r>
      <w:r w:rsidR="00220FCC">
        <w:rPr>
          <w:lang w:val="fr-FR"/>
        </w:rPr>
        <w:t> </w:t>
      </w:r>
      <w:r w:rsidR="00F1190A" w:rsidRPr="0005799B">
        <w:rPr>
          <w:lang w:val="fr-FR"/>
        </w:rPr>
        <w:t>districts judiciaires</w:t>
      </w:r>
      <w:r w:rsidR="00C51514">
        <w:rPr>
          <w:lang w:val="fr-FR"/>
        </w:rPr>
        <w:t>,</w:t>
      </w:r>
      <w:r w:rsidR="00F1190A" w:rsidRPr="0005799B">
        <w:rPr>
          <w:lang w:val="fr-FR"/>
        </w:rPr>
        <w:t xml:space="preserve"> </w:t>
      </w:r>
      <w:r w:rsidR="003E223B">
        <w:rPr>
          <w:lang w:val="fr-FR"/>
        </w:rPr>
        <w:t>confiant l’enfant</w:t>
      </w:r>
      <w:r w:rsidRPr="0005799B">
        <w:rPr>
          <w:spacing w:val="-3"/>
          <w:lang w:val="fr-FR"/>
        </w:rPr>
        <w:t xml:space="preserve"> </w:t>
      </w:r>
      <w:r w:rsidR="00CF3AF8">
        <w:rPr>
          <w:lang w:val="fr-FR"/>
        </w:rPr>
        <w:t>à un</w:t>
      </w:r>
      <w:r w:rsidRPr="0005799B">
        <w:rPr>
          <w:spacing w:val="-4"/>
          <w:lang w:val="fr-FR"/>
        </w:rPr>
        <w:t xml:space="preserve"> </w:t>
      </w:r>
      <w:r w:rsidRPr="0005799B">
        <w:rPr>
          <w:lang w:val="fr-FR"/>
        </w:rPr>
        <w:t>milieu</w:t>
      </w:r>
      <w:r w:rsidRPr="0005799B">
        <w:rPr>
          <w:spacing w:val="-3"/>
          <w:lang w:val="fr-FR"/>
        </w:rPr>
        <w:t xml:space="preserve"> </w:t>
      </w:r>
      <w:r w:rsidRPr="0005799B">
        <w:rPr>
          <w:lang w:val="fr-FR"/>
        </w:rPr>
        <w:t>de</w:t>
      </w:r>
      <w:r w:rsidRPr="0005799B">
        <w:rPr>
          <w:spacing w:val="-3"/>
          <w:lang w:val="fr-FR"/>
        </w:rPr>
        <w:t xml:space="preserve"> </w:t>
      </w:r>
      <w:r w:rsidRPr="0005799B">
        <w:rPr>
          <w:lang w:val="fr-FR"/>
        </w:rPr>
        <w:t>vie</w:t>
      </w:r>
      <w:r w:rsidRPr="0005799B">
        <w:rPr>
          <w:spacing w:val="-3"/>
          <w:lang w:val="fr-FR"/>
        </w:rPr>
        <w:t xml:space="preserve"> </w:t>
      </w:r>
      <w:r w:rsidRPr="0005799B">
        <w:rPr>
          <w:lang w:val="fr-FR"/>
        </w:rPr>
        <w:t>substitut</w:t>
      </w:r>
      <w:r w:rsidRPr="0005799B">
        <w:rPr>
          <w:spacing w:val="-2"/>
          <w:lang w:val="fr-FR"/>
        </w:rPr>
        <w:t xml:space="preserve"> </w:t>
      </w:r>
      <w:r w:rsidRPr="0005799B">
        <w:rPr>
          <w:lang w:val="fr-FR"/>
        </w:rPr>
        <w:t>jusqu’à</w:t>
      </w:r>
      <w:r w:rsidRPr="0005799B">
        <w:rPr>
          <w:spacing w:val="-2"/>
          <w:lang w:val="fr-FR"/>
        </w:rPr>
        <w:t xml:space="preserve"> </w:t>
      </w:r>
      <w:r w:rsidRPr="0005799B">
        <w:rPr>
          <w:lang w:val="fr-FR"/>
        </w:rPr>
        <w:t>la majorité</w:t>
      </w:r>
      <w:r w:rsidR="00E0563A">
        <w:rPr>
          <w:rFonts w:ascii="Arial" w:hAnsi="Arial" w:cs="Arial"/>
          <w:lang w:val="fr-FR"/>
        </w:rPr>
        <w:t> </w:t>
      </w:r>
      <w:r w:rsidR="00925F9F">
        <w:rPr>
          <w:rFonts w:ascii="Arial" w:hAnsi="Arial" w:cs="Arial"/>
          <w:lang w:val="fr-FR"/>
        </w:rPr>
        <w:t>;</w:t>
      </w:r>
    </w:p>
    <w:p w14:paraId="1D5F4B08" w14:textId="4489ED87" w:rsidR="0005799B" w:rsidRPr="0005799B" w:rsidRDefault="0005799B" w:rsidP="00BA3E6E">
      <w:pPr>
        <w:pStyle w:val="puces0"/>
        <w:rPr>
          <w:lang w:val="fr-FR"/>
        </w:rPr>
      </w:pPr>
      <w:r w:rsidRPr="0005799B">
        <w:rPr>
          <w:lang w:val="fr-FR"/>
        </w:rPr>
        <w:t>Décisions</w:t>
      </w:r>
      <w:r w:rsidRPr="0005799B">
        <w:rPr>
          <w:spacing w:val="-5"/>
          <w:lang w:val="fr-FR"/>
        </w:rPr>
        <w:t xml:space="preserve"> </w:t>
      </w:r>
      <w:r w:rsidRPr="0005799B">
        <w:rPr>
          <w:lang w:val="fr-FR"/>
        </w:rPr>
        <w:t>rendues</w:t>
      </w:r>
      <w:r w:rsidRPr="0005799B">
        <w:rPr>
          <w:spacing w:val="-7"/>
          <w:lang w:val="fr-FR"/>
        </w:rPr>
        <w:t xml:space="preserve"> </w:t>
      </w:r>
      <w:r w:rsidRPr="0005799B">
        <w:rPr>
          <w:lang w:val="fr-FR"/>
        </w:rPr>
        <w:t>correspondant</w:t>
      </w:r>
      <w:r w:rsidRPr="0005799B">
        <w:rPr>
          <w:spacing w:val="-7"/>
          <w:lang w:val="fr-FR"/>
        </w:rPr>
        <w:t xml:space="preserve"> </w:t>
      </w:r>
      <w:r w:rsidRPr="0005799B">
        <w:rPr>
          <w:lang w:val="fr-FR"/>
        </w:rPr>
        <w:t>à</w:t>
      </w:r>
      <w:r w:rsidRPr="0005799B">
        <w:rPr>
          <w:spacing w:val="-2"/>
          <w:lang w:val="fr-FR"/>
        </w:rPr>
        <w:t xml:space="preserve"> </w:t>
      </w:r>
      <w:r w:rsidRPr="0005799B">
        <w:rPr>
          <w:lang w:val="fr-FR"/>
        </w:rPr>
        <w:t>l’une</w:t>
      </w:r>
      <w:r w:rsidRPr="0005799B">
        <w:rPr>
          <w:spacing w:val="-4"/>
          <w:lang w:val="fr-FR"/>
        </w:rPr>
        <w:t xml:space="preserve"> </w:t>
      </w:r>
      <w:r w:rsidRPr="0005799B">
        <w:rPr>
          <w:lang w:val="fr-FR"/>
        </w:rPr>
        <w:t>ou</w:t>
      </w:r>
      <w:r w:rsidRPr="0005799B">
        <w:rPr>
          <w:spacing w:val="-8"/>
          <w:lang w:val="fr-FR"/>
        </w:rPr>
        <w:t xml:space="preserve"> </w:t>
      </w:r>
      <w:r w:rsidRPr="0005799B">
        <w:rPr>
          <w:lang w:val="fr-FR"/>
        </w:rPr>
        <w:t>l’autre</w:t>
      </w:r>
      <w:r w:rsidRPr="0005799B">
        <w:rPr>
          <w:spacing w:val="-5"/>
          <w:lang w:val="fr-FR"/>
        </w:rPr>
        <w:t xml:space="preserve"> </w:t>
      </w:r>
      <w:r w:rsidRPr="0005799B">
        <w:rPr>
          <w:lang w:val="fr-FR"/>
        </w:rPr>
        <w:t>des</w:t>
      </w:r>
      <w:r w:rsidRPr="0005799B">
        <w:rPr>
          <w:spacing w:val="-7"/>
          <w:lang w:val="fr-FR"/>
        </w:rPr>
        <w:t xml:space="preserve"> </w:t>
      </w:r>
      <w:r w:rsidRPr="0005799B">
        <w:rPr>
          <w:lang w:val="fr-FR"/>
        </w:rPr>
        <w:t>situations</w:t>
      </w:r>
      <w:r w:rsidRPr="0005799B">
        <w:rPr>
          <w:spacing w:val="-6"/>
          <w:lang w:val="fr-FR"/>
        </w:rPr>
        <w:t xml:space="preserve"> </w:t>
      </w:r>
      <w:r w:rsidRPr="0005799B">
        <w:rPr>
          <w:lang w:val="fr-FR"/>
        </w:rPr>
        <w:t>suivantes</w:t>
      </w:r>
      <w:r w:rsidR="006C6430">
        <w:rPr>
          <w:spacing w:val="-4"/>
          <w:lang w:val="fr-FR"/>
        </w:rPr>
        <w:t> </w:t>
      </w:r>
      <w:r w:rsidRPr="0005799B">
        <w:rPr>
          <w:spacing w:val="-10"/>
          <w:lang w:val="fr-FR"/>
        </w:rPr>
        <w:t>:</w:t>
      </w:r>
    </w:p>
    <w:p w14:paraId="6BCE2F92" w14:textId="724A1044" w:rsidR="0005799B" w:rsidRPr="0005799B" w:rsidRDefault="00A951C0" w:rsidP="002233DF">
      <w:pPr>
        <w:pStyle w:val="puces0"/>
        <w:numPr>
          <w:ilvl w:val="0"/>
          <w:numId w:val="16"/>
        </w:numPr>
        <w:rPr>
          <w:lang w:val="fr-FR"/>
        </w:rPr>
      </w:pPr>
      <w:r w:rsidRPr="0005799B">
        <w:rPr>
          <w:lang w:val="fr-FR"/>
        </w:rPr>
        <w:t>L’objet</w:t>
      </w:r>
      <w:r w:rsidR="0005799B" w:rsidRPr="0005799B">
        <w:rPr>
          <w:spacing w:val="-6"/>
          <w:lang w:val="fr-FR"/>
        </w:rPr>
        <w:t xml:space="preserve"> </w:t>
      </w:r>
      <w:r w:rsidR="0005799B" w:rsidRPr="0005799B">
        <w:rPr>
          <w:lang w:val="fr-FR"/>
        </w:rPr>
        <w:t>de</w:t>
      </w:r>
      <w:r w:rsidR="0005799B" w:rsidRPr="0005799B">
        <w:rPr>
          <w:spacing w:val="-5"/>
          <w:lang w:val="fr-FR"/>
        </w:rPr>
        <w:t xml:space="preserve"> </w:t>
      </w:r>
      <w:r w:rsidR="0005799B" w:rsidRPr="0005799B">
        <w:rPr>
          <w:lang w:val="fr-FR"/>
        </w:rPr>
        <w:t>la</w:t>
      </w:r>
      <w:r w:rsidR="0005799B" w:rsidRPr="0005799B">
        <w:rPr>
          <w:spacing w:val="-4"/>
          <w:lang w:val="fr-FR"/>
        </w:rPr>
        <w:t xml:space="preserve"> </w:t>
      </w:r>
      <w:r w:rsidR="0005799B" w:rsidRPr="0005799B">
        <w:rPr>
          <w:lang w:val="fr-FR"/>
        </w:rPr>
        <w:t>demande</w:t>
      </w:r>
      <w:r w:rsidR="0005799B" w:rsidRPr="0005799B">
        <w:rPr>
          <w:spacing w:val="-5"/>
          <w:lang w:val="fr-FR"/>
        </w:rPr>
        <w:t xml:space="preserve"> </w:t>
      </w:r>
      <w:r w:rsidR="0005799B" w:rsidRPr="0005799B">
        <w:rPr>
          <w:lang w:val="fr-FR"/>
        </w:rPr>
        <w:t>est</w:t>
      </w:r>
      <w:r w:rsidR="0005799B" w:rsidRPr="0005799B">
        <w:rPr>
          <w:spacing w:val="-6"/>
          <w:lang w:val="fr-FR"/>
        </w:rPr>
        <w:t xml:space="preserve"> </w:t>
      </w:r>
      <w:r w:rsidR="0005799B" w:rsidRPr="0005799B">
        <w:rPr>
          <w:lang w:val="fr-FR"/>
        </w:rPr>
        <w:t>un</w:t>
      </w:r>
      <w:r w:rsidR="0005799B" w:rsidRPr="0005799B">
        <w:rPr>
          <w:spacing w:val="-3"/>
          <w:lang w:val="fr-FR"/>
        </w:rPr>
        <w:t xml:space="preserve"> </w:t>
      </w:r>
      <w:r w:rsidR="0005799B" w:rsidRPr="0005799B">
        <w:rPr>
          <w:lang w:val="fr-FR"/>
        </w:rPr>
        <w:t>placement</w:t>
      </w:r>
      <w:r w:rsidR="0005799B" w:rsidRPr="0005799B">
        <w:rPr>
          <w:spacing w:val="-4"/>
          <w:lang w:val="fr-FR"/>
        </w:rPr>
        <w:t xml:space="preserve"> </w:t>
      </w:r>
      <w:r w:rsidR="0005799B" w:rsidRPr="0005799B">
        <w:rPr>
          <w:lang w:val="fr-FR"/>
        </w:rPr>
        <w:t>jusqu’à</w:t>
      </w:r>
      <w:r w:rsidR="0005799B" w:rsidRPr="0005799B">
        <w:rPr>
          <w:spacing w:val="-5"/>
          <w:lang w:val="fr-FR"/>
        </w:rPr>
        <w:t xml:space="preserve"> </w:t>
      </w:r>
      <w:r w:rsidR="0005799B" w:rsidRPr="0005799B">
        <w:rPr>
          <w:spacing w:val="-2"/>
          <w:lang w:val="fr-FR"/>
        </w:rPr>
        <w:t>majorité</w:t>
      </w:r>
      <w:r w:rsidR="001A0FEE">
        <w:rPr>
          <w:rFonts w:ascii="Arial" w:hAnsi="Arial" w:cs="Arial"/>
          <w:spacing w:val="-2"/>
          <w:lang w:val="fr-FR"/>
        </w:rPr>
        <w:t> </w:t>
      </w:r>
      <w:r w:rsidR="00BA6FF6">
        <w:rPr>
          <w:spacing w:val="-2"/>
          <w:lang w:val="fr-FR"/>
        </w:rPr>
        <w:t>;</w:t>
      </w:r>
    </w:p>
    <w:p w14:paraId="6003E0AF" w14:textId="559F310A" w:rsidR="0005799B" w:rsidRPr="0005799B" w:rsidRDefault="00A951C0" w:rsidP="002233DF">
      <w:pPr>
        <w:pStyle w:val="puces0"/>
        <w:numPr>
          <w:ilvl w:val="0"/>
          <w:numId w:val="16"/>
        </w:numPr>
        <w:rPr>
          <w:lang w:val="fr-FR"/>
        </w:rPr>
      </w:pPr>
      <w:r w:rsidRPr="0005799B">
        <w:rPr>
          <w:lang w:val="fr-FR"/>
        </w:rPr>
        <w:t>Les</w:t>
      </w:r>
      <w:r w:rsidR="0005799B" w:rsidRPr="0005799B">
        <w:rPr>
          <w:spacing w:val="-6"/>
          <w:lang w:val="fr-FR"/>
        </w:rPr>
        <w:t xml:space="preserve"> </w:t>
      </w:r>
      <w:r w:rsidR="0005799B" w:rsidRPr="0005799B">
        <w:rPr>
          <w:lang w:val="fr-FR"/>
        </w:rPr>
        <w:t>conclusions</w:t>
      </w:r>
      <w:r w:rsidR="0005799B" w:rsidRPr="0005799B">
        <w:rPr>
          <w:spacing w:val="-6"/>
          <w:lang w:val="fr-FR"/>
        </w:rPr>
        <w:t xml:space="preserve"> </w:t>
      </w:r>
      <w:r w:rsidR="0005799B" w:rsidRPr="0005799B">
        <w:rPr>
          <w:lang w:val="fr-FR"/>
        </w:rPr>
        <w:t>du</w:t>
      </w:r>
      <w:r w:rsidR="0005799B" w:rsidRPr="0005799B">
        <w:rPr>
          <w:spacing w:val="-6"/>
          <w:lang w:val="fr-FR"/>
        </w:rPr>
        <w:t xml:space="preserve"> </w:t>
      </w:r>
      <w:r w:rsidR="0005799B" w:rsidRPr="0005799B">
        <w:rPr>
          <w:lang w:val="fr-FR"/>
        </w:rPr>
        <w:t>Tribunal</w:t>
      </w:r>
      <w:r w:rsidR="0005799B" w:rsidRPr="0005799B">
        <w:rPr>
          <w:spacing w:val="-4"/>
          <w:lang w:val="fr-FR"/>
        </w:rPr>
        <w:t xml:space="preserve"> </w:t>
      </w:r>
      <w:r w:rsidR="0005799B" w:rsidRPr="0005799B">
        <w:rPr>
          <w:lang w:val="fr-FR"/>
        </w:rPr>
        <w:t>ordonnaient</w:t>
      </w:r>
      <w:r w:rsidR="0005799B" w:rsidRPr="0005799B">
        <w:rPr>
          <w:spacing w:val="-7"/>
          <w:lang w:val="fr-FR"/>
        </w:rPr>
        <w:t xml:space="preserve"> </w:t>
      </w:r>
      <w:r w:rsidR="0005799B" w:rsidRPr="0005799B">
        <w:rPr>
          <w:lang w:val="fr-FR"/>
        </w:rPr>
        <w:t>un</w:t>
      </w:r>
      <w:r w:rsidR="0005799B" w:rsidRPr="0005799B">
        <w:rPr>
          <w:spacing w:val="-7"/>
          <w:lang w:val="fr-FR"/>
        </w:rPr>
        <w:t xml:space="preserve"> </w:t>
      </w:r>
      <w:r w:rsidR="0005799B" w:rsidRPr="0005799B">
        <w:rPr>
          <w:lang w:val="fr-FR"/>
        </w:rPr>
        <w:t>placement</w:t>
      </w:r>
      <w:r w:rsidR="0005799B" w:rsidRPr="0005799B">
        <w:rPr>
          <w:spacing w:val="-4"/>
          <w:lang w:val="fr-FR"/>
        </w:rPr>
        <w:t xml:space="preserve"> </w:t>
      </w:r>
      <w:r w:rsidR="0005799B" w:rsidRPr="0005799B">
        <w:rPr>
          <w:lang w:val="fr-FR"/>
        </w:rPr>
        <w:t>jusqu’à</w:t>
      </w:r>
      <w:r w:rsidR="0005799B" w:rsidRPr="0005799B">
        <w:rPr>
          <w:spacing w:val="-7"/>
          <w:lang w:val="fr-FR"/>
        </w:rPr>
        <w:t xml:space="preserve"> </w:t>
      </w:r>
      <w:r w:rsidR="0005799B" w:rsidRPr="0005799B">
        <w:rPr>
          <w:lang w:val="fr-FR"/>
        </w:rPr>
        <w:t>majorité, indépendamment de l’objet de la demande</w:t>
      </w:r>
      <w:r w:rsidR="004A21EC">
        <w:rPr>
          <w:rFonts w:ascii="Arial" w:hAnsi="Arial" w:cs="Arial"/>
          <w:lang w:val="fr-FR"/>
        </w:rPr>
        <w:t> </w:t>
      </w:r>
      <w:r w:rsidR="0005799B" w:rsidRPr="0005799B">
        <w:rPr>
          <w:lang w:val="fr-FR"/>
        </w:rPr>
        <w:t>;</w:t>
      </w:r>
    </w:p>
    <w:p w14:paraId="0FCF821A" w14:textId="1803DD62" w:rsidR="0005799B" w:rsidRPr="0005799B" w:rsidRDefault="0005799B" w:rsidP="00BA3E6E">
      <w:pPr>
        <w:pStyle w:val="puces0"/>
        <w:rPr>
          <w:lang w:val="fr-FR"/>
        </w:rPr>
      </w:pPr>
      <w:r w:rsidRPr="0005799B">
        <w:rPr>
          <w:lang w:val="fr-FR"/>
        </w:rPr>
        <w:t>Décisions</w:t>
      </w:r>
      <w:r w:rsidRPr="0005799B">
        <w:rPr>
          <w:spacing w:val="-3"/>
          <w:lang w:val="fr-FR"/>
        </w:rPr>
        <w:t xml:space="preserve"> </w:t>
      </w:r>
      <w:r w:rsidRPr="00E66F7A">
        <w:rPr>
          <w:lang w:val="fr-FR"/>
        </w:rPr>
        <w:t>rendues</w:t>
      </w:r>
      <w:r w:rsidRPr="00E66F7A">
        <w:rPr>
          <w:spacing w:val="-4"/>
          <w:lang w:val="fr-FR"/>
        </w:rPr>
        <w:t xml:space="preserve"> </w:t>
      </w:r>
      <w:r w:rsidRPr="00E66F7A">
        <w:rPr>
          <w:lang w:val="fr-FR"/>
        </w:rPr>
        <w:t>entre</w:t>
      </w:r>
      <w:r w:rsidRPr="00E66F7A">
        <w:rPr>
          <w:spacing w:val="-4"/>
          <w:lang w:val="fr-FR"/>
        </w:rPr>
        <w:t xml:space="preserve"> </w:t>
      </w:r>
      <w:r w:rsidRPr="00E66F7A">
        <w:rPr>
          <w:lang w:val="fr-FR"/>
        </w:rPr>
        <w:t>le</w:t>
      </w:r>
      <w:r w:rsidRPr="00E66F7A">
        <w:rPr>
          <w:spacing w:val="-3"/>
          <w:lang w:val="fr-FR"/>
        </w:rPr>
        <w:t xml:space="preserve"> </w:t>
      </w:r>
      <w:r w:rsidRPr="00E66F7A">
        <w:rPr>
          <w:lang w:val="fr-FR"/>
        </w:rPr>
        <w:t>26</w:t>
      </w:r>
      <w:r w:rsidR="00220FCC" w:rsidRPr="00E66F7A">
        <w:rPr>
          <w:spacing w:val="-5"/>
          <w:lang w:val="fr-FR"/>
        </w:rPr>
        <w:t> </w:t>
      </w:r>
      <w:r w:rsidRPr="00E66F7A">
        <w:rPr>
          <w:lang w:val="fr-FR"/>
        </w:rPr>
        <w:t>avril</w:t>
      </w:r>
      <w:r w:rsidRPr="00E66F7A">
        <w:rPr>
          <w:spacing w:val="-3"/>
          <w:lang w:val="fr-FR"/>
        </w:rPr>
        <w:t xml:space="preserve"> </w:t>
      </w:r>
      <w:r w:rsidRPr="00E66F7A">
        <w:rPr>
          <w:lang w:val="fr-FR"/>
        </w:rPr>
        <w:t>2022</w:t>
      </w:r>
      <w:r w:rsidRPr="00E66F7A">
        <w:rPr>
          <w:spacing w:val="-8"/>
          <w:lang w:val="fr-FR"/>
        </w:rPr>
        <w:t xml:space="preserve"> </w:t>
      </w:r>
      <w:r w:rsidRPr="00E66F7A">
        <w:rPr>
          <w:lang w:val="fr-FR"/>
        </w:rPr>
        <w:t>et</w:t>
      </w:r>
      <w:r w:rsidRPr="00E66F7A">
        <w:rPr>
          <w:spacing w:val="-2"/>
          <w:lang w:val="fr-FR"/>
        </w:rPr>
        <w:t xml:space="preserve"> </w:t>
      </w:r>
      <w:r w:rsidRPr="00E66F7A">
        <w:rPr>
          <w:lang w:val="fr-FR"/>
        </w:rPr>
        <w:t>le</w:t>
      </w:r>
      <w:r w:rsidRPr="00E66F7A">
        <w:rPr>
          <w:spacing w:val="-5"/>
          <w:lang w:val="fr-FR"/>
        </w:rPr>
        <w:t xml:space="preserve"> </w:t>
      </w:r>
      <w:r w:rsidR="00E66F7A" w:rsidRPr="00E66F7A">
        <w:rPr>
          <w:lang w:val="fr-FR"/>
        </w:rPr>
        <w:t>1</w:t>
      </w:r>
      <w:r w:rsidR="00E66F7A" w:rsidRPr="00E66F7A">
        <w:rPr>
          <w:vertAlign w:val="superscript"/>
          <w:lang w:val="fr-FR"/>
        </w:rPr>
        <w:t>er</w:t>
      </w:r>
      <w:r w:rsidR="006B3149">
        <w:rPr>
          <w:lang w:val="fr-FR"/>
        </w:rPr>
        <w:t> </w:t>
      </w:r>
      <w:r w:rsidR="00E66F7A" w:rsidRPr="00E66F7A">
        <w:rPr>
          <w:lang w:val="fr-FR"/>
        </w:rPr>
        <w:t>septembre 2024</w:t>
      </w:r>
      <w:r w:rsidRPr="00E66F7A">
        <w:rPr>
          <w:spacing w:val="-2"/>
          <w:lang w:val="fr-FR"/>
        </w:rPr>
        <w:t>.</w:t>
      </w:r>
    </w:p>
    <w:p w14:paraId="21BA0FD8" w14:textId="1A2510D7" w:rsidR="009035A6" w:rsidRPr="009035A6" w:rsidRDefault="009035A6" w:rsidP="003A1427">
      <w:pPr>
        <w:pStyle w:val="Paragraphe"/>
        <w:rPr>
          <w:lang w:val="fr-FR"/>
        </w:rPr>
      </w:pPr>
      <w:r w:rsidRPr="009035A6">
        <w:rPr>
          <w:lang w:val="fr-FR"/>
        </w:rPr>
        <w:t>Le</w:t>
      </w:r>
      <w:r w:rsidR="007250C5">
        <w:rPr>
          <w:lang w:val="fr-FR"/>
        </w:rPr>
        <w:t xml:space="preserve"> </w:t>
      </w:r>
      <w:r w:rsidRPr="009035A6">
        <w:rPr>
          <w:lang w:val="fr-FR"/>
        </w:rPr>
        <w:t xml:space="preserve">critère d’exclusion </w:t>
      </w:r>
      <w:r w:rsidR="007250C5">
        <w:rPr>
          <w:lang w:val="fr-FR"/>
        </w:rPr>
        <w:t>est</w:t>
      </w:r>
      <w:r w:rsidR="006C6430">
        <w:rPr>
          <w:lang w:val="fr-FR"/>
        </w:rPr>
        <w:t> </w:t>
      </w:r>
      <w:r w:rsidRPr="009035A6">
        <w:rPr>
          <w:lang w:val="fr-FR"/>
        </w:rPr>
        <w:t>:</w:t>
      </w:r>
    </w:p>
    <w:p w14:paraId="2C8458B7" w14:textId="05CE2B50" w:rsidR="007156D4" w:rsidRPr="0005799B" w:rsidRDefault="009035A6" w:rsidP="00BA3E6E">
      <w:pPr>
        <w:pStyle w:val="puces0"/>
        <w:rPr>
          <w:lang w:val="fr-FR"/>
        </w:rPr>
      </w:pPr>
      <w:r w:rsidRPr="009035A6">
        <w:rPr>
          <w:lang w:val="fr-FR"/>
        </w:rPr>
        <w:t>Décisions prévoyant une possibilité de retour progressif dans le milieu familial.</w:t>
      </w:r>
    </w:p>
    <w:p w14:paraId="630A94E1" w14:textId="6E6D06C2" w:rsidR="00C66DD5" w:rsidRDefault="00C66DD5" w:rsidP="003A1427">
      <w:pPr>
        <w:pStyle w:val="Paragraphe"/>
      </w:pPr>
      <w:r>
        <w:t>À partir du cadre des droits prévus par la LPJ, une grille d’analyse des décisions a été élaborée pour relever de façon systématique certaines informations pertinentes quant à la façon dont sont appliquées certaines modifications à la LPJ datant de la réforme de 2022</w:t>
      </w:r>
      <w:r w:rsidR="00A364C4">
        <w:t>.</w:t>
      </w:r>
    </w:p>
    <w:p w14:paraId="685BA46E" w14:textId="595A9961" w:rsidR="00C66DD5" w:rsidRDefault="00C66DD5" w:rsidP="003A1427">
      <w:pPr>
        <w:pStyle w:val="Paragraphe"/>
      </w:pPr>
      <w:r>
        <w:lastRenderedPageBreak/>
        <w:t>Deux conseillères juridiques ont lu chacune la moitié des décisions et les ont codifiées suivant la grille</w:t>
      </w:r>
      <w:r w:rsidR="003E60C7">
        <w:t xml:space="preserve"> </w:t>
      </w:r>
      <w:r>
        <w:t>d’analyse.</w:t>
      </w:r>
    </w:p>
    <w:p w14:paraId="4178DE8F" w14:textId="4D28BA6B" w:rsidR="007156D4" w:rsidRDefault="00C66DD5" w:rsidP="003A1427">
      <w:pPr>
        <w:pStyle w:val="Paragraphe"/>
      </w:pPr>
      <w:r>
        <w:t xml:space="preserve">Une telle analyse vise à identifier les éléments que les juges prennent en considération dans leur décision d’ordonner le placement d’enfants </w:t>
      </w:r>
      <w:r w:rsidR="00903A0E">
        <w:t xml:space="preserve">dans un milieu de vie substitut </w:t>
      </w:r>
      <w:r>
        <w:t>jusqu’à la majorité. Elle ne permet pas de brosser un portrait exact des situations à l’origine des décisions de placement.</w:t>
      </w:r>
    </w:p>
    <w:p w14:paraId="74655177" w14:textId="6CACEC15" w:rsidR="00D77656" w:rsidRDefault="00D77656" w:rsidP="003A1427">
      <w:pPr>
        <w:pStyle w:val="Paragraphe"/>
      </w:pPr>
      <w:r>
        <w:t>L’analyse est faite à partir de la décision ordonnant le placement jusqu’à la majorité et non à partir des différents documents judiciaires qui peuvent constituer un même dossier. Ainsi, si une décision ne fait pas mention, par exemple, de l’implication du ou des parents, cette décision était codifiée comme ne faisant pas mention de cet élément. Cela ne signifie cependant pas nécessairement que cet élément ne fut pas pris en considération par l</w:t>
      </w:r>
      <w:r w:rsidR="00537A8D">
        <w:t>a</w:t>
      </w:r>
      <w:r>
        <w:t xml:space="preserve"> ou l</w:t>
      </w:r>
      <w:r w:rsidR="00537A8D">
        <w:t>e</w:t>
      </w:r>
      <w:r>
        <w:t xml:space="preserve"> juge dans le cadre de documents antérieurs.</w:t>
      </w:r>
    </w:p>
    <w:p w14:paraId="6DF33CF6" w14:textId="5952D42F" w:rsidR="00D77656" w:rsidRDefault="00D77656" w:rsidP="003A1427">
      <w:pPr>
        <w:pStyle w:val="Paragraphe"/>
      </w:pPr>
      <w:r>
        <w:t>L’analyse retient trois types de milieux de vie substitut, soit les centres de réadaptation, les familles d’accueil de proximité et les familles d’accueil «</w:t>
      </w:r>
      <w:r w:rsidR="00D16B99">
        <w:rPr>
          <w:rFonts w:ascii="Arial" w:hAnsi="Arial" w:cs="Arial"/>
        </w:rPr>
        <w:t> </w:t>
      </w:r>
      <w:r>
        <w:t>régulière</w:t>
      </w:r>
      <w:r w:rsidR="00D16B99">
        <w:rPr>
          <w:rFonts w:ascii="Arial" w:hAnsi="Arial" w:cs="Arial"/>
        </w:rPr>
        <w:t> </w:t>
      </w:r>
      <w:r>
        <w:t>»</w:t>
      </w:r>
      <w:r w:rsidR="0085330E">
        <w:rPr>
          <w:rFonts w:ascii="ZWAdobeF" w:hAnsi="ZWAdobeF" w:cs="ZWAdobeF"/>
          <w:sz w:val="2"/>
          <w:szCs w:val="2"/>
        </w:rPr>
        <w:t>6F</w:t>
      </w:r>
      <w:r w:rsidR="00E57566">
        <w:rPr>
          <w:rStyle w:val="Appelnotedebasdep"/>
        </w:rPr>
        <w:footnoteReference w:id="8"/>
      </w:r>
      <w:r>
        <w:t>. Pour ce dernier type, les décisions ne précisent pas le statut de la famille d’accueil et il est donc possible que cela comprenne des ressources de type familial banque mixte</w:t>
      </w:r>
      <w:r w:rsidR="0085330E">
        <w:rPr>
          <w:rFonts w:ascii="ZWAdobeF" w:hAnsi="ZWAdobeF" w:cs="ZWAdobeF"/>
          <w:sz w:val="2"/>
          <w:szCs w:val="2"/>
        </w:rPr>
        <w:t>7F</w:t>
      </w:r>
      <w:r w:rsidR="009B6207">
        <w:rPr>
          <w:rStyle w:val="Appelnotedebasdep"/>
        </w:rPr>
        <w:footnoteReference w:id="9"/>
      </w:r>
      <w:r>
        <w:t>.</w:t>
      </w:r>
    </w:p>
    <w:p w14:paraId="53E0E573" w14:textId="27769797" w:rsidR="007156D4" w:rsidRDefault="00D77656" w:rsidP="003A1427">
      <w:pPr>
        <w:pStyle w:val="Paragraphe"/>
      </w:pPr>
      <w:r>
        <w:t>Le portrait brossé porte sur les décisions analysées et non sur l’ensemble des décisions confiant l’enfant à un milieu de vie substitut jusqu’à la majorité. L’ensemble des résultats doivent être lus dans cette perspective.</w:t>
      </w:r>
    </w:p>
    <w:p w14:paraId="63BB6850" w14:textId="77777777" w:rsidR="00D5031F" w:rsidRPr="00D5031F" w:rsidRDefault="00D5031F" w:rsidP="00D5031F">
      <w:pPr>
        <w:spacing w:before="240" w:after="240"/>
        <w:rPr>
          <w:b/>
          <w:bCs/>
        </w:rPr>
      </w:pPr>
      <w:r w:rsidRPr="00D5031F">
        <w:rPr>
          <w:b/>
          <w:bCs/>
        </w:rPr>
        <w:t>Sondage électronique</w:t>
      </w:r>
    </w:p>
    <w:p w14:paraId="2CDD612C" w14:textId="111216C8" w:rsidR="007156D4" w:rsidRDefault="00D5031F" w:rsidP="003A1427">
      <w:pPr>
        <w:pStyle w:val="Paragraphe"/>
      </w:pPr>
      <w:r>
        <w:t>Un sondage électronique a été administré le 8</w:t>
      </w:r>
      <w:r w:rsidR="00220FCC">
        <w:t> </w:t>
      </w:r>
      <w:r>
        <w:t>janvier 2025 auprès de procureures et procureurs représentant des enfants afin d’évaluer leurs perceptions des effets des modifications de 2022 à la LPJ sur le traitement des dossiers judiciaires.</w:t>
      </w:r>
    </w:p>
    <w:p w14:paraId="66A4BECB" w14:textId="2C4A79EC" w:rsidR="00A654BA" w:rsidRDefault="00A654BA" w:rsidP="00BA3E6E">
      <w:pPr>
        <w:pStyle w:val="puces0"/>
      </w:pPr>
      <w:r>
        <w:t>Le questionnaire a été soumis à une liste de 44</w:t>
      </w:r>
      <w:r w:rsidR="00220FCC">
        <w:t> </w:t>
      </w:r>
      <w:r>
        <w:t>procureures et procureurs d’enfants sélectionnés à partir des décisions retenues dans la banque de décisions SOQUIJ</w:t>
      </w:r>
      <w:r w:rsidR="004A21EC">
        <w:rPr>
          <w:rFonts w:ascii="Arial" w:hAnsi="Arial" w:cs="Arial"/>
        </w:rPr>
        <w:t> </w:t>
      </w:r>
      <w:r>
        <w:t>;</w:t>
      </w:r>
    </w:p>
    <w:p w14:paraId="5938612A" w14:textId="27AE0DFB" w:rsidR="00A654BA" w:rsidRDefault="00A654BA" w:rsidP="00BA3E6E">
      <w:pPr>
        <w:pStyle w:val="puces0"/>
      </w:pPr>
      <w:r>
        <w:t>Seuls les procureures et procureurs ayant représenté 3</w:t>
      </w:r>
      <w:r w:rsidR="00220FCC">
        <w:t> </w:t>
      </w:r>
      <w:r>
        <w:t>enfants et plus depuis le 26</w:t>
      </w:r>
      <w:r w:rsidR="00220FCC">
        <w:t> </w:t>
      </w:r>
      <w:r>
        <w:t>avril 2022 ont été retenus</w:t>
      </w:r>
      <w:r w:rsidR="004A21EC">
        <w:rPr>
          <w:rFonts w:ascii="Arial" w:hAnsi="Arial" w:cs="Arial"/>
        </w:rPr>
        <w:t> </w:t>
      </w:r>
      <w:r>
        <w:t>;</w:t>
      </w:r>
    </w:p>
    <w:p w14:paraId="0F6EACF6" w14:textId="4D8C2E43" w:rsidR="009F5ECC" w:rsidRDefault="00A654BA" w:rsidP="00BA3E6E">
      <w:pPr>
        <w:pStyle w:val="puces0"/>
        <w:sectPr w:rsidR="009F5ECC" w:rsidSect="0098162B">
          <w:pgSz w:w="12240" w:h="15840" w:code="1"/>
          <w:pgMar w:top="1985" w:right="1134" w:bottom="1418" w:left="1134" w:header="709" w:footer="709" w:gutter="0"/>
          <w:pgNumType w:start="1"/>
          <w:cols w:space="708"/>
          <w:docGrid w:linePitch="360"/>
        </w:sectPr>
      </w:pPr>
      <w:r>
        <w:t>Le questionnaire avait été soumis en prétest à 9</w:t>
      </w:r>
      <w:r w:rsidR="00220FCC">
        <w:t> </w:t>
      </w:r>
      <w:r>
        <w:t>procureures et procureurs ayant représenté le plus grand nombre d’enfants depuis le 26</w:t>
      </w:r>
      <w:r w:rsidR="00220FCC">
        <w:t> </w:t>
      </w:r>
      <w:r>
        <w:t>avril 2022. Leurs questionnaires font partie du total de 26</w:t>
      </w:r>
      <w:r w:rsidR="00220FCC">
        <w:t> </w:t>
      </w:r>
      <w:r>
        <w:t>questionnaires valides retenus</w:t>
      </w:r>
      <w:r w:rsidR="00085EBF">
        <w:t xml:space="preserve"> (n = 26).</w:t>
      </w:r>
    </w:p>
    <w:p w14:paraId="37F6B7BF" w14:textId="477265B2" w:rsidR="00AD435B" w:rsidRPr="00AD435B" w:rsidRDefault="00AD435B" w:rsidP="00C6059C">
      <w:pPr>
        <w:pStyle w:val="Titre1"/>
      </w:pPr>
      <w:bookmarkStart w:id="20" w:name="_Toc201330477"/>
      <w:bookmarkStart w:id="21" w:name="_Toc194313978"/>
      <w:r w:rsidRPr="00AD435B">
        <w:lastRenderedPageBreak/>
        <w:t>L’évolution de</w:t>
      </w:r>
      <w:r w:rsidR="009758C5">
        <w:t xml:space="preserve"> la</w:t>
      </w:r>
      <w:r w:rsidRPr="00AD435B">
        <w:t xml:space="preserve"> notion de </w:t>
      </w:r>
      <w:r w:rsidR="009758C5">
        <w:t xml:space="preserve">la </w:t>
      </w:r>
      <w:r w:rsidRPr="00AD435B">
        <w:t>stabilité des liens et des conditions de vie de l’enfant dans la LPJ</w:t>
      </w:r>
      <w:bookmarkEnd w:id="20"/>
    </w:p>
    <w:p w14:paraId="24F24B39" w14:textId="30372030" w:rsidR="00AF164D" w:rsidRDefault="00502FE1" w:rsidP="00F93AC5">
      <w:pPr>
        <w:pStyle w:val="Titre2"/>
      </w:pPr>
      <w:bookmarkStart w:id="22" w:name="_Toc201330478"/>
      <w:bookmarkEnd w:id="21"/>
      <w:r>
        <w:t>1.1</w:t>
      </w:r>
      <w:r>
        <w:tab/>
      </w:r>
      <w:r w:rsidR="00AF164D" w:rsidRPr="00AF164D">
        <w:t>Une prise de conscience des effets de l’instabilité affective des enfants placé</w:t>
      </w:r>
      <w:r w:rsidR="006F6B3D">
        <w:t>s</w:t>
      </w:r>
      <w:bookmarkEnd w:id="22"/>
    </w:p>
    <w:p w14:paraId="4EBF0240" w14:textId="59A3035D" w:rsidR="00594D8C" w:rsidRDefault="00594D8C" w:rsidP="003A1427">
      <w:pPr>
        <w:pStyle w:val="Paragraphe"/>
      </w:pPr>
      <w:r>
        <w:t>L’importance d’assurer un milieu de vie stable aux enfants abandonnés ou à risque d’abandon a été reconnue dès la mise en application de la LPJ en 1977</w:t>
      </w:r>
      <w:bookmarkStart w:id="23" w:name="_Ref200455362"/>
      <w:r w:rsidR="0085330E">
        <w:rPr>
          <w:rFonts w:ascii="ZWAdobeF" w:hAnsi="ZWAdobeF" w:cs="ZWAdobeF"/>
          <w:sz w:val="2"/>
          <w:szCs w:val="2"/>
        </w:rPr>
        <w:t>8F</w:t>
      </w:r>
      <w:r>
        <w:rPr>
          <w:rStyle w:val="Appelnotedebasdep"/>
        </w:rPr>
        <w:footnoteReference w:id="10"/>
      </w:r>
      <w:bookmarkEnd w:id="23"/>
      <w:r>
        <w:t>.</w:t>
      </w:r>
    </w:p>
    <w:p w14:paraId="74A73558" w14:textId="5DC4DD07" w:rsidR="00AF164D" w:rsidRDefault="00594D8C" w:rsidP="003A1427">
      <w:pPr>
        <w:pStyle w:val="Paragraphe"/>
        <w:rPr>
          <w:noProof/>
        </w:rPr>
      </w:pPr>
      <w:r>
        <w:t>La prise en compte de la continuité des soins et de la stabilité des conditions de vie pour l’enfant a été introduite dans la LPJ en 1984 à la suite d’une recommandation de la Commission Charbonneau</w:t>
      </w:r>
      <w:r w:rsidR="0085330E">
        <w:rPr>
          <w:rFonts w:ascii="ZWAdobeF" w:hAnsi="ZWAdobeF" w:cs="ZWAdobeF"/>
          <w:sz w:val="2"/>
          <w:szCs w:val="2"/>
        </w:rPr>
        <w:t>9F</w:t>
      </w:r>
      <w:r>
        <w:rPr>
          <w:rStyle w:val="Appelnotedebasdep"/>
        </w:rPr>
        <w:footnoteReference w:id="11"/>
      </w:r>
      <w:r>
        <w:t>. Celle-ci avait mis en évidence</w:t>
      </w:r>
      <w:r w:rsidR="006C6430">
        <w:t> </w:t>
      </w:r>
      <w:r>
        <w:t>:</w:t>
      </w:r>
    </w:p>
    <w:p w14:paraId="3D60ADFB" w14:textId="64603201" w:rsidR="00C579CF" w:rsidRPr="00C579CF" w:rsidRDefault="00C579CF" w:rsidP="008A59CC">
      <w:pPr>
        <w:pStyle w:val="puces0"/>
      </w:pPr>
      <w:r w:rsidRPr="00C579CF">
        <w:t>La</w:t>
      </w:r>
      <w:r w:rsidRPr="00C579CF">
        <w:rPr>
          <w:spacing w:val="-3"/>
        </w:rPr>
        <w:t xml:space="preserve"> </w:t>
      </w:r>
      <w:r w:rsidRPr="00C579CF">
        <w:t>nécessité</w:t>
      </w:r>
      <w:r w:rsidRPr="00C579CF">
        <w:rPr>
          <w:spacing w:val="-4"/>
        </w:rPr>
        <w:t xml:space="preserve"> </w:t>
      </w:r>
      <w:r w:rsidRPr="00C579CF">
        <w:t>de</w:t>
      </w:r>
      <w:r w:rsidRPr="00C579CF">
        <w:rPr>
          <w:spacing w:val="-4"/>
        </w:rPr>
        <w:t xml:space="preserve"> </w:t>
      </w:r>
      <w:r w:rsidRPr="00C579CF">
        <w:t>l’existence</w:t>
      </w:r>
      <w:r w:rsidRPr="00C579CF">
        <w:rPr>
          <w:spacing w:val="-4"/>
        </w:rPr>
        <w:t xml:space="preserve"> </w:t>
      </w:r>
      <w:r w:rsidRPr="00C579CF">
        <w:t>d’un</w:t>
      </w:r>
      <w:r w:rsidRPr="00C579CF">
        <w:rPr>
          <w:spacing w:val="-4"/>
        </w:rPr>
        <w:t xml:space="preserve"> </w:t>
      </w:r>
      <w:r w:rsidRPr="00C579CF">
        <w:t>lien</w:t>
      </w:r>
      <w:r w:rsidRPr="00C579CF">
        <w:rPr>
          <w:spacing w:val="-4"/>
        </w:rPr>
        <w:t xml:space="preserve"> </w:t>
      </w:r>
      <w:r w:rsidRPr="00C579CF">
        <w:t>psychologique</w:t>
      </w:r>
      <w:r w:rsidRPr="00C579CF">
        <w:rPr>
          <w:spacing w:val="-4"/>
        </w:rPr>
        <w:t xml:space="preserve"> </w:t>
      </w:r>
      <w:r w:rsidRPr="00C579CF">
        <w:t>entre</w:t>
      </w:r>
      <w:r w:rsidRPr="00C579CF">
        <w:rPr>
          <w:spacing w:val="-2"/>
        </w:rPr>
        <w:t xml:space="preserve"> </w:t>
      </w:r>
      <w:r w:rsidRPr="00C579CF">
        <w:t>un</w:t>
      </w:r>
      <w:r w:rsidRPr="00C579CF">
        <w:rPr>
          <w:spacing w:val="-4"/>
        </w:rPr>
        <w:t xml:space="preserve"> </w:t>
      </w:r>
      <w:r w:rsidRPr="00C579CF">
        <w:t>enfant</w:t>
      </w:r>
      <w:r w:rsidRPr="00C579CF">
        <w:rPr>
          <w:spacing w:val="-4"/>
        </w:rPr>
        <w:t xml:space="preserve"> </w:t>
      </w:r>
      <w:r w:rsidRPr="00C579CF">
        <w:t>et</w:t>
      </w:r>
      <w:r w:rsidRPr="00C579CF">
        <w:rPr>
          <w:spacing w:val="-4"/>
        </w:rPr>
        <w:t xml:space="preserve"> </w:t>
      </w:r>
      <w:r w:rsidRPr="00C579CF">
        <w:t>l’adulte</w:t>
      </w:r>
      <w:r w:rsidRPr="00C579CF">
        <w:rPr>
          <w:spacing w:val="-4"/>
        </w:rPr>
        <w:t xml:space="preserve"> </w:t>
      </w:r>
      <w:r w:rsidRPr="00C579CF">
        <w:t>qui</w:t>
      </w:r>
      <w:r w:rsidRPr="00C579CF">
        <w:rPr>
          <w:spacing w:val="-3"/>
        </w:rPr>
        <w:t xml:space="preserve"> </w:t>
      </w:r>
      <w:r w:rsidRPr="00C579CF">
        <w:t>lui</w:t>
      </w:r>
      <w:r w:rsidRPr="00C579CF">
        <w:rPr>
          <w:spacing w:val="-4"/>
        </w:rPr>
        <w:t xml:space="preserve"> </w:t>
      </w:r>
      <w:r w:rsidRPr="00C579CF">
        <w:t>prodigue des soins continus pour assurer le développement de l’enfant</w:t>
      </w:r>
      <w:r w:rsidR="0085330E">
        <w:rPr>
          <w:rFonts w:ascii="ZWAdobeF" w:hAnsi="ZWAdobeF" w:cs="ZWAdobeF"/>
          <w:color w:val="auto"/>
          <w:sz w:val="2"/>
          <w:szCs w:val="2"/>
        </w:rPr>
        <w:t>10F</w:t>
      </w:r>
      <w:r>
        <w:rPr>
          <w:rStyle w:val="Appelnotedebasdep"/>
        </w:rPr>
        <w:footnoteReference w:id="12"/>
      </w:r>
      <w:r w:rsidR="004A21EC">
        <w:rPr>
          <w:rFonts w:ascii="Arial" w:hAnsi="Arial" w:cs="Arial"/>
        </w:rPr>
        <w:t> </w:t>
      </w:r>
      <w:r w:rsidRPr="00C579CF">
        <w:t>;</w:t>
      </w:r>
    </w:p>
    <w:p w14:paraId="40FF442F" w14:textId="596B2FBF" w:rsidR="00C579CF" w:rsidRPr="00C579CF" w:rsidRDefault="00C579CF" w:rsidP="008A59CC">
      <w:pPr>
        <w:pStyle w:val="puces0"/>
      </w:pPr>
      <w:r w:rsidRPr="00C579CF">
        <w:t>L’importance</w:t>
      </w:r>
      <w:r w:rsidRPr="00C579CF">
        <w:rPr>
          <w:spacing w:val="-4"/>
        </w:rPr>
        <w:t xml:space="preserve"> </w:t>
      </w:r>
      <w:r w:rsidRPr="00C579CF">
        <w:t>d’établir</w:t>
      </w:r>
      <w:r w:rsidRPr="00C579CF">
        <w:rPr>
          <w:spacing w:val="-4"/>
        </w:rPr>
        <w:t xml:space="preserve"> </w:t>
      </w:r>
      <w:r w:rsidRPr="00C579CF">
        <w:t>la</w:t>
      </w:r>
      <w:r w:rsidRPr="00C579CF">
        <w:rPr>
          <w:spacing w:val="-5"/>
        </w:rPr>
        <w:t xml:space="preserve"> </w:t>
      </w:r>
      <w:r w:rsidRPr="00C579CF">
        <w:t>possibilité</w:t>
      </w:r>
      <w:r w:rsidRPr="00C579CF">
        <w:rPr>
          <w:spacing w:val="-4"/>
        </w:rPr>
        <w:t xml:space="preserve"> </w:t>
      </w:r>
      <w:r w:rsidRPr="00C579CF">
        <w:t>pour</w:t>
      </w:r>
      <w:r w:rsidRPr="00C579CF">
        <w:rPr>
          <w:spacing w:val="-2"/>
        </w:rPr>
        <w:t xml:space="preserve"> </w:t>
      </w:r>
      <w:r w:rsidRPr="00C579CF">
        <w:t>un</w:t>
      </w:r>
      <w:r w:rsidRPr="00C579CF">
        <w:rPr>
          <w:spacing w:val="-5"/>
        </w:rPr>
        <w:t xml:space="preserve"> </w:t>
      </w:r>
      <w:r w:rsidRPr="00C579CF">
        <w:t>enfant</w:t>
      </w:r>
      <w:r w:rsidRPr="00C579CF">
        <w:rPr>
          <w:spacing w:val="-5"/>
        </w:rPr>
        <w:t xml:space="preserve"> </w:t>
      </w:r>
      <w:r w:rsidRPr="00C579CF">
        <w:t>d’être</w:t>
      </w:r>
      <w:r w:rsidRPr="00C579CF">
        <w:rPr>
          <w:spacing w:val="-3"/>
        </w:rPr>
        <w:t xml:space="preserve"> </w:t>
      </w:r>
      <w:r w:rsidRPr="00C579CF">
        <w:t>l’objet</w:t>
      </w:r>
      <w:r w:rsidRPr="00C579CF">
        <w:rPr>
          <w:spacing w:val="-5"/>
        </w:rPr>
        <w:t xml:space="preserve"> </w:t>
      </w:r>
      <w:r w:rsidRPr="00C579CF">
        <w:t>de</w:t>
      </w:r>
      <w:r w:rsidRPr="00C579CF">
        <w:rPr>
          <w:spacing w:val="-4"/>
        </w:rPr>
        <w:t xml:space="preserve"> </w:t>
      </w:r>
      <w:r w:rsidRPr="00C579CF">
        <w:t>mesure</w:t>
      </w:r>
      <w:r w:rsidRPr="00C579CF">
        <w:rPr>
          <w:spacing w:val="-6"/>
        </w:rPr>
        <w:t xml:space="preserve"> </w:t>
      </w:r>
      <w:r w:rsidRPr="00C579CF">
        <w:t>de</w:t>
      </w:r>
      <w:r w:rsidRPr="00C579CF">
        <w:rPr>
          <w:spacing w:val="-4"/>
        </w:rPr>
        <w:t xml:space="preserve"> </w:t>
      </w:r>
      <w:r w:rsidRPr="00C579CF">
        <w:t>stabilisation dans les cas où un retour à court terme dans son milieu parental est impossible ou aucunement souhaitable</w:t>
      </w:r>
      <w:r w:rsidR="0085330E">
        <w:rPr>
          <w:rFonts w:ascii="ZWAdobeF" w:hAnsi="ZWAdobeF" w:cs="ZWAdobeF"/>
          <w:color w:val="auto"/>
          <w:sz w:val="2"/>
          <w:szCs w:val="2"/>
        </w:rPr>
        <w:t>11F</w:t>
      </w:r>
      <w:r w:rsidR="002F190A">
        <w:rPr>
          <w:rStyle w:val="Appelnotedebasdep"/>
        </w:rPr>
        <w:footnoteReference w:id="13"/>
      </w:r>
      <w:r w:rsidR="004A21EC">
        <w:rPr>
          <w:rFonts w:ascii="Arial" w:hAnsi="Arial" w:cs="Arial"/>
        </w:rPr>
        <w:t> </w:t>
      </w:r>
      <w:r w:rsidRPr="00C579CF">
        <w:t>;</w:t>
      </w:r>
    </w:p>
    <w:p w14:paraId="1BE79C4A" w14:textId="001394FF" w:rsidR="00C579CF" w:rsidRPr="00C579CF" w:rsidRDefault="00C579CF" w:rsidP="008A59CC">
      <w:pPr>
        <w:pStyle w:val="puces0"/>
      </w:pPr>
      <w:r w:rsidRPr="00C579CF">
        <w:t>Le</w:t>
      </w:r>
      <w:r w:rsidRPr="00CB2317">
        <w:t xml:space="preserve"> </w:t>
      </w:r>
      <w:r w:rsidRPr="00C579CF">
        <w:t>rapport</w:t>
      </w:r>
      <w:r w:rsidRPr="00CB2317">
        <w:t xml:space="preserve"> </w:t>
      </w:r>
      <w:r w:rsidRPr="00C579CF">
        <w:t>différent</w:t>
      </w:r>
      <w:r w:rsidRPr="00CB2317">
        <w:t xml:space="preserve"> </w:t>
      </w:r>
      <w:r w:rsidRPr="00C579CF">
        <w:t>au</w:t>
      </w:r>
      <w:r w:rsidRPr="00CB2317">
        <w:t xml:space="preserve"> </w:t>
      </w:r>
      <w:r w:rsidRPr="00C579CF">
        <w:t>temps</w:t>
      </w:r>
      <w:r w:rsidRPr="00CB2317">
        <w:t xml:space="preserve"> </w:t>
      </w:r>
      <w:r w:rsidRPr="00C579CF">
        <w:t>pour</w:t>
      </w:r>
      <w:r w:rsidRPr="00CB2317">
        <w:t xml:space="preserve"> </w:t>
      </w:r>
      <w:r w:rsidRPr="00C579CF">
        <w:t>les</w:t>
      </w:r>
      <w:r w:rsidRPr="00CB2317">
        <w:t xml:space="preserve"> </w:t>
      </w:r>
      <w:r w:rsidRPr="00C579CF">
        <w:t>enfants</w:t>
      </w:r>
      <w:r w:rsidRPr="00CB2317">
        <w:t xml:space="preserve"> </w:t>
      </w:r>
      <w:r w:rsidRPr="00C579CF">
        <w:t>et</w:t>
      </w:r>
      <w:r w:rsidRPr="00CB2317">
        <w:t xml:space="preserve"> </w:t>
      </w:r>
      <w:r w:rsidRPr="00C579CF">
        <w:t>les</w:t>
      </w:r>
      <w:r w:rsidRPr="00CB2317">
        <w:t xml:space="preserve"> adultes</w:t>
      </w:r>
      <w:r w:rsidR="0085330E">
        <w:rPr>
          <w:rFonts w:ascii="ZWAdobeF" w:hAnsi="ZWAdobeF" w:cs="ZWAdobeF"/>
          <w:color w:val="auto"/>
          <w:sz w:val="2"/>
          <w:szCs w:val="2"/>
        </w:rPr>
        <w:t>12F</w:t>
      </w:r>
      <w:r w:rsidR="002F190A" w:rsidRPr="00CB2317">
        <w:rPr>
          <w:vertAlign w:val="superscript"/>
        </w:rPr>
        <w:footnoteReference w:id="14"/>
      </w:r>
      <w:r w:rsidRPr="00CB2317">
        <w:rPr>
          <w:vertAlign w:val="superscript"/>
        </w:rPr>
        <w:t>.</w:t>
      </w:r>
    </w:p>
    <w:p w14:paraId="1D9BB14C" w14:textId="0A47AF9D" w:rsidR="00AF164D" w:rsidRDefault="002A657B" w:rsidP="003A1427">
      <w:pPr>
        <w:pStyle w:val="Paragraphe"/>
        <w:rPr>
          <w:noProof/>
        </w:rPr>
      </w:pPr>
      <w:r w:rsidRPr="002A657B">
        <w:t>Quelques années plus tard, en 1992, le groupe de travail Jasmin</w:t>
      </w:r>
      <w:r w:rsidR="0085330E">
        <w:rPr>
          <w:rFonts w:ascii="ZWAdobeF" w:hAnsi="ZWAdobeF" w:cs="ZWAdobeF"/>
          <w:sz w:val="2"/>
          <w:szCs w:val="2"/>
        </w:rPr>
        <w:t>13F</w:t>
      </w:r>
      <w:r>
        <w:rPr>
          <w:rStyle w:val="Appelnotedebasdep"/>
        </w:rPr>
        <w:footnoteReference w:id="15"/>
      </w:r>
      <w:r w:rsidRPr="002A657B">
        <w:t xml:space="preserve"> a réitéré</w:t>
      </w:r>
      <w:r w:rsidR="006C6430">
        <w:t> </w:t>
      </w:r>
      <w:r w:rsidRPr="002A657B">
        <w:t>:</w:t>
      </w:r>
    </w:p>
    <w:p w14:paraId="6B4B2031" w14:textId="7B28DD9E" w:rsidR="006F19E9" w:rsidRDefault="006F19E9" w:rsidP="008A59CC">
      <w:pPr>
        <w:pStyle w:val="puces0"/>
      </w:pPr>
      <w:r>
        <w:t>Le besoin de reconnaître que la signification du temps pour l’enfant était différente de celle des adultes et qu’il jouait un rôle déterminant dans le développement de sa capacité d’attachement</w:t>
      </w:r>
      <w:r w:rsidR="0085330E">
        <w:rPr>
          <w:rFonts w:ascii="ZWAdobeF" w:hAnsi="ZWAdobeF" w:cs="ZWAdobeF"/>
          <w:color w:val="auto"/>
          <w:sz w:val="2"/>
          <w:szCs w:val="2"/>
        </w:rPr>
        <w:t>14F</w:t>
      </w:r>
      <w:r>
        <w:rPr>
          <w:rStyle w:val="Appelnotedebasdep"/>
        </w:rPr>
        <w:footnoteReference w:id="16"/>
      </w:r>
      <w:r w:rsidR="00220FCC">
        <w:rPr>
          <w:rFonts w:ascii="Arial" w:hAnsi="Arial" w:cs="Arial"/>
        </w:rPr>
        <w:t> </w:t>
      </w:r>
      <w:r w:rsidR="00D9562B">
        <w:t>;</w:t>
      </w:r>
    </w:p>
    <w:p w14:paraId="47506437" w14:textId="69CAFE1C" w:rsidR="00AF164D" w:rsidRDefault="006F19E9" w:rsidP="008A59CC">
      <w:pPr>
        <w:pStyle w:val="puces0"/>
        <w:rPr>
          <w:noProof/>
        </w:rPr>
      </w:pPr>
      <w:r>
        <w:t>Il invitait à se «</w:t>
      </w:r>
      <w:r w:rsidR="00D16B99">
        <w:rPr>
          <w:rFonts w:ascii="Arial" w:hAnsi="Arial" w:cs="Arial"/>
        </w:rPr>
        <w:t> </w:t>
      </w:r>
      <w:r>
        <w:t>mettre à l’heure de l’horloge psychique de l’enfant</w:t>
      </w:r>
      <w:r w:rsidR="00D16B99">
        <w:rPr>
          <w:rFonts w:ascii="Arial" w:hAnsi="Arial" w:cs="Arial"/>
        </w:rPr>
        <w:t> </w:t>
      </w:r>
      <w:r>
        <w:t>»</w:t>
      </w:r>
      <w:r w:rsidR="0085330E">
        <w:rPr>
          <w:rFonts w:ascii="ZWAdobeF" w:hAnsi="ZWAdobeF" w:cs="ZWAdobeF"/>
          <w:color w:val="auto"/>
          <w:sz w:val="2"/>
          <w:szCs w:val="2"/>
        </w:rPr>
        <w:t>15F</w:t>
      </w:r>
      <w:r>
        <w:rPr>
          <w:rStyle w:val="Appelnotedebasdep"/>
        </w:rPr>
        <w:footnoteReference w:id="17"/>
      </w:r>
      <w:r>
        <w:t>. C’est ce qui a mené à l’introduction de la notion de temps dans la LPJ.</w:t>
      </w:r>
    </w:p>
    <w:p w14:paraId="33832217" w14:textId="45F65777" w:rsidR="00E80CBC" w:rsidRDefault="00E80CBC" w:rsidP="003A1427">
      <w:pPr>
        <w:pStyle w:val="Paragraphe"/>
      </w:pPr>
      <w:r>
        <w:lastRenderedPageBreak/>
        <w:t>Au sujet des enfants abandonnés, le groupe de travail Jasmin a conclu que lorsqu’il y a peu d’espoir d’un maintien dans le milieu familial dans un délai raisonnable ou si l’intervention se révèle être un échec</w:t>
      </w:r>
      <w:r w:rsidR="006C6430">
        <w:t> </w:t>
      </w:r>
      <w:r>
        <w:t>:</w:t>
      </w:r>
    </w:p>
    <w:p w14:paraId="6D8E868D" w14:textId="2B836EC9" w:rsidR="00E80CBC" w:rsidRDefault="00E80CBC" w:rsidP="008A59CC">
      <w:pPr>
        <w:pStyle w:val="puces0"/>
      </w:pPr>
      <w:r>
        <w:t>Il faut consacrer les énergies à donner à l’enfant une «</w:t>
      </w:r>
      <w:r w:rsidR="00D16B99">
        <w:rPr>
          <w:rFonts w:ascii="Arial" w:hAnsi="Arial" w:cs="Arial"/>
        </w:rPr>
        <w:t> </w:t>
      </w:r>
      <w:r>
        <w:t>continuité relationnelle ou lui permettre de rencontrer des parents psychologiquement capables de répondre à ses besoins dans la permanence</w:t>
      </w:r>
      <w:r w:rsidR="00D16B99">
        <w:rPr>
          <w:rFonts w:ascii="Arial" w:hAnsi="Arial" w:cs="Arial"/>
        </w:rPr>
        <w:t> </w:t>
      </w:r>
      <w:r>
        <w:t>»</w:t>
      </w:r>
      <w:r w:rsidR="0085330E">
        <w:rPr>
          <w:rFonts w:ascii="ZWAdobeF" w:hAnsi="ZWAdobeF" w:cs="ZWAdobeF"/>
          <w:color w:val="auto"/>
          <w:sz w:val="2"/>
          <w:szCs w:val="2"/>
        </w:rPr>
        <w:t>16F</w:t>
      </w:r>
      <w:r w:rsidR="00A766B9">
        <w:rPr>
          <w:rStyle w:val="Appelnotedebasdep"/>
        </w:rPr>
        <w:footnoteReference w:id="18"/>
      </w:r>
      <w:r w:rsidR="00220FCC">
        <w:rPr>
          <w:rFonts w:ascii="Arial" w:hAnsi="Arial" w:cs="Arial"/>
        </w:rPr>
        <w:t> </w:t>
      </w:r>
      <w:r w:rsidR="006601C4">
        <w:t>;</w:t>
      </w:r>
    </w:p>
    <w:p w14:paraId="0629B4DD" w14:textId="6C3DDD19" w:rsidR="00AF164D" w:rsidRDefault="00E80CBC" w:rsidP="008A59CC">
      <w:pPr>
        <w:pStyle w:val="puces0"/>
        <w:rPr>
          <w:noProof/>
        </w:rPr>
      </w:pPr>
      <w:r>
        <w:t>L’État doit concentrer ses efforts à favoriser la mise en place de conditions rendant possible l’attachement réciproque d’un enfant et d’une famille. Il doit être un instrument catalyseur et il ne saurait être un substitut parental affectif</w:t>
      </w:r>
      <w:r w:rsidR="0085330E">
        <w:rPr>
          <w:rFonts w:ascii="ZWAdobeF" w:hAnsi="ZWAdobeF" w:cs="ZWAdobeF"/>
          <w:color w:val="auto"/>
          <w:sz w:val="2"/>
          <w:szCs w:val="2"/>
        </w:rPr>
        <w:t>17F</w:t>
      </w:r>
      <w:r w:rsidR="00A766B9">
        <w:rPr>
          <w:rStyle w:val="Appelnotedebasdep"/>
        </w:rPr>
        <w:footnoteReference w:id="19"/>
      </w:r>
      <w:r>
        <w:t>.</w:t>
      </w:r>
    </w:p>
    <w:p w14:paraId="291E3486" w14:textId="1C57FE3F" w:rsidR="00AF164D" w:rsidRDefault="005567CA" w:rsidP="003A1427">
      <w:pPr>
        <w:pStyle w:val="Paragraphe"/>
        <w:rPr>
          <w:noProof/>
        </w:rPr>
      </w:pPr>
      <w:r w:rsidRPr="005567CA">
        <w:t>Puis, en 2004, le comité d’experts Dumais a traité en profondeur de la question de la stabilité des liens et des conditions de vie de l’enfant</w:t>
      </w:r>
      <w:r w:rsidR="0085330E">
        <w:rPr>
          <w:rFonts w:ascii="ZWAdobeF" w:hAnsi="ZWAdobeF" w:cs="ZWAdobeF"/>
          <w:sz w:val="2"/>
          <w:szCs w:val="2"/>
        </w:rPr>
        <w:t>18F</w:t>
      </w:r>
      <w:r>
        <w:rPr>
          <w:rStyle w:val="Appelnotedebasdep"/>
        </w:rPr>
        <w:footnoteReference w:id="20"/>
      </w:r>
      <w:r w:rsidRPr="005567CA">
        <w:t>. Son rapport a mis en évidence l’importance de l’attachement de l’enfant en s’appuyant sur l’état des connaissances qui démontraient que</w:t>
      </w:r>
      <w:r w:rsidR="006C6430">
        <w:t> </w:t>
      </w:r>
      <w:r w:rsidRPr="005567CA">
        <w:t>:</w:t>
      </w:r>
    </w:p>
    <w:p w14:paraId="1B07590C" w14:textId="76C17B98" w:rsidR="0016646B" w:rsidRPr="004C3D65" w:rsidRDefault="0016646B" w:rsidP="008A59CC">
      <w:pPr>
        <w:pStyle w:val="puces0"/>
      </w:pPr>
      <w:r w:rsidRPr="004C3D65">
        <w:t>Le développement d’un lien d’attachement sécurisant est un facteur décisif du développement normal parce qu’il participe au développement de la confiance en soi et de la capacité d’intimité et qu’il est déterminant dans le processus de socialisation</w:t>
      </w:r>
      <w:r w:rsidR="0085330E">
        <w:rPr>
          <w:rFonts w:ascii="ZWAdobeF" w:hAnsi="ZWAdobeF" w:cs="ZWAdobeF"/>
          <w:color w:val="auto"/>
          <w:sz w:val="2"/>
          <w:szCs w:val="2"/>
        </w:rPr>
        <w:t>19F</w:t>
      </w:r>
      <w:r w:rsidRPr="004C3D65">
        <w:rPr>
          <w:vertAlign w:val="superscript"/>
        </w:rPr>
        <w:footnoteReference w:id="21"/>
      </w:r>
      <w:r w:rsidR="004A21EC">
        <w:rPr>
          <w:rFonts w:ascii="Arial" w:hAnsi="Arial" w:cs="Arial"/>
        </w:rPr>
        <w:t> </w:t>
      </w:r>
      <w:r w:rsidRPr="006601C4">
        <w:t>;</w:t>
      </w:r>
    </w:p>
    <w:p w14:paraId="03EFDE21" w14:textId="77AF65B5" w:rsidR="0016646B" w:rsidRPr="004C3D65" w:rsidRDefault="0016646B" w:rsidP="008A59CC">
      <w:pPr>
        <w:pStyle w:val="puces0"/>
      </w:pPr>
      <w:r w:rsidRPr="004C3D65">
        <w:t>Les effets négatifs de la négligence et de l’incapacité des parents à reconnaître les besoins de l’enfant et à y répondre sur la capacité d’attachement de l’enfant</w:t>
      </w:r>
      <w:r w:rsidR="0085330E">
        <w:rPr>
          <w:rFonts w:ascii="ZWAdobeF" w:hAnsi="ZWAdobeF" w:cs="ZWAdobeF"/>
          <w:color w:val="auto"/>
          <w:sz w:val="2"/>
          <w:szCs w:val="2"/>
        </w:rPr>
        <w:t>20F</w:t>
      </w:r>
      <w:r w:rsidRPr="004C3D65">
        <w:rPr>
          <w:vertAlign w:val="superscript"/>
        </w:rPr>
        <w:footnoteReference w:id="22"/>
      </w:r>
      <w:r w:rsidR="004A21EC">
        <w:rPr>
          <w:rFonts w:ascii="Arial" w:hAnsi="Arial" w:cs="Arial"/>
        </w:rPr>
        <w:t> </w:t>
      </w:r>
      <w:r w:rsidR="004C3D65">
        <w:t>;</w:t>
      </w:r>
    </w:p>
    <w:p w14:paraId="24295761" w14:textId="1FF2B8C6" w:rsidR="0016646B" w:rsidRPr="004C3D65" w:rsidRDefault="0016646B" w:rsidP="008A59CC">
      <w:pPr>
        <w:pStyle w:val="puces0"/>
      </w:pPr>
      <w:r w:rsidRPr="004C3D65">
        <w:t>L’importance de stimulations et d’interactions positives au cours des premières années de vie de l’enfant</w:t>
      </w:r>
      <w:r w:rsidR="004A21EC">
        <w:rPr>
          <w:rFonts w:ascii="Arial" w:hAnsi="Arial" w:cs="Arial"/>
        </w:rPr>
        <w:t> </w:t>
      </w:r>
      <w:r w:rsidRPr="004C3D65">
        <w:t>;</w:t>
      </w:r>
    </w:p>
    <w:p w14:paraId="6109F156" w14:textId="1EDDDBC0" w:rsidR="0016646B" w:rsidRPr="004C3D65" w:rsidRDefault="0016646B" w:rsidP="008A59CC">
      <w:pPr>
        <w:pStyle w:val="puces0"/>
      </w:pPr>
      <w:r w:rsidRPr="004C3D65">
        <w:t>Plus un enfant est placé en bas âge, meilleures sont ses chances de développer un attachement sécurisan</w:t>
      </w:r>
      <w:bookmarkStart w:id="24" w:name="_bookmark25"/>
      <w:bookmarkEnd w:id="24"/>
      <w:r w:rsidRPr="004C3D65">
        <w:t>t</w:t>
      </w:r>
      <w:bookmarkStart w:id="25" w:name="_Ref200456245"/>
      <w:r w:rsidR="0085330E">
        <w:rPr>
          <w:rFonts w:ascii="ZWAdobeF" w:hAnsi="ZWAdobeF" w:cs="ZWAdobeF"/>
          <w:color w:val="auto"/>
          <w:sz w:val="2"/>
          <w:szCs w:val="2"/>
        </w:rPr>
        <w:t>21F</w:t>
      </w:r>
      <w:r w:rsidRPr="004C3D65">
        <w:rPr>
          <w:vertAlign w:val="superscript"/>
        </w:rPr>
        <w:footnoteReference w:id="23"/>
      </w:r>
      <w:bookmarkEnd w:id="25"/>
      <w:r w:rsidR="004A21EC">
        <w:rPr>
          <w:rFonts w:ascii="Arial" w:hAnsi="Arial" w:cs="Arial"/>
          <w:vertAlign w:val="superscript"/>
        </w:rPr>
        <w:t> </w:t>
      </w:r>
      <w:r w:rsidRPr="004C3D65">
        <w:t>;</w:t>
      </w:r>
    </w:p>
    <w:p w14:paraId="557C6CEC" w14:textId="40440621" w:rsidR="0016646B" w:rsidRPr="004C3D65" w:rsidRDefault="0016646B" w:rsidP="008A59CC">
      <w:pPr>
        <w:pStyle w:val="puces0"/>
      </w:pPr>
      <w:r w:rsidRPr="0016646B">
        <w:t>Le fait que ce soit un membre de la parenté qui adopte l’enfant, devienne son tuteur ou l’accueille dans le cadre d’un placement à plus long terme peut permettre à l’enfant de maintenir</w:t>
      </w:r>
      <w:r w:rsidRPr="004C3D65">
        <w:t xml:space="preserve"> </w:t>
      </w:r>
      <w:r w:rsidRPr="0016646B">
        <w:t>des</w:t>
      </w:r>
      <w:r w:rsidRPr="004C3D65">
        <w:t xml:space="preserve"> </w:t>
      </w:r>
      <w:r w:rsidRPr="0016646B">
        <w:t>liens</w:t>
      </w:r>
      <w:r w:rsidRPr="004C3D65">
        <w:t xml:space="preserve"> </w:t>
      </w:r>
      <w:r w:rsidRPr="0016646B">
        <w:t>d’attachement</w:t>
      </w:r>
      <w:r w:rsidRPr="004C3D65">
        <w:t xml:space="preserve"> </w:t>
      </w:r>
      <w:r w:rsidRPr="0016646B">
        <w:t>importants</w:t>
      </w:r>
      <w:r w:rsidRPr="004C3D65">
        <w:t xml:space="preserve"> </w:t>
      </w:r>
      <w:r w:rsidRPr="0016646B">
        <w:t>et</w:t>
      </w:r>
      <w:r w:rsidRPr="004C3D65">
        <w:t xml:space="preserve"> </w:t>
      </w:r>
      <w:r w:rsidRPr="0016646B">
        <w:t>limiter</w:t>
      </w:r>
      <w:r w:rsidRPr="004C3D65">
        <w:t xml:space="preserve"> </w:t>
      </w:r>
      <w:r w:rsidRPr="0016646B">
        <w:t>les</w:t>
      </w:r>
      <w:r w:rsidRPr="004C3D65">
        <w:t xml:space="preserve"> </w:t>
      </w:r>
      <w:r w:rsidRPr="0016646B">
        <w:t>effets</w:t>
      </w:r>
      <w:r w:rsidRPr="004C3D65">
        <w:t xml:space="preserve"> </w:t>
      </w:r>
      <w:r w:rsidRPr="0016646B">
        <w:t>négatifs</w:t>
      </w:r>
      <w:r w:rsidRPr="004C3D65">
        <w:t xml:space="preserve"> </w:t>
      </w:r>
      <w:r w:rsidRPr="0016646B">
        <w:t>de</w:t>
      </w:r>
      <w:r w:rsidRPr="004C3D65">
        <w:t xml:space="preserve"> </w:t>
      </w:r>
      <w:r w:rsidRPr="0016646B">
        <w:t>la</w:t>
      </w:r>
      <w:r w:rsidRPr="004C3D65">
        <w:t xml:space="preserve"> </w:t>
      </w:r>
      <w:r w:rsidRPr="0016646B">
        <w:t>séparation d’avec son milieu familial</w:t>
      </w:r>
      <w:hyperlink w:anchor="_bookmark32" w:history="1">
        <w:r w:rsidR="0085330E">
          <w:rPr>
            <w:rFonts w:ascii="ZWAdobeF" w:hAnsi="ZWAdobeF" w:cs="ZWAdobeF"/>
            <w:color w:val="auto"/>
            <w:sz w:val="2"/>
            <w:szCs w:val="2"/>
          </w:rPr>
          <w:t>22F</w:t>
        </w:r>
        <w:r w:rsidRPr="004C3D65">
          <w:rPr>
            <w:vertAlign w:val="superscript"/>
          </w:rPr>
          <w:footnoteReference w:id="24"/>
        </w:r>
        <w:r w:rsidRPr="004C3D65">
          <w:t>.</w:t>
        </w:r>
      </w:hyperlink>
    </w:p>
    <w:p w14:paraId="1023C764" w14:textId="77777777" w:rsidR="00D423CD" w:rsidRDefault="00D423CD">
      <w:pPr>
        <w:suppressAutoHyphens w:val="0"/>
        <w:autoSpaceDE/>
        <w:autoSpaceDN/>
        <w:adjustRightInd/>
        <w:jc w:val="left"/>
        <w:textAlignment w:val="auto"/>
      </w:pPr>
      <w:r>
        <w:br w:type="page"/>
      </w:r>
    </w:p>
    <w:p w14:paraId="52C90673" w14:textId="1C7A0523" w:rsidR="000F7316" w:rsidRDefault="000F7316" w:rsidP="003A1427">
      <w:pPr>
        <w:pStyle w:val="Paragraphe"/>
      </w:pPr>
      <w:r>
        <w:lastRenderedPageBreak/>
        <w:t>Le comité d’experts Dumais a recommandé</w:t>
      </w:r>
      <w:r w:rsidR="006C6430">
        <w:t> </w:t>
      </w:r>
      <w:r>
        <w:t>:</w:t>
      </w:r>
    </w:p>
    <w:p w14:paraId="351C8853" w14:textId="0CABEE5E" w:rsidR="00AF164D" w:rsidRDefault="000F7316" w:rsidP="008A59CC">
      <w:pPr>
        <w:pStyle w:val="puces0"/>
      </w:pPr>
      <w:r>
        <w:t>De modifier l’article</w:t>
      </w:r>
      <w:r w:rsidR="00104A0F">
        <w:t> </w:t>
      </w:r>
      <w:r>
        <w:t>4 de la LPJ pour que le principe de la continuité des soins et de la stabilité des liens et des conditions de vie de l’enfant soit d’abord mentionné comme devant guider toutes les décisions prises à l’égard de l’enfant en vertu de la loi</w:t>
      </w:r>
      <w:r w:rsidR="0085330E">
        <w:rPr>
          <w:rFonts w:ascii="ZWAdobeF" w:hAnsi="ZWAdobeF" w:cs="ZWAdobeF"/>
          <w:color w:val="auto"/>
          <w:sz w:val="2"/>
          <w:szCs w:val="2"/>
        </w:rPr>
        <w:t>23F</w:t>
      </w:r>
      <w:r w:rsidRPr="00171AC1">
        <w:rPr>
          <w:vertAlign w:val="superscript"/>
        </w:rPr>
        <w:footnoteReference w:id="25"/>
      </w:r>
      <w:r w:rsidR="004A21EC">
        <w:rPr>
          <w:rFonts w:ascii="Arial" w:hAnsi="Arial" w:cs="Arial"/>
          <w:vertAlign w:val="superscript"/>
        </w:rPr>
        <w:t> </w:t>
      </w:r>
      <w:r>
        <w:t>;</w:t>
      </w:r>
    </w:p>
    <w:p w14:paraId="426D1750" w14:textId="04F45A89" w:rsidR="00035790" w:rsidRDefault="00035790" w:rsidP="008A59CC">
      <w:pPr>
        <w:pStyle w:val="puces0"/>
      </w:pPr>
      <w:r>
        <w:t>D’élaborer un projet de vie permanent pour chaque enfant placé à l’extérieur du milieu familial, dont celui du placement à long terme en ressource d’accueil</w:t>
      </w:r>
      <w:r w:rsidR="004A21EC">
        <w:rPr>
          <w:rFonts w:ascii="Arial" w:hAnsi="Arial" w:cs="Arial"/>
        </w:rPr>
        <w:t> </w:t>
      </w:r>
      <w:r>
        <w:t>;</w:t>
      </w:r>
    </w:p>
    <w:p w14:paraId="1EB69854" w14:textId="3AE43F7A" w:rsidR="00AF164D" w:rsidRDefault="00035790" w:rsidP="008A59CC">
      <w:pPr>
        <w:pStyle w:val="puces0"/>
        <w:rPr>
          <w:noProof/>
        </w:rPr>
      </w:pPr>
      <w:r>
        <w:t>L’élaboration de projets de vie concurrents pour les enfants présentant un risque élevé d’abandon ou pour qui un retour dans le milieu familial s’avère peu probable</w:t>
      </w:r>
      <w:r w:rsidR="0085330E">
        <w:rPr>
          <w:rFonts w:ascii="ZWAdobeF" w:hAnsi="ZWAdobeF" w:cs="ZWAdobeF"/>
          <w:color w:val="auto"/>
          <w:sz w:val="2"/>
          <w:szCs w:val="2"/>
        </w:rPr>
        <w:t>24F</w:t>
      </w:r>
      <w:r>
        <w:rPr>
          <w:rStyle w:val="Appelnotedebasdep"/>
        </w:rPr>
        <w:footnoteReference w:id="26"/>
      </w:r>
      <w:r>
        <w:t>.</w:t>
      </w:r>
    </w:p>
    <w:p w14:paraId="65D1FE68" w14:textId="583C5692" w:rsidR="00B208D5" w:rsidRPr="00B208D5" w:rsidRDefault="00502FE1" w:rsidP="00F93AC5">
      <w:pPr>
        <w:pStyle w:val="Titre2"/>
      </w:pPr>
      <w:bookmarkStart w:id="26" w:name="_Toc201330479"/>
      <w:r>
        <w:t>1.2</w:t>
      </w:r>
      <w:r>
        <w:tab/>
      </w:r>
      <w:r w:rsidR="00B208D5" w:rsidRPr="00B208D5">
        <w:t>Un virage pour assurer un projet de vie à chaque enfant</w:t>
      </w:r>
      <w:r w:rsidR="006C6430">
        <w:t> </w:t>
      </w:r>
      <w:r w:rsidR="00B208D5" w:rsidRPr="00B208D5">
        <w:t>: la réforme de la LPJ en 2006</w:t>
      </w:r>
      <w:bookmarkEnd w:id="26"/>
    </w:p>
    <w:p w14:paraId="2C5C5007" w14:textId="51D6CDB7" w:rsidR="00E228B4" w:rsidRDefault="003944F8" w:rsidP="003A1427">
      <w:pPr>
        <w:pStyle w:val="Paragraphe"/>
      </w:pPr>
      <w:r w:rsidRPr="003944F8">
        <w:t>Les travaux du comité d’experts Dumais ont mené à la réforme de la LPJ en 2006. Le Québec s’inspirait d’une mouvance nord-</w:t>
      </w:r>
      <w:r w:rsidR="00AD0A87" w:rsidRPr="003944F8">
        <w:t>américain</w:t>
      </w:r>
      <w:r w:rsidR="00AD0A87">
        <w:t>e</w:t>
      </w:r>
      <w:r w:rsidR="00530274">
        <w:t xml:space="preserve"> </w:t>
      </w:r>
      <w:r w:rsidR="002E44A4">
        <w:t>—</w:t>
      </w:r>
      <w:r w:rsidRPr="003944F8">
        <w:t xml:space="preserve"> incluant dans les autres législations du Canada</w:t>
      </w:r>
      <w:r w:rsidR="00530274">
        <w:t xml:space="preserve"> </w:t>
      </w:r>
      <w:r w:rsidR="002E44A4">
        <w:t>—</w:t>
      </w:r>
      <w:r w:rsidRPr="003944F8">
        <w:t xml:space="preserve"> qui reposait sur la volonté d’éviter les placements inutiles et prolongés</w:t>
      </w:r>
      <w:r w:rsidR="0085330E">
        <w:rPr>
          <w:rFonts w:ascii="ZWAdobeF" w:hAnsi="ZWAdobeF" w:cs="ZWAdobeF"/>
          <w:sz w:val="2"/>
          <w:szCs w:val="2"/>
        </w:rPr>
        <w:t>25F</w:t>
      </w:r>
      <w:r>
        <w:rPr>
          <w:rStyle w:val="Appelnotedebasdep"/>
        </w:rPr>
        <w:footnoteReference w:id="27"/>
      </w:r>
      <w:r w:rsidRPr="003944F8">
        <w:t>. La réforme prenait appui sur la théorie de l’attachement</w:t>
      </w:r>
      <w:bookmarkStart w:id="27" w:name="_Ref200456292"/>
      <w:r w:rsidR="0085330E">
        <w:rPr>
          <w:rFonts w:ascii="ZWAdobeF" w:hAnsi="ZWAdobeF" w:cs="ZWAdobeF"/>
          <w:sz w:val="2"/>
          <w:szCs w:val="2"/>
        </w:rPr>
        <w:t>26F</w:t>
      </w:r>
      <w:r w:rsidR="002A52B7">
        <w:rPr>
          <w:rStyle w:val="Appelnotedebasdep"/>
        </w:rPr>
        <w:footnoteReference w:id="28"/>
      </w:r>
      <w:bookmarkEnd w:id="27"/>
      <w:r w:rsidRPr="003944F8">
        <w:t>, laquelle se résume au fait pour l’enfant</w:t>
      </w:r>
      <w:r w:rsidR="006C6430">
        <w:t> </w:t>
      </w:r>
      <w:r w:rsidRPr="003944F8">
        <w:t>:</w:t>
      </w:r>
    </w:p>
    <w:p w14:paraId="57B50005" w14:textId="554E5A86" w:rsidR="002A52B7" w:rsidRDefault="002A52B7" w:rsidP="008A59CC">
      <w:pPr>
        <w:pStyle w:val="puces0"/>
      </w:pPr>
      <w:r>
        <w:t>D’avoir un lien affectif stable avec un adulte significatif</w:t>
      </w:r>
      <w:r w:rsidR="004A21EC">
        <w:rPr>
          <w:rFonts w:ascii="Arial" w:hAnsi="Arial" w:cs="Arial"/>
        </w:rPr>
        <w:t> </w:t>
      </w:r>
      <w:r>
        <w:t>;</w:t>
      </w:r>
    </w:p>
    <w:p w14:paraId="35093C9E" w14:textId="389ED952" w:rsidR="003944F8" w:rsidRDefault="002A52B7" w:rsidP="008A59CC">
      <w:pPr>
        <w:pStyle w:val="puces0"/>
      </w:pPr>
      <w:r>
        <w:t>De bénéficier le plus tôt possible d’interaction répétée avec le parent</w:t>
      </w:r>
      <w:r w:rsidR="0085330E">
        <w:rPr>
          <w:rFonts w:ascii="ZWAdobeF" w:hAnsi="ZWAdobeF" w:cs="ZWAdobeF"/>
          <w:color w:val="auto"/>
          <w:sz w:val="2"/>
          <w:szCs w:val="2"/>
        </w:rPr>
        <w:t>27F</w:t>
      </w:r>
      <w:r>
        <w:rPr>
          <w:rStyle w:val="Appelnotedebasdep"/>
        </w:rPr>
        <w:footnoteReference w:id="29"/>
      </w:r>
      <w:r>
        <w:t>.</w:t>
      </w:r>
    </w:p>
    <w:p w14:paraId="2FE21029" w14:textId="4F57D651" w:rsidR="002C213D" w:rsidRDefault="002C213D" w:rsidP="003A1427">
      <w:pPr>
        <w:pStyle w:val="Paragraphe"/>
      </w:pPr>
      <w:r>
        <w:t>L’approche du maintien de l’enfant dans la famille avant tout était remise en question</w:t>
      </w:r>
      <w:r w:rsidR="0085330E">
        <w:rPr>
          <w:rFonts w:ascii="ZWAdobeF" w:hAnsi="ZWAdobeF" w:cs="ZWAdobeF"/>
          <w:sz w:val="2"/>
          <w:szCs w:val="2"/>
        </w:rPr>
        <w:t>28F</w:t>
      </w:r>
      <w:r w:rsidR="0045210B">
        <w:rPr>
          <w:rStyle w:val="Appelnotedebasdep"/>
        </w:rPr>
        <w:footnoteReference w:id="30"/>
      </w:r>
      <w:r>
        <w:t>. L’accent était alors mis sur les liens significatifs entre l’enfant et les personnes qui peuvent en prendre soin, qui ne font pas automatiquement partie de la famille biologique</w:t>
      </w:r>
      <w:r w:rsidR="0085330E">
        <w:rPr>
          <w:rFonts w:ascii="ZWAdobeF" w:hAnsi="ZWAdobeF" w:cs="ZWAdobeF"/>
          <w:sz w:val="2"/>
          <w:szCs w:val="2"/>
        </w:rPr>
        <w:t>29F</w:t>
      </w:r>
      <w:r>
        <w:rPr>
          <w:rStyle w:val="Appelnotedebasdep"/>
        </w:rPr>
        <w:footnoteReference w:id="31"/>
      </w:r>
      <w:r>
        <w:t>.</w:t>
      </w:r>
    </w:p>
    <w:p w14:paraId="78A1B7B7" w14:textId="47F1E92C" w:rsidR="002C213D" w:rsidRDefault="002C213D" w:rsidP="003A1427">
      <w:pPr>
        <w:pStyle w:val="Paragraphe"/>
      </w:pPr>
      <w:r>
        <w:t>Les modifications apportées ont permis de mettre de l’avant les besoins de l’enfant et le respect de son intérêt et de ses droits, en établissant ce qui suit</w:t>
      </w:r>
      <w:r w:rsidR="00914C42">
        <w:t> </w:t>
      </w:r>
      <w:r>
        <w:t>:</w:t>
      </w:r>
    </w:p>
    <w:p w14:paraId="7940E08D" w14:textId="531F9774" w:rsidR="00BC0023" w:rsidRPr="00BC0023" w:rsidRDefault="00BC0023" w:rsidP="008A59CC">
      <w:pPr>
        <w:pStyle w:val="puces0"/>
      </w:pPr>
      <w:r w:rsidRPr="00BC0023">
        <w:t>La</w:t>
      </w:r>
      <w:r w:rsidRPr="00BC0023">
        <w:rPr>
          <w:spacing w:val="-2"/>
        </w:rPr>
        <w:t xml:space="preserve"> </w:t>
      </w:r>
      <w:r w:rsidRPr="00BC0023">
        <w:t>stabilité</w:t>
      </w:r>
      <w:r w:rsidRPr="00BC0023">
        <w:rPr>
          <w:spacing w:val="-3"/>
        </w:rPr>
        <w:t xml:space="preserve"> </w:t>
      </w:r>
      <w:r w:rsidRPr="00BC0023">
        <w:t>de</w:t>
      </w:r>
      <w:r w:rsidRPr="00BC0023">
        <w:rPr>
          <w:spacing w:val="-1"/>
        </w:rPr>
        <w:t xml:space="preserve"> </w:t>
      </w:r>
      <w:r w:rsidRPr="00BC0023">
        <w:t>l’enfant est</w:t>
      </w:r>
      <w:r w:rsidRPr="00BC0023">
        <w:rPr>
          <w:spacing w:val="-4"/>
        </w:rPr>
        <w:t xml:space="preserve"> </w:t>
      </w:r>
      <w:r w:rsidRPr="00BC0023">
        <w:t>l’objectif</w:t>
      </w:r>
      <w:r w:rsidRPr="00BC0023">
        <w:rPr>
          <w:spacing w:val="-3"/>
        </w:rPr>
        <w:t xml:space="preserve"> </w:t>
      </w:r>
      <w:r w:rsidRPr="00BC0023">
        <w:t>à</w:t>
      </w:r>
      <w:r w:rsidRPr="00BC0023">
        <w:rPr>
          <w:spacing w:val="-4"/>
        </w:rPr>
        <w:t xml:space="preserve"> </w:t>
      </w:r>
      <w:r w:rsidRPr="00BC0023">
        <w:t>suivre</w:t>
      </w:r>
      <w:r w:rsidRPr="00BC0023">
        <w:rPr>
          <w:spacing w:val="-2"/>
        </w:rPr>
        <w:t xml:space="preserve"> </w:t>
      </w:r>
      <w:r w:rsidRPr="00BC0023">
        <w:t>pour</w:t>
      </w:r>
      <w:r w:rsidRPr="00BC0023">
        <w:rPr>
          <w:spacing w:val="-4"/>
        </w:rPr>
        <w:t xml:space="preserve"> </w:t>
      </w:r>
      <w:r w:rsidRPr="00BC0023">
        <w:t>élaborer</w:t>
      </w:r>
      <w:r w:rsidRPr="00BC0023">
        <w:rPr>
          <w:spacing w:val="-2"/>
        </w:rPr>
        <w:t xml:space="preserve"> </w:t>
      </w:r>
      <w:r w:rsidRPr="00BC0023">
        <w:t>les</w:t>
      </w:r>
      <w:r w:rsidRPr="00BC0023">
        <w:rPr>
          <w:spacing w:val="-6"/>
        </w:rPr>
        <w:t xml:space="preserve"> </w:t>
      </w:r>
      <w:r w:rsidRPr="00BC0023">
        <w:t>mesures</w:t>
      </w:r>
      <w:r w:rsidRPr="00BC0023">
        <w:rPr>
          <w:spacing w:val="-3"/>
        </w:rPr>
        <w:t xml:space="preserve"> </w:t>
      </w:r>
      <w:r w:rsidRPr="00BC0023">
        <w:t>permanentes</w:t>
      </w:r>
      <w:r w:rsidRPr="00BC0023">
        <w:rPr>
          <w:spacing w:val="-3"/>
        </w:rPr>
        <w:t xml:space="preserve"> </w:t>
      </w:r>
      <w:r w:rsidRPr="00BC0023">
        <w:t>à</w:t>
      </w:r>
      <w:r w:rsidRPr="00BC0023">
        <w:rPr>
          <w:spacing w:val="-4"/>
        </w:rPr>
        <w:t xml:space="preserve"> </w:t>
      </w:r>
      <w:r w:rsidRPr="00BC0023">
        <w:t>mettre en place</w:t>
      </w:r>
      <w:r w:rsidR="004A21EC">
        <w:rPr>
          <w:rFonts w:ascii="Arial" w:hAnsi="Arial" w:cs="Arial"/>
        </w:rPr>
        <w:t> </w:t>
      </w:r>
      <w:r w:rsidRPr="00BC0023">
        <w:t>;</w:t>
      </w:r>
    </w:p>
    <w:p w14:paraId="3EA82A87" w14:textId="77C5BE8F" w:rsidR="00BC0023" w:rsidRDefault="00BC0023" w:rsidP="008A59CC">
      <w:pPr>
        <w:pStyle w:val="puces0"/>
      </w:pPr>
      <w:r w:rsidRPr="00BC0023">
        <w:lastRenderedPageBreak/>
        <w:t>Il</w:t>
      </w:r>
      <w:r w:rsidRPr="00BC0023">
        <w:rPr>
          <w:spacing w:val="-7"/>
        </w:rPr>
        <w:t xml:space="preserve"> </w:t>
      </w:r>
      <w:r w:rsidRPr="00BC0023">
        <w:t>est</w:t>
      </w:r>
      <w:r w:rsidRPr="00BC0023">
        <w:rPr>
          <w:spacing w:val="-6"/>
        </w:rPr>
        <w:t xml:space="preserve"> </w:t>
      </w:r>
      <w:r w:rsidRPr="00BC0023">
        <w:t>nécessaire</w:t>
      </w:r>
      <w:r w:rsidRPr="00BC0023">
        <w:rPr>
          <w:spacing w:val="-3"/>
        </w:rPr>
        <w:t xml:space="preserve"> </w:t>
      </w:r>
      <w:r w:rsidRPr="00BC0023">
        <w:t>de</w:t>
      </w:r>
      <w:r w:rsidRPr="00BC0023">
        <w:rPr>
          <w:spacing w:val="-5"/>
        </w:rPr>
        <w:t xml:space="preserve"> </w:t>
      </w:r>
      <w:r w:rsidRPr="00BC0023">
        <w:t>s’adapter</w:t>
      </w:r>
      <w:r w:rsidRPr="00BC0023">
        <w:rPr>
          <w:spacing w:val="-5"/>
        </w:rPr>
        <w:t xml:space="preserve"> </w:t>
      </w:r>
      <w:r w:rsidRPr="00BC0023">
        <w:t>au</w:t>
      </w:r>
      <w:r w:rsidRPr="00BC0023">
        <w:rPr>
          <w:spacing w:val="-4"/>
        </w:rPr>
        <w:t xml:space="preserve"> </w:t>
      </w:r>
      <w:r w:rsidRPr="00BC0023">
        <w:t>temps</w:t>
      </w:r>
      <w:r w:rsidRPr="00BC0023">
        <w:rPr>
          <w:spacing w:val="-6"/>
        </w:rPr>
        <w:t xml:space="preserve"> </w:t>
      </w:r>
      <w:r w:rsidRPr="00BC0023">
        <w:t>de</w:t>
      </w:r>
      <w:r w:rsidRPr="00BC0023">
        <w:rPr>
          <w:spacing w:val="-5"/>
        </w:rPr>
        <w:t xml:space="preserve"> </w:t>
      </w:r>
      <w:r w:rsidRPr="00BC0023">
        <w:t>l’enfant,</w:t>
      </w:r>
      <w:r w:rsidRPr="00BC0023">
        <w:rPr>
          <w:spacing w:val="-7"/>
        </w:rPr>
        <w:t xml:space="preserve"> </w:t>
      </w:r>
      <w:r w:rsidRPr="00BC0023">
        <w:t>particulièrement</w:t>
      </w:r>
      <w:r w:rsidRPr="00BC0023">
        <w:rPr>
          <w:spacing w:val="-3"/>
        </w:rPr>
        <w:t xml:space="preserve"> </w:t>
      </w:r>
      <w:r w:rsidRPr="00BC0023">
        <w:t>celui</w:t>
      </w:r>
      <w:r w:rsidRPr="00BC0023">
        <w:rPr>
          <w:spacing w:val="-6"/>
        </w:rPr>
        <w:t xml:space="preserve"> </w:t>
      </w:r>
      <w:r w:rsidRPr="00BC0023">
        <w:t>des</w:t>
      </w:r>
      <w:r w:rsidRPr="00BC0023">
        <w:rPr>
          <w:spacing w:val="-5"/>
        </w:rPr>
        <w:t xml:space="preserve"> </w:t>
      </w:r>
      <w:r w:rsidRPr="00BC0023">
        <w:t>enfants</w:t>
      </w:r>
      <w:r w:rsidRPr="00BC0023">
        <w:rPr>
          <w:spacing w:val="-5"/>
        </w:rPr>
        <w:t xml:space="preserve"> </w:t>
      </w:r>
      <w:r w:rsidRPr="00BC0023">
        <w:t>en</w:t>
      </w:r>
      <w:r w:rsidRPr="00BC0023">
        <w:rPr>
          <w:spacing w:val="-3"/>
        </w:rPr>
        <w:t xml:space="preserve"> </w:t>
      </w:r>
      <w:r w:rsidRPr="00BC0023">
        <w:rPr>
          <w:spacing w:val="-5"/>
        </w:rPr>
        <w:t xml:space="preserve">bas </w:t>
      </w:r>
      <w:r>
        <w:t>âge</w:t>
      </w:r>
      <w:r w:rsidR="0085330E">
        <w:rPr>
          <w:rFonts w:ascii="ZWAdobeF" w:hAnsi="ZWAdobeF" w:cs="ZWAdobeF"/>
          <w:color w:val="auto"/>
          <w:sz w:val="2"/>
          <w:szCs w:val="2"/>
        </w:rPr>
        <w:t>30F</w:t>
      </w:r>
      <w:r>
        <w:rPr>
          <w:rStyle w:val="Appelnotedebasdep"/>
        </w:rPr>
        <w:footnoteReference w:id="32"/>
      </w:r>
      <w:r w:rsidR="004A21EC">
        <w:rPr>
          <w:rFonts w:ascii="Arial" w:hAnsi="Arial" w:cs="Arial"/>
          <w:spacing w:val="10"/>
          <w:position w:val="8"/>
          <w:sz w:val="13"/>
        </w:rPr>
        <w:t> </w:t>
      </w:r>
      <w:r w:rsidRPr="00BC0023">
        <w:rPr>
          <w:spacing w:val="-10"/>
        </w:rPr>
        <w:t>;</w:t>
      </w:r>
    </w:p>
    <w:p w14:paraId="54744F9D" w14:textId="77923BB2" w:rsidR="00BC0023" w:rsidRPr="00BC0023" w:rsidRDefault="00BC0023" w:rsidP="008A59CC">
      <w:pPr>
        <w:pStyle w:val="puces0"/>
      </w:pPr>
      <w:r w:rsidRPr="00BC0023">
        <w:t>Lorsque</w:t>
      </w:r>
      <w:r w:rsidRPr="00BC0023">
        <w:rPr>
          <w:spacing w:val="-1"/>
        </w:rPr>
        <w:t xml:space="preserve"> </w:t>
      </w:r>
      <w:r w:rsidRPr="00BC0023">
        <w:t>le</w:t>
      </w:r>
      <w:r w:rsidRPr="00BC0023">
        <w:rPr>
          <w:spacing w:val="-1"/>
        </w:rPr>
        <w:t xml:space="preserve"> </w:t>
      </w:r>
      <w:r w:rsidRPr="00BC0023">
        <w:t>retour</w:t>
      </w:r>
      <w:r w:rsidRPr="00BC0023">
        <w:rPr>
          <w:spacing w:val="-4"/>
        </w:rPr>
        <w:t xml:space="preserve"> </w:t>
      </w:r>
      <w:r w:rsidRPr="00BC0023">
        <w:t>dans</w:t>
      </w:r>
      <w:r w:rsidRPr="00BC0023">
        <w:rPr>
          <w:spacing w:val="-3"/>
        </w:rPr>
        <w:t xml:space="preserve"> </w:t>
      </w:r>
      <w:r w:rsidRPr="00BC0023">
        <w:t>le</w:t>
      </w:r>
      <w:r w:rsidRPr="00BC0023">
        <w:rPr>
          <w:spacing w:val="-3"/>
        </w:rPr>
        <w:t xml:space="preserve"> </w:t>
      </w:r>
      <w:r w:rsidRPr="00BC0023">
        <w:t>milieu</w:t>
      </w:r>
      <w:r w:rsidRPr="00BC0023">
        <w:rPr>
          <w:spacing w:val="-3"/>
        </w:rPr>
        <w:t xml:space="preserve"> </w:t>
      </w:r>
      <w:r w:rsidRPr="00BC0023">
        <w:t>familial</w:t>
      </w:r>
      <w:r w:rsidRPr="00BC0023">
        <w:rPr>
          <w:spacing w:val="-3"/>
        </w:rPr>
        <w:t xml:space="preserve"> </w:t>
      </w:r>
      <w:r w:rsidRPr="00BC0023">
        <w:t>n’était</w:t>
      </w:r>
      <w:r w:rsidRPr="00BC0023">
        <w:rPr>
          <w:spacing w:val="-3"/>
        </w:rPr>
        <w:t xml:space="preserve"> </w:t>
      </w:r>
      <w:r w:rsidRPr="00BC0023">
        <w:t>pas</w:t>
      </w:r>
      <w:r w:rsidRPr="00BC0023">
        <w:rPr>
          <w:spacing w:val="-3"/>
        </w:rPr>
        <w:t xml:space="preserve"> </w:t>
      </w:r>
      <w:r w:rsidRPr="00BC0023">
        <w:t>possible, il</w:t>
      </w:r>
      <w:r w:rsidRPr="00BC0023">
        <w:rPr>
          <w:spacing w:val="-4"/>
        </w:rPr>
        <w:t xml:space="preserve"> </w:t>
      </w:r>
      <w:r w:rsidRPr="00BC0023">
        <w:t>faut</w:t>
      </w:r>
      <w:r w:rsidRPr="00BC0023">
        <w:rPr>
          <w:spacing w:val="-3"/>
        </w:rPr>
        <w:t xml:space="preserve"> </w:t>
      </w:r>
      <w:r w:rsidRPr="00BC0023">
        <w:t>dans</w:t>
      </w:r>
      <w:r w:rsidRPr="00BC0023">
        <w:rPr>
          <w:spacing w:val="-3"/>
        </w:rPr>
        <w:t xml:space="preserve"> </w:t>
      </w:r>
      <w:r w:rsidRPr="00BC0023">
        <w:t>la</w:t>
      </w:r>
      <w:r w:rsidRPr="00BC0023">
        <w:rPr>
          <w:spacing w:val="-4"/>
        </w:rPr>
        <w:t xml:space="preserve"> </w:t>
      </w:r>
      <w:r w:rsidRPr="00BC0023">
        <w:t>mesure</w:t>
      </w:r>
      <w:r w:rsidRPr="00BC0023">
        <w:rPr>
          <w:spacing w:val="-3"/>
        </w:rPr>
        <w:t xml:space="preserve"> </w:t>
      </w:r>
      <w:r w:rsidRPr="00BC0023">
        <w:t>du</w:t>
      </w:r>
      <w:r w:rsidRPr="00BC0023">
        <w:rPr>
          <w:spacing w:val="-5"/>
        </w:rPr>
        <w:t xml:space="preserve"> </w:t>
      </w:r>
      <w:r w:rsidRPr="00BC0023">
        <w:t>possible confier</w:t>
      </w:r>
      <w:r w:rsidRPr="00BC0023">
        <w:rPr>
          <w:spacing w:val="-4"/>
        </w:rPr>
        <w:t xml:space="preserve"> </w:t>
      </w:r>
      <w:r w:rsidRPr="00BC0023">
        <w:t>l’enfant aux</w:t>
      </w:r>
      <w:r w:rsidRPr="00BC0023">
        <w:rPr>
          <w:spacing w:val="-3"/>
        </w:rPr>
        <w:t xml:space="preserve"> </w:t>
      </w:r>
      <w:r w:rsidRPr="00BC0023">
        <w:t>personnes</w:t>
      </w:r>
      <w:r w:rsidRPr="00BC0023">
        <w:rPr>
          <w:spacing w:val="-2"/>
        </w:rPr>
        <w:t xml:space="preserve"> </w:t>
      </w:r>
      <w:r w:rsidRPr="00BC0023">
        <w:t>qui</w:t>
      </w:r>
      <w:r w:rsidRPr="00BC0023">
        <w:rPr>
          <w:spacing w:val="-4"/>
        </w:rPr>
        <w:t xml:space="preserve"> </w:t>
      </w:r>
      <w:r w:rsidRPr="00BC0023">
        <w:t>lui</w:t>
      </w:r>
      <w:r w:rsidRPr="00BC0023">
        <w:rPr>
          <w:spacing w:val="-2"/>
        </w:rPr>
        <w:t xml:space="preserve"> </w:t>
      </w:r>
      <w:r w:rsidRPr="00BC0023">
        <w:t>sont</w:t>
      </w:r>
      <w:r w:rsidRPr="00BC0023">
        <w:rPr>
          <w:spacing w:val="-2"/>
        </w:rPr>
        <w:t xml:space="preserve"> </w:t>
      </w:r>
      <w:r w:rsidRPr="00BC0023">
        <w:t>les</w:t>
      </w:r>
      <w:r w:rsidRPr="00BC0023">
        <w:rPr>
          <w:spacing w:val="-3"/>
        </w:rPr>
        <w:t xml:space="preserve"> </w:t>
      </w:r>
      <w:r w:rsidRPr="00BC0023">
        <w:t>plus</w:t>
      </w:r>
      <w:r w:rsidRPr="00BC0023">
        <w:rPr>
          <w:spacing w:val="-3"/>
        </w:rPr>
        <w:t xml:space="preserve"> </w:t>
      </w:r>
      <w:r w:rsidRPr="00BC0023">
        <w:t>significatives</w:t>
      </w:r>
      <w:r w:rsidRPr="00BC0023">
        <w:rPr>
          <w:spacing w:val="-3"/>
        </w:rPr>
        <w:t xml:space="preserve"> </w:t>
      </w:r>
      <w:r w:rsidRPr="00BC0023">
        <w:t>pour et</w:t>
      </w:r>
      <w:r w:rsidRPr="00BC0023">
        <w:rPr>
          <w:spacing w:val="-1"/>
        </w:rPr>
        <w:t xml:space="preserve"> </w:t>
      </w:r>
      <w:r w:rsidRPr="00BC0023">
        <w:t>se</w:t>
      </w:r>
      <w:r w:rsidRPr="00BC0023">
        <w:rPr>
          <w:spacing w:val="-3"/>
        </w:rPr>
        <w:t xml:space="preserve"> </w:t>
      </w:r>
      <w:r w:rsidRPr="00BC0023">
        <w:t>rapprochant le</w:t>
      </w:r>
      <w:r w:rsidRPr="00BC0023">
        <w:rPr>
          <w:spacing w:val="-3"/>
        </w:rPr>
        <w:t xml:space="preserve"> </w:t>
      </w:r>
      <w:r w:rsidRPr="00BC0023">
        <w:t>plus d’un milieu familial</w:t>
      </w:r>
      <w:r w:rsidR="004A21EC">
        <w:rPr>
          <w:rFonts w:ascii="Arial" w:hAnsi="Arial" w:cs="Arial"/>
        </w:rPr>
        <w:t> </w:t>
      </w:r>
      <w:r w:rsidRPr="00BC0023">
        <w:t>;</w:t>
      </w:r>
    </w:p>
    <w:p w14:paraId="1AC44F6A" w14:textId="782C6BAE" w:rsidR="002C213D" w:rsidRDefault="0045210B" w:rsidP="008A59CC">
      <w:pPr>
        <w:pStyle w:val="puces0"/>
      </w:pPr>
      <w:r w:rsidRPr="0045210B">
        <w:t>Le DPJ doit s’assurer de la continuité des soins et de la stabilité des liens et des conditions de vie de l’enfant, lesquelles doivent être appropriées à ses besoins et à son âge</w:t>
      </w:r>
      <w:r w:rsidR="0085330E">
        <w:rPr>
          <w:rFonts w:ascii="ZWAdobeF" w:hAnsi="ZWAdobeF" w:cs="ZWAdobeF"/>
          <w:color w:val="auto"/>
          <w:sz w:val="2"/>
          <w:szCs w:val="2"/>
        </w:rPr>
        <w:t>31F</w:t>
      </w:r>
      <w:r>
        <w:rPr>
          <w:rStyle w:val="Appelnotedebasdep"/>
        </w:rPr>
        <w:footnoteReference w:id="33"/>
      </w:r>
      <w:r w:rsidRPr="0045210B">
        <w:t>.</w:t>
      </w:r>
    </w:p>
    <w:p w14:paraId="6C0954A5" w14:textId="3F56A114" w:rsidR="002C213D" w:rsidRDefault="00F76A3F" w:rsidP="003A1427">
      <w:pPr>
        <w:pStyle w:val="Paragraphe"/>
      </w:pPr>
      <w:r w:rsidRPr="00F76A3F">
        <w:t>Parallèlement aux mesures prises pour renforcer la stabilité de l’enfant en protection de la jeunesse, d’autres ont été introduites pour mieux reconnaître</w:t>
      </w:r>
      <w:r w:rsidR="00914C42">
        <w:t> </w:t>
      </w:r>
      <w:r w:rsidRPr="00F76A3F">
        <w:t>:</w:t>
      </w:r>
    </w:p>
    <w:p w14:paraId="59B80D2E" w14:textId="19FF6FF6" w:rsidR="009A52D2" w:rsidRDefault="009A52D2" w:rsidP="008A59CC">
      <w:pPr>
        <w:pStyle w:val="puces0"/>
      </w:pPr>
      <w:r>
        <w:t>L’importance d’impliquer les parents pour les aider ou les amener à exercer leurs responsabilités parentales</w:t>
      </w:r>
      <w:r w:rsidR="00220FCC">
        <w:rPr>
          <w:rFonts w:ascii="Arial" w:hAnsi="Arial" w:cs="Arial"/>
        </w:rPr>
        <w:t> </w:t>
      </w:r>
      <w:r w:rsidR="00BC5176">
        <w:t>;</w:t>
      </w:r>
    </w:p>
    <w:p w14:paraId="098A8A27" w14:textId="15278769" w:rsidR="002C213D" w:rsidRDefault="009A52D2" w:rsidP="008A59CC">
      <w:pPr>
        <w:pStyle w:val="puces0"/>
      </w:pPr>
      <w:r>
        <w:t>La nécessité d’offrir des services aux parents pour les aider à modifier leur situation avant de prendre une décision qui tend à favoriser la continuité des soins et la stabilité des liens et des conditions de vie de cet enfant.</w:t>
      </w:r>
    </w:p>
    <w:p w14:paraId="7DBA9F48" w14:textId="6066EE25" w:rsidR="00FA73B2" w:rsidRDefault="00502FE1" w:rsidP="00D32401">
      <w:pPr>
        <w:pStyle w:val="Titre3"/>
        <w:ind w:left="566" w:hanging="566"/>
      </w:pPr>
      <w:bookmarkStart w:id="28" w:name="_Toc201330480"/>
      <w:r>
        <w:t>1.2.1</w:t>
      </w:r>
      <w:r>
        <w:tab/>
      </w:r>
      <w:r>
        <w:tab/>
      </w:r>
      <w:r w:rsidR="00FA73B2">
        <w:t>L’obligation de planifier un projet de vie pour chaque enfant retiré de son milieu familial ou à risque de l’être</w:t>
      </w:r>
      <w:bookmarkEnd w:id="28"/>
    </w:p>
    <w:p w14:paraId="323312F1" w14:textId="5B2BFC9A" w:rsidR="001A280C" w:rsidRDefault="001A280C" w:rsidP="003A1427">
      <w:pPr>
        <w:pStyle w:val="Paragraphe"/>
      </w:pPr>
      <w:r>
        <w:t>La réforme de 2006 a mené à la mise en place de nouvelles pratiques cliniques à suivre lors du retrait de l’enfant de son milieu familial. Le MSSS a notamment produit un cadre de référence pour guider le choix d’un projet de vie ainsi que pour définir les étapes à réaliser pour actualiser le projet de vie choisi</w:t>
      </w:r>
      <w:bookmarkStart w:id="29" w:name="_Ref200545057"/>
      <w:r w:rsidR="0085330E">
        <w:rPr>
          <w:rFonts w:ascii="ZWAdobeF" w:hAnsi="ZWAdobeF" w:cs="ZWAdobeF"/>
          <w:sz w:val="2"/>
          <w:szCs w:val="2"/>
        </w:rPr>
        <w:t>32F</w:t>
      </w:r>
      <w:r>
        <w:rPr>
          <w:rStyle w:val="Appelnotedebasdep"/>
        </w:rPr>
        <w:footnoteReference w:id="34"/>
      </w:r>
      <w:bookmarkEnd w:id="29"/>
      <w:r>
        <w:t>.</w:t>
      </w:r>
    </w:p>
    <w:p w14:paraId="673FC65C" w14:textId="61CF4519" w:rsidR="00FA73B2" w:rsidRDefault="001A280C" w:rsidP="003A1427">
      <w:pPr>
        <w:pStyle w:val="Paragraphe"/>
      </w:pPr>
      <w:r>
        <w:t>Il y est exposé que, pour un enfant, «</w:t>
      </w:r>
      <w:r w:rsidR="00D16B99">
        <w:rPr>
          <w:rFonts w:ascii="Arial" w:hAnsi="Arial" w:cs="Arial"/>
        </w:rPr>
        <w:t> </w:t>
      </w:r>
      <w:r>
        <w:t>un projet de vie, c’est vivre dans un milieu stable auprès d’une personne significative qui répond à ses besoins et avec qui il développe un attachement permanent</w:t>
      </w:r>
      <w:r w:rsidR="00D16B99">
        <w:rPr>
          <w:rFonts w:ascii="Arial" w:hAnsi="Arial" w:cs="Arial"/>
        </w:rPr>
        <w:t> </w:t>
      </w:r>
      <w:r>
        <w:t>»</w:t>
      </w:r>
      <w:bookmarkStart w:id="30" w:name="_Ref201330036"/>
      <w:r w:rsidR="0085330E">
        <w:rPr>
          <w:rFonts w:ascii="ZWAdobeF" w:hAnsi="ZWAdobeF" w:cs="ZWAdobeF"/>
          <w:sz w:val="2"/>
          <w:szCs w:val="2"/>
        </w:rPr>
        <w:t>33F</w:t>
      </w:r>
      <w:r>
        <w:rPr>
          <w:rStyle w:val="Appelnotedebasdep"/>
        </w:rPr>
        <w:footnoteReference w:id="35"/>
      </w:r>
      <w:bookmarkEnd w:id="30"/>
      <w:r>
        <w:t>. Lorsque le retour de l’enfant dans son milieu familial n’est pas possible, le DPJ a ainsi la responsabilité de lui offrir un autre milieu de vie lui assurant la stabilité dont il a besoin pour se développer. Dans cette situation, il doit d’abord clarifier le projet de vie de l’enfant et ensuite le déterminer et le planifier. Le projet de vie n’est actualisé qu’une fois que l’enfant vit dans un milieu stable de façon permanente, dans sa famille ou dans un autre milieu de vie</w:t>
      </w:r>
      <w:r w:rsidR="0085330E">
        <w:rPr>
          <w:rFonts w:ascii="ZWAdobeF" w:hAnsi="ZWAdobeF" w:cs="ZWAdobeF"/>
          <w:sz w:val="2"/>
          <w:szCs w:val="2"/>
        </w:rPr>
        <w:t>34F</w:t>
      </w:r>
      <w:r w:rsidR="002A0DA8">
        <w:rPr>
          <w:rStyle w:val="Appelnotedebasdep"/>
        </w:rPr>
        <w:footnoteReference w:id="36"/>
      </w:r>
      <w:r>
        <w:t>.</w:t>
      </w:r>
    </w:p>
    <w:p w14:paraId="0B647885" w14:textId="16691853" w:rsidR="00A569BF" w:rsidRDefault="00A569BF" w:rsidP="003A1427">
      <w:pPr>
        <w:pStyle w:val="Paragraphe"/>
      </w:pPr>
      <w:r>
        <w:lastRenderedPageBreak/>
        <w:t>Parmi les projets de vie possibles, deux sont privilégiés</w:t>
      </w:r>
      <w:r w:rsidR="00914C42">
        <w:t> </w:t>
      </w:r>
      <w:r>
        <w:t>:</w:t>
      </w:r>
    </w:p>
    <w:p w14:paraId="28702C3B" w14:textId="399E5877" w:rsidR="00A569BF" w:rsidRDefault="00A569BF" w:rsidP="008A59CC">
      <w:pPr>
        <w:pStyle w:val="puces0"/>
      </w:pPr>
      <w:r>
        <w:t>Le maintien dans son milieu familial</w:t>
      </w:r>
      <w:r w:rsidR="004A21EC">
        <w:rPr>
          <w:rFonts w:ascii="Arial" w:hAnsi="Arial" w:cs="Arial"/>
        </w:rPr>
        <w:t> </w:t>
      </w:r>
      <w:r>
        <w:t>;</w:t>
      </w:r>
    </w:p>
    <w:p w14:paraId="4AC02BC9" w14:textId="18CD10BD" w:rsidR="00FA73B2" w:rsidRDefault="00A569BF" w:rsidP="008A59CC">
      <w:pPr>
        <w:pStyle w:val="puces0"/>
      </w:pPr>
      <w:r>
        <w:t>Le retour de l’enfant dans celui-ci.</w:t>
      </w:r>
    </w:p>
    <w:p w14:paraId="6D727A45" w14:textId="77777777" w:rsidR="004A4AB0" w:rsidRDefault="009B5706" w:rsidP="003A1427">
      <w:pPr>
        <w:pStyle w:val="Paragraphe"/>
      </w:pPr>
      <w:r>
        <w:t>De plus, l’idée de prévoir un projet de vie concurrent au retour dans le milieu familial a été introduite dans ce même cadre de référence. Désigné dorénavant comme le projet de vie alternatif, il doit être élaboré</w:t>
      </w:r>
      <w:r w:rsidR="004A4AB0">
        <w:t xml:space="preserve"> simultanément</w:t>
      </w:r>
      <w:r w:rsidR="004A4AB0">
        <w:rPr>
          <w:spacing w:val="-5"/>
        </w:rPr>
        <w:t xml:space="preserve"> </w:t>
      </w:r>
      <w:r w:rsidR="004A4AB0">
        <w:t>aux</w:t>
      </w:r>
      <w:r w:rsidR="004A4AB0">
        <w:rPr>
          <w:spacing w:val="-5"/>
        </w:rPr>
        <w:t xml:space="preserve"> </w:t>
      </w:r>
      <w:r w:rsidR="004A4AB0">
        <w:t>services</w:t>
      </w:r>
      <w:r w:rsidR="004A4AB0">
        <w:rPr>
          <w:spacing w:val="-5"/>
        </w:rPr>
        <w:t xml:space="preserve"> </w:t>
      </w:r>
      <w:r w:rsidR="004A4AB0">
        <w:t>offerts</w:t>
      </w:r>
      <w:r w:rsidR="004A4AB0">
        <w:rPr>
          <w:spacing w:val="-3"/>
        </w:rPr>
        <w:t xml:space="preserve"> </w:t>
      </w:r>
      <w:r w:rsidR="004A4AB0">
        <w:t>aux</w:t>
      </w:r>
      <w:r w:rsidR="004A4AB0">
        <w:rPr>
          <w:spacing w:val="-3"/>
        </w:rPr>
        <w:t xml:space="preserve"> </w:t>
      </w:r>
      <w:r w:rsidR="004A4AB0">
        <w:t>parents</w:t>
      </w:r>
      <w:r w:rsidR="004A4AB0">
        <w:rPr>
          <w:spacing w:val="-1"/>
        </w:rPr>
        <w:t xml:space="preserve"> </w:t>
      </w:r>
      <w:r w:rsidR="004A4AB0">
        <w:t>pour</w:t>
      </w:r>
      <w:r w:rsidR="004A4AB0">
        <w:rPr>
          <w:spacing w:val="-3"/>
        </w:rPr>
        <w:t xml:space="preserve"> </w:t>
      </w:r>
      <w:r w:rsidR="004A4AB0">
        <w:t>les</w:t>
      </w:r>
      <w:r w:rsidR="004A4AB0">
        <w:rPr>
          <w:spacing w:val="-3"/>
        </w:rPr>
        <w:t xml:space="preserve"> </w:t>
      </w:r>
      <w:r w:rsidR="004A4AB0">
        <w:t>amener</w:t>
      </w:r>
      <w:r w:rsidR="004A4AB0">
        <w:rPr>
          <w:spacing w:val="-5"/>
        </w:rPr>
        <w:t xml:space="preserve"> </w:t>
      </w:r>
      <w:r w:rsidR="004A4AB0">
        <w:t>à</w:t>
      </w:r>
      <w:r w:rsidR="004A4AB0">
        <w:rPr>
          <w:spacing w:val="-5"/>
        </w:rPr>
        <w:t xml:space="preserve"> </w:t>
      </w:r>
      <w:r w:rsidR="004A4AB0">
        <w:t>exercer</w:t>
      </w:r>
      <w:r w:rsidR="004A4AB0">
        <w:rPr>
          <w:spacing w:val="-3"/>
        </w:rPr>
        <w:t xml:space="preserve"> </w:t>
      </w:r>
      <w:r w:rsidR="004A4AB0">
        <w:t>leurs</w:t>
      </w:r>
      <w:r w:rsidR="004A4AB0">
        <w:rPr>
          <w:spacing w:val="-3"/>
        </w:rPr>
        <w:t xml:space="preserve"> </w:t>
      </w:r>
      <w:r w:rsidR="004A4AB0">
        <w:t xml:space="preserve">responsabilités </w:t>
      </w:r>
      <w:r w:rsidR="004A4AB0">
        <w:rPr>
          <w:spacing w:val="-2"/>
        </w:rPr>
        <w:t>parentales.</w:t>
      </w:r>
    </w:p>
    <w:p w14:paraId="28B68758" w14:textId="679ACD23" w:rsidR="00B66C2B" w:rsidRPr="00B66C2B" w:rsidRDefault="00B66C2B" w:rsidP="003A1427">
      <w:pPr>
        <w:pStyle w:val="Paragraphe"/>
        <w:rPr>
          <w:lang w:val="fr-FR"/>
        </w:rPr>
      </w:pPr>
      <w:r w:rsidRPr="00B66C2B">
        <w:rPr>
          <w:lang w:val="fr-FR"/>
        </w:rPr>
        <w:t>Plusieurs projets de vie alternatifs existent</w:t>
      </w:r>
      <w:r w:rsidR="0085330E">
        <w:rPr>
          <w:rFonts w:ascii="ZWAdobeF" w:hAnsi="ZWAdobeF" w:cs="ZWAdobeF"/>
          <w:sz w:val="2"/>
          <w:szCs w:val="2"/>
          <w:lang w:val="fr-FR"/>
        </w:rPr>
        <w:t>35F</w:t>
      </w:r>
      <w:r>
        <w:rPr>
          <w:rStyle w:val="Appelnotedebasdep"/>
          <w:lang w:val="fr-FR"/>
        </w:rPr>
        <w:footnoteReference w:id="37"/>
      </w:r>
      <w:r w:rsidR="00914C42">
        <w:rPr>
          <w:lang w:val="fr-FR"/>
        </w:rPr>
        <w:t> </w:t>
      </w:r>
      <w:r w:rsidRPr="00B66C2B">
        <w:rPr>
          <w:lang w:val="fr-FR"/>
        </w:rPr>
        <w:t>:</w:t>
      </w:r>
    </w:p>
    <w:p w14:paraId="7D72F376" w14:textId="4C2FF51A" w:rsidR="00B66C2B" w:rsidRPr="00B66C2B" w:rsidRDefault="00B66C2B" w:rsidP="008A59CC">
      <w:pPr>
        <w:pStyle w:val="puces0"/>
        <w:rPr>
          <w:lang w:val="fr-FR"/>
        </w:rPr>
      </w:pPr>
      <w:r w:rsidRPr="00B66C2B">
        <w:rPr>
          <w:lang w:val="fr-FR"/>
        </w:rPr>
        <w:t>Le placement de l’enfant jusqu’à la majorité auprès d’une personne significative, d’une famille d’accueil ou d’une ressource offrant des services spécifiques</w:t>
      </w:r>
      <w:r w:rsidR="004A21EC">
        <w:rPr>
          <w:rFonts w:ascii="Arial" w:hAnsi="Arial" w:cs="Arial"/>
          <w:lang w:val="fr-FR"/>
        </w:rPr>
        <w:t> </w:t>
      </w:r>
      <w:r w:rsidRPr="00B66C2B">
        <w:rPr>
          <w:lang w:val="fr-FR"/>
        </w:rPr>
        <w:t>;</w:t>
      </w:r>
    </w:p>
    <w:p w14:paraId="3DF2F46C" w14:textId="73B8C38A" w:rsidR="00B66C2B" w:rsidRPr="00B66C2B" w:rsidRDefault="00B66C2B" w:rsidP="008A59CC">
      <w:pPr>
        <w:pStyle w:val="puces0"/>
        <w:rPr>
          <w:lang w:val="fr-FR"/>
        </w:rPr>
      </w:pPr>
      <w:r w:rsidRPr="00B66C2B">
        <w:rPr>
          <w:lang w:val="fr-FR"/>
        </w:rPr>
        <w:t>L’adoption</w:t>
      </w:r>
      <w:r w:rsidR="004A21EC">
        <w:rPr>
          <w:rFonts w:ascii="Arial" w:hAnsi="Arial" w:cs="Arial"/>
          <w:lang w:val="fr-FR"/>
        </w:rPr>
        <w:t> </w:t>
      </w:r>
      <w:r w:rsidRPr="00B66C2B">
        <w:rPr>
          <w:lang w:val="fr-FR"/>
        </w:rPr>
        <w:t>;</w:t>
      </w:r>
    </w:p>
    <w:p w14:paraId="2C97A522" w14:textId="347D453C" w:rsidR="00B66C2B" w:rsidRPr="00B66C2B" w:rsidRDefault="00B66C2B" w:rsidP="008A59CC">
      <w:pPr>
        <w:pStyle w:val="puces0"/>
        <w:rPr>
          <w:lang w:val="fr-FR"/>
        </w:rPr>
      </w:pPr>
      <w:r w:rsidRPr="00B66C2B">
        <w:rPr>
          <w:lang w:val="fr-FR"/>
        </w:rPr>
        <w:t>La tutelle</w:t>
      </w:r>
      <w:r w:rsidR="004A21EC">
        <w:rPr>
          <w:rFonts w:ascii="Arial" w:hAnsi="Arial" w:cs="Arial"/>
          <w:lang w:val="fr-FR"/>
        </w:rPr>
        <w:t> </w:t>
      </w:r>
      <w:r w:rsidRPr="00B66C2B">
        <w:rPr>
          <w:lang w:val="fr-FR"/>
        </w:rPr>
        <w:t>;</w:t>
      </w:r>
    </w:p>
    <w:p w14:paraId="7E9137BB" w14:textId="27C33898" w:rsidR="00FA73B2" w:rsidRPr="004A4AB0" w:rsidRDefault="00B66C2B" w:rsidP="008A59CC">
      <w:pPr>
        <w:pStyle w:val="puces0"/>
        <w:rPr>
          <w:lang w:val="fr-FR"/>
        </w:rPr>
      </w:pPr>
      <w:r w:rsidRPr="00B66C2B">
        <w:rPr>
          <w:lang w:val="fr-FR"/>
        </w:rPr>
        <w:t>Le projet de vie axé sur l’autonomie du jeune.</w:t>
      </w:r>
    </w:p>
    <w:p w14:paraId="7FD8C186" w14:textId="38BC97A0" w:rsidR="00FA73B2" w:rsidRDefault="0068435C" w:rsidP="003A1427">
      <w:pPr>
        <w:pStyle w:val="Paragraphe"/>
      </w:pPr>
      <w:r w:rsidRPr="0068435C">
        <w:t>Si la possibilité d’ordonner un placement jusqu’à la majorité n’est pas prévue explicitement dans la loi, ce guide est venu confirmer qu’un tel placement peut offrir une forme de permanence. De telles ordonnances sont dans les faits rendues depuis les années</w:t>
      </w:r>
      <w:r w:rsidR="00104A0F">
        <w:t> </w:t>
      </w:r>
      <w:r w:rsidRPr="0068435C">
        <w:t>1980 par les tribunaux québécois</w:t>
      </w:r>
      <w:r w:rsidR="0085330E">
        <w:rPr>
          <w:rFonts w:ascii="ZWAdobeF" w:hAnsi="ZWAdobeF" w:cs="ZWAdobeF"/>
          <w:sz w:val="2"/>
          <w:szCs w:val="2"/>
        </w:rPr>
        <w:t>36F</w:t>
      </w:r>
      <w:r>
        <w:rPr>
          <w:rStyle w:val="Appelnotedebasdep"/>
        </w:rPr>
        <w:footnoteReference w:id="38"/>
      </w:r>
      <w:r>
        <w:t>.</w:t>
      </w:r>
    </w:p>
    <w:p w14:paraId="279E3C24" w14:textId="355AF742" w:rsidR="00135700" w:rsidRDefault="00502FE1" w:rsidP="00F93AC5">
      <w:pPr>
        <w:pStyle w:val="Titre3"/>
      </w:pPr>
      <w:bookmarkStart w:id="31" w:name="_Toc201330481"/>
      <w:r>
        <w:t>1.2.2</w:t>
      </w:r>
      <w:r>
        <w:tab/>
      </w:r>
      <w:r>
        <w:tab/>
      </w:r>
      <w:r w:rsidR="00135700" w:rsidRPr="00135700">
        <w:t>L’introduction des durées maximales de placement</w:t>
      </w:r>
      <w:bookmarkEnd w:id="31"/>
    </w:p>
    <w:p w14:paraId="7D156088" w14:textId="067936F3" w:rsidR="00B30E1C" w:rsidRDefault="00B30E1C" w:rsidP="003A1427">
      <w:pPr>
        <w:pStyle w:val="Paragraphe"/>
      </w:pPr>
      <w:r>
        <w:t>L’ajout de l’article</w:t>
      </w:r>
      <w:r w:rsidR="00104A0F">
        <w:t> </w:t>
      </w:r>
      <w:r>
        <w:t>91.1 à la LPJ a défini les durées de placement maximales pendant lesquelles un enfant peut être confié à un milieu de vie substitut, selon l’âge de l’enfant</w:t>
      </w:r>
      <w:r w:rsidR="00914C42">
        <w:t> </w:t>
      </w:r>
      <w:r>
        <w:t>:</w:t>
      </w:r>
    </w:p>
    <w:p w14:paraId="38254056" w14:textId="58EC5931" w:rsidR="00B30E1C" w:rsidRDefault="00B30E1C" w:rsidP="008A59CC">
      <w:pPr>
        <w:pStyle w:val="puces0"/>
      </w:pPr>
      <w:r>
        <w:t>12 mois si l’enfant a moins de deux ans</w:t>
      </w:r>
      <w:r w:rsidR="004A21EC">
        <w:rPr>
          <w:rFonts w:ascii="Arial" w:hAnsi="Arial" w:cs="Arial"/>
        </w:rPr>
        <w:t> </w:t>
      </w:r>
      <w:r>
        <w:t>;</w:t>
      </w:r>
    </w:p>
    <w:p w14:paraId="0821F1B2" w14:textId="2B7D3FE9" w:rsidR="00B30E1C" w:rsidRDefault="00B30E1C" w:rsidP="008A59CC">
      <w:pPr>
        <w:pStyle w:val="puces0"/>
      </w:pPr>
      <w:r>
        <w:t>18 mois si l’enfant est âgé de deux à cinq ans</w:t>
      </w:r>
      <w:r w:rsidR="004A21EC">
        <w:rPr>
          <w:rFonts w:ascii="Arial" w:hAnsi="Arial" w:cs="Arial"/>
        </w:rPr>
        <w:t> </w:t>
      </w:r>
      <w:r>
        <w:t>;</w:t>
      </w:r>
    </w:p>
    <w:p w14:paraId="037F7B65" w14:textId="349F82F8" w:rsidR="00135700" w:rsidRDefault="00B30E1C" w:rsidP="008A59CC">
      <w:pPr>
        <w:pStyle w:val="puces0"/>
      </w:pPr>
      <w:r>
        <w:t>24 mois si l’enfant est âgé de six ans et plus.</w:t>
      </w:r>
    </w:p>
    <w:p w14:paraId="35CF6BD5" w14:textId="36119BC9" w:rsidR="00135700" w:rsidRDefault="00EE6FC0" w:rsidP="003A1427">
      <w:pPr>
        <w:pStyle w:val="Paragraphe"/>
      </w:pPr>
      <w:r w:rsidRPr="00EE6FC0">
        <w:t>Lorsque la durée maximale est atteinte, le tribunal d</w:t>
      </w:r>
      <w:r w:rsidR="003508E5">
        <w:t>evait ainsi</w:t>
      </w:r>
      <w:r w:rsidRPr="00EE6FC0">
        <w:t xml:space="preserve"> rendre une ordonnance qui tend à favoriser la stabilité des liens et des conditions de vie de l’enfant si la sécurité ou le développement de l’enfant est toujours compromis. Les délais sont stricts, mais certaines circonstances exceptionnelles permettaient de passer outre aux délais établis</w:t>
      </w:r>
      <w:r w:rsidR="00914C42">
        <w:t> </w:t>
      </w:r>
      <w:r w:rsidRPr="00EE6FC0">
        <w:t xml:space="preserve">: lorsque le retour de l’enfant dans son milieu familial est </w:t>
      </w:r>
      <w:r w:rsidRPr="00EE6FC0">
        <w:lastRenderedPageBreak/>
        <w:t>envisagé à court terme, si l’intérêt de l’enfant l’exige ou si des motifs sérieux le justifient, dont le fait que les services prévus pour l’enfant ou ses parents n’aient pas été rendus</w:t>
      </w:r>
      <w:r w:rsidR="0085330E">
        <w:rPr>
          <w:rFonts w:ascii="ZWAdobeF" w:hAnsi="ZWAdobeF" w:cs="ZWAdobeF"/>
          <w:sz w:val="2"/>
          <w:szCs w:val="2"/>
        </w:rPr>
        <w:t>37F</w:t>
      </w:r>
      <w:r>
        <w:rPr>
          <w:rStyle w:val="Appelnotedebasdep"/>
        </w:rPr>
        <w:footnoteReference w:id="39"/>
      </w:r>
      <w:r>
        <w:t>.</w:t>
      </w:r>
    </w:p>
    <w:p w14:paraId="53CA6889" w14:textId="5C45E423" w:rsidR="00135700" w:rsidRDefault="00783CD4" w:rsidP="003A1427">
      <w:pPr>
        <w:pStyle w:val="Paragraphe"/>
      </w:pPr>
      <w:r w:rsidRPr="00783CD4">
        <w:t>En 2017, une modification à cette disposition a permis de préciser comment doit se c</w:t>
      </w:r>
      <w:r w:rsidR="00B24E58">
        <w:t>alculer</w:t>
      </w:r>
      <w:r w:rsidRPr="00783CD4">
        <w:t xml:space="preserve"> la durée totale. Le tribunal doit ainsi tenir compte de la durée de toute mesure prise dans le cadre de la LPJ qui confie l’enfant à un milieu de vie substitut et qui est en lien avec la même situation. Il peut aussi comptabiliser la durée de toute période antérieure où l’enfant a été confié à un milieu de vie substitut dans le cadre de la présente loi, mais qui n’est pas en lien avec la même situation.</w:t>
      </w:r>
    </w:p>
    <w:p w14:paraId="3D580095" w14:textId="077A92D7" w:rsidR="00135700" w:rsidRDefault="004428B3" w:rsidP="003A1427">
      <w:pPr>
        <w:pStyle w:val="Paragraphe"/>
      </w:pPr>
      <w:r w:rsidRPr="004428B3">
        <w:t>Une autre modification à l’article permet de préciser que les durées maximales de placement s’appliquent à tout enfant placé, sans distinction quant au milieu de vie substitut auquel il est placé</w:t>
      </w:r>
      <w:r>
        <w:t>.</w:t>
      </w:r>
    </w:p>
    <w:p w14:paraId="425F33B2" w14:textId="63E17AE3" w:rsidR="00122F62" w:rsidRDefault="00502FE1" w:rsidP="00D32401">
      <w:pPr>
        <w:pStyle w:val="Titre3"/>
        <w:ind w:left="566" w:hanging="566"/>
      </w:pPr>
      <w:bookmarkStart w:id="32" w:name="_Toc201330482"/>
      <w:r>
        <w:t>1.2.3</w:t>
      </w:r>
      <w:r>
        <w:tab/>
      </w:r>
      <w:r>
        <w:tab/>
      </w:r>
      <w:r w:rsidR="00122F62">
        <w:t>Les considérations soulevées par la Commission des droits en regard de certaines situations d’enfants et de famille</w:t>
      </w:r>
      <w:bookmarkEnd w:id="32"/>
    </w:p>
    <w:p w14:paraId="231767C4" w14:textId="5C922C82" w:rsidR="00D1707F" w:rsidRDefault="00D1707F" w:rsidP="003A1427">
      <w:pPr>
        <w:pStyle w:val="Paragraphe"/>
      </w:pPr>
      <w:r>
        <w:t>La Commission a appuyé la réforme de 2006 qui visait à renforcer la mise en œuvre de l’objectif d’assurer la continuité des soins et la stabilité des liens et des conditions de vie de l’enfant. Elle soulignait que son fondement se trouvait dans plusieurs droits de la Convention relative aux droits de l’enfant (CRDE)</w:t>
      </w:r>
      <w:bookmarkStart w:id="33" w:name="_Ref200549993"/>
      <w:r w:rsidR="0085330E">
        <w:rPr>
          <w:rFonts w:ascii="ZWAdobeF" w:hAnsi="ZWAdobeF" w:cs="ZWAdobeF"/>
          <w:sz w:val="2"/>
          <w:szCs w:val="2"/>
        </w:rPr>
        <w:t>38F</w:t>
      </w:r>
      <w:r>
        <w:rPr>
          <w:rStyle w:val="Appelnotedebasdep"/>
        </w:rPr>
        <w:footnoteReference w:id="40"/>
      </w:r>
      <w:bookmarkEnd w:id="33"/>
      <w:r>
        <w:t>.</w:t>
      </w:r>
    </w:p>
    <w:p w14:paraId="67049CAE" w14:textId="327B6A84" w:rsidR="00D1707F" w:rsidRDefault="00D1707F" w:rsidP="003A1427">
      <w:pPr>
        <w:pStyle w:val="Paragraphe"/>
      </w:pPr>
      <w:r>
        <w:t>La Commission des droits relevait aussi le lien étroit entre le droit de la famille à des mesures de soutien et le droit de l’enfant à la protection, à la sécurité et à l’attention que ses parents ou les personnes qui en tiennent lieu peuvent lui donner</w:t>
      </w:r>
      <w:r w:rsidR="002E44A4">
        <w:t>, protégé par</w:t>
      </w:r>
      <w:r>
        <w:t xml:space="preserve"> l’article</w:t>
      </w:r>
      <w:r w:rsidR="00104A0F">
        <w:t> </w:t>
      </w:r>
      <w:r>
        <w:t>39 de la Charte</w:t>
      </w:r>
      <w:r w:rsidR="0085330E">
        <w:rPr>
          <w:rFonts w:ascii="ZWAdobeF" w:hAnsi="ZWAdobeF" w:cs="ZWAdobeF"/>
          <w:sz w:val="2"/>
          <w:szCs w:val="2"/>
        </w:rPr>
        <w:t>39F</w:t>
      </w:r>
      <w:r w:rsidR="008D3C06">
        <w:rPr>
          <w:rStyle w:val="Appelnotedebasdep"/>
        </w:rPr>
        <w:footnoteReference w:id="41"/>
      </w:r>
      <w:r>
        <w:t>. Elle a ainsi fait valoir que des dispositions plus concrètes d</w:t>
      </w:r>
      <w:r w:rsidR="005C71A4">
        <w:t>e</w:t>
      </w:r>
      <w:r>
        <w:t>v</w:t>
      </w:r>
      <w:r w:rsidR="005C71A4">
        <w:t>ai</w:t>
      </w:r>
      <w:r>
        <w:t>ent compléter le nouveau régime afin que l’impossibilité des parents d’assurer la sécurité ou le développement de leur enfant ne résulte pas des carences de ressources étatiques ou communautaires</w:t>
      </w:r>
      <w:r w:rsidR="0085330E">
        <w:rPr>
          <w:rFonts w:ascii="ZWAdobeF" w:hAnsi="ZWAdobeF" w:cs="ZWAdobeF"/>
          <w:sz w:val="2"/>
          <w:szCs w:val="2"/>
        </w:rPr>
        <w:t>40F</w:t>
      </w:r>
      <w:r>
        <w:rPr>
          <w:rStyle w:val="Appelnotedebasdep"/>
        </w:rPr>
        <w:footnoteReference w:id="42"/>
      </w:r>
      <w:r>
        <w:t>.</w:t>
      </w:r>
    </w:p>
    <w:p w14:paraId="67677433" w14:textId="43B228E3" w:rsidR="00122F62" w:rsidRDefault="00D1707F" w:rsidP="003A1427">
      <w:pPr>
        <w:pStyle w:val="Paragraphe"/>
      </w:pPr>
      <w:r>
        <w:t>La Commission soulevait des enjeux d’application des dispositions visant à définir un projet de vie pour l’enfant pour trois catégories d’entre eux, soit les enfants hébergés dans un centre de réadaptation en raison de troubles de comportement sérieux, les enfants des communautés culturelles et de communautés autochtones</w:t>
      </w:r>
      <w:r w:rsidR="0085330E">
        <w:rPr>
          <w:rFonts w:ascii="ZWAdobeF" w:hAnsi="ZWAdobeF" w:cs="ZWAdobeF"/>
          <w:sz w:val="2"/>
          <w:szCs w:val="2"/>
        </w:rPr>
        <w:t>41F</w:t>
      </w:r>
      <w:r>
        <w:rPr>
          <w:rStyle w:val="Appelnotedebasdep"/>
        </w:rPr>
        <w:footnoteReference w:id="43"/>
      </w:r>
      <w:r>
        <w:t>. Elle insistait sur la nécessité pour les familles de bénéficier de services adaptés à leurs réalités spécifiques.</w:t>
      </w:r>
    </w:p>
    <w:p w14:paraId="1E1DE846" w14:textId="551FF6C4" w:rsidR="00122F62" w:rsidRDefault="00502FE1" w:rsidP="00F93AC5">
      <w:pPr>
        <w:pStyle w:val="Titre2"/>
      </w:pPr>
      <w:bookmarkStart w:id="34" w:name="_Toc201330483"/>
      <w:r>
        <w:lastRenderedPageBreak/>
        <w:t>1.3</w:t>
      </w:r>
      <w:r>
        <w:tab/>
      </w:r>
      <w:r w:rsidR="000E72EF" w:rsidRPr="000E72EF">
        <w:t>Un portrait de la stabilité des liens et des conditions de vie de l’enfant à la suite de la réforme de 2006</w:t>
      </w:r>
      <w:r w:rsidR="00914C42">
        <w:t> </w:t>
      </w:r>
      <w:r w:rsidR="000E72EF" w:rsidRPr="000E72EF">
        <w:t>: des avancées mitigées selon les situations</w:t>
      </w:r>
      <w:bookmarkEnd w:id="34"/>
      <w:r w:rsidR="000E72EF" w:rsidRPr="001B16A8">
        <w:t xml:space="preserve"> </w:t>
      </w:r>
    </w:p>
    <w:p w14:paraId="6FBC6C5C" w14:textId="72467B9A" w:rsidR="003F69AD" w:rsidRDefault="00502FE1" w:rsidP="00D32401">
      <w:pPr>
        <w:pStyle w:val="Titre3"/>
        <w:ind w:left="566" w:hanging="566"/>
      </w:pPr>
      <w:bookmarkStart w:id="35" w:name="_Toc201330484"/>
      <w:r>
        <w:t>1.3.1</w:t>
      </w:r>
      <w:r>
        <w:tab/>
      </w:r>
      <w:r>
        <w:tab/>
      </w:r>
      <w:r w:rsidR="003F69AD">
        <w:t>Les études réalisées en vertu de l’article</w:t>
      </w:r>
      <w:r w:rsidR="00104A0F">
        <w:t> </w:t>
      </w:r>
      <w:r w:rsidR="003F69AD">
        <w:t>156.2 de la LPJ sur la stabilité et les conditions de vie des enfants</w:t>
      </w:r>
      <w:bookmarkEnd w:id="35"/>
    </w:p>
    <w:p w14:paraId="3546655F" w14:textId="24D76BA0" w:rsidR="003F69AD" w:rsidRDefault="005A1273" w:rsidP="003A1427">
      <w:pPr>
        <w:pStyle w:val="Paragraphe"/>
      </w:pPr>
      <w:r w:rsidRPr="005A1273">
        <w:t xml:space="preserve">Trois études mandatées par le </w:t>
      </w:r>
      <w:r w:rsidR="00B02CEA">
        <w:t xml:space="preserve">ministre de la Santé et des </w:t>
      </w:r>
      <w:r w:rsidR="00F909B0">
        <w:t>Services</w:t>
      </w:r>
      <w:r w:rsidR="00B02CEA">
        <w:t xml:space="preserve"> </w:t>
      </w:r>
      <w:r w:rsidR="00F909B0">
        <w:t xml:space="preserve">sociaux </w:t>
      </w:r>
      <w:r w:rsidRPr="005A1273">
        <w:t>en vertu de l’article</w:t>
      </w:r>
      <w:r w:rsidR="00104A0F">
        <w:t> </w:t>
      </w:r>
      <w:r w:rsidRPr="005A1273">
        <w:t>156.2 de la LPJ, introduit à la suite de la réforme de 2006, ont permis de connaître les impacts des dispositions de cette loi sur la stabilité et les</w:t>
      </w:r>
      <w:r>
        <w:t xml:space="preserve"> </w:t>
      </w:r>
      <w:r w:rsidR="00D70D0C" w:rsidRPr="00D70D0C">
        <w:t xml:space="preserve">conditions de vie des enfants, </w:t>
      </w:r>
      <w:r w:rsidR="00866630">
        <w:t>dont ceux</w:t>
      </w:r>
      <w:r w:rsidR="00D70D0C" w:rsidRPr="00D70D0C">
        <w:t xml:space="preserve"> placés</w:t>
      </w:r>
      <w:r w:rsidR="0085330E">
        <w:rPr>
          <w:rFonts w:ascii="ZWAdobeF" w:hAnsi="ZWAdobeF" w:cs="ZWAdobeF"/>
          <w:sz w:val="2"/>
          <w:szCs w:val="2"/>
        </w:rPr>
        <w:t>42F</w:t>
      </w:r>
      <w:r w:rsidR="00D70D0C">
        <w:rPr>
          <w:rStyle w:val="Appelnotedebasdep"/>
        </w:rPr>
        <w:footnoteReference w:id="44"/>
      </w:r>
      <w:r w:rsidR="00D70D0C" w:rsidRPr="00D70D0C">
        <w:t>.</w:t>
      </w:r>
    </w:p>
    <w:p w14:paraId="183F902C" w14:textId="7748A6D3" w:rsidR="00154D88" w:rsidRDefault="00154D88" w:rsidP="003A1427">
      <w:pPr>
        <w:pStyle w:val="Paragraphe"/>
      </w:pPr>
      <w:r>
        <w:t>Le rapport de 2011</w:t>
      </w:r>
      <w:r w:rsidR="0085330E">
        <w:rPr>
          <w:rFonts w:ascii="ZWAdobeF" w:hAnsi="ZWAdobeF" w:cs="ZWAdobeF"/>
          <w:sz w:val="2"/>
          <w:szCs w:val="2"/>
        </w:rPr>
        <w:t>43F</w:t>
      </w:r>
      <w:r w:rsidR="00E2032B">
        <w:rPr>
          <w:rStyle w:val="Appelnotedebasdep"/>
        </w:rPr>
        <w:footnoteReference w:id="45"/>
      </w:r>
      <w:r>
        <w:t xml:space="preserve"> a révélé que</w:t>
      </w:r>
      <w:r w:rsidR="00914C42">
        <w:t> </w:t>
      </w:r>
      <w:r>
        <w:t>:</w:t>
      </w:r>
    </w:p>
    <w:p w14:paraId="3348B128" w14:textId="47F1BB56" w:rsidR="00154D88" w:rsidRDefault="00154D88" w:rsidP="008A59CC">
      <w:pPr>
        <w:pStyle w:val="puces0"/>
      </w:pPr>
      <w:r>
        <w:t xml:space="preserve">Les indicateurs de stabilité laissaient entrevoir une amélioration de la situation des enfants placés, mais l’ampleur des changements observés à la suite de l’entrée en vigueur en 2007 des dispositions visant à favoriser la continuité et la stabilité pour les enfants </w:t>
      </w:r>
      <w:r w:rsidR="00B24E58">
        <w:t>r</w:t>
      </w:r>
      <w:r>
        <w:t>est</w:t>
      </w:r>
      <w:r w:rsidR="00B24E58">
        <w:t>e</w:t>
      </w:r>
      <w:r>
        <w:t xml:space="preserve"> modeste</w:t>
      </w:r>
      <w:r w:rsidR="004A21EC">
        <w:rPr>
          <w:rFonts w:ascii="Arial" w:hAnsi="Arial" w:cs="Arial"/>
        </w:rPr>
        <w:t> </w:t>
      </w:r>
      <w:r>
        <w:t>;</w:t>
      </w:r>
    </w:p>
    <w:p w14:paraId="06C123F3" w14:textId="6346DCA2" w:rsidR="00154D88" w:rsidRDefault="00154D88" w:rsidP="008A59CC">
      <w:pPr>
        <w:pStyle w:val="puces0"/>
      </w:pPr>
      <w:r>
        <w:t>Il y avait une réduction du recours au placement et une augmentation de la stabilité des enfants placés</w:t>
      </w:r>
      <w:r w:rsidR="004A21EC">
        <w:rPr>
          <w:rFonts w:ascii="Arial" w:hAnsi="Arial" w:cs="Arial"/>
        </w:rPr>
        <w:t> </w:t>
      </w:r>
      <w:r>
        <w:t>;</w:t>
      </w:r>
    </w:p>
    <w:p w14:paraId="3A8CE1A4" w14:textId="62F3E2A4" w:rsidR="00154D88" w:rsidRDefault="00154D88" w:rsidP="008A59CC">
      <w:pPr>
        <w:pStyle w:val="puces0"/>
      </w:pPr>
      <w:r>
        <w:t>En moyenne, les enfants placés avaient connu moins de milieux de vie différents et ils avaient moins souvent changé de milieu, que ce soit dans le cadre d’un déplacement ou d’un retour qui s’est soldé par un nouveau placement</w:t>
      </w:r>
      <w:r w:rsidR="004A21EC">
        <w:rPr>
          <w:rFonts w:ascii="Arial" w:hAnsi="Arial" w:cs="Arial"/>
        </w:rPr>
        <w:t> </w:t>
      </w:r>
      <w:r>
        <w:t>;</w:t>
      </w:r>
    </w:p>
    <w:p w14:paraId="49B92B8A" w14:textId="0999CD65" w:rsidR="00154D88" w:rsidRDefault="00154D88" w:rsidP="008A59CC">
      <w:pPr>
        <w:pStyle w:val="puces0"/>
      </w:pPr>
      <w:r>
        <w:t xml:space="preserve">Selon le groupe d’âge, le placement </w:t>
      </w:r>
      <w:r w:rsidR="007211A2">
        <w:t>jusqu’</w:t>
      </w:r>
      <w:r>
        <w:t>à</w:t>
      </w:r>
      <w:r w:rsidR="007211A2">
        <w:t xml:space="preserve"> la</w:t>
      </w:r>
      <w:r>
        <w:t xml:space="preserve"> majorité était le projet de vie pour une proportion qui varie entre 22</w:t>
      </w:r>
      <w:r w:rsidR="009F6EEB">
        <w:t> </w:t>
      </w:r>
      <w:r>
        <w:t>% et 30</w:t>
      </w:r>
      <w:r w:rsidR="009F6EEB">
        <w:t> </w:t>
      </w:r>
      <w:r>
        <w:t>% des enfants placés.</w:t>
      </w:r>
    </w:p>
    <w:p w14:paraId="1FD80735" w14:textId="0ED18FBD" w:rsidR="003F69AD" w:rsidRDefault="00154D88" w:rsidP="003A1427">
      <w:pPr>
        <w:pStyle w:val="Paragraphe"/>
      </w:pPr>
      <w:r>
        <w:t>Des recommandations ont été formulées, dont celles de</w:t>
      </w:r>
      <w:r w:rsidR="00914C42">
        <w:t> </w:t>
      </w:r>
      <w:r>
        <w:t>:</w:t>
      </w:r>
    </w:p>
    <w:p w14:paraId="6F1B4268" w14:textId="3934D45B" w:rsidR="00F5608F" w:rsidRDefault="00F5608F" w:rsidP="008A59CC">
      <w:pPr>
        <w:pStyle w:val="puces0"/>
      </w:pPr>
      <w:r>
        <w:t>Mieux guider les intervenants lors de l’évaluation des personnes significatives comme milieu d’accueil de l’enfant</w:t>
      </w:r>
      <w:r w:rsidR="0085330E">
        <w:rPr>
          <w:rFonts w:ascii="ZWAdobeF" w:hAnsi="ZWAdobeF" w:cs="ZWAdobeF"/>
          <w:color w:val="auto"/>
          <w:sz w:val="2"/>
          <w:szCs w:val="2"/>
        </w:rPr>
        <w:t>44F</w:t>
      </w:r>
      <w:r>
        <w:rPr>
          <w:rStyle w:val="Appelnotedebasdep"/>
        </w:rPr>
        <w:footnoteReference w:id="46"/>
      </w:r>
      <w:r w:rsidR="004A21EC">
        <w:rPr>
          <w:rFonts w:ascii="Arial" w:hAnsi="Arial" w:cs="Arial"/>
        </w:rPr>
        <w:t> </w:t>
      </w:r>
      <w:r>
        <w:t>;</w:t>
      </w:r>
    </w:p>
    <w:p w14:paraId="4CC52904" w14:textId="5D104323" w:rsidR="00F5608F" w:rsidRDefault="00F5608F" w:rsidP="008A59CC">
      <w:pPr>
        <w:pStyle w:val="puces0"/>
      </w:pPr>
      <w:r>
        <w:t>Faire un examen approfondi de l’offre de services sociaux aux jeunes et aux familles en</w:t>
      </w:r>
      <w:r w:rsidR="00816139">
        <w:t xml:space="preserve"> </w:t>
      </w:r>
      <w:r>
        <w:t xml:space="preserve">difficulté, notamment sous l’angle du partenariat, afin de proposer un plan d’action qui assure l’accès aux services et la continuité </w:t>
      </w:r>
      <w:r w:rsidR="00742C84">
        <w:t>interorganisationnelle</w:t>
      </w:r>
      <w:r>
        <w:t xml:space="preserve"> des actions, particulièrement avec les populations autochtones</w:t>
      </w:r>
      <w:r w:rsidR="004A21EC">
        <w:rPr>
          <w:rFonts w:ascii="Arial" w:hAnsi="Arial" w:cs="Arial"/>
        </w:rPr>
        <w:t> </w:t>
      </w:r>
      <w:r>
        <w:t>;</w:t>
      </w:r>
    </w:p>
    <w:p w14:paraId="3B8EEAAA" w14:textId="060ED303" w:rsidR="003F69AD" w:rsidRDefault="00F5608F" w:rsidP="008A59CC">
      <w:pPr>
        <w:pStyle w:val="puces0"/>
      </w:pPr>
      <w:r>
        <w:t>Créer des espaces d’échange entre intervenants, juges et avocats sur des thèmes névralgiques.</w:t>
      </w:r>
    </w:p>
    <w:p w14:paraId="0137A457" w14:textId="1D635E13" w:rsidR="003F69AD" w:rsidRDefault="006F6759" w:rsidP="003A1427">
      <w:pPr>
        <w:pStyle w:val="Paragraphe"/>
      </w:pPr>
      <w:r w:rsidRPr="006F6759">
        <w:lastRenderedPageBreak/>
        <w:t>Le rapport de 2015 a mis en lumière que</w:t>
      </w:r>
      <w:r w:rsidR="00914C42">
        <w:t> </w:t>
      </w:r>
      <w:r w:rsidRPr="006F6759">
        <w:t>:</w:t>
      </w:r>
    </w:p>
    <w:p w14:paraId="0A483EA7" w14:textId="7776DF58" w:rsidR="00160E5D" w:rsidRDefault="005F23F3">
      <w:pPr>
        <w:pStyle w:val="puces0"/>
      </w:pPr>
      <w:r>
        <w:t xml:space="preserve">Les indicateurs de stabilité laissaient entrevoir une amélioration de la situation des enfants placés, mais </w:t>
      </w:r>
      <w:r w:rsidR="00B24E58">
        <w:t>une</w:t>
      </w:r>
      <w:r>
        <w:t xml:space="preserve"> diminution de l’instabilité était de faible ampleur</w:t>
      </w:r>
      <w:r w:rsidR="00220FCC">
        <w:rPr>
          <w:rFonts w:ascii="Arial" w:hAnsi="Arial" w:cs="Arial"/>
        </w:rPr>
        <w:t> </w:t>
      </w:r>
      <w:r w:rsidR="00160E5D">
        <w:t>;</w:t>
      </w:r>
    </w:p>
    <w:p w14:paraId="37D3AC6F" w14:textId="0B48FE16" w:rsidR="005F23F3" w:rsidRDefault="005F23F3">
      <w:pPr>
        <w:pStyle w:val="puces0"/>
      </w:pPr>
      <w:r>
        <w:t>Les enfants placés depuis septembre 2007 visitent moins de milieux différents et connaissent moins de déplacements et de replacements</w:t>
      </w:r>
      <w:r w:rsidR="004A21EC" w:rsidRPr="00160E5D">
        <w:rPr>
          <w:rFonts w:ascii="Arial" w:hAnsi="Arial" w:cs="Arial"/>
        </w:rPr>
        <w:t> </w:t>
      </w:r>
      <w:r>
        <w:t>;</w:t>
      </w:r>
    </w:p>
    <w:p w14:paraId="2A01E6E4" w14:textId="615C60CC" w:rsidR="003F69AD" w:rsidRDefault="005F23F3" w:rsidP="008A59CC">
      <w:pPr>
        <w:pStyle w:val="puces0"/>
      </w:pPr>
      <w:r>
        <w:t>Il semblait plus difficile de réduire l’instabilité pour certains groupes d’enfants, dont les enfants autochtones</w:t>
      </w:r>
      <w:r w:rsidR="004A21EC">
        <w:rPr>
          <w:rFonts w:ascii="Arial" w:hAnsi="Arial" w:cs="Arial"/>
        </w:rPr>
        <w:t> </w:t>
      </w:r>
      <w:r>
        <w:t>;</w:t>
      </w:r>
    </w:p>
    <w:p w14:paraId="700C955D" w14:textId="343CED0A" w:rsidR="000713F0" w:rsidRDefault="000713F0" w:rsidP="008A59CC">
      <w:pPr>
        <w:pStyle w:val="puces0"/>
      </w:pPr>
      <w:r>
        <w:t>La quasi-totalité des enfants placés avait au moins un projet de vie inscrit à leur dossier. Le principal projet de vie consiste à retourner l’enfant dans sa famille d’origine</w:t>
      </w:r>
      <w:r w:rsidR="004A21EC">
        <w:rPr>
          <w:rFonts w:ascii="Arial" w:hAnsi="Arial" w:cs="Arial"/>
        </w:rPr>
        <w:t> </w:t>
      </w:r>
      <w:r>
        <w:t>;</w:t>
      </w:r>
    </w:p>
    <w:p w14:paraId="6EDFC12A" w14:textId="71D15FAB" w:rsidR="003F69AD" w:rsidRDefault="000713F0" w:rsidP="008A59CC">
      <w:pPr>
        <w:pStyle w:val="puces0"/>
      </w:pPr>
      <w:r>
        <w:t>Pour tous les groupes d’âge, le placement à majorité était la deuxième option de permanence choisie.</w:t>
      </w:r>
    </w:p>
    <w:p w14:paraId="0C9F2658" w14:textId="3AC36985" w:rsidR="003F69AD" w:rsidRDefault="003000D8" w:rsidP="003A1427">
      <w:pPr>
        <w:pStyle w:val="Paragraphe"/>
      </w:pPr>
      <w:r w:rsidRPr="003000D8">
        <w:t>Des recommandations ont été formulées</w:t>
      </w:r>
      <w:r w:rsidR="0085330E">
        <w:rPr>
          <w:rFonts w:ascii="ZWAdobeF" w:hAnsi="ZWAdobeF" w:cs="ZWAdobeF"/>
          <w:sz w:val="2"/>
          <w:szCs w:val="2"/>
        </w:rPr>
        <w:t>45F</w:t>
      </w:r>
      <w:r>
        <w:rPr>
          <w:rStyle w:val="Appelnotedebasdep"/>
        </w:rPr>
        <w:footnoteReference w:id="47"/>
      </w:r>
      <w:r w:rsidRPr="003000D8">
        <w:t>, dont celles de</w:t>
      </w:r>
      <w:r w:rsidR="00914C42">
        <w:t> </w:t>
      </w:r>
      <w:r w:rsidRPr="003000D8">
        <w:t>:</w:t>
      </w:r>
    </w:p>
    <w:p w14:paraId="3DEFDF37" w14:textId="48B1B8F7" w:rsidR="005F60AF" w:rsidRDefault="005F60AF" w:rsidP="008A59CC">
      <w:pPr>
        <w:pStyle w:val="puces0"/>
      </w:pPr>
      <w:r>
        <w:t>S’assurer que les enfants, selon leur niveau de développement et leurs capacités, soient informés de la situation de leurs parents et que leur</w:t>
      </w:r>
      <w:r w:rsidR="00F96711">
        <w:t>s</w:t>
      </w:r>
      <w:r>
        <w:t xml:space="preserve"> point</w:t>
      </w:r>
      <w:r w:rsidR="00F96711">
        <w:t>s</w:t>
      </w:r>
      <w:r>
        <w:t xml:space="preserve"> de vue soi</w:t>
      </w:r>
      <w:r w:rsidR="00F96711">
        <w:t>en</w:t>
      </w:r>
      <w:r>
        <w:t>t recueilli</w:t>
      </w:r>
      <w:r w:rsidR="00F96711">
        <w:t>s</w:t>
      </w:r>
      <w:r>
        <w:t xml:space="preserve"> et pris en compte</w:t>
      </w:r>
      <w:r w:rsidR="004A21EC">
        <w:rPr>
          <w:rFonts w:ascii="Arial" w:hAnsi="Arial" w:cs="Arial"/>
        </w:rPr>
        <w:t> </w:t>
      </w:r>
      <w:r>
        <w:t>;</w:t>
      </w:r>
    </w:p>
    <w:p w14:paraId="3653193F" w14:textId="4FD380C1" w:rsidR="005F60AF" w:rsidRDefault="005F60AF" w:rsidP="008A59CC">
      <w:pPr>
        <w:pStyle w:val="puces0"/>
      </w:pPr>
      <w:r>
        <w:t>Poursuivre la formation des intervenants à propos des notions de projets de vie privilégiés et alternatifs</w:t>
      </w:r>
      <w:r w:rsidR="004A21EC">
        <w:rPr>
          <w:rFonts w:ascii="Arial" w:hAnsi="Arial" w:cs="Arial"/>
        </w:rPr>
        <w:t> </w:t>
      </w:r>
      <w:r>
        <w:t>;</w:t>
      </w:r>
    </w:p>
    <w:p w14:paraId="2CFC5EAE" w14:textId="022810EA" w:rsidR="005F60AF" w:rsidRDefault="005F60AF" w:rsidP="008A59CC">
      <w:pPr>
        <w:pStyle w:val="puces0"/>
      </w:pPr>
      <w:r>
        <w:t>Jouer un rôle plus étroit dans l’accompagnement des parents présentant de multiples problématiques vers les services requis par leur situation</w:t>
      </w:r>
      <w:r w:rsidR="004A21EC">
        <w:rPr>
          <w:rFonts w:ascii="Arial" w:hAnsi="Arial" w:cs="Arial"/>
        </w:rPr>
        <w:t> </w:t>
      </w:r>
      <w:r>
        <w:t>;</w:t>
      </w:r>
    </w:p>
    <w:p w14:paraId="68C8F60D" w14:textId="4A378F4E" w:rsidR="005F60AF" w:rsidRDefault="005F60AF" w:rsidP="008A59CC">
      <w:pPr>
        <w:pStyle w:val="puces0"/>
      </w:pPr>
      <w:r>
        <w:t>Prévoir des contenus axés sur la mise en œuvre des pratiques efficientes d’engagement parental, notamment celles centrées sur les forces des parents, dans la formation initiale et continue des intervenants</w:t>
      </w:r>
      <w:r w:rsidR="004A21EC">
        <w:rPr>
          <w:rFonts w:ascii="Arial" w:hAnsi="Arial" w:cs="Arial"/>
        </w:rPr>
        <w:t> </w:t>
      </w:r>
      <w:r>
        <w:t>;</w:t>
      </w:r>
    </w:p>
    <w:p w14:paraId="0E28C95B" w14:textId="5C64173B" w:rsidR="003F69AD" w:rsidRDefault="005F60AF" w:rsidP="008A59CC">
      <w:pPr>
        <w:pStyle w:val="puces0"/>
      </w:pPr>
      <w:r>
        <w:t>Poursuivre les efforts afin d’assurer l’intensité des services aux parents et aux enfants, notamment en octroyant les ressources nécessaires à la prestation de services.</w:t>
      </w:r>
    </w:p>
    <w:p w14:paraId="4925315D" w14:textId="2CB8C1F7" w:rsidR="00B00D1C" w:rsidRDefault="00B00D1C" w:rsidP="003A1427">
      <w:pPr>
        <w:pStyle w:val="Paragraphe"/>
      </w:pPr>
      <w:r>
        <w:t>Le rapport de 2020 a démontré que</w:t>
      </w:r>
      <w:r w:rsidR="00914C42">
        <w:t> </w:t>
      </w:r>
      <w:r>
        <w:t>:</w:t>
      </w:r>
    </w:p>
    <w:p w14:paraId="32E38B50" w14:textId="75B3F193" w:rsidR="00B00D1C" w:rsidRDefault="00B00D1C" w:rsidP="008A59CC">
      <w:pPr>
        <w:pStyle w:val="puces0"/>
      </w:pPr>
      <w:r>
        <w:t>Le recours au placement a diminué de 24</w:t>
      </w:r>
      <w:r w:rsidR="009F6EEB">
        <w:t> </w:t>
      </w:r>
      <w:r>
        <w:t>% entre 2003 et 2017. Au cours de la même période, l’instabilité des enfants placés a aussi diminué. Le nombre moyen de milieux substituts différents visités a diminué de 13</w:t>
      </w:r>
      <w:r w:rsidR="009F6EEB">
        <w:t> </w:t>
      </w:r>
      <w:r>
        <w:t>% et le nombre moyen de déplacements a diminué de 25</w:t>
      </w:r>
      <w:r w:rsidR="009F6EEB">
        <w:t> </w:t>
      </w:r>
      <w:r>
        <w:t>%</w:t>
      </w:r>
      <w:r w:rsidR="0085330E">
        <w:rPr>
          <w:rFonts w:ascii="ZWAdobeF" w:hAnsi="ZWAdobeF" w:cs="ZWAdobeF"/>
          <w:color w:val="auto"/>
          <w:sz w:val="2"/>
          <w:szCs w:val="2"/>
        </w:rPr>
        <w:t>46F</w:t>
      </w:r>
      <w:r w:rsidR="000B4670">
        <w:rPr>
          <w:rStyle w:val="Appelnotedebasdep"/>
        </w:rPr>
        <w:footnoteReference w:id="48"/>
      </w:r>
      <w:r w:rsidR="004A21EC">
        <w:rPr>
          <w:rFonts w:ascii="Arial" w:hAnsi="Arial" w:cs="Arial"/>
        </w:rPr>
        <w:t> </w:t>
      </w:r>
      <w:r>
        <w:t>;</w:t>
      </w:r>
    </w:p>
    <w:p w14:paraId="5E643D53" w14:textId="0987FC4D" w:rsidR="00B00D1C" w:rsidRDefault="00B00D1C" w:rsidP="008A59CC">
      <w:pPr>
        <w:pStyle w:val="puces0"/>
      </w:pPr>
      <w:r>
        <w:lastRenderedPageBreak/>
        <w:t>L’instabilité des placements n’est pas généralisée à l’ensemble des enfants placés, puisque 61</w:t>
      </w:r>
      <w:r w:rsidR="009F6EEB">
        <w:t> </w:t>
      </w:r>
      <w:r>
        <w:t>% des enfants placés en 2007 ont vécu dans un ou deux milieux de vie substitut différents durant les 9,5</w:t>
      </w:r>
      <w:r w:rsidR="00220FCC">
        <w:t> </w:t>
      </w:r>
      <w:r>
        <w:t>années suivant leur entrée dans les services</w:t>
      </w:r>
      <w:r w:rsidR="004A21EC">
        <w:rPr>
          <w:rFonts w:ascii="Arial" w:hAnsi="Arial" w:cs="Arial"/>
        </w:rPr>
        <w:t> </w:t>
      </w:r>
      <w:r>
        <w:t>;</w:t>
      </w:r>
    </w:p>
    <w:p w14:paraId="46917B02" w14:textId="4E3967B6" w:rsidR="00B00D1C" w:rsidRDefault="00B00D1C" w:rsidP="008A59CC">
      <w:pPr>
        <w:pStyle w:val="puces0"/>
      </w:pPr>
      <w:r>
        <w:t>Le nombre moyen de milieux substituts différents visités a diminué de 13</w:t>
      </w:r>
      <w:r w:rsidR="009F6EEB">
        <w:t> </w:t>
      </w:r>
      <w:r>
        <w:t>% depuis 2003</w:t>
      </w:r>
      <w:r w:rsidR="004A21EC">
        <w:rPr>
          <w:rFonts w:ascii="Arial" w:hAnsi="Arial" w:cs="Arial"/>
        </w:rPr>
        <w:t> </w:t>
      </w:r>
      <w:r>
        <w:t>;</w:t>
      </w:r>
    </w:p>
    <w:p w14:paraId="0E4BC3A9" w14:textId="13478193" w:rsidR="003F69AD" w:rsidRDefault="00B00D1C" w:rsidP="008A59CC">
      <w:pPr>
        <w:pStyle w:val="puces0"/>
      </w:pPr>
      <w:r>
        <w:t>Le recours au placement à majorité demeure très fréquent. Il est retenu pour 24</w:t>
      </w:r>
      <w:r w:rsidR="009F6EEB">
        <w:t> </w:t>
      </w:r>
      <w:r>
        <w:t>% des enfants entrés dans les services en 2008</w:t>
      </w:r>
      <w:r w:rsidR="0085330E">
        <w:rPr>
          <w:rFonts w:ascii="ZWAdobeF" w:hAnsi="ZWAdobeF" w:cs="ZWAdobeF"/>
          <w:color w:val="auto"/>
          <w:sz w:val="2"/>
          <w:szCs w:val="2"/>
        </w:rPr>
        <w:t>47F</w:t>
      </w:r>
      <w:r w:rsidR="000B4670">
        <w:rPr>
          <w:rStyle w:val="Appelnotedebasdep"/>
        </w:rPr>
        <w:footnoteReference w:id="49"/>
      </w:r>
      <w:r w:rsidR="00220FCC">
        <w:rPr>
          <w:rFonts w:ascii="Arial" w:hAnsi="Arial" w:cs="Arial"/>
        </w:rPr>
        <w:t> </w:t>
      </w:r>
      <w:r w:rsidR="00CD5A28">
        <w:t>;</w:t>
      </w:r>
    </w:p>
    <w:p w14:paraId="4D77DB60" w14:textId="028282D0" w:rsidR="001144BC" w:rsidRDefault="001144BC" w:rsidP="008A59CC">
      <w:pPr>
        <w:pStyle w:val="puces0"/>
      </w:pPr>
      <w:r>
        <w:t>Depuis 2007, le placement jusqu’à la majorité est en progression chez les 0-5</w:t>
      </w:r>
      <w:r w:rsidR="00322ADA">
        <w:t> </w:t>
      </w:r>
      <w:r>
        <w:t>ans, pour qui la durée maximale de placement est dépassée dans 74</w:t>
      </w:r>
      <w:r w:rsidR="009F6EEB">
        <w:t> </w:t>
      </w:r>
      <w:r>
        <w:t>% à 87</w:t>
      </w:r>
      <w:r w:rsidR="009F6EEB">
        <w:t> </w:t>
      </w:r>
      <w:r>
        <w:t>% des cas (pour les 0-1</w:t>
      </w:r>
      <w:r w:rsidR="00322ADA">
        <w:t> </w:t>
      </w:r>
      <w:r>
        <w:t>ans et 2- 5 ans respectivement)</w:t>
      </w:r>
      <w:r w:rsidR="004A21EC">
        <w:rPr>
          <w:rFonts w:ascii="Arial" w:hAnsi="Arial" w:cs="Arial"/>
        </w:rPr>
        <w:t> </w:t>
      </w:r>
      <w:r>
        <w:t>;</w:t>
      </w:r>
    </w:p>
    <w:p w14:paraId="4269A4C7" w14:textId="65C2C2E6" w:rsidR="003F69AD" w:rsidRDefault="001144BC" w:rsidP="008A59CC">
      <w:pPr>
        <w:pStyle w:val="puces0"/>
      </w:pPr>
      <w:r>
        <w:t>Le placement à majorité n’est pas une garantie de stabilité</w:t>
      </w:r>
      <w:r w:rsidR="00914C42">
        <w:t> </w:t>
      </w:r>
      <w:r>
        <w:t>: un pourcentage non négligeable des enfants va ultérieurement être déplacé du milieu substitut visé par l’ordonnance vers un autre milieu substitut, notamment les enfants placés à l’adolescence.</w:t>
      </w:r>
    </w:p>
    <w:p w14:paraId="4F7BFA60" w14:textId="3942B0E8" w:rsidR="003F69AD" w:rsidRDefault="00A67E68" w:rsidP="003A1427">
      <w:pPr>
        <w:pStyle w:val="Paragraphe"/>
      </w:pPr>
      <w:r w:rsidRPr="00A67E68">
        <w:t>Des recommandations ont été formulées</w:t>
      </w:r>
      <w:bookmarkStart w:id="36" w:name="_Ref201323447"/>
      <w:r w:rsidR="0085330E">
        <w:rPr>
          <w:rFonts w:ascii="ZWAdobeF" w:hAnsi="ZWAdobeF" w:cs="ZWAdobeF"/>
          <w:sz w:val="2"/>
          <w:szCs w:val="2"/>
        </w:rPr>
        <w:t>48F</w:t>
      </w:r>
      <w:r>
        <w:rPr>
          <w:rStyle w:val="Appelnotedebasdep"/>
        </w:rPr>
        <w:footnoteReference w:id="50"/>
      </w:r>
      <w:bookmarkEnd w:id="36"/>
      <w:r w:rsidRPr="00A67E68">
        <w:t>, dont les suivantes</w:t>
      </w:r>
      <w:r w:rsidR="00914C42">
        <w:t> </w:t>
      </w:r>
      <w:r w:rsidRPr="00A67E68">
        <w:t>:</w:t>
      </w:r>
    </w:p>
    <w:p w14:paraId="44C377A3" w14:textId="212F8D65" w:rsidR="006C2151" w:rsidRDefault="006C2151" w:rsidP="00BA3E6E">
      <w:pPr>
        <w:pStyle w:val="puces0"/>
      </w:pPr>
      <w:r>
        <w:t>Que l’intervention s’appuie sur une vision systémique et inclusive de la famille où la responsabilité du changement ne repose pas que sur un parent ou sur un enfant</w:t>
      </w:r>
      <w:r w:rsidR="004A21EC">
        <w:rPr>
          <w:rFonts w:ascii="Arial" w:hAnsi="Arial" w:cs="Arial"/>
        </w:rPr>
        <w:t> </w:t>
      </w:r>
      <w:r>
        <w:t>;</w:t>
      </w:r>
    </w:p>
    <w:p w14:paraId="12FBE158" w14:textId="72CA31A2" w:rsidR="006C2151" w:rsidRDefault="006C2151" w:rsidP="00BA3E6E">
      <w:pPr>
        <w:pStyle w:val="puces0"/>
      </w:pPr>
      <w:r>
        <w:t>De consolider l’expertise des équipes d’intervention en identifiant, développant et faisant la promotion des bonnes pratiques en matière de participation des enfants</w:t>
      </w:r>
      <w:r w:rsidR="004A21EC">
        <w:rPr>
          <w:rFonts w:ascii="Arial" w:hAnsi="Arial" w:cs="Arial"/>
        </w:rPr>
        <w:t> </w:t>
      </w:r>
      <w:r>
        <w:t>;</w:t>
      </w:r>
    </w:p>
    <w:p w14:paraId="74CFF4CC" w14:textId="65840FFB" w:rsidR="003F69AD" w:rsidRDefault="006C2151" w:rsidP="00BA3E6E">
      <w:pPr>
        <w:pStyle w:val="puces0"/>
      </w:pPr>
      <w:r>
        <w:t>Que des mesures d’accompagnement et de soutien soient mises en place pour faire en sorte que les contacts de l’enfant avec ses parents d’origine soient une expérience vécue positivement par l’ensemble des acteurs concernés.</w:t>
      </w:r>
    </w:p>
    <w:p w14:paraId="3948EC29" w14:textId="09F18EAE" w:rsidR="003F69AD" w:rsidRDefault="00502FE1" w:rsidP="00F93AC5">
      <w:pPr>
        <w:pStyle w:val="Titre2"/>
      </w:pPr>
      <w:bookmarkStart w:id="37" w:name="_Toc201330485"/>
      <w:r>
        <w:lastRenderedPageBreak/>
        <w:t>1.4</w:t>
      </w:r>
      <w:r>
        <w:tab/>
      </w:r>
      <w:r w:rsidR="007D6BA5">
        <w:t>La stabilité des liens et la continuité des soins de l’enfant pris en charge par le DPJ</w:t>
      </w:r>
      <w:r w:rsidR="00914C42">
        <w:t> </w:t>
      </w:r>
      <w:r w:rsidR="007D6BA5">
        <w:t>: des changements nécessaires en faveur de l’enfant</w:t>
      </w:r>
      <w:bookmarkEnd w:id="37"/>
    </w:p>
    <w:p w14:paraId="3F3E8CD4" w14:textId="49C29B31" w:rsidR="00AA7900" w:rsidRDefault="00502FE1" w:rsidP="00F93AC5">
      <w:pPr>
        <w:pStyle w:val="Titre3"/>
      </w:pPr>
      <w:bookmarkStart w:id="38" w:name="_Toc201330486"/>
      <w:r>
        <w:t>1.4.1</w:t>
      </w:r>
      <w:r>
        <w:tab/>
      </w:r>
      <w:r>
        <w:tab/>
      </w:r>
      <w:r w:rsidR="00AA7900" w:rsidRPr="00AA7900">
        <w:t>Les constats et les recommandations de la CSDEPJ</w:t>
      </w:r>
      <w:bookmarkEnd w:id="38"/>
    </w:p>
    <w:p w14:paraId="690EDCE0" w14:textId="0AFC1105" w:rsidR="00AA7900" w:rsidRDefault="006561F0" w:rsidP="003A1427">
      <w:pPr>
        <w:pStyle w:val="Paragraphe"/>
      </w:pPr>
      <w:r w:rsidRPr="006561F0">
        <w:t>En 2021, la CSDEPJ a conclu qu’il fallait «</w:t>
      </w:r>
      <w:r w:rsidR="00D16B99">
        <w:rPr>
          <w:rFonts w:ascii="Arial" w:hAnsi="Arial" w:cs="Arial"/>
        </w:rPr>
        <w:t> </w:t>
      </w:r>
      <w:r w:rsidRPr="006561F0">
        <w:t>garantir aux enfants une famille pour la vie</w:t>
      </w:r>
      <w:r w:rsidR="00D16B99">
        <w:rPr>
          <w:rFonts w:ascii="Arial" w:hAnsi="Arial" w:cs="Arial"/>
        </w:rPr>
        <w:t> </w:t>
      </w:r>
      <w:r w:rsidRPr="006561F0">
        <w:t>»</w:t>
      </w:r>
      <w:r w:rsidR="0085330E">
        <w:rPr>
          <w:rFonts w:ascii="ZWAdobeF" w:hAnsi="ZWAdobeF" w:cs="ZWAdobeF"/>
          <w:sz w:val="2"/>
          <w:szCs w:val="2"/>
        </w:rPr>
        <w:t>49F</w:t>
      </w:r>
      <w:r w:rsidR="000E6861">
        <w:rPr>
          <w:rStyle w:val="Appelnotedebasdep"/>
        </w:rPr>
        <w:footnoteReference w:id="51"/>
      </w:r>
      <w:r w:rsidRPr="006561F0">
        <w:t>. Elle considère que «</w:t>
      </w:r>
      <w:r w:rsidR="00D16B99">
        <w:rPr>
          <w:rFonts w:ascii="Arial" w:hAnsi="Arial" w:cs="Arial"/>
        </w:rPr>
        <w:t> </w:t>
      </w:r>
      <w:r w:rsidRPr="006561F0">
        <w:t>la stabilité et la permanence des liens familiaux de qualité contribuent à faire de l’enfant un adulte sain et adapté socialement</w:t>
      </w:r>
      <w:r w:rsidR="00D16B99">
        <w:rPr>
          <w:rFonts w:ascii="Arial" w:hAnsi="Arial" w:cs="Arial"/>
        </w:rPr>
        <w:t> </w:t>
      </w:r>
      <w:r w:rsidRPr="006561F0">
        <w:t>»</w:t>
      </w:r>
      <w:r w:rsidR="0085330E">
        <w:rPr>
          <w:rFonts w:ascii="ZWAdobeF" w:hAnsi="ZWAdobeF" w:cs="ZWAdobeF"/>
          <w:sz w:val="2"/>
          <w:szCs w:val="2"/>
        </w:rPr>
        <w:t>50F</w:t>
      </w:r>
      <w:r>
        <w:rPr>
          <w:rStyle w:val="Appelnotedebasdep"/>
        </w:rPr>
        <w:footnoteReference w:id="52"/>
      </w:r>
      <w:r w:rsidRPr="006561F0">
        <w:t>. Cela l’a amené à affirmer que</w:t>
      </w:r>
      <w:r w:rsidR="00914C42">
        <w:t> </w:t>
      </w:r>
      <w:r w:rsidRPr="006561F0">
        <w:t>:</w:t>
      </w:r>
    </w:p>
    <w:p w14:paraId="249CE00F" w14:textId="76C366D0" w:rsidR="000E6861" w:rsidRDefault="000E6861" w:rsidP="00BA3E6E">
      <w:pPr>
        <w:pStyle w:val="puces0"/>
      </w:pPr>
      <w:r>
        <w:t>Le premier projet de vie pour un enfant doit être celui de grandir dans sa famille</w:t>
      </w:r>
      <w:r w:rsidR="004A21EC">
        <w:rPr>
          <w:rFonts w:ascii="Arial" w:hAnsi="Arial" w:cs="Arial"/>
        </w:rPr>
        <w:t> </w:t>
      </w:r>
      <w:r>
        <w:t>;</w:t>
      </w:r>
    </w:p>
    <w:p w14:paraId="12D999D9" w14:textId="03259EB9" w:rsidR="000E6861" w:rsidRDefault="000E6861" w:rsidP="00BA3E6E">
      <w:pPr>
        <w:pStyle w:val="puces0"/>
      </w:pPr>
      <w:r>
        <w:t>Le retour ou le maintien en milieu familial est une décision qui doit se prendre en ayant en tête une multitude de facteurs</w:t>
      </w:r>
      <w:r w:rsidR="0085330E">
        <w:rPr>
          <w:rFonts w:ascii="ZWAdobeF" w:hAnsi="ZWAdobeF" w:cs="ZWAdobeF"/>
          <w:color w:val="auto"/>
          <w:sz w:val="2"/>
          <w:szCs w:val="2"/>
        </w:rPr>
        <w:t>51F</w:t>
      </w:r>
      <w:r w:rsidR="00FE1759">
        <w:rPr>
          <w:rStyle w:val="Appelnotedebasdep"/>
        </w:rPr>
        <w:footnoteReference w:id="53"/>
      </w:r>
      <w:r>
        <w:t>, dont l’intérêt et le développement de l’enfant, la qualité du lien d’attachement avec ses parents et la bonne évaluation des capacités parentales</w:t>
      </w:r>
      <w:r w:rsidR="004A21EC">
        <w:rPr>
          <w:rFonts w:ascii="Arial" w:hAnsi="Arial" w:cs="Arial"/>
        </w:rPr>
        <w:t> </w:t>
      </w:r>
      <w:r>
        <w:t>;</w:t>
      </w:r>
    </w:p>
    <w:p w14:paraId="40EFC6F0" w14:textId="5546D1A2" w:rsidR="000E6861" w:rsidRDefault="000E6861" w:rsidP="00BA3E6E">
      <w:pPr>
        <w:pStyle w:val="puces0"/>
      </w:pPr>
      <w:r>
        <w:t>Il est parfois difficile de concilier l’objectif de maintenir l’enfant dans sa famille et l’objectif de prendre la meilleure décision pour l’enfant</w:t>
      </w:r>
      <w:r w:rsidR="0085330E">
        <w:rPr>
          <w:rFonts w:ascii="ZWAdobeF" w:hAnsi="ZWAdobeF" w:cs="ZWAdobeF"/>
          <w:color w:val="auto"/>
          <w:sz w:val="2"/>
          <w:szCs w:val="2"/>
        </w:rPr>
        <w:t>52F</w:t>
      </w:r>
      <w:r>
        <w:rPr>
          <w:rStyle w:val="Appelnotedebasdep"/>
        </w:rPr>
        <w:footnoteReference w:id="54"/>
      </w:r>
      <w:r w:rsidR="004A21EC">
        <w:rPr>
          <w:rFonts w:ascii="Arial" w:hAnsi="Arial" w:cs="Arial"/>
        </w:rPr>
        <w:t> </w:t>
      </w:r>
      <w:r>
        <w:t>;</w:t>
      </w:r>
    </w:p>
    <w:p w14:paraId="3FE063E0" w14:textId="27B277D0" w:rsidR="006561F0" w:rsidRDefault="000E6861" w:rsidP="00BA3E6E">
      <w:pPr>
        <w:pStyle w:val="puces0"/>
      </w:pPr>
      <w:r>
        <w:t>Il est essentiel que le souhait exprimé par l’enfant soit considéré dans la prise de décision</w:t>
      </w:r>
      <w:r w:rsidR="0085330E">
        <w:rPr>
          <w:rFonts w:ascii="ZWAdobeF" w:hAnsi="ZWAdobeF" w:cs="ZWAdobeF"/>
          <w:color w:val="auto"/>
          <w:sz w:val="2"/>
          <w:szCs w:val="2"/>
        </w:rPr>
        <w:t>53F</w:t>
      </w:r>
      <w:r>
        <w:rPr>
          <w:rStyle w:val="Appelnotedebasdep"/>
        </w:rPr>
        <w:footnoteReference w:id="55"/>
      </w:r>
      <w:r>
        <w:t>, incluant celui des jeunes enfants</w:t>
      </w:r>
      <w:r w:rsidR="0085330E">
        <w:rPr>
          <w:rFonts w:ascii="ZWAdobeF" w:hAnsi="ZWAdobeF" w:cs="ZWAdobeF"/>
          <w:color w:val="auto"/>
          <w:sz w:val="2"/>
          <w:szCs w:val="2"/>
        </w:rPr>
        <w:t>54F</w:t>
      </w:r>
      <w:r>
        <w:rPr>
          <w:rStyle w:val="Appelnotedebasdep"/>
        </w:rPr>
        <w:footnoteReference w:id="56"/>
      </w:r>
      <w:r w:rsidR="004A21EC">
        <w:rPr>
          <w:rFonts w:ascii="Arial" w:hAnsi="Arial" w:cs="Arial"/>
        </w:rPr>
        <w:t> </w:t>
      </w:r>
      <w:r>
        <w:t>;</w:t>
      </w:r>
    </w:p>
    <w:p w14:paraId="743E1F36" w14:textId="04AB267B" w:rsidR="001147C7" w:rsidRDefault="001147C7" w:rsidP="00BA3E6E">
      <w:pPr>
        <w:pStyle w:val="puces0"/>
      </w:pPr>
      <w:r>
        <w:t>Le maintien des contacts avec les personnes significatives est un droit de l’enfant, qui est essentiel à sa stabilité émotive</w:t>
      </w:r>
      <w:r w:rsidR="0085330E">
        <w:rPr>
          <w:rFonts w:ascii="ZWAdobeF" w:hAnsi="ZWAdobeF" w:cs="ZWAdobeF"/>
          <w:color w:val="auto"/>
          <w:sz w:val="2"/>
          <w:szCs w:val="2"/>
        </w:rPr>
        <w:t>55F</w:t>
      </w:r>
      <w:r w:rsidRPr="001147C7">
        <w:rPr>
          <w:vertAlign w:val="superscript"/>
        </w:rPr>
        <w:footnoteReference w:id="57"/>
      </w:r>
      <w:r w:rsidR="004A21EC">
        <w:rPr>
          <w:rFonts w:ascii="Arial" w:hAnsi="Arial" w:cs="Arial"/>
        </w:rPr>
        <w:t> </w:t>
      </w:r>
      <w:r>
        <w:t>;</w:t>
      </w:r>
    </w:p>
    <w:p w14:paraId="792C9C2A" w14:textId="73840A93" w:rsidR="00AA7900" w:rsidRDefault="001147C7" w:rsidP="00BA3E6E">
      <w:pPr>
        <w:pStyle w:val="puces0"/>
      </w:pPr>
      <w:r>
        <w:t>Une planification concurrente au projet de vie</w:t>
      </w:r>
      <w:r w:rsidR="0085330E">
        <w:rPr>
          <w:rFonts w:ascii="ZWAdobeF" w:hAnsi="ZWAdobeF" w:cs="ZWAdobeF"/>
          <w:color w:val="auto"/>
          <w:sz w:val="2"/>
          <w:szCs w:val="2"/>
        </w:rPr>
        <w:t>56F</w:t>
      </w:r>
      <w:r w:rsidR="00032F1D">
        <w:rPr>
          <w:rStyle w:val="Appelnotedebasdep"/>
        </w:rPr>
        <w:footnoteReference w:id="58"/>
      </w:r>
      <w:r>
        <w:t xml:space="preserve"> doit être faite dès qu’un enfant est retiré de son milieu et que la planification du projet de vie se fait trop tard au lieu de se faire dès que le risque d’instabilité ou de discontinuité est identifié</w:t>
      </w:r>
      <w:r w:rsidR="0085330E">
        <w:rPr>
          <w:rFonts w:ascii="ZWAdobeF" w:hAnsi="ZWAdobeF" w:cs="ZWAdobeF"/>
          <w:color w:val="auto"/>
          <w:sz w:val="2"/>
          <w:szCs w:val="2"/>
        </w:rPr>
        <w:t>57F</w:t>
      </w:r>
      <w:r w:rsidRPr="001147C7">
        <w:rPr>
          <w:vertAlign w:val="superscript"/>
        </w:rPr>
        <w:footnoteReference w:id="59"/>
      </w:r>
      <w:r w:rsidR="00032F1D">
        <w:t>.</w:t>
      </w:r>
    </w:p>
    <w:p w14:paraId="0D302DBC" w14:textId="2238E9CE" w:rsidR="00151645" w:rsidRDefault="00151645" w:rsidP="003A1427">
      <w:pPr>
        <w:pStyle w:val="Paragraphe"/>
      </w:pPr>
      <w:r>
        <w:t>La CSDEPJ a mis en lumière que</w:t>
      </w:r>
      <w:r w:rsidR="00914C42">
        <w:t> </w:t>
      </w:r>
      <w:r>
        <w:t>:</w:t>
      </w:r>
    </w:p>
    <w:p w14:paraId="072A2CA0" w14:textId="0B52080A" w:rsidR="00151645" w:rsidRDefault="00151645" w:rsidP="00BA3E6E">
      <w:pPr>
        <w:pStyle w:val="puces0"/>
      </w:pPr>
      <w:r>
        <w:t>La formulation de l’article</w:t>
      </w:r>
      <w:r w:rsidR="00104A0F">
        <w:t> </w:t>
      </w:r>
      <w:r>
        <w:t>4 de la LPJ ne permet pas toujours d’assurer à l’enfant la stabilité des liens et la continuité des soins</w:t>
      </w:r>
      <w:r w:rsidR="004A21EC">
        <w:rPr>
          <w:rFonts w:ascii="Arial" w:hAnsi="Arial" w:cs="Arial"/>
        </w:rPr>
        <w:t> </w:t>
      </w:r>
      <w:r>
        <w:t>;</w:t>
      </w:r>
    </w:p>
    <w:p w14:paraId="77FEADCB" w14:textId="2B968F75" w:rsidR="00151645" w:rsidRDefault="00151645" w:rsidP="00BA3E6E">
      <w:pPr>
        <w:pStyle w:val="puces0"/>
      </w:pPr>
      <w:r>
        <w:lastRenderedPageBreak/>
        <w:t>La LPJ n’accorde pas assez d’importance à la stabilité des liens et à la continuité des soins, en prévoyant que la décision prise concernant l’enfant doit «</w:t>
      </w:r>
      <w:r w:rsidR="00D16B99">
        <w:rPr>
          <w:rFonts w:ascii="Arial" w:hAnsi="Arial" w:cs="Arial"/>
        </w:rPr>
        <w:t> </w:t>
      </w:r>
      <w:r>
        <w:t>tendre à assurer</w:t>
      </w:r>
      <w:r w:rsidR="00D16B99">
        <w:rPr>
          <w:rFonts w:ascii="Arial" w:hAnsi="Arial" w:cs="Arial"/>
        </w:rPr>
        <w:t> </w:t>
      </w:r>
      <w:r>
        <w:t>» cette stabilité et la continuité</w:t>
      </w:r>
      <w:r w:rsidR="0085330E">
        <w:rPr>
          <w:rFonts w:ascii="ZWAdobeF" w:hAnsi="ZWAdobeF" w:cs="ZWAdobeF"/>
          <w:color w:val="auto"/>
          <w:sz w:val="2"/>
          <w:szCs w:val="2"/>
        </w:rPr>
        <w:t>58F</w:t>
      </w:r>
      <w:r>
        <w:rPr>
          <w:rStyle w:val="Appelnotedebasdep"/>
        </w:rPr>
        <w:footnoteReference w:id="60"/>
      </w:r>
      <w:r w:rsidR="004A21EC">
        <w:rPr>
          <w:rFonts w:ascii="Arial" w:hAnsi="Arial" w:cs="Arial"/>
        </w:rPr>
        <w:t> </w:t>
      </w:r>
      <w:r>
        <w:t>;</w:t>
      </w:r>
    </w:p>
    <w:p w14:paraId="005E4361" w14:textId="4A0A3E44" w:rsidR="00151645" w:rsidRDefault="00151645" w:rsidP="00BA3E6E">
      <w:pPr>
        <w:pStyle w:val="puces0"/>
      </w:pPr>
      <w:r>
        <w:t>Le cadre juridique et les obligations des parties quant à la détermination rapide du projet de vie sont faibles</w:t>
      </w:r>
      <w:r w:rsidR="0085330E">
        <w:rPr>
          <w:rFonts w:ascii="ZWAdobeF" w:hAnsi="ZWAdobeF" w:cs="ZWAdobeF"/>
          <w:color w:val="auto"/>
          <w:sz w:val="2"/>
          <w:szCs w:val="2"/>
        </w:rPr>
        <w:t>59F</w:t>
      </w:r>
      <w:r>
        <w:rPr>
          <w:rStyle w:val="Appelnotedebasdep"/>
        </w:rPr>
        <w:footnoteReference w:id="61"/>
      </w:r>
      <w:r w:rsidR="004A21EC">
        <w:rPr>
          <w:rFonts w:ascii="Arial" w:hAnsi="Arial" w:cs="Arial"/>
        </w:rPr>
        <w:t> </w:t>
      </w:r>
      <w:r>
        <w:t>;</w:t>
      </w:r>
    </w:p>
    <w:p w14:paraId="5D4C26B4" w14:textId="7D9CA1D7" w:rsidR="00151645" w:rsidRDefault="00151645" w:rsidP="00BA3E6E">
      <w:pPr>
        <w:pStyle w:val="puces0"/>
      </w:pPr>
      <w:r>
        <w:t>La LPJ n’est pas explicite à l’égard de la planification concurrente au projet de vie de l’enfant retiré de son milieu familial</w:t>
      </w:r>
      <w:r w:rsidR="004A21EC">
        <w:rPr>
          <w:rFonts w:ascii="Arial" w:hAnsi="Arial" w:cs="Arial"/>
        </w:rPr>
        <w:t> </w:t>
      </w:r>
      <w:r>
        <w:t>;</w:t>
      </w:r>
    </w:p>
    <w:p w14:paraId="38773AE9" w14:textId="06038A7A" w:rsidR="00151645" w:rsidRDefault="00151645" w:rsidP="00BA3E6E">
      <w:pPr>
        <w:pStyle w:val="puces0"/>
      </w:pPr>
      <w:r>
        <w:t>Les durées maximales d’hébergement sont souvent dépassées, notamment chez les enfants en très bas âge</w:t>
      </w:r>
      <w:r w:rsidR="0085330E">
        <w:rPr>
          <w:rFonts w:ascii="ZWAdobeF" w:hAnsi="ZWAdobeF" w:cs="ZWAdobeF"/>
          <w:color w:val="auto"/>
          <w:sz w:val="2"/>
          <w:szCs w:val="2"/>
        </w:rPr>
        <w:t>60F</w:t>
      </w:r>
      <w:r>
        <w:rPr>
          <w:rStyle w:val="Appelnotedebasdep"/>
        </w:rPr>
        <w:footnoteReference w:id="62"/>
      </w:r>
      <w:r w:rsidR="004A21EC">
        <w:rPr>
          <w:rFonts w:ascii="Arial" w:hAnsi="Arial" w:cs="Arial"/>
        </w:rPr>
        <w:t> </w:t>
      </w:r>
      <w:r>
        <w:t>;</w:t>
      </w:r>
    </w:p>
    <w:p w14:paraId="511BDAAE" w14:textId="3BC00FFC" w:rsidR="00151645" w:rsidRDefault="00151645" w:rsidP="00BA3E6E">
      <w:pPr>
        <w:pStyle w:val="puces0"/>
      </w:pPr>
      <w:r>
        <w:t>Le choix du placement dans une famille d’accueil est fait en fonction de balises cliniques floues lorsque d’autres projets ne peuvent se concrétiser. Ce type de placement est caractérisé par l’instabilité</w:t>
      </w:r>
      <w:r w:rsidR="004A21EC">
        <w:rPr>
          <w:rFonts w:ascii="Arial" w:hAnsi="Arial" w:cs="Arial"/>
        </w:rPr>
        <w:t> </w:t>
      </w:r>
      <w:r>
        <w:t>;</w:t>
      </w:r>
    </w:p>
    <w:p w14:paraId="34A11D7A" w14:textId="50E420A5" w:rsidR="00151645" w:rsidRDefault="00151645" w:rsidP="00BA3E6E">
      <w:pPr>
        <w:pStyle w:val="puces0"/>
      </w:pPr>
      <w:r>
        <w:t>Parmi les projets de vie possibles pour l’enfant, le placement à majorité «</w:t>
      </w:r>
      <w:r w:rsidR="00D16B99">
        <w:rPr>
          <w:rFonts w:ascii="Arial" w:hAnsi="Arial" w:cs="Arial"/>
        </w:rPr>
        <w:t> </w:t>
      </w:r>
      <w:r>
        <w:t>est trop souvent la solution par défaut</w:t>
      </w:r>
      <w:r w:rsidR="00D16B99">
        <w:rPr>
          <w:rFonts w:ascii="Arial" w:hAnsi="Arial" w:cs="Arial"/>
        </w:rPr>
        <w:t> </w:t>
      </w:r>
      <w:r>
        <w:t>»</w:t>
      </w:r>
      <w:r w:rsidR="0085330E">
        <w:rPr>
          <w:rFonts w:ascii="ZWAdobeF" w:hAnsi="ZWAdobeF" w:cs="ZWAdobeF"/>
          <w:color w:val="auto"/>
          <w:sz w:val="2"/>
          <w:szCs w:val="2"/>
        </w:rPr>
        <w:t>61F</w:t>
      </w:r>
      <w:r>
        <w:rPr>
          <w:rStyle w:val="Appelnotedebasdep"/>
        </w:rPr>
        <w:footnoteReference w:id="63"/>
      </w:r>
      <w:r w:rsidR="004A21EC">
        <w:rPr>
          <w:rFonts w:ascii="Arial" w:hAnsi="Arial" w:cs="Arial"/>
        </w:rPr>
        <w:t> </w:t>
      </w:r>
      <w:r>
        <w:t>;</w:t>
      </w:r>
    </w:p>
    <w:p w14:paraId="23F4AA1D" w14:textId="5AC527DE" w:rsidR="00151645" w:rsidRDefault="00151645" w:rsidP="00BA3E6E">
      <w:pPr>
        <w:pStyle w:val="puces0"/>
      </w:pPr>
      <w:r>
        <w:t>L’opinion de l’enfant en lien avec son projet de vie est rarement recueillie</w:t>
      </w:r>
      <w:r w:rsidR="0085330E">
        <w:rPr>
          <w:rFonts w:ascii="ZWAdobeF" w:hAnsi="ZWAdobeF" w:cs="ZWAdobeF"/>
          <w:color w:val="auto"/>
          <w:sz w:val="2"/>
          <w:szCs w:val="2"/>
        </w:rPr>
        <w:t>62F</w:t>
      </w:r>
      <w:r>
        <w:rPr>
          <w:rStyle w:val="Appelnotedebasdep"/>
        </w:rPr>
        <w:footnoteReference w:id="64"/>
      </w:r>
      <w:r w:rsidR="004A21EC">
        <w:rPr>
          <w:rFonts w:ascii="Arial" w:hAnsi="Arial" w:cs="Arial"/>
        </w:rPr>
        <w:t> </w:t>
      </w:r>
      <w:r>
        <w:t>;</w:t>
      </w:r>
    </w:p>
    <w:p w14:paraId="453BBE33" w14:textId="36A6840F" w:rsidR="00AA7900" w:rsidRDefault="00151645" w:rsidP="00BA3E6E">
      <w:pPr>
        <w:pStyle w:val="puces0"/>
      </w:pPr>
      <w:r>
        <w:t>Les réactions des enfants lors des contacts avec les parents sont peu prises en compte pour déterminer les contacts avec les parents. Il peut arriver qu’il ne soit pas dans l’intérêt de l’enfant de les maintenir.</w:t>
      </w:r>
    </w:p>
    <w:p w14:paraId="374366BE" w14:textId="2DCDCCE5" w:rsidR="00AA7900" w:rsidRDefault="00083C4D" w:rsidP="003A1427">
      <w:pPr>
        <w:pStyle w:val="Paragraphe"/>
      </w:pPr>
      <w:r w:rsidRPr="00083C4D">
        <w:t>À partir de ces constats, la CSDEPJ a entre autres recommandé que</w:t>
      </w:r>
      <w:r w:rsidR="00914C42">
        <w:t> </w:t>
      </w:r>
      <w:r w:rsidRPr="00083C4D">
        <w:t>:</w:t>
      </w:r>
    </w:p>
    <w:p w14:paraId="2A5C2761" w14:textId="589745E4" w:rsidR="00177C6F" w:rsidRDefault="00177C6F" w:rsidP="00BA3E6E">
      <w:pPr>
        <w:pStyle w:val="puces0"/>
      </w:pPr>
      <w:r>
        <w:t>L’article</w:t>
      </w:r>
      <w:r w:rsidR="00104A0F">
        <w:t> </w:t>
      </w:r>
      <w:r>
        <w:t>4 soit reformulé afin de créer une obligation plus forte que celle actuellement prévue</w:t>
      </w:r>
      <w:r w:rsidR="00A30070">
        <w:t xml:space="preserve"> </w:t>
      </w:r>
      <w:r>
        <w:t>concernant la stabilité des liens et des conditions de vie de l’enfant</w:t>
      </w:r>
      <w:r w:rsidR="0085330E">
        <w:rPr>
          <w:rFonts w:ascii="ZWAdobeF" w:hAnsi="ZWAdobeF" w:cs="ZWAdobeF"/>
          <w:color w:val="auto"/>
          <w:sz w:val="2"/>
          <w:szCs w:val="2"/>
        </w:rPr>
        <w:t>63F</w:t>
      </w:r>
      <w:r w:rsidR="00A30070">
        <w:rPr>
          <w:rStyle w:val="Appelnotedebasdep"/>
        </w:rPr>
        <w:footnoteReference w:id="65"/>
      </w:r>
      <w:r w:rsidR="00220FCC">
        <w:rPr>
          <w:rFonts w:ascii="Arial" w:hAnsi="Arial" w:cs="Arial"/>
        </w:rPr>
        <w:t> </w:t>
      </w:r>
      <w:r w:rsidR="00CD5A28">
        <w:t>;</w:t>
      </w:r>
    </w:p>
    <w:p w14:paraId="2C5F85B0" w14:textId="4AFA7B33" w:rsidR="00177C6F" w:rsidRDefault="00177C6F" w:rsidP="00BA3E6E">
      <w:pPr>
        <w:pStyle w:val="puces0"/>
      </w:pPr>
      <w:r>
        <w:t>La LPJ doit clairement énoncer que les décisions doivent assurer la stabilité des liens et la continuité des soins</w:t>
      </w:r>
      <w:r w:rsidR="004A21EC">
        <w:rPr>
          <w:rFonts w:ascii="Arial" w:hAnsi="Arial" w:cs="Arial"/>
        </w:rPr>
        <w:t> </w:t>
      </w:r>
      <w:r>
        <w:t>;</w:t>
      </w:r>
    </w:p>
    <w:p w14:paraId="5EDD8AD2" w14:textId="3E61184A" w:rsidR="00177C6F" w:rsidRDefault="00177C6F" w:rsidP="00BA3E6E">
      <w:pPr>
        <w:pStyle w:val="puces0"/>
      </w:pPr>
      <w:r>
        <w:t>La stabilité doit être placée au cœur des principes d’intervention des différents acteurs sociaux</w:t>
      </w:r>
      <w:r w:rsidR="00A30070">
        <w:t xml:space="preserve"> </w:t>
      </w:r>
      <w:r>
        <w:t>et judiciaires</w:t>
      </w:r>
      <w:r w:rsidR="0085330E">
        <w:rPr>
          <w:rFonts w:ascii="ZWAdobeF" w:hAnsi="ZWAdobeF" w:cs="ZWAdobeF"/>
          <w:color w:val="auto"/>
          <w:sz w:val="2"/>
          <w:szCs w:val="2"/>
        </w:rPr>
        <w:t>64F</w:t>
      </w:r>
      <w:r w:rsidR="00A30070">
        <w:rPr>
          <w:rStyle w:val="Appelnotedebasdep"/>
        </w:rPr>
        <w:footnoteReference w:id="66"/>
      </w:r>
      <w:r w:rsidR="004A21EC">
        <w:rPr>
          <w:rFonts w:ascii="Arial" w:hAnsi="Arial" w:cs="Arial"/>
        </w:rPr>
        <w:t> </w:t>
      </w:r>
      <w:r>
        <w:t>;</w:t>
      </w:r>
    </w:p>
    <w:p w14:paraId="12A31FB4" w14:textId="12434950" w:rsidR="00177C6F" w:rsidRDefault="00177C6F" w:rsidP="00BA3E6E">
      <w:pPr>
        <w:pStyle w:val="puces0"/>
      </w:pPr>
      <w:r>
        <w:lastRenderedPageBreak/>
        <w:t>Tant l’enfant que ses parents doivent recevoir, de la part du DPJ, les services appropriés, avec</w:t>
      </w:r>
      <w:r w:rsidR="00A30070">
        <w:t xml:space="preserve"> </w:t>
      </w:r>
      <w:r>
        <w:t>la rapidité et l’intensité requises</w:t>
      </w:r>
      <w:r w:rsidR="0085330E">
        <w:rPr>
          <w:rFonts w:ascii="ZWAdobeF" w:hAnsi="ZWAdobeF" w:cs="ZWAdobeF"/>
          <w:color w:val="auto"/>
          <w:sz w:val="2"/>
          <w:szCs w:val="2"/>
        </w:rPr>
        <w:t>65F</w:t>
      </w:r>
      <w:r w:rsidR="00A30070">
        <w:rPr>
          <w:rStyle w:val="Appelnotedebasdep"/>
        </w:rPr>
        <w:footnoteReference w:id="67"/>
      </w:r>
      <w:r>
        <w:t>, en fonction de leurs besoins</w:t>
      </w:r>
      <w:r w:rsidR="0085330E">
        <w:rPr>
          <w:rFonts w:ascii="ZWAdobeF" w:hAnsi="ZWAdobeF" w:cs="ZWAdobeF"/>
          <w:color w:val="auto"/>
          <w:sz w:val="2"/>
          <w:szCs w:val="2"/>
        </w:rPr>
        <w:t>66F</w:t>
      </w:r>
      <w:r w:rsidR="00A30070">
        <w:rPr>
          <w:rStyle w:val="Appelnotedebasdep"/>
        </w:rPr>
        <w:footnoteReference w:id="68"/>
      </w:r>
      <w:r w:rsidR="004A21EC">
        <w:rPr>
          <w:rFonts w:ascii="Arial" w:hAnsi="Arial" w:cs="Arial"/>
        </w:rPr>
        <w:t> </w:t>
      </w:r>
      <w:r>
        <w:t>;</w:t>
      </w:r>
    </w:p>
    <w:p w14:paraId="0BEAF6C6" w14:textId="4AC011C4" w:rsidR="00177C6F" w:rsidRDefault="00177C6F" w:rsidP="00BA3E6E">
      <w:pPr>
        <w:pStyle w:val="puces0"/>
      </w:pPr>
      <w:r>
        <w:t>La prise en compte de l’expression de l’enfant dans son projet de vie doit être rendue</w:t>
      </w:r>
      <w:r w:rsidR="00A30070">
        <w:t xml:space="preserve"> </w:t>
      </w:r>
      <w:r>
        <w:t>obligatoire</w:t>
      </w:r>
      <w:r w:rsidR="004A21EC">
        <w:rPr>
          <w:rFonts w:ascii="Arial" w:hAnsi="Arial" w:cs="Arial"/>
        </w:rPr>
        <w:t> </w:t>
      </w:r>
      <w:r>
        <w:t>;</w:t>
      </w:r>
    </w:p>
    <w:p w14:paraId="219FC5DA" w14:textId="3A60370A" w:rsidR="00177C6F" w:rsidRDefault="00177C6F" w:rsidP="00BA3E6E">
      <w:pPr>
        <w:pStyle w:val="puces0"/>
      </w:pPr>
      <w:r>
        <w:t>Il faut planifier dès le début un projet de vie alternatif à la famille d’origine, donc prévoir une</w:t>
      </w:r>
      <w:r w:rsidR="00A30070">
        <w:t xml:space="preserve"> </w:t>
      </w:r>
      <w:r>
        <w:t>planification concurrente</w:t>
      </w:r>
      <w:r w:rsidR="0085330E">
        <w:rPr>
          <w:rFonts w:ascii="ZWAdobeF" w:hAnsi="ZWAdobeF" w:cs="ZWAdobeF"/>
          <w:color w:val="auto"/>
          <w:sz w:val="2"/>
          <w:szCs w:val="2"/>
        </w:rPr>
        <w:t>67F</w:t>
      </w:r>
      <w:r w:rsidR="00A30070">
        <w:rPr>
          <w:rStyle w:val="Appelnotedebasdep"/>
        </w:rPr>
        <w:footnoteReference w:id="69"/>
      </w:r>
      <w:r w:rsidR="004A21EC">
        <w:rPr>
          <w:rFonts w:ascii="Arial" w:hAnsi="Arial" w:cs="Arial"/>
        </w:rPr>
        <w:t> </w:t>
      </w:r>
      <w:r>
        <w:t>;</w:t>
      </w:r>
    </w:p>
    <w:p w14:paraId="0975F691" w14:textId="3A7C64E7" w:rsidR="00177C6F" w:rsidRDefault="00177C6F" w:rsidP="00BA3E6E">
      <w:pPr>
        <w:pStyle w:val="puces0"/>
      </w:pPr>
      <w:r>
        <w:t>Les motifs d’exception permettant de dépasser les durées maximales d’hébergement énumérées à l’article</w:t>
      </w:r>
      <w:r w:rsidR="00104A0F">
        <w:t> </w:t>
      </w:r>
      <w:r>
        <w:t>91.1 de la LPJ doivent être restreints au seul intérêt de l’enfant</w:t>
      </w:r>
      <w:r w:rsidR="004A21EC">
        <w:rPr>
          <w:rFonts w:ascii="Arial" w:hAnsi="Arial" w:cs="Arial"/>
        </w:rPr>
        <w:t> </w:t>
      </w:r>
      <w:r>
        <w:t>;</w:t>
      </w:r>
    </w:p>
    <w:p w14:paraId="0D80DF43" w14:textId="182C3E39" w:rsidR="00177C6F" w:rsidRDefault="00177C6F" w:rsidP="00BA3E6E">
      <w:pPr>
        <w:pStyle w:val="puces0"/>
      </w:pPr>
      <w:r>
        <w:t>Le maintien des contacts et leur fréquence doivent être réfléchis en fonction de l’intérêt de l’enfant</w:t>
      </w:r>
      <w:r w:rsidR="0085330E">
        <w:rPr>
          <w:rFonts w:ascii="ZWAdobeF" w:hAnsi="ZWAdobeF" w:cs="ZWAdobeF"/>
          <w:color w:val="auto"/>
          <w:sz w:val="2"/>
          <w:szCs w:val="2"/>
        </w:rPr>
        <w:t>68F</w:t>
      </w:r>
      <w:r w:rsidR="00A30070">
        <w:rPr>
          <w:rStyle w:val="Appelnotedebasdep"/>
        </w:rPr>
        <w:footnoteReference w:id="70"/>
      </w:r>
      <w:r w:rsidR="004A21EC">
        <w:rPr>
          <w:rFonts w:ascii="Arial" w:hAnsi="Arial" w:cs="Arial"/>
        </w:rPr>
        <w:t> </w:t>
      </w:r>
      <w:r>
        <w:t>;</w:t>
      </w:r>
    </w:p>
    <w:p w14:paraId="72EA1C9C" w14:textId="745BBE09" w:rsidR="00177C6F" w:rsidRDefault="00177C6F" w:rsidP="00BA3E6E">
      <w:pPr>
        <w:pStyle w:val="puces0"/>
      </w:pPr>
      <w:r>
        <w:t>Les contacts avec la fratrie, les grands-parents et les autres personnes significatives doivent</w:t>
      </w:r>
      <w:r w:rsidR="00A30070">
        <w:t xml:space="preserve"> </w:t>
      </w:r>
      <w:r>
        <w:t>être maintenus s’ils sont significatifs et dans l’intérêt de l’enfant</w:t>
      </w:r>
      <w:r w:rsidR="0085330E">
        <w:rPr>
          <w:rFonts w:ascii="ZWAdobeF" w:hAnsi="ZWAdobeF" w:cs="ZWAdobeF"/>
          <w:color w:val="auto"/>
          <w:sz w:val="2"/>
          <w:szCs w:val="2"/>
        </w:rPr>
        <w:t>69F</w:t>
      </w:r>
      <w:r w:rsidR="00A30070">
        <w:rPr>
          <w:rStyle w:val="Appelnotedebasdep"/>
        </w:rPr>
        <w:footnoteReference w:id="71"/>
      </w:r>
      <w:r w:rsidR="004A21EC">
        <w:rPr>
          <w:rFonts w:ascii="Arial" w:hAnsi="Arial" w:cs="Arial"/>
        </w:rPr>
        <w:t> </w:t>
      </w:r>
      <w:r>
        <w:t>;</w:t>
      </w:r>
    </w:p>
    <w:p w14:paraId="533532B5" w14:textId="7E965B59" w:rsidR="00177C6F" w:rsidRDefault="00177C6F" w:rsidP="00BA3E6E">
      <w:pPr>
        <w:pStyle w:val="puces0"/>
      </w:pPr>
      <w:r>
        <w:t>Dans tous les cas, le tribunal doit obligatoirement se prononcer sur les contacts dans</w:t>
      </w:r>
      <w:r w:rsidR="00A30070">
        <w:t xml:space="preserve"> </w:t>
      </w:r>
      <w:r>
        <w:t>l’ordonnance de placement</w:t>
      </w:r>
      <w:r w:rsidR="004A21EC">
        <w:rPr>
          <w:rFonts w:ascii="Arial" w:hAnsi="Arial" w:cs="Arial"/>
        </w:rPr>
        <w:t> </w:t>
      </w:r>
      <w:r w:rsidR="0085330E">
        <w:rPr>
          <w:rFonts w:ascii="ZWAdobeF" w:hAnsi="ZWAdobeF" w:cs="ZWAdobeF"/>
          <w:color w:val="auto"/>
          <w:sz w:val="2"/>
          <w:szCs w:val="2"/>
        </w:rPr>
        <w:t>70F</w:t>
      </w:r>
      <w:r w:rsidR="00852BCE">
        <w:rPr>
          <w:rStyle w:val="Appelnotedebasdep"/>
          <w:rFonts w:ascii="Arial" w:hAnsi="Arial" w:cs="Arial"/>
        </w:rPr>
        <w:footnoteReference w:id="72"/>
      </w:r>
      <w:r>
        <w:t>;</w:t>
      </w:r>
    </w:p>
    <w:p w14:paraId="5896527C" w14:textId="693B5DBD" w:rsidR="00AA7900" w:rsidRDefault="00177C6F" w:rsidP="00BA3E6E">
      <w:pPr>
        <w:pStyle w:val="puces0"/>
      </w:pPr>
      <w:r>
        <w:t>Dans l’intérêt de l’enfant, il faut favoriser le transfert de l’exercice des attributs de l’autorité parentale à la famille de permanence lorsqu’un placement à majorité est ordonné</w:t>
      </w:r>
      <w:r w:rsidR="0085330E">
        <w:rPr>
          <w:rFonts w:ascii="ZWAdobeF" w:hAnsi="ZWAdobeF" w:cs="ZWAdobeF"/>
          <w:color w:val="auto"/>
          <w:sz w:val="2"/>
          <w:szCs w:val="2"/>
        </w:rPr>
        <w:t>71F</w:t>
      </w:r>
      <w:r w:rsidR="00A30070">
        <w:rPr>
          <w:rStyle w:val="Appelnotedebasdep"/>
        </w:rPr>
        <w:footnoteReference w:id="73"/>
      </w:r>
      <w:r>
        <w:t>.</w:t>
      </w:r>
    </w:p>
    <w:p w14:paraId="3689248C" w14:textId="35A9AB55" w:rsidR="00646CC8" w:rsidRDefault="00502FE1" w:rsidP="009B2C6A">
      <w:pPr>
        <w:pStyle w:val="Titre3"/>
        <w:ind w:left="566" w:hanging="566"/>
      </w:pPr>
      <w:bookmarkStart w:id="40" w:name="_Toc201330487"/>
      <w:r>
        <w:t>1.4.2</w:t>
      </w:r>
      <w:r>
        <w:tab/>
      </w:r>
      <w:r>
        <w:tab/>
      </w:r>
      <w:r w:rsidR="00646CC8" w:rsidRPr="00646CC8">
        <w:t>Les lésions de droit constatées dans les enquêtes de la Commission des droits</w:t>
      </w:r>
      <w:r w:rsidR="00695D0E">
        <w:t xml:space="preserve"> </w:t>
      </w:r>
      <w:r w:rsidR="00646CC8" w:rsidRPr="00646CC8">
        <w:t>en lien avec la stabilité</w:t>
      </w:r>
      <w:r w:rsidR="00CE6390">
        <w:t xml:space="preserve"> des liens</w:t>
      </w:r>
      <w:bookmarkEnd w:id="40"/>
    </w:p>
    <w:p w14:paraId="244F76DD" w14:textId="7FAA61D1" w:rsidR="00646CC8" w:rsidRDefault="002802E4" w:rsidP="003A1427">
      <w:pPr>
        <w:pStyle w:val="Paragraphe"/>
      </w:pPr>
      <w:r w:rsidRPr="002802E4">
        <w:t xml:space="preserve">En s’appuyant sur ses enquêtes, tant individuelles que systémiques, ainsi que sur ses interventions judiciaires, la Commission a fait valoir différents éléments au sujet de la stabilité des liens de l’enfant et de ses conditions de vie dans son mémoire </w:t>
      </w:r>
      <w:r w:rsidR="002E44A4">
        <w:t>présenté</w:t>
      </w:r>
      <w:r w:rsidRPr="002802E4">
        <w:t xml:space="preserve"> à la CSDEPJ</w:t>
      </w:r>
      <w:r w:rsidR="00914C42">
        <w:t> </w:t>
      </w:r>
      <w:r w:rsidRPr="002802E4">
        <w:t>:</w:t>
      </w:r>
    </w:p>
    <w:p w14:paraId="75F7FB6F" w14:textId="258817F8" w:rsidR="00496C87" w:rsidRDefault="00496C87" w:rsidP="00BA3E6E">
      <w:pPr>
        <w:pStyle w:val="puces0"/>
      </w:pPr>
      <w:r>
        <w:t>En dépit des efforts du législateur pour renforcer la stabilité de l’enfant, elle continue d’intervenir pour promouvoir le droit à la stabilité, relayé au second plan dans l’analyse de l’intérêt de l’enfant</w:t>
      </w:r>
      <w:bookmarkStart w:id="41" w:name="_Ref200617995"/>
      <w:r w:rsidR="0085330E">
        <w:rPr>
          <w:rFonts w:ascii="ZWAdobeF" w:hAnsi="ZWAdobeF" w:cs="ZWAdobeF"/>
          <w:color w:val="auto"/>
          <w:sz w:val="2"/>
          <w:szCs w:val="2"/>
        </w:rPr>
        <w:t>72F</w:t>
      </w:r>
      <w:r>
        <w:rPr>
          <w:rStyle w:val="Appelnotedebasdep"/>
        </w:rPr>
        <w:footnoteReference w:id="74"/>
      </w:r>
      <w:bookmarkEnd w:id="41"/>
      <w:r w:rsidR="00220FCC">
        <w:rPr>
          <w:rFonts w:ascii="Arial" w:hAnsi="Arial" w:cs="Arial"/>
        </w:rPr>
        <w:t> </w:t>
      </w:r>
      <w:r w:rsidR="003C3290">
        <w:t>;</w:t>
      </w:r>
    </w:p>
    <w:p w14:paraId="53FF7946" w14:textId="710C45AE" w:rsidR="00496C87" w:rsidRDefault="00496C87" w:rsidP="00BA3E6E">
      <w:pPr>
        <w:pStyle w:val="puces0"/>
      </w:pPr>
      <w:r>
        <w:lastRenderedPageBreak/>
        <w:t>Le DPJ n’effectuait pas nécessairement de démarches afin de maintenir les liens significatifs de l’enfant</w:t>
      </w:r>
      <w:r w:rsidR="0085330E">
        <w:rPr>
          <w:rFonts w:ascii="ZWAdobeF" w:hAnsi="ZWAdobeF" w:cs="ZWAdobeF"/>
          <w:color w:val="auto"/>
          <w:sz w:val="2"/>
          <w:szCs w:val="2"/>
        </w:rPr>
        <w:t>73F</w:t>
      </w:r>
      <w:r>
        <w:rPr>
          <w:rStyle w:val="Appelnotedebasdep"/>
        </w:rPr>
        <w:footnoteReference w:id="75"/>
      </w:r>
      <w:r>
        <w:t xml:space="preserve"> alors que l’article</w:t>
      </w:r>
      <w:r w:rsidR="006B3149">
        <w:t> </w:t>
      </w:r>
      <w:r w:rsidR="002F27A7">
        <w:t>4 de la LPJ</w:t>
      </w:r>
      <w:r>
        <w:t xml:space="preserve"> l’oblige à être proactif à cet égard</w:t>
      </w:r>
      <w:r w:rsidR="004A21EC">
        <w:rPr>
          <w:rFonts w:ascii="Arial" w:hAnsi="Arial" w:cs="Arial"/>
        </w:rPr>
        <w:t> </w:t>
      </w:r>
      <w:r>
        <w:t>;</w:t>
      </w:r>
    </w:p>
    <w:p w14:paraId="0ADC424F" w14:textId="7EDA1413" w:rsidR="00496C87" w:rsidRDefault="00496C87" w:rsidP="00BA3E6E">
      <w:pPr>
        <w:pStyle w:val="puces0"/>
      </w:pPr>
      <w:r>
        <w:t>Les enfants placés en milieu substitut se voient refuser des contacts avec des tiers, incluant des personnes significatives pour eux, et ce, pour des raisons non conformes à la loi</w:t>
      </w:r>
      <w:r w:rsidR="0085330E">
        <w:rPr>
          <w:rFonts w:ascii="ZWAdobeF" w:hAnsi="ZWAdobeF" w:cs="ZWAdobeF"/>
          <w:color w:val="auto"/>
          <w:sz w:val="2"/>
          <w:szCs w:val="2"/>
        </w:rPr>
        <w:t>74F</w:t>
      </w:r>
      <w:r>
        <w:rPr>
          <w:rStyle w:val="Appelnotedebasdep"/>
        </w:rPr>
        <w:footnoteReference w:id="76"/>
      </w:r>
      <w:r w:rsidR="004A21EC">
        <w:rPr>
          <w:rFonts w:ascii="Arial" w:hAnsi="Arial" w:cs="Arial"/>
        </w:rPr>
        <w:t> </w:t>
      </w:r>
      <w:r>
        <w:t>;</w:t>
      </w:r>
    </w:p>
    <w:p w14:paraId="038F4161" w14:textId="0F412473" w:rsidR="00646CC8" w:rsidRDefault="00496C87" w:rsidP="00BA3E6E">
      <w:pPr>
        <w:pStyle w:val="puces0"/>
      </w:pPr>
      <w:r>
        <w:t>Les enfants ayant passé de nombreuses années dans un même milieu de vie, voire depuis leur naissance, sont déplacés sans être consultés et sans que le DPJ s’attarde à l’impact d’un tel déplacement sur l’enfant, considérant l’existence de liens affectifs entre ce dernier et les personnes qui en ont pris soin</w:t>
      </w:r>
      <w:r w:rsidR="0085330E">
        <w:rPr>
          <w:rFonts w:ascii="ZWAdobeF" w:hAnsi="ZWAdobeF" w:cs="ZWAdobeF"/>
          <w:color w:val="auto"/>
          <w:sz w:val="2"/>
          <w:szCs w:val="2"/>
        </w:rPr>
        <w:t>75F</w:t>
      </w:r>
      <w:r>
        <w:rPr>
          <w:rStyle w:val="Appelnotedebasdep"/>
        </w:rPr>
        <w:footnoteReference w:id="77"/>
      </w:r>
      <w:r>
        <w:t>.</w:t>
      </w:r>
    </w:p>
    <w:p w14:paraId="0CA2B0B3" w14:textId="63A91F14" w:rsidR="00646CC8" w:rsidRDefault="00C041F6" w:rsidP="003A1427">
      <w:pPr>
        <w:pStyle w:val="Paragraphe"/>
      </w:pPr>
      <w:r w:rsidRPr="00C041F6">
        <w:t>Ainsi, la Commission des droits a recommandé</w:t>
      </w:r>
      <w:r w:rsidR="00914C42">
        <w:t> </w:t>
      </w:r>
      <w:r w:rsidR="00882CFE">
        <w:t>que</w:t>
      </w:r>
      <w:r w:rsidR="00E0563A">
        <w:t> </w:t>
      </w:r>
      <w:r w:rsidRPr="00C041F6">
        <w:t>:</w:t>
      </w:r>
    </w:p>
    <w:p w14:paraId="1157A3A7" w14:textId="512019E1" w:rsidR="00DC30DE" w:rsidRDefault="00882CFE" w:rsidP="00BA3E6E">
      <w:pPr>
        <w:pStyle w:val="puces0"/>
      </w:pPr>
      <w:r>
        <w:t>L</w:t>
      </w:r>
      <w:r w:rsidR="00DC30DE">
        <w:t>es DPJ prennent des actions concrètes afin que les communications et les visites entre l’enfant et les personnes concernées soient maintenues. Ils doivent adapter leurs interventions aux enfants en bas âge et à ceux en situation de vulnérabilité qui ne peuvent s’exprimer</w:t>
      </w:r>
      <w:r w:rsidR="0085330E">
        <w:rPr>
          <w:rFonts w:ascii="ZWAdobeF" w:hAnsi="ZWAdobeF" w:cs="ZWAdobeF"/>
          <w:color w:val="auto"/>
          <w:sz w:val="2"/>
          <w:szCs w:val="2"/>
        </w:rPr>
        <w:t>76F</w:t>
      </w:r>
      <w:r w:rsidR="00DC30DE">
        <w:rPr>
          <w:rStyle w:val="Appelnotedebasdep"/>
        </w:rPr>
        <w:footnoteReference w:id="78"/>
      </w:r>
      <w:r w:rsidR="004A21EC">
        <w:rPr>
          <w:rFonts w:ascii="Arial" w:hAnsi="Arial" w:cs="Arial"/>
        </w:rPr>
        <w:t> </w:t>
      </w:r>
      <w:r w:rsidR="00DC30DE">
        <w:t>;</w:t>
      </w:r>
    </w:p>
    <w:p w14:paraId="260F2F43" w14:textId="578DBF3A" w:rsidR="00DC30DE" w:rsidRDefault="00882CFE" w:rsidP="00BA3E6E">
      <w:pPr>
        <w:pStyle w:val="puces0"/>
      </w:pPr>
      <w:r>
        <w:t>L</w:t>
      </w:r>
      <w:r w:rsidR="00DC30DE">
        <w:t>es dispositions de la LPJ relatives au droit de l’enfant de communiquer soient clarifiées, notamment pour prévoir que toute décision visant une interdiction de contacts entre une personne et un enfant placé en famille d’accueil ou confié à une personne significative doit être soumise au tribunal</w:t>
      </w:r>
      <w:r w:rsidR="0085330E">
        <w:rPr>
          <w:rFonts w:ascii="ZWAdobeF" w:hAnsi="ZWAdobeF" w:cs="ZWAdobeF"/>
          <w:color w:val="auto"/>
          <w:sz w:val="2"/>
          <w:szCs w:val="2"/>
        </w:rPr>
        <w:t>77F</w:t>
      </w:r>
      <w:r w:rsidR="00DC30DE">
        <w:rPr>
          <w:rStyle w:val="Appelnotedebasdep"/>
        </w:rPr>
        <w:footnoteReference w:id="79"/>
      </w:r>
      <w:r w:rsidR="004A21EC">
        <w:rPr>
          <w:rFonts w:ascii="Arial" w:hAnsi="Arial" w:cs="Arial"/>
        </w:rPr>
        <w:t> </w:t>
      </w:r>
      <w:r w:rsidR="00DC30DE">
        <w:t>;</w:t>
      </w:r>
    </w:p>
    <w:p w14:paraId="2DBE6807" w14:textId="0CF1B11C" w:rsidR="00646CC8" w:rsidRDefault="00882CFE" w:rsidP="00BA3E6E">
      <w:pPr>
        <w:pStyle w:val="puces0"/>
      </w:pPr>
      <w:r>
        <w:t>L</w:t>
      </w:r>
      <w:r w:rsidR="00DC30DE">
        <w:t>es DPJ effectuent, lorsque le déplacement de l’enfant est envisagé, une évaluation rigoureuse du lien affectif qui le relie aux membres de sa famille d’accueil ou aux personnes à qui il est confié et de l’impact d’un tel déplacement sur la situation de l’enfant</w:t>
      </w:r>
      <w:r w:rsidR="0085330E">
        <w:rPr>
          <w:rFonts w:ascii="ZWAdobeF" w:hAnsi="ZWAdobeF" w:cs="ZWAdobeF"/>
          <w:color w:val="auto"/>
          <w:sz w:val="2"/>
          <w:szCs w:val="2"/>
        </w:rPr>
        <w:t>78F</w:t>
      </w:r>
      <w:r w:rsidR="002A23ED">
        <w:rPr>
          <w:rStyle w:val="Appelnotedebasdep"/>
        </w:rPr>
        <w:footnoteReference w:id="80"/>
      </w:r>
      <w:r w:rsidR="00DC30DE">
        <w:t>. De plus, elle réitérait l’obligation qu’a le DPJ de saisir le tribunal lorsqu’il souhaite déplacer un enfant et recommandait de la clarifier dans la LPJ</w:t>
      </w:r>
      <w:r w:rsidR="0085330E">
        <w:rPr>
          <w:rFonts w:ascii="ZWAdobeF" w:hAnsi="ZWAdobeF" w:cs="ZWAdobeF"/>
          <w:color w:val="auto"/>
          <w:sz w:val="2"/>
          <w:szCs w:val="2"/>
        </w:rPr>
        <w:t>79F</w:t>
      </w:r>
      <w:r w:rsidR="00DC30DE">
        <w:rPr>
          <w:rStyle w:val="Appelnotedebasdep"/>
        </w:rPr>
        <w:footnoteReference w:id="81"/>
      </w:r>
      <w:r w:rsidR="00DC30DE">
        <w:t>.</w:t>
      </w:r>
    </w:p>
    <w:p w14:paraId="3BFDAE90" w14:textId="351A4BCE" w:rsidR="00646CC8" w:rsidRDefault="00502FE1" w:rsidP="00F93AC5">
      <w:pPr>
        <w:pStyle w:val="Titre2"/>
      </w:pPr>
      <w:bookmarkStart w:id="42" w:name="_Toc201330488"/>
      <w:r>
        <w:lastRenderedPageBreak/>
        <w:t>1.5</w:t>
      </w:r>
      <w:r>
        <w:tab/>
      </w:r>
      <w:r w:rsidR="001658DD" w:rsidRPr="001658DD">
        <w:t>La prise en compte de l’intérêt de l’enfant comme gage de sa stabilité</w:t>
      </w:r>
      <w:r w:rsidR="00914C42">
        <w:t> </w:t>
      </w:r>
      <w:r w:rsidR="001658DD" w:rsidRPr="001658DD">
        <w:t>: la réforme de la LPJ en 2022</w:t>
      </w:r>
      <w:bookmarkEnd w:id="42"/>
    </w:p>
    <w:p w14:paraId="4725E202" w14:textId="567551DA" w:rsidR="00C96CAE" w:rsidRDefault="00502FE1" w:rsidP="009B2C6A">
      <w:pPr>
        <w:pStyle w:val="Titre3"/>
        <w:ind w:left="566" w:hanging="566"/>
      </w:pPr>
      <w:bookmarkStart w:id="43" w:name="_Toc201330489"/>
      <w:r>
        <w:t>1.5.1</w:t>
      </w:r>
      <w:r>
        <w:tab/>
      </w:r>
      <w:r>
        <w:tab/>
      </w:r>
      <w:r w:rsidR="00C96CAE">
        <w:t>Les modifications apportées à la LPJ pour mieux assurer la stabilité des liens et des conditions de vie de l’enfant</w:t>
      </w:r>
      <w:bookmarkEnd w:id="43"/>
    </w:p>
    <w:p w14:paraId="12D436B7" w14:textId="24BCE22A" w:rsidR="00143F80" w:rsidRDefault="00143F80" w:rsidP="003A1427">
      <w:pPr>
        <w:pStyle w:val="Paragraphe"/>
      </w:pPr>
      <w:r>
        <w:t xml:space="preserve">Les dernières modifications apportées à la LPJ en 2022 misent sur la prise en compte de l’intérêt de l’enfant dans l’application des dispositions de la loi. Plusieurs visent spécifiquement à assurer la stabilité des liens </w:t>
      </w:r>
      <w:r w:rsidR="00263784">
        <w:t>et des c</w:t>
      </w:r>
      <w:r w:rsidR="008C76E7">
        <w:t xml:space="preserve">onditions de vie </w:t>
      </w:r>
      <w:r>
        <w:t>de l’enfant.</w:t>
      </w:r>
    </w:p>
    <w:p w14:paraId="7243C2D3" w14:textId="7F281FEB" w:rsidR="00143F80" w:rsidRDefault="00143F80" w:rsidP="003A1427">
      <w:pPr>
        <w:pStyle w:val="Paragraphe"/>
      </w:pPr>
      <w:r>
        <w:t>L’approche adoptée par le législateur lors de la réforme concernant la stabilité des liens de l’enfant s’inscrit dans celle de la Cour suprême</w:t>
      </w:r>
      <w:r w:rsidR="0085330E">
        <w:rPr>
          <w:rFonts w:ascii="ZWAdobeF" w:hAnsi="ZWAdobeF" w:cs="ZWAdobeF"/>
          <w:sz w:val="2"/>
          <w:szCs w:val="2"/>
        </w:rPr>
        <w:t>80F</w:t>
      </w:r>
      <w:r>
        <w:rPr>
          <w:rStyle w:val="Appelnotedebasdep"/>
        </w:rPr>
        <w:footnoteReference w:id="82"/>
      </w:r>
      <w:r>
        <w:t>. Elle a tranché que «</w:t>
      </w:r>
      <w:r w:rsidR="00D16B99">
        <w:rPr>
          <w:rFonts w:ascii="Arial" w:hAnsi="Arial" w:cs="Arial"/>
        </w:rPr>
        <w:t> </w:t>
      </w:r>
      <w:r>
        <w:t>le simple lien biologique d’un parent n’est qu’un élément parmi de nombreux autres qui pourrait être pertinent dans certains cas en ce qui a trait à l’intérêt supérieur de l’enfant</w:t>
      </w:r>
      <w:r w:rsidR="00D16B99">
        <w:rPr>
          <w:rFonts w:ascii="Arial" w:hAnsi="Arial" w:cs="Arial"/>
        </w:rPr>
        <w:t> </w:t>
      </w:r>
      <w:r>
        <w:t>»</w:t>
      </w:r>
      <w:r w:rsidR="0085330E">
        <w:rPr>
          <w:rFonts w:ascii="ZWAdobeF" w:hAnsi="ZWAdobeF" w:cs="ZWAdobeF"/>
          <w:sz w:val="2"/>
          <w:szCs w:val="2"/>
        </w:rPr>
        <w:t>81F</w:t>
      </w:r>
      <w:r>
        <w:rPr>
          <w:rStyle w:val="Appelnotedebasdep"/>
        </w:rPr>
        <w:footnoteReference w:id="83"/>
      </w:r>
      <w:r>
        <w:t>. La Cour conclut que bien que les liens biologiques puissent être pertinents dans une affaire donnée, ils auront généralement un poids minime dans l’évaluation de l’intérêt supérieur de l’enfant</w:t>
      </w:r>
      <w:r w:rsidR="0085330E">
        <w:rPr>
          <w:rFonts w:ascii="ZWAdobeF" w:hAnsi="ZWAdobeF" w:cs="ZWAdobeF"/>
          <w:sz w:val="2"/>
          <w:szCs w:val="2"/>
        </w:rPr>
        <w:t>82F</w:t>
      </w:r>
      <w:r>
        <w:rPr>
          <w:rStyle w:val="Appelnotedebasdep"/>
        </w:rPr>
        <w:footnoteReference w:id="84"/>
      </w:r>
      <w:r>
        <w:t>. Elle laisse toutefois entrevoir que l’analyse pourrait aussi prendre en considération des facteurs liés à l’autochtonité, à la culture, au patrimoine ou à la «</w:t>
      </w:r>
      <w:r w:rsidR="00D16B99">
        <w:rPr>
          <w:rFonts w:ascii="Arial" w:hAnsi="Arial" w:cs="Arial"/>
        </w:rPr>
        <w:t> </w:t>
      </w:r>
      <w:r>
        <w:t>race</w:t>
      </w:r>
      <w:r w:rsidR="00D16B99">
        <w:rPr>
          <w:rFonts w:ascii="Arial" w:hAnsi="Arial" w:cs="Arial"/>
        </w:rPr>
        <w:t> </w:t>
      </w:r>
      <w:r>
        <w:t>»</w:t>
      </w:r>
      <w:r w:rsidR="0085330E">
        <w:rPr>
          <w:rFonts w:ascii="ZWAdobeF" w:hAnsi="ZWAdobeF" w:cs="ZWAdobeF"/>
          <w:sz w:val="2"/>
          <w:szCs w:val="2"/>
        </w:rPr>
        <w:t>83F</w:t>
      </w:r>
      <w:r>
        <w:rPr>
          <w:rStyle w:val="Appelnotedebasdep"/>
        </w:rPr>
        <w:footnoteReference w:id="85"/>
      </w:r>
      <w:r>
        <w:t>.</w:t>
      </w:r>
    </w:p>
    <w:p w14:paraId="5EFA2468" w14:textId="03040B93" w:rsidR="00C96CAE" w:rsidRDefault="00143F80" w:rsidP="003A1427">
      <w:pPr>
        <w:pStyle w:val="Paragraphe"/>
      </w:pPr>
      <w:r>
        <w:t xml:space="preserve">Le </w:t>
      </w:r>
      <w:r w:rsidRPr="00080BD2">
        <w:rPr>
          <w:b/>
          <w:bCs/>
        </w:rPr>
        <w:t xml:space="preserve">préambule </w:t>
      </w:r>
      <w:r>
        <w:t>ajouté à la LPJ donne des orientations sur l’application des principes et des droits de l’enfant et ses parents. Il</w:t>
      </w:r>
      <w:r w:rsidR="00914C42">
        <w:t> </w:t>
      </w:r>
      <w:r>
        <w:t>:</w:t>
      </w:r>
    </w:p>
    <w:p w14:paraId="71F01C70" w14:textId="3191853F" w:rsidR="00B863FD" w:rsidRDefault="00B863FD" w:rsidP="00BA3E6E">
      <w:pPr>
        <w:pStyle w:val="puces0"/>
      </w:pPr>
      <w:r>
        <w:t>Qualifie la considération qui doit être accordée à l’intérêt de l’enfant dans toute décision prise à son sujet</w:t>
      </w:r>
      <w:r w:rsidR="00914C42">
        <w:t> </w:t>
      </w:r>
      <w:r>
        <w:t>: elle doit être primordiale</w:t>
      </w:r>
      <w:r w:rsidR="004A21EC">
        <w:rPr>
          <w:rFonts w:ascii="Arial" w:hAnsi="Arial" w:cs="Arial"/>
        </w:rPr>
        <w:t> </w:t>
      </w:r>
      <w:r>
        <w:t>;</w:t>
      </w:r>
    </w:p>
    <w:p w14:paraId="7EEE200E" w14:textId="37F32761" w:rsidR="00B863FD" w:rsidRDefault="00B863FD" w:rsidP="00BA3E6E">
      <w:pPr>
        <w:pStyle w:val="puces0"/>
      </w:pPr>
      <w:r>
        <w:t>Érige la stabilité et la sécurité affective de l’enfant au titre des déterminants majeurs pour assurer son sain développement</w:t>
      </w:r>
      <w:r w:rsidR="00D16B99">
        <w:rPr>
          <w:rFonts w:ascii="Arial" w:hAnsi="Arial" w:cs="Arial"/>
        </w:rPr>
        <w:t> </w:t>
      </w:r>
      <w:r>
        <w:t>»</w:t>
      </w:r>
      <w:r w:rsidR="004A21EC">
        <w:rPr>
          <w:rFonts w:ascii="Arial" w:hAnsi="Arial" w:cs="Arial"/>
        </w:rPr>
        <w:t> </w:t>
      </w:r>
      <w:r>
        <w:t>;</w:t>
      </w:r>
    </w:p>
    <w:p w14:paraId="1050AF53" w14:textId="26924534" w:rsidR="00B863FD" w:rsidRDefault="00B863FD" w:rsidP="00BA3E6E">
      <w:pPr>
        <w:pStyle w:val="puces0"/>
      </w:pPr>
      <w:r>
        <w:t>Énonce que la notion de temps est différente chez l’enfant considérant qu’il est en développement</w:t>
      </w:r>
      <w:r w:rsidR="004A21EC">
        <w:rPr>
          <w:rFonts w:ascii="Arial" w:hAnsi="Arial" w:cs="Arial"/>
        </w:rPr>
        <w:t> </w:t>
      </w:r>
      <w:r>
        <w:t>;</w:t>
      </w:r>
    </w:p>
    <w:p w14:paraId="0262CEE9" w14:textId="415D6DFC" w:rsidR="00B863FD" w:rsidRDefault="00B863FD" w:rsidP="00BA3E6E">
      <w:pPr>
        <w:pStyle w:val="puces0"/>
      </w:pPr>
      <w:r>
        <w:t>Reconnaît la spécificité des enfants faisant partie de groupes minoritaires, tels que les enfants appartenant à des «</w:t>
      </w:r>
      <w:r w:rsidR="00D16B99">
        <w:rPr>
          <w:rFonts w:ascii="Arial" w:hAnsi="Arial" w:cs="Arial"/>
        </w:rPr>
        <w:t> </w:t>
      </w:r>
      <w:r>
        <w:t>communautés ethnoculturelles</w:t>
      </w:r>
      <w:r w:rsidR="00D16B99">
        <w:rPr>
          <w:rFonts w:ascii="Arial" w:hAnsi="Arial" w:cs="Arial"/>
        </w:rPr>
        <w:t> </w:t>
      </w:r>
      <w:r>
        <w:t>»</w:t>
      </w:r>
      <w:r w:rsidR="0085330E">
        <w:rPr>
          <w:rFonts w:ascii="ZWAdobeF" w:hAnsi="ZWAdobeF" w:cs="ZWAdobeF"/>
          <w:color w:val="auto"/>
          <w:sz w:val="2"/>
          <w:szCs w:val="2"/>
        </w:rPr>
        <w:t>84F</w:t>
      </w:r>
      <w:r>
        <w:rPr>
          <w:rStyle w:val="Appelnotedebasdep"/>
        </w:rPr>
        <w:footnoteReference w:id="86"/>
      </w:r>
      <w:r w:rsidR="004A21EC">
        <w:rPr>
          <w:rFonts w:ascii="Arial" w:hAnsi="Arial" w:cs="Arial"/>
        </w:rPr>
        <w:t> </w:t>
      </w:r>
      <w:r>
        <w:t>;</w:t>
      </w:r>
    </w:p>
    <w:p w14:paraId="49040FE4" w14:textId="5A42C1D8" w:rsidR="00C96CAE" w:rsidRDefault="00B863FD" w:rsidP="00BA3E6E">
      <w:pPr>
        <w:pStyle w:val="puces0"/>
      </w:pPr>
      <w:r>
        <w:lastRenderedPageBreak/>
        <w:t>Statue que l’intervention auprès d’un enfant autochtone doit être réalisée en tenant compte des circonstances et des caractéristiques de sa communauté ou d’un autre milieu dans lequel il vit de manière à respecter son droit à l’égalité et à favoriser la continuité culturelle.</w:t>
      </w:r>
    </w:p>
    <w:p w14:paraId="779A695F" w14:textId="61C4E359" w:rsidR="00C96CAE" w:rsidRDefault="00C425A9" w:rsidP="003A1427">
      <w:pPr>
        <w:pStyle w:val="Paragraphe"/>
      </w:pPr>
      <w:r w:rsidRPr="00C425A9">
        <w:t>La reformulation de l’</w:t>
      </w:r>
      <w:r w:rsidRPr="00080BD2">
        <w:rPr>
          <w:b/>
          <w:bCs/>
        </w:rPr>
        <w:t>article</w:t>
      </w:r>
      <w:r w:rsidR="00104A0F">
        <w:rPr>
          <w:b/>
          <w:bCs/>
        </w:rPr>
        <w:t> </w:t>
      </w:r>
      <w:r w:rsidRPr="00080BD2">
        <w:rPr>
          <w:b/>
          <w:bCs/>
        </w:rPr>
        <w:t xml:space="preserve">3 </w:t>
      </w:r>
      <w:r w:rsidRPr="00C425A9">
        <w:t>pour mieux consacrer l’intérêt de l’enfant</w:t>
      </w:r>
      <w:r w:rsidR="00914C42">
        <w:t> </w:t>
      </w:r>
      <w:r w:rsidRPr="00C425A9">
        <w:t>:</w:t>
      </w:r>
    </w:p>
    <w:p w14:paraId="2983916A" w14:textId="2B6B9C20" w:rsidR="00F35AB8" w:rsidRDefault="00F35AB8" w:rsidP="00BA3E6E">
      <w:pPr>
        <w:pStyle w:val="puces0"/>
      </w:pPr>
      <w:r>
        <w:t>Spécifie la valeur à accorder à l’intérêt de l’enfant. Il doit être la considération primordiale dans l’application de cette loi. Les décisions prises en vertu de la LPJ doivent l’être dans l’intérêt de l’enfant et dans le respect de ses droits</w:t>
      </w:r>
      <w:r w:rsidR="004A21EC">
        <w:rPr>
          <w:rFonts w:ascii="Arial" w:hAnsi="Arial" w:cs="Arial"/>
        </w:rPr>
        <w:t> </w:t>
      </w:r>
      <w:r>
        <w:t>;</w:t>
      </w:r>
    </w:p>
    <w:p w14:paraId="2219E984" w14:textId="79ACB68F" w:rsidR="00F35AB8" w:rsidRDefault="00F35AB8" w:rsidP="00BA3E6E">
      <w:pPr>
        <w:pStyle w:val="puces0"/>
      </w:pPr>
      <w:r>
        <w:t>Permet la prise en considération des conditions socioéconomiques dans lesquelles l’enfant vit dans la détermination de son intérêt</w:t>
      </w:r>
      <w:r w:rsidR="004A21EC">
        <w:rPr>
          <w:rFonts w:ascii="Arial" w:hAnsi="Arial" w:cs="Arial"/>
        </w:rPr>
        <w:t> </w:t>
      </w:r>
      <w:r>
        <w:t>;</w:t>
      </w:r>
    </w:p>
    <w:p w14:paraId="47E6B34D" w14:textId="436E736D" w:rsidR="00C425A9" w:rsidRDefault="00F35AB8" w:rsidP="00BA3E6E">
      <w:pPr>
        <w:pStyle w:val="puces0"/>
      </w:pPr>
      <w:r>
        <w:t>Clarifie que la situation des enfants autochtones doit faire l’objet d’une intervention spécifiquement adaptée, y compris dans ses principes d’application, en retirant la mention les concernant pour la regrouper avec d’autres dispositions prévues au chapitre sur les enfants autochtones.</w:t>
      </w:r>
    </w:p>
    <w:p w14:paraId="1076EC2F" w14:textId="571FC3E6" w:rsidR="001A4069" w:rsidRDefault="001A4069" w:rsidP="003A1427">
      <w:pPr>
        <w:pStyle w:val="Paragraphe"/>
      </w:pPr>
      <w:r>
        <w:t>La réécriture de l’</w:t>
      </w:r>
      <w:r w:rsidRPr="001A4069">
        <w:rPr>
          <w:b/>
          <w:bCs/>
        </w:rPr>
        <w:t>article</w:t>
      </w:r>
      <w:r w:rsidR="00104A0F">
        <w:rPr>
          <w:b/>
          <w:bCs/>
        </w:rPr>
        <w:t> </w:t>
      </w:r>
      <w:r w:rsidRPr="001A4069">
        <w:rPr>
          <w:b/>
          <w:bCs/>
        </w:rPr>
        <w:t xml:space="preserve">4 </w:t>
      </w:r>
      <w:r>
        <w:t>pour renforcer l’objectif de permanence</w:t>
      </w:r>
      <w:r w:rsidR="00914C42">
        <w:t> </w:t>
      </w:r>
      <w:r>
        <w:t>:</w:t>
      </w:r>
    </w:p>
    <w:p w14:paraId="3D4F8C89" w14:textId="6699D4A8" w:rsidR="001A4069" w:rsidRDefault="001A4069" w:rsidP="00BA3E6E">
      <w:pPr>
        <w:pStyle w:val="puces0"/>
      </w:pPr>
      <w:r>
        <w:t>Clarifie que le maintien de l’enfant dans son milieu familial n’est privilégié que si cela est dans son intérêt</w:t>
      </w:r>
      <w:r w:rsidR="004A21EC">
        <w:rPr>
          <w:rFonts w:ascii="Arial" w:hAnsi="Arial" w:cs="Arial"/>
        </w:rPr>
        <w:t> </w:t>
      </w:r>
      <w:r>
        <w:t>;</w:t>
      </w:r>
    </w:p>
    <w:p w14:paraId="2FCF25DC" w14:textId="6B950301" w:rsidR="001A4069" w:rsidRDefault="001A4069" w:rsidP="00BA3E6E">
      <w:pPr>
        <w:pStyle w:val="puces0"/>
      </w:pPr>
      <w:r>
        <w:t>Lorsque le retour dans son milieu familial n’est pas dans l’intérêt de l’enfant, la décision doit, de façon permanente, assurer la continuité des soins et la stabilité des liens et des conditions de vie appropriées à ses besoins et à son âge</w:t>
      </w:r>
      <w:r w:rsidR="004A21EC">
        <w:rPr>
          <w:rFonts w:ascii="Arial" w:hAnsi="Arial" w:cs="Arial"/>
        </w:rPr>
        <w:t> </w:t>
      </w:r>
      <w:r>
        <w:t>;</w:t>
      </w:r>
    </w:p>
    <w:p w14:paraId="77802883" w14:textId="473BBCD9" w:rsidR="00F35AB8" w:rsidRDefault="001A4069" w:rsidP="00BA3E6E">
      <w:pPr>
        <w:pStyle w:val="puces0"/>
      </w:pPr>
      <w:r>
        <w:t>Met en évidence l’ordre de priorité pour choisir un milieu de vie substitut</w:t>
      </w:r>
      <w:r w:rsidR="00914C42">
        <w:t> </w:t>
      </w:r>
      <w:r>
        <w:t>: d’abord les personnes qui lui sont les plus significatives et ensuite un milieu de vie se rapprochant le plus d’un milieu familial.</w:t>
      </w:r>
    </w:p>
    <w:p w14:paraId="150AD9FB" w14:textId="5C0AFBE7" w:rsidR="00F35AB8" w:rsidRPr="007C65C5" w:rsidRDefault="007C65C5" w:rsidP="007C65C5">
      <w:pPr>
        <w:spacing w:before="240" w:after="240"/>
        <w:rPr>
          <w:b/>
          <w:bCs/>
        </w:rPr>
      </w:pPr>
      <w:r w:rsidRPr="00080BD2">
        <w:t>L’ajout des</w:t>
      </w:r>
      <w:r w:rsidRPr="007C65C5">
        <w:rPr>
          <w:b/>
          <w:bCs/>
        </w:rPr>
        <w:t xml:space="preserve"> articles</w:t>
      </w:r>
      <w:r w:rsidR="00104A0F">
        <w:rPr>
          <w:b/>
          <w:bCs/>
        </w:rPr>
        <w:t> </w:t>
      </w:r>
      <w:r w:rsidRPr="007C65C5">
        <w:rPr>
          <w:b/>
          <w:bCs/>
        </w:rPr>
        <w:t xml:space="preserve">4.1 et 4.2 </w:t>
      </w:r>
      <w:r w:rsidRPr="00080BD2">
        <w:t>pour assurer la stabilité des liens de l’enfant retiré de son milieu familial</w:t>
      </w:r>
      <w:r w:rsidR="00914C42" w:rsidRPr="00080BD2">
        <w:t> </w:t>
      </w:r>
      <w:r w:rsidRPr="00080BD2">
        <w:t>:</w:t>
      </w:r>
    </w:p>
    <w:p w14:paraId="61D8C3A5" w14:textId="2C287057" w:rsidR="00F35AB8" w:rsidRDefault="00D76825" w:rsidP="003A1427">
      <w:pPr>
        <w:pStyle w:val="Paragraphe"/>
      </w:pPr>
      <w:r w:rsidRPr="00D76825">
        <w:t>L’article</w:t>
      </w:r>
      <w:r w:rsidR="00104A0F">
        <w:t> </w:t>
      </w:r>
      <w:r w:rsidRPr="00D76825">
        <w:t>4.1</w:t>
      </w:r>
      <w:r w:rsidR="00914C42">
        <w:t> </w:t>
      </w:r>
      <w:r w:rsidRPr="00D76825">
        <w:t>:</w:t>
      </w:r>
    </w:p>
    <w:p w14:paraId="6396FE5E" w14:textId="50790F62" w:rsidR="001B055A" w:rsidRDefault="00322514" w:rsidP="00BA3E6E">
      <w:pPr>
        <w:pStyle w:val="puces0"/>
      </w:pPr>
      <w:r>
        <w:t>Accentue</w:t>
      </w:r>
      <w:r w:rsidR="005B7331">
        <w:t xml:space="preserve"> </w:t>
      </w:r>
      <w:r w:rsidR="001B055A">
        <w:t>l’importance de favoriser le maintien de l’enfant avec sa fratrie dans un même milieu de vie substitut</w:t>
      </w:r>
      <w:r w:rsidR="004A21EC">
        <w:rPr>
          <w:rFonts w:ascii="Arial" w:hAnsi="Arial" w:cs="Arial"/>
        </w:rPr>
        <w:t> </w:t>
      </w:r>
      <w:r w:rsidR="001B055A">
        <w:t>;</w:t>
      </w:r>
    </w:p>
    <w:p w14:paraId="16EC35DC" w14:textId="187C3FB6" w:rsidR="00D76825" w:rsidRDefault="001B055A" w:rsidP="00BA3E6E">
      <w:pPr>
        <w:pStyle w:val="puces0"/>
      </w:pPr>
      <w:r>
        <w:t>Conditionne le maintien de l’enfant avec sa fratrie à l’intérêt de l’enfant.</w:t>
      </w:r>
    </w:p>
    <w:p w14:paraId="38F1E1B9" w14:textId="5EB0703A" w:rsidR="00A46B83" w:rsidRDefault="00A46B83" w:rsidP="003A1427">
      <w:pPr>
        <w:pStyle w:val="Paragraphe"/>
      </w:pPr>
      <w:r w:rsidRPr="00A46B83">
        <w:t>L’article</w:t>
      </w:r>
      <w:r w:rsidR="00104A0F">
        <w:t> </w:t>
      </w:r>
      <w:r w:rsidRPr="00A46B83">
        <w:t>4.2</w:t>
      </w:r>
      <w:r w:rsidR="00914C42">
        <w:t> </w:t>
      </w:r>
      <w:r w:rsidRPr="00A46B83">
        <w:t>:</w:t>
      </w:r>
    </w:p>
    <w:p w14:paraId="15BC9664" w14:textId="50362152" w:rsidR="00ED1680" w:rsidRDefault="00ED1680" w:rsidP="00BA3E6E">
      <w:pPr>
        <w:pStyle w:val="puces0"/>
      </w:pPr>
      <w:r>
        <w:t>Met l’accent sur l’implication des parents qui doit être favorisée dans la perspective de les amener ou de les aider à exercer leurs responsabilités parentales</w:t>
      </w:r>
      <w:r w:rsidR="004A21EC">
        <w:rPr>
          <w:rFonts w:ascii="Arial" w:hAnsi="Arial" w:cs="Arial"/>
        </w:rPr>
        <w:t> </w:t>
      </w:r>
      <w:r>
        <w:t>;</w:t>
      </w:r>
    </w:p>
    <w:p w14:paraId="7EE23944" w14:textId="4207479D" w:rsidR="00ED1680" w:rsidRDefault="00ED1680" w:rsidP="00BA3E6E">
      <w:pPr>
        <w:pStyle w:val="puces0"/>
      </w:pPr>
      <w:r>
        <w:t>Conditionne l’implication des parents à l’intérêt de l’enfant</w:t>
      </w:r>
      <w:r w:rsidR="004A21EC">
        <w:rPr>
          <w:rFonts w:ascii="Arial" w:hAnsi="Arial" w:cs="Arial"/>
        </w:rPr>
        <w:t> </w:t>
      </w:r>
      <w:r>
        <w:t>;</w:t>
      </w:r>
    </w:p>
    <w:p w14:paraId="47BBD5B9" w14:textId="0BBEB975" w:rsidR="00ED1680" w:rsidRDefault="00ED1680" w:rsidP="00BA3E6E">
      <w:pPr>
        <w:pStyle w:val="puces0"/>
      </w:pPr>
      <w:r>
        <w:lastRenderedPageBreak/>
        <w:t>Formalise la planification d’un projet alternatif de l’enfant retiré de son milieu familial</w:t>
      </w:r>
      <w:r w:rsidR="004A21EC">
        <w:rPr>
          <w:rFonts w:ascii="Arial" w:hAnsi="Arial" w:cs="Arial"/>
        </w:rPr>
        <w:t> </w:t>
      </w:r>
      <w:r>
        <w:t>;</w:t>
      </w:r>
    </w:p>
    <w:p w14:paraId="0C9D2772" w14:textId="2399E442" w:rsidR="00A46B83" w:rsidRDefault="00ED1680" w:rsidP="00BA3E6E">
      <w:pPr>
        <w:pStyle w:val="puces0"/>
      </w:pPr>
      <w:r>
        <w:t xml:space="preserve">Précise que le projet alternatif doit viser </w:t>
      </w:r>
      <w:r w:rsidR="002E44A4">
        <w:t>d’</w:t>
      </w:r>
      <w:r>
        <w:t>assurer sans délai la continuité des soins et la stabilité des liens de cet enfant et de ses conditions de vie de façon permanente.</w:t>
      </w:r>
    </w:p>
    <w:p w14:paraId="69DBEF05" w14:textId="51B6774C" w:rsidR="00A46B83" w:rsidRPr="00080BD2" w:rsidRDefault="002E68E2" w:rsidP="002E68E2">
      <w:pPr>
        <w:spacing w:before="240" w:after="240"/>
      </w:pPr>
      <w:r w:rsidRPr="00080BD2">
        <w:t>L’introduction des</w:t>
      </w:r>
      <w:r w:rsidRPr="002E68E2">
        <w:rPr>
          <w:b/>
          <w:bCs/>
        </w:rPr>
        <w:t xml:space="preserve"> articles</w:t>
      </w:r>
      <w:r w:rsidR="00104A0F">
        <w:rPr>
          <w:b/>
          <w:bCs/>
        </w:rPr>
        <w:t> </w:t>
      </w:r>
      <w:r w:rsidRPr="002E68E2">
        <w:rPr>
          <w:b/>
          <w:bCs/>
        </w:rPr>
        <w:t xml:space="preserve">4.3 et 4.5 </w:t>
      </w:r>
      <w:r w:rsidRPr="00080BD2">
        <w:t>pour assurer la participation active de l’enfant et de ses parents</w:t>
      </w:r>
    </w:p>
    <w:p w14:paraId="2DDD860A" w14:textId="32552E3F" w:rsidR="00847BE3" w:rsidRDefault="00847BE3" w:rsidP="003A1427">
      <w:pPr>
        <w:pStyle w:val="Paragraphe"/>
      </w:pPr>
      <w:r>
        <w:t>L’article</w:t>
      </w:r>
      <w:r w:rsidR="00104A0F">
        <w:t> </w:t>
      </w:r>
      <w:r>
        <w:t>4.3</w:t>
      </w:r>
      <w:r w:rsidR="00914C42">
        <w:t> </w:t>
      </w:r>
      <w:r>
        <w:t>:</w:t>
      </w:r>
    </w:p>
    <w:p w14:paraId="266C06B9" w14:textId="02BF6247" w:rsidR="00847BE3" w:rsidRDefault="00847BE3" w:rsidP="00BA3E6E">
      <w:pPr>
        <w:pStyle w:val="puces0"/>
      </w:pPr>
      <w:r>
        <w:t>Oblige à privilégier, lors des interventions auprès d’un enfant et de ses parents, les moyens qui leur permettent de participer activement à la prise de décision concernant l’enfant</w:t>
      </w:r>
      <w:r w:rsidR="004A21EC">
        <w:rPr>
          <w:rFonts w:ascii="Arial" w:hAnsi="Arial" w:cs="Arial"/>
        </w:rPr>
        <w:t> </w:t>
      </w:r>
      <w:r>
        <w:t>;</w:t>
      </w:r>
    </w:p>
    <w:p w14:paraId="4F74C3C3" w14:textId="0CAAD602" w:rsidR="002E68E2" w:rsidRDefault="00847BE3" w:rsidP="00BA3E6E">
      <w:pPr>
        <w:pStyle w:val="puces0"/>
      </w:pPr>
      <w:r>
        <w:t>Étend l’obligation au choix des mesures qui les concernent.</w:t>
      </w:r>
    </w:p>
    <w:p w14:paraId="45E6CE4E" w14:textId="7704200E" w:rsidR="00213392" w:rsidRDefault="00213392" w:rsidP="003A1427">
      <w:pPr>
        <w:pStyle w:val="Paragraphe"/>
      </w:pPr>
      <w:r>
        <w:t>L’article</w:t>
      </w:r>
      <w:r w:rsidR="00104A0F">
        <w:t> </w:t>
      </w:r>
      <w:r>
        <w:t>4.5 al. a)</w:t>
      </w:r>
      <w:r w:rsidR="00914C42">
        <w:t> </w:t>
      </w:r>
      <w:r>
        <w:t>:</w:t>
      </w:r>
    </w:p>
    <w:p w14:paraId="4DB9731F" w14:textId="1E78A72D" w:rsidR="002E68E2" w:rsidRDefault="00213392" w:rsidP="00BA3E6E">
      <w:pPr>
        <w:pStyle w:val="puces0"/>
      </w:pPr>
      <w:r>
        <w:t>Prescrit l’obligation de favoriser la participation de l’enfant, ainsi que celle de ses parents, aux établissements, aux organismes et aux personnes à qui la LPJ confie des responsabilités envers l’enfant</w:t>
      </w:r>
      <w:r w:rsidR="002655AD">
        <w:t>.</w:t>
      </w:r>
    </w:p>
    <w:p w14:paraId="6CEB95B9" w14:textId="1BB78D19" w:rsidR="000153E0" w:rsidRPr="000153E0" w:rsidRDefault="000153E0" w:rsidP="000153E0">
      <w:pPr>
        <w:spacing w:before="240" w:after="240"/>
        <w:rPr>
          <w:b/>
          <w:bCs/>
        </w:rPr>
      </w:pPr>
      <w:r w:rsidRPr="00097765">
        <w:t>Une précision apportée à l’</w:t>
      </w:r>
      <w:r w:rsidRPr="000153E0">
        <w:rPr>
          <w:b/>
          <w:bCs/>
        </w:rPr>
        <w:t>article</w:t>
      </w:r>
      <w:r w:rsidR="00104A0F">
        <w:rPr>
          <w:b/>
          <w:bCs/>
        </w:rPr>
        <w:t> </w:t>
      </w:r>
      <w:r w:rsidRPr="000153E0">
        <w:rPr>
          <w:b/>
          <w:bCs/>
        </w:rPr>
        <w:t>4.4</w:t>
      </w:r>
      <w:r w:rsidR="009E526A">
        <w:rPr>
          <w:b/>
          <w:bCs/>
        </w:rPr>
        <w:t> </w:t>
      </w:r>
      <w:r w:rsidRPr="000153E0">
        <w:rPr>
          <w:b/>
          <w:bCs/>
        </w:rPr>
        <w:t xml:space="preserve">d) </w:t>
      </w:r>
      <w:r w:rsidRPr="00097765">
        <w:t>pour améliorer la prise en compte des caractéristiques des communautés ethnoculturelles de l’enfant</w:t>
      </w:r>
    </w:p>
    <w:p w14:paraId="4740DFAF" w14:textId="47261F6D" w:rsidR="002E68E2" w:rsidRDefault="000153E0" w:rsidP="00BA3E6E">
      <w:pPr>
        <w:pStyle w:val="puces0"/>
      </w:pPr>
      <w:r>
        <w:t>Requiert que les personnes à qui la LPJ confie des responsabilités envers l’enfant, ainsi que celles appelées à prendre des décisions à son sujet, tiennent compte des caractéristiques des communautés ethnoculturelles dans le choix du milieu de vie substitut de l’enfant.</w:t>
      </w:r>
    </w:p>
    <w:p w14:paraId="034F36A4" w14:textId="67ABE6D4" w:rsidR="001D6C53" w:rsidRPr="001D6C53" w:rsidRDefault="001D6C53" w:rsidP="001D6C53">
      <w:pPr>
        <w:spacing w:before="240" w:after="240"/>
        <w:rPr>
          <w:b/>
          <w:bCs/>
        </w:rPr>
      </w:pPr>
      <w:r w:rsidRPr="00097765">
        <w:t>L’ajout de l’</w:t>
      </w:r>
      <w:r w:rsidRPr="001D6C53">
        <w:rPr>
          <w:b/>
          <w:bCs/>
        </w:rPr>
        <w:t>article</w:t>
      </w:r>
      <w:r w:rsidR="00104A0F">
        <w:rPr>
          <w:b/>
          <w:bCs/>
        </w:rPr>
        <w:t> </w:t>
      </w:r>
      <w:r w:rsidRPr="001D6C53">
        <w:rPr>
          <w:b/>
          <w:bCs/>
        </w:rPr>
        <w:t xml:space="preserve">9.1 </w:t>
      </w:r>
      <w:r w:rsidRPr="00097765">
        <w:t>pour tenir compte des désirs de l’enfant dans l’établissement des contacts</w:t>
      </w:r>
      <w:r w:rsidR="004D01F5">
        <w:t> :</w:t>
      </w:r>
    </w:p>
    <w:p w14:paraId="10EFDADE" w14:textId="77777777" w:rsidR="001D6C53" w:rsidRPr="001D6C53" w:rsidRDefault="001D6C53" w:rsidP="00BA3E6E">
      <w:pPr>
        <w:pStyle w:val="puces0"/>
      </w:pPr>
      <w:r w:rsidRPr="001D6C53">
        <w:t>Rend</w:t>
      </w:r>
      <w:r w:rsidRPr="001D6C53">
        <w:rPr>
          <w:spacing w:val="-3"/>
        </w:rPr>
        <w:t xml:space="preserve"> </w:t>
      </w:r>
      <w:r w:rsidRPr="001D6C53">
        <w:t>obligatoire</w:t>
      </w:r>
      <w:r w:rsidRPr="001D6C53">
        <w:rPr>
          <w:spacing w:val="-1"/>
        </w:rPr>
        <w:t xml:space="preserve"> </w:t>
      </w:r>
      <w:r w:rsidRPr="001D6C53">
        <w:t>la</w:t>
      </w:r>
      <w:r w:rsidRPr="001D6C53">
        <w:rPr>
          <w:spacing w:val="-4"/>
        </w:rPr>
        <w:t xml:space="preserve"> </w:t>
      </w:r>
      <w:r w:rsidRPr="001D6C53">
        <w:t>prise</w:t>
      </w:r>
      <w:r w:rsidRPr="001D6C53">
        <w:rPr>
          <w:spacing w:val="-3"/>
        </w:rPr>
        <w:t xml:space="preserve"> </w:t>
      </w:r>
      <w:r w:rsidRPr="001D6C53">
        <w:t>en</w:t>
      </w:r>
      <w:r w:rsidRPr="001D6C53">
        <w:rPr>
          <w:spacing w:val="-1"/>
        </w:rPr>
        <w:t xml:space="preserve"> </w:t>
      </w:r>
      <w:r w:rsidRPr="001D6C53">
        <w:t>compte</w:t>
      </w:r>
      <w:r w:rsidRPr="001D6C53">
        <w:rPr>
          <w:spacing w:val="-3"/>
        </w:rPr>
        <w:t xml:space="preserve"> </w:t>
      </w:r>
      <w:r w:rsidRPr="001D6C53">
        <w:t>des</w:t>
      </w:r>
      <w:r w:rsidRPr="001D6C53">
        <w:rPr>
          <w:spacing w:val="-3"/>
        </w:rPr>
        <w:t xml:space="preserve"> </w:t>
      </w:r>
      <w:r w:rsidRPr="001D6C53">
        <w:t>désirs</w:t>
      </w:r>
      <w:r w:rsidRPr="001D6C53">
        <w:rPr>
          <w:spacing w:val="-3"/>
        </w:rPr>
        <w:t xml:space="preserve"> </w:t>
      </w:r>
      <w:r w:rsidRPr="001D6C53">
        <w:t>de</w:t>
      </w:r>
      <w:r w:rsidRPr="001D6C53">
        <w:rPr>
          <w:spacing w:val="-3"/>
        </w:rPr>
        <w:t xml:space="preserve"> </w:t>
      </w:r>
      <w:r w:rsidRPr="001D6C53">
        <w:t>l’enfant</w:t>
      </w:r>
      <w:r w:rsidRPr="001D6C53">
        <w:rPr>
          <w:spacing w:val="-1"/>
        </w:rPr>
        <w:t xml:space="preserve"> </w:t>
      </w:r>
      <w:r w:rsidRPr="001D6C53">
        <w:t>confié</w:t>
      </w:r>
      <w:r w:rsidRPr="001D6C53">
        <w:rPr>
          <w:spacing w:val="-3"/>
        </w:rPr>
        <w:t xml:space="preserve"> </w:t>
      </w:r>
      <w:r w:rsidRPr="001D6C53">
        <w:t>à</w:t>
      </w:r>
      <w:r w:rsidRPr="001D6C53">
        <w:rPr>
          <w:spacing w:val="-2"/>
        </w:rPr>
        <w:t xml:space="preserve"> </w:t>
      </w:r>
      <w:r w:rsidRPr="001D6C53">
        <w:t>un</w:t>
      </w:r>
      <w:r w:rsidRPr="001D6C53">
        <w:rPr>
          <w:spacing w:val="-4"/>
        </w:rPr>
        <w:t xml:space="preserve"> </w:t>
      </w:r>
      <w:r w:rsidRPr="001D6C53">
        <w:t>milieu</w:t>
      </w:r>
      <w:r w:rsidRPr="001D6C53">
        <w:rPr>
          <w:spacing w:val="-5"/>
        </w:rPr>
        <w:t xml:space="preserve"> </w:t>
      </w:r>
      <w:r w:rsidRPr="001D6C53">
        <w:t>de</w:t>
      </w:r>
      <w:r w:rsidRPr="001D6C53">
        <w:rPr>
          <w:spacing w:val="-3"/>
        </w:rPr>
        <w:t xml:space="preserve"> </w:t>
      </w:r>
      <w:r w:rsidRPr="001D6C53">
        <w:t>vie</w:t>
      </w:r>
      <w:r w:rsidRPr="001D6C53">
        <w:rPr>
          <w:spacing w:val="-3"/>
        </w:rPr>
        <w:t xml:space="preserve"> </w:t>
      </w:r>
      <w:r w:rsidRPr="001D6C53">
        <w:t>substitut, dans l’établissement des contacts avec les personnes qui lui sont significatives, si cela est dans son intérêt.</w:t>
      </w:r>
    </w:p>
    <w:p w14:paraId="5CAC2D59" w14:textId="04F84413" w:rsidR="001D6C53" w:rsidRPr="001D6C53" w:rsidRDefault="001D6C53" w:rsidP="001D6C53">
      <w:pPr>
        <w:spacing w:before="240" w:after="240"/>
        <w:rPr>
          <w:b/>
          <w:bCs/>
        </w:rPr>
      </w:pPr>
      <w:r w:rsidRPr="00D3196E">
        <w:t>L’ajout de l’</w:t>
      </w:r>
      <w:r w:rsidRPr="001D6C53">
        <w:rPr>
          <w:b/>
          <w:bCs/>
        </w:rPr>
        <w:t>article</w:t>
      </w:r>
      <w:r w:rsidR="00104A0F">
        <w:rPr>
          <w:b/>
          <w:bCs/>
        </w:rPr>
        <w:t> </w:t>
      </w:r>
      <w:r w:rsidRPr="001D6C53">
        <w:rPr>
          <w:b/>
          <w:bCs/>
        </w:rPr>
        <w:t xml:space="preserve">11.5 </w:t>
      </w:r>
      <w:r w:rsidRPr="00D3196E">
        <w:t>pour renforcer la participation active des parents à l’étape de l’application des mesures</w:t>
      </w:r>
      <w:r w:rsidR="004D01F5">
        <w:t> :</w:t>
      </w:r>
    </w:p>
    <w:p w14:paraId="545490BD" w14:textId="77777777" w:rsidR="001D6C53" w:rsidRPr="001D6C53" w:rsidRDefault="001D6C53" w:rsidP="00BA3E6E">
      <w:pPr>
        <w:pStyle w:val="puces0"/>
      </w:pPr>
      <w:r w:rsidRPr="001D6C53">
        <w:t>Rend les parents responsables de participer activement à l’application des mesures pour mettre</w:t>
      </w:r>
      <w:r w:rsidRPr="001D6C53">
        <w:rPr>
          <w:spacing w:val="-2"/>
        </w:rPr>
        <w:t xml:space="preserve"> </w:t>
      </w:r>
      <w:r w:rsidRPr="001D6C53">
        <w:t>fin</w:t>
      </w:r>
      <w:r w:rsidRPr="001D6C53">
        <w:rPr>
          <w:spacing w:val="-1"/>
        </w:rPr>
        <w:t xml:space="preserve"> </w:t>
      </w:r>
      <w:r w:rsidRPr="001D6C53">
        <w:t>à</w:t>
      </w:r>
      <w:r w:rsidRPr="001D6C53">
        <w:rPr>
          <w:spacing w:val="-4"/>
        </w:rPr>
        <w:t xml:space="preserve"> </w:t>
      </w:r>
      <w:r w:rsidRPr="001D6C53">
        <w:t>la</w:t>
      </w:r>
      <w:r w:rsidRPr="001D6C53">
        <w:rPr>
          <w:spacing w:val="-4"/>
        </w:rPr>
        <w:t xml:space="preserve"> </w:t>
      </w:r>
      <w:r w:rsidRPr="001D6C53">
        <w:t>situation</w:t>
      </w:r>
      <w:r w:rsidRPr="001D6C53">
        <w:rPr>
          <w:spacing w:val="-4"/>
        </w:rPr>
        <w:t xml:space="preserve"> </w:t>
      </w:r>
      <w:r w:rsidRPr="001D6C53">
        <w:t>qui</w:t>
      </w:r>
      <w:r w:rsidRPr="001D6C53">
        <w:rPr>
          <w:spacing w:val="-2"/>
        </w:rPr>
        <w:t xml:space="preserve"> </w:t>
      </w:r>
      <w:r w:rsidRPr="001D6C53">
        <w:t>compromet</w:t>
      </w:r>
      <w:r w:rsidRPr="001D6C53">
        <w:rPr>
          <w:spacing w:val="-1"/>
        </w:rPr>
        <w:t xml:space="preserve"> </w:t>
      </w:r>
      <w:r w:rsidRPr="001D6C53">
        <w:t>la</w:t>
      </w:r>
      <w:r w:rsidRPr="001D6C53">
        <w:rPr>
          <w:spacing w:val="-4"/>
        </w:rPr>
        <w:t xml:space="preserve"> </w:t>
      </w:r>
      <w:r w:rsidRPr="001D6C53">
        <w:t>sécurité</w:t>
      </w:r>
      <w:r w:rsidRPr="001D6C53">
        <w:rPr>
          <w:spacing w:val="-3"/>
        </w:rPr>
        <w:t xml:space="preserve"> </w:t>
      </w:r>
      <w:r w:rsidRPr="001D6C53">
        <w:t>ou</w:t>
      </w:r>
      <w:r w:rsidRPr="001D6C53">
        <w:rPr>
          <w:spacing w:val="-2"/>
        </w:rPr>
        <w:t xml:space="preserve"> </w:t>
      </w:r>
      <w:r w:rsidRPr="001D6C53">
        <w:t>le</w:t>
      </w:r>
      <w:r w:rsidRPr="001D6C53">
        <w:rPr>
          <w:spacing w:val="-2"/>
        </w:rPr>
        <w:t xml:space="preserve"> </w:t>
      </w:r>
      <w:r w:rsidRPr="001D6C53">
        <w:t>développement</w:t>
      </w:r>
      <w:r w:rsidRPr="001D6C53">
        <w:rPr>
          <w:spacing w:val="-4"/>
        </w:rPr>
        <w:t xml:space="preserve"> </w:t>
      </w:r>
      <w:r w:rsidRPr="001D6C53">
        <w:t>de</w:t>
      </w:r>
      <w:r w:rsidRPr="001D6C53">
        <w:rPr>
          <w:spacing w:val="-1"/>
        </w:rPr>
        <w:t xml:space="preserve"> </w:t>
      </w:r>
      <w:r w:rsidRPr="001D6C53">
        <w:t>leur</w:t>
      </w:r>
      <w:r w:rsidRPr="001D6C53">
        <w:rPr>
          <w:spacing w:val="-3"/>
        </w:rPr>
        <w:t xml:space="preserve"> </w:t>
      </w:r>
      <w:r w:rsidRPr="001D6C53">
        <w:t>enfant</w:t>
      </w:r>
      <w:r w:rsidRPr="001D6C53">
        <w:rPr>
          <w:spacing w:val="-4"/>
        </w:rPr>
        <w:t xml:space="preserve"> </w:t>
      </w:r>
      <w:r w:rsidRPr="001D6C53">
        <w:t>et</w:t>
      </w:r>
      <w:r w:rsidRPr="001D6C53">
        <w:rPr>
          <w:spacing w:val="-4"/>
        </w:rPr>
        <w:t xml:space="preserve"> </w:t>
      </w:r>
      <w:r w:rsidRPr="001D6C53">
        <w:t>pour éviter qu’elle ne se reproduise.</w:t>
      </w:r>
    </w:p>
    <w:p w14:paraId="33DB63E4" w14:textId="2E22FE76" w:rsidR="00DE6C8C" w:rsidRDefault="00DE6C8C" w:rsidP="003A1427">
      <w:pPr>
        <w:pStyle w:val="Paragraphe"/>
      </w:pPr>
      <w:r w:rsidRPr="00D3196E">
        <w:t>Des modifications à l’</w:t>
      </w:r>
      <w:r w:rsidRPr="00080BD2">
        <w:rPr>
          <w:b/>
          <w:bCs/>
        </w:rPr>
        <w:t>article</w:t>
      </w:r>
      <w:r w:rsidR="00104A0F">
        <w:rPr>
          <w:b/>
          <w:bCs/>
        </w:rPr>
        <w:t> </w:t>
      </w:r>
      <w:r w:rsidRPr="00080BD2">
        <w:rPr>
          <w:b/>
          <w:bCs/>
        </w:rPr>
        <w:t xml:space="preserve">91.1 </w:t>
      </w:r>
      <w:r w:rsidRPr="00D3196E">
        <w:t>pour que la durée totale du placement dans un milieu de vie substitut soit mieux respectée :</w:t>
      </w:r>
    </w:p>
    <w:p w14:paraId="02419FC3" w14:textId="68A9EE10" w:rsidR="00DE6C8C" w:rsidRDefault="00DE6C8C" w:rsidP="00BA3E6E">
      <w:pPr>
        <w:pStyle w:val="puces0"/>
      </w:pPr>
      <w:r>
        <w:t>Oblige le tribunal à tenir compte de la durée de toute mesure qui confie l’enfant à un milieu de vie substitut et qui est en lien avec la même situation</w:t>
      </w:r>
      <w:r w:rsidR="004A21EC">
        <w:rPr>
          <w:rFonts w:ascii="Arial" w:hAnsi="Arial" w:cs="Arial"/>
        </w:rPr>
        <w:t> </w:t>
      </w:r>
      <w:r>
        <w:t>;</w:t>
      </w:r>
    </w:p>
    <w:p w14:paraId="2A9AB444" w14:textId="6AE8CE46" w:rsidR="00DE6C8C" w:rsidRDefault="00DE6C8C" w:rsidP="00BA3E6E">
      <w:pPr>
        <w:pStyle w:val="puces0"/>
      </w:pPr>
      <w:r>
        <w:lastRenderedPageBreak/>
        <w:t>Permet au tribunal de tenir compte de la durée de toute période antérieure où l’enfant a été confié à un milieu de vie substitut dans le cadre de la LPJ, mais qui n’est pas en lien avec la même situation</w:t>
      </w:r>
      <w:r w:rsidR="004A21EC">
        <w:rPr>
          <w:rFonts w:ascii="Arial" w:hAnsi="Arial" w:cs="Arial"/>
        </w:rPr>
        <w:t> </w:t>
      </w:r>
      <w:r>
        <w:t>;</w:t>
      </w:r>
    </w:p>
    <w:p w14:paraId="7F70129F" w14:textId="6D9A9388" w:rsidR="002E68E2" w:rsidRDefault="00DE6C8C" w:rsidP="00BA3E6E">
      <w:pPr>
        <w:pStyle w:val="puces0"/>
      </w:pPr>
      <w:r>
        <w:t>Conditionne à l’intérêt de l’enfant le pouvoir du tribunal de passer outre aux délais maximaux de placement pour motifs sérieux ou lorsqu’il est possible que l’enfant puisse retourner à court terme dans le milieu familial</w:t>
      </w:r>
      <w:r w:rsidR="004A21EC">
        <w:rPr>
          <w:rFonts w:ascii="Arial" w:hAnsi="Arial" w:cs="Arial"/>
        </w:rPr>
        <w:t> </w:t>
      </w:r>
      <w:r>
        <w:t>;</w:t>
      </w:r>
    </w:p>
    <w:p w14:paraId="4F995B39" w14:textId="59F3D671" w:rsidR="002E19B7" w:rsidRDefault="002E19B7" w:rsidP="00BA3E6E">
      <w:pPr>
        <w:pStyle w:val="puces0"/>
      </w:pPr>
      <w:r>
        <w:t>Enjoint le tribunal à rendre une ordonnance qui assure la continuité des soins et la stabilité des liens de l’enfant.</w:t>
      </w:r>
    </w:p>
    <w:p w14:paraId="629BDBCB" w14:textId="187D7A6C" w:rsidR="0004197A" w:rsidRDefault="0004197A" w:rsidP="003A1427">
      <w:pPr>
        <w:pStyle w:val="Paragraphe"/>
      </w:pPr>
      <w:r w:rsidRPr="00D3196E">
        <w:t>L’ajout d</w:t>
      </w:r>
      <w:r w:rsidR="005B6452">
        <w:t>u</w:t>
      </w:r>
      <w:r w:rsidRPr="00080BD2">
        <w:rPr>
          <w:b/>
          <w:bCs/>
        </w:rPr>
        <w:t xml:space="preserve"> </w:t>
      </w:r>
      <w:r w:rsidRPr="00D423CD">
        <w:rPr>
          <w:b/>
        </w:rPr>
        <w:t>chapitre</w:t>
      </w:r>
      <w:r w:rsidR="005B6452">
        <w:rPr>
          <w:b/>
          <w:bCs/>
        </w:rPr>
        <w:t xml:space="preserve"> V.1</w:t>
      </w:r>
      <w:r w:rsidRPr="00080BD2">
        <w:rPr>
          <w:b/>
          <w:bCs/>
        </w:rPr>
        <w:t xml:space="preserve"> </w:t>
      </w:r>
      <w:r w:rsidRPr="00D3196E">
        <w:t>regroupant les dispositions particulières aux enfants autochtones et à leurs familles :</w:t>
      </w:r>
    </w:p>
    <w:p w14:paraId="104BD2DD" w14:textId="4144AE9F" w:rsidR="0004197A" w:rsidRDefault="0004197A" w:rsidP="00BA3E6E">
      <w:pPr>
        <w:pStyle w:val="puces0"/>
      </w:pPr>
      <w:r>
        <w:t>Incorpore des principes généraux qui orientent l’ensemble des dispositions spécifiques aux enfants autochtones et leurs familles, dont celui de la continuité culturelle de l’enfant</w:t>
      </w:r>
      <w:r w:rsidR="004A21EC">
        <w:rPr>
          <w:rFonts w:ascii="Arial" w:hAnsi="Arial" w:cs="Arial"/>
        </w:rPr>
        <w:t> </w:t>
      </w:r>
      <w:r>
        <w:t>;</w:t>
      </w:r>
    </w:p>
    <w:p w14:paraId="47E53323" w14:textId="3078A63F" w:rsidR="0004197A" w:rsidRDefault="0004197A" w:rsidP="00BA3E6E">
      <w:pPr>
        <w:pStyle w:val="puces0"/>
      </w:pPr>
      <w:r>
        <w:t>Dicte les règles à suivre lors de l’intervention sociale et judiciaire</w:t>
      </w:r>
      <w:r w:rsidR="004A21EC">
        <w:rPr>
          <w:rFonts w:ascii="Arial" w:hAnsi="Arial" w:cs="Arial"/>
        </w:rPr>
        <w:t> </w:t>
      </w:r>
      <w:r>
        <w:t>;</w:t>
      </w:r>
    </w:p>
    <w:p w14:paraId="59845DDD" w14:textId="391947B1" w:rsidR="0004197A" w:rsidRDefault="0004197A" w:rsidP="00BA3E6E">
      <w:pPr>
        <w:pStyle w:val="puces0"/>
      </w:pPr>
      <w:r>
        <w:t>Prescrit les règles applicables concernant la tutelle et l’adoption coutumière lorsqu’elles sont envisagées pour assurer l’intérêt et le respect des droits de l’enfant</w:t>
      </w:r>
      <w:r w:rsidR="004A21EC">
        <w:rPr>
          <w:rFonts w:ascii="Arial" w:hAnsi="Arial" w:cs="Arial"/>
        </w:rPr>
        <w:t> </w:t>
      </w:r>
      <w:r>
        <w:t>;</w:t>
      </w:r>
    </w:p>
    <w:p w14:paraId="78D67A76" w14:textId="3A712EB0" w:rsidR="002E19B7" w:rsidRDefault="0004197A" w:rsidP="00BA3E6E">
      <w:pPr>
        <w:pStyle w:val="puces0"/>
      </w:pPr>
      <w:r>
        <w:t>Regroupe les dispositions relatives aux ententes en matière autochtone.</w:t>
      </w:r>
    </w:p>
    <w:p w14:paraId="44C296DC" w14:textId="03EFB9FF" w:rsidR="00D8717E" w:rsidRDefault="00502FE1" w:rsidP="00886A2C">
      <w:pPr>
        <w:pStyle w:val="Titre3"/>
        <w:ind w:left="566" w:hanging="566"/>
      </w:pPr>
      <w:bookmarkStart w:id="44" w:name="_Toc201330490"/>
      <w:r>
        <w:t>1.5.2</w:t>
      </w:r>
      <w:r>
        <w:tab/>
      </w:r>
      <w:r w:rsidR="005263FC">
        <w:tab/>
      </w:r>
      <w:r w:rsidR="00D8717E" w:rsidRPr="00D8717E">
        <w:t>Les préoccupations exprimées par la Commission des droits quant aux modifications proposées</w:t>
      </w:r>
      <w:bookmarkEnd w:id="44"/>
    </w:p>
    <w:p w14:paraId="231DFCFB" w14:textId="385140E0" w:rsidR="00D8717E" w:rsidRDefault="00ED2151" w:rsidP="003A1427">
      <w:pPr>
        <w:pStyle w:val="Paragraphe"/>
      </w:pPr>
      <w:r>
        <w:t>Dans son mémoire portant sur le projet de loi qui a mené à la réforme de la LPJ en 2022, la Commission s’est positionnée relativement aux modifications proposées en vue de renforcer la continuité des soins et la stabilité des liens</w:t>
      </w:r>
      <w:bookmarkStart w:id="45" w:name="_Ref200631089"/>
      <w:r w:rsidR="0085330E">
        <w:rPr>
          <w:rFonts w:ascii="ZWAdobeF" w:hAnsi="ZWAdobeF" w:cs="ZWAdobeF"/>
          <w:sz w:val="2"/>
          <w:szCs w:val="2"/>
        </w:rPr>
        <w:t>85F</w:t>
      </w:r>
      <w:r w:rsidR="00111276">
        <w:rPr>
          <w:rStyle w:val="Appelnotedebasdep"/>
        </w:rPr>
        <w:footnoteReference w:id="87"/>
      </w:r>
      <w:bookmarkEnd w:id="45"/>
      <w:r>
        <w:t>. S’appuyant sur sa position antérieure et sur les principes de droits de l’enfant, dont ceux consacrés par le droit international, elle a insisté sur le fait que</w:t>
      </w:r>
      <w:r w:rsidR="00914C42">
        <w:t> </w:t>
      </w:r>
      <w:r>
        <w:t>:</w:t>
      </w:r>
    </w:p>
    <w:p w14:paraId="68DA04AF" w14:textId="0ABA321B" w:rsidR="004D5D3E" w:rsidRDefault="004D5D3E" w:rsidP="00BA3E6E">
      <w:pPr>
        <w:pStyle w:val="puces0"/>
        <w:rPr>
          <w:lang w:eastAsia="ja-JP"/>
        </w:rPr>
      </w:pPr>
      <w:r>
        <w:rPr>
          <w:lang w:eastAsia="ja-JP"/>
        </w:rPr>
        <w:t>Le maintien dans le milieu familial doit demeurer l’objectif de l’intervention, et non une option à privilégier, dans le contexte d’interventions se situant avant l’expiration des durées maximales d’hébergement prévues à l’article</w:t>
      </w:r>
      <w:r w:rsidR="00104A0F">
        <w:rPr>
          <w:lang w:eastAsia="ja-JP"/>
        </w:rPr>
        <w:t> </w:t>
      </w:r>
      <w:r>
        <w:rPr>
          <w:lang w:eastAsia="ja-JP"/>
        </w:rPr>
        <w:t>91.1 de la LPJ</w:t>
      </w:r>
      <w:r w:rsidR="004A21EC">
        <w:rPr>
          <w:rFonts w:ascii="Arial" w:hAnsi="Arial" w:cs="Arial"/>
          <w:lang w:eastAsia="ja-JP"/>
        </w:rPr>
        <w:t> </w:t>
      </w:r>
      <w:r>
        <w:rPr>
          <w:lang w:eastAsia="ja-JP"/>
        </w:rPr>
        <w:t>;</w:t>
      </w:r>
    </w:p>
    <w:p w14:paraId="0EF2A713" w14:textId="06008105" w:rsidR="004D5D3E" w:rsidRDefault="004D5D3E" w:rsidP="00BA3E6E">
      <w:pPr>
        <w:pStyle w:val="puces0"/>
        <w:rPr>
          <w:lang w:eastAsia="ja-JP"/>
        </w:rPr>
      </w:pPr>
      <w:r>
        <w:rPr>
          <w:lang w:eastAsia="ja-JP"/>
        </w:rPr>
        <w:t>Le maintien en milieu familial est présumé être dans l’intérêt de l’enfant, sauf preuve du contraire, c’est-à-dire démontré par une évaluation rigoureuse</w:t>
      </w:r>
      <w:r w:rsidR="004A21EC">
        <w:rPr>
          <w:rFonts w:ascii="Arial" w:hAnsi="Arial" w:cs="Arial"/>
          <w:lang w:eastAsia="ja-JP"/>
        </w:rPr>
        <w:t> </w:t>
      </w:r>
      <w:r>
        <w:rPr>
          <w:lang w:eastAsia="ja-JP"/>
        </w:rPr>
        <w:t>;</w:t>
      </w:r>
    </w:p>
    <w:p w14:paraId="305F547D" w14:textId="422BB59B" w:rsidR="00D8717E" w:rsidRDefault="004D5D3E" w:rsidP="00BA3E6E">
      <w:pPr>
        <w:pStyle w:val="puces0"/>
        <w:rPr>
          <w:lang w:eastAsia="ja-JP"/>
        </w:rPr>
      </w:pPr>
      <w:r>
        <w:rPr>
          <w:lang w:eastAsia="ja-JP"/>
        </w:rPr>
        <w:t>Le projet de vie de l’enfant doit s’évaluer en fonction de son intérêt et ne doit pas être subordonné au principe de la continuité des soins et de la stabilité des liens dans un autre milieu.</w:t>
      </w:r>
    </w:p>
    <w:p w14:paraId="034145DC" w14:textId="20264A3A" w:rsidR="00111276" w:rsidRDefault="00111276" w:rsidP="003A1427">
      <w:pPr>
        <w:pStyle w:val="Paragraphe"/>
      </w:pPr>
      <w:r>
        <w:lastRenderedPageBreak/>
        <w:t>Dans le contexte des modifications apportées à l’article</w:t>
      </w:r>
      <w:r w:rsidR="00104A0F">
        <w:t> </w:t>
      </w:r>
      <w:r>
        <w:t>4 de la LPJ, elle a jugé impératif</w:t>
      </w:r>
      <w:r w:rsidR="00914C42">
        <w:t> </w:t>
      </w:r>
      <w:r>
        <w:t>:</w:t>
      </w:r>
    </w:p>
    <w:p w14:paraId="7D986BF4" w14:textId="44F98489" w:rsidR="00111276" w:rsidRDefault="00111276" w:rsidP="00B763F0">
      <w:pPr>
        <w:pStyle w:val="puces0"/>
      </w:pPr>
      <w:r>
        <w:t>De renforcer l’obligation d’offrir des services ciblés aux parents qui répondent à leurs besoins et contrecarrent les facteurs de risque de maltraitance</w:t>
      </w:r>
      <w:r w:rsidR="004A21EC">
        <w:rPr>
          <w:rFonts w:ascii="Arial" w:hAnsi="Arial" w:cs="Arial"/>
        </w:rPr>
        <w:t> </w:t>
      </w:r>
      <w:r>
        <w:t>;</w:t>
      </w:r>
    </w:p>
    <w:p w14:paraId="2937CFB7" w14:textId="2032B389" w:rsidR="00D8717E" w:rsidRDefault="00111276" w:rsidP="00B763F0">
      <w:pPr>
        <w:pStyle w:val="puces0"/>
      </w:pPr>
      <w:r>
        <w:t>De recommander de modifier le projet de loi afin que soit précisée la nature des services à rendre aux parents en vue de les aider à mieux assumer leurs responsabilités et, ainsi, tendre vers le maintien de l’enfant dans le milieu familial</w:t>
      </w:r>
      <w:r w:rsidR="0085330E">
        <w:rPr>
          <w:rFonts w:ascii="ZWAdobeF" w:hAnsi="ZWAdobeF" w:cs="ZWAdobeF"/>
          <w:color w:val="auto"/>
          <w:sz w:val="2"/>
          <w:szCs w:val="2"/>
        </w:rPr>
        <w:t>86F</w:t>
      </w:r>
      <w:r>
        <w:rPr>
          <w:rStyle w:val="Appelnotedebasdep"/>
        </w:rPr>
        <w:footnoteReference w:id="88"/>
      </w:r>
      <w:r>
        <w:t>.</w:t>
      </w:r>
    </w:p>
    <w:p w14:paraId="595D2FE8" w14:textId="656A7986" w:rsidR="009F0503" w:rsidRDefault="009F0503" w:rsidP="003A1427">
      <w:pPr>
        <w:pStyle w:val="Paragraphe"/>
      </w:pPr>
      <w:r>
        <w:t>Au sujet de la détermination des projets de vie pour les enfants, la Commission des droits a émis une mise en garde quant à</w:t>
      </w:r>
      <w:r w:rsidR="00914C42">
        <w:t> </w:t>
      </w:r>
      <w:r>
        <w:t>:</w:t>
      </w:r>
    </w:p>
    <w:p w14:paraId="6703C9FF" w14:textId="7F7CB6D1" w:rsidR="009F0503" w:rsidRDefault="009F0503" w:rsidP="00BA3E6E">
      <w:pPr>
        <w:pStyle w:val="puces0"/>
        <w:rPr>
          <w:lang w:eastAsia="ja-JP"/>
        </w:rPr>
      </w:pPr>
      <w:r>
        <w:rPr>
          <w:lang w:eastAsia="ja-JP"/>
        </w:rPr>
        <w:t>L’effet d’une planification concurrente sur l’exercice du droit au maintien de l’enfant dans son milieu familial, lorsque cela est dans son intérêt, dans les situations où il y aurait un manque ou une insuffisance de services offerts aux parents, incluant l’intervention sociale du directeur.</w:t>
      </w:r>
    </w:p>
    <w:p w14:paraId="17691900" w14:textId="60EE0239" w:rsidR="009F0503" w:rsidRDefault="009F0503" w:rsidP="003A1427">
      <w:pPr>
        <w:pStyle w:val="Paragraphe"/>
      </w:pPr>
      <w:r>
        <w:t>Elle recommandait en ce sens</w:t>
      </w:r>
      <w:r w:rsidR="00914C42">
        <w:t> </w:t>
      </w:r>
      <w:r>
        <w:t>:</w:t>
      </w:r>
    </w:p>
    <w:p w14:paraId="71001BC8" w14:textId="541E404C" w:rsidR="00D8717E" w:rsidRDefault="009F0503" w:rsidP="00BA3E6E">
      <w:pPr>
        <w:pStyle w:val="puces0"/>
        <w:rPr>
          <w:lang w:eastAsia="ja-JP"/>
        </w:rPr>
      </w:pPr>
      <w:r>
        <w:rPr>
          <w:lang w:eastAsia="ja-JP"/>
        </w:rPr>
        <w:t>D’autoriser le tribunal, à l’article</w:t>
      </w:r>
      <w:r w:rsidR="00104A0F">
        <w:rPr>
          <w:lang w:eastAsia="ja-JP"/>
        </w:rPr>
        <w:t> </w:t>
      </w:r>
      <w:r>
        <w:rPr>
          <w:lang w:eastAsia="ja-JP"/>
        </w:rPr>
        <w:t>91.1 de la LPJ, à ordonner que les établissements et organismes concernés fournissent les services requis aux parents pour leur permettre d’assumer pleinement, dans la mesure du possible, leurs responsabilités parentales</w:t>
      </w:r>
      <w:r w:rsidR="0085330E">
        <w:rPr>
          <w:rFonts w:ascii="ZWAdobeF" w:hAnsi="ZWAdobeF" w:cs="ZWAdobeF"/>
          <w:color w:val="auto"/>
          <w:sz w:val="2"/>
          <w:szCs w:val="2"/>
          <w:lang w:eastAsia="ja-JP"/>
        </w:rPr>
        <w:t>87F</w:t>
      </w:r>
      <w:r>
        <w:rPr>
          <w:rStyle w:val="Appelnotedebasdep"/>
          <w:lang w:eastAsia="ja-JP"/>
        </w:rPr>
        <w:footnoteReference w:id="89"/>
      </w:r>
      <w:r>
        <w:rPr>
          <w:lang w:eastAsia="ja-JP"/>
        </w:rPr>
        <w:t>.</w:t>
      </w:r>
    </w:p>
    <w:p w14:paraId="4C78B66D" w14:textId="700467ED" w:rsidR="00D8717E" w:rsidRDefault="004F272D" w:rsidP="003A1427">
      <w:pPr>
        <w:pStyle w:val="Paragraphe"/>
      </w:pPr>
      <w:r>
        <w:t>Plus largement, la Commission est revenue sur sa préoccupation au sujet des enfants retirés de leur</w:t>
      </w:r>
      <w:r w:rsidR="00F971DB">
        <w:t xml:space="preserve"> </w:t>
      </w:r>
      <w:r>
        <w:t>milieu de vie substitut malgré l’existence d’une ordonnance de placement à majorité. C’est pourquoi elle a</w:t>
      </w:r>
      <w:r w:rsidR="00914C42">
        <w:t> </w:t>
      </w:r>
      <w:r>
        <w:t>:</w:t>
      </w:r>
    </w:p>
    <w:p w14:paraId="68411165" w14:textId="0C715F36" w:rsidR="009A644C" w:rsidRDefault="009A644C" w:rsidP="00BA3E6E">
      <w:pPr>
        <w:pStyle w:val="puces0"/>
        <w:rPr>
          <w:lang w:eastAsia="ja-JP"/>
        </w:rPr>
      </w:pPr>
      <w:r>
        <w:rPr>
          <w:lang w:eastAsia="ja-JP"/>
        </w:rPr>
        <w:t>Énoncé à nouveau le fait que des enfants ayant passé de nombreuses années dans un même milieu de vie, voire depuis leur naissance, soient déplacés sans être consultés et sans que le DPJ ne s’attarde à l’impact d’un tel déplacement sur l’enfant, considérant l’existence de liens affectifs entre ce dernier et les personnes qui en ont pris soin</w:t>
      </w:r>
      <w:r w:rsidR="00D16B99">
        <w:rPr>
          <w:rFonts w:ascii="Arial" w:hAnsi="Arial" w:cs="Arial"/>
          <w:lang w:eastAsia="ja-JP"/>
        </w:rPr>
        <w:t> </w:t>
      </w:r>
      <w:r>
        <w:rPr>
          <w:lang w:eastAsia="ja-JP"/>
        </w:rPr>
        <w:t>;</w:t>
      </w:r>
    </w:p>
    <w:p w14:paraId="2345390B" w14:textId="60684614" w:rsidR="009A644C" w:rsidRDefault="009A644C" w:rsidP="00BA3E6E">
      <w:pPr>
        <w:pStyle w:val="puces0"/>
        <w:rPr>
          <w:lang w:eastAsia="ja-JP"/>
        </w:rPr>
      </w:pPr>
      <w:r>
        <w:rPr>
          <w:lang w:eastAsia="ja-JP"/>
        </w:rPr>
        <w:t>Souligné l’importance que la pratique des DPJ à cet égard se conforme au droit de l’enfant en matière de stabilité des liens et des conditions de vie en évitant des déplacements auxquels pourraient se substituer des mesures alternatives et moins radicales pour l’enfant</w:t>
      </w:r>
      <w:r w:rsidR="00D16B99">
        <w:rPr>
          <w:rFonts w:ascii="Arial" w:hAnsi="Arial" w:cs="Arial"/>
          <w:lang w:eastAsia="ja-JP"/>
        </w:rPr>
        <w:t> </w:t>
      </w:r>
      <w:r>
        <w:rPr>
          <w:lang w:eastAsia="ja-JP"/>
        </w:rPr>
        <w:t>;</w:t>
      </w:r>
    </w:p>
    <w:p w14:paraId="31AA1D4F" w14:textId="27957FEC" w:rsidR="009A644C" w:rsidRDefault="009A644C" w:rsidP="00BA3E6E">
      <w:pPr>
        <w:pStyle w:val="puces0"/>
        <w:rPr>
          <w:lang w:eastAsia="ja-JP"/>
        </w:rPr>
      </w:pPr>
      <w:r>
        <w:rPr>
          <w:lang w:eastAsia="ja-JP"/>
        </w:rPr>
        <w:t>Réitér</w:t>
      </w:r>
      <w:r w:rsidR="00492514">
        <w:rPr>
          <w:lang w:eastAsia="ja-JP"/>
        </w:rPr>
        <w:t>é</w:t>
      </w:r>
      <w:r>
        <w:rPr>
          <w:lang w:eastAsia="ja-JP"/>
        </w:rPr>
        <w:t xml:space="preserve"> sa recommandation d’obliger le DPJ à effectuer une évaluation rigoureuse de l’intérêt de l’enfant, incluant le lien affectif qui relie un enfant aux membres de sa famille d’accueil ou aux personnes à qui il est confié, avant de le déplacer</w:t>
      </w:r>
      <w:r w:rsidR="0085330E">
        <w:rPr>
          <w:rFonts w:ascii="ZWAdobeF" w:hAnsi="ZWAdobeF" w:cs="ZWAdobeF"/>
          <w:color w:val="auto"/>
          <w:sz w:val="2"/>
          <w:szCs w:val="2"/>
          <w:lang w:eastAsia="ja-JP"/>
        </w:rPr>
        <w:t>88F</w:t>
      </w:r>
      <w:r>
        <w:rPr>
          <w:rStyle w:val="Appelnotedebasdep"/>
          <w:lang w:eastAsia="ja-JP"/>
        </w:rPr>
        <w:footnoteReference w:id="90"/>
      </w:r>
      <w:r w:rsidR="00D16B99">
        <w:rPr>
          <w:rFonts w:ascii="Arial" w:hAnsi="Arial" w:cs="Arial"/>
          <w:lang w:eastAsia="ja-JP"/>
        </w:rPr>
        <w:t> </w:t>
      </w:r>
      <w:r>
        <w:rPr>
          <w:lang w:eastAsia="ja-JP"/>
        </w:rPr>
        <w:t>;</w:t>
      </w:r>
    </w:p>
    <w:p w14:paraId="54C6253A" w14:textId="6D3E14A1" w:rsidR="009A644C" w:rsidRDefault="009A644C" w:rsidP="00BA3E6E">
      <w:pPr>
        <w:pStyle w:val="puces0"/>
        <w:rPr>
          <w:lang w:eastAsia="ja-JP"/>
        </w:rPr>
      </w:pPr>
      <w:r>
        <w:rPr>
          <w:lang w:eastAsia="ja-JP"/>
        </w:rPr>
        <w:lastRenderedPageBreak/>
        <w:t>Insisté sur l’importance pour le DPJ de saisir le tribunal lorsqu’il déplace un enfant d’un milieu de vie substitut dans le cadre d’une ordonnance d’hébergement à long terme en vertu de l’article</w:t>
      </w:r>
      <w:r w:rsidR="00104A0F">
        <w:rPr>
          <w:lang w:eastAsia="ja-JP"/>
        </w:rPr>
        <w:t> </w:t>
      </w:r>
      <w:r>
        <w:rPr>
          <w:lang w:eastAsia="ja-JP"/>
        </w:rPr>
        <w:t>91.1 al. 3 de LPJ</w:t>
      </w:r>
      <w:r w:rsidR="00220FCC">
        <w:rPr>
          <w:rFonts w:ascii="Arial" w:hAnsi="Arial" w:cs="Arial"/>
          <w:lang w:eastAsia="ja-JP"/>
        </w:rPr>
        <w:t> </w:t>
      </w:r>
      <w:r w:rsidR="00546587">
        <w:rPr>
          <w:lang w:eastAsia="ja-JP"/>
        </w:rPr>
        <w:t>;</w:t>
      </w:r>
    </w:p>
    <w:p w14:paraId="3B63C40B" w14:textId="2D59522F" w:rsidR="00D8717E" w:rsidRDefault="009A644C" w:rsidP="00BA3E6E">
      <w:pPr>
        <w:pStyle w:val="puces0"/>
        <w:rPr>
          <w:lang w:eastAsia="ja-JP"/>
        </w:rPr>
      </w:pPr>
      <w:r>
        <w:rPr>
          <w:lang w:eastAsia="ja-JP"/>
        </w:rPr>
        <w:t>Demandé à nouveau que soit modifiée, afin de clarifier, l’obligation du DPJ de saisir le tribunal lorsqu’il souhaite déplacer un enfant alors que l’ordonnance de placement rendue en vertu de cette disposition ne désigne pas la famille d’accueil</w:t>
      </w:r>
      <w:r w:rsidR="0085330E">
        <w:rPr>
          <w:rFonts w:ascii="ZWAdobeF" w:hAnsi="ZWAdobeF" w:cs="ZWAdobeF"/>
          <w:color w:val="auto"/>
          <w:sz w:val="2"/>
          <w:szCs w:val="2"/>
          <w:lang w:eastAsia="ja-JP"/>
        </w:rPr>
        <w:t>89F</w:t>
      </w:r>
      <w:r>
        <w:rPr>
          <w:rStyle w:val="Appelnotedebasdep"/>
          <w:lang w:eastAsia="ja-JP"/>
        </w:rPr>
        <w:footnoteReference w:id="91"/>
      </w:r>
      <w:r>
        <w:rPr>
          <w:lang w:eastAsia="ja-JP"/>
        </w:rPr>
        <w:t>.</w:t>
      </w:r>
    </w:p>
    <w:p w14:paraId="1A70D4A2" w14:textId="77777777" w:rsidR="00D8717E" w:rsidRDefault="00D8717E" w:rsidP="003A1427">
      <w:pPr>
        <w:pStyle w:val="Paragraphe"/>
      </w:pPr>
    </w:p>
    <w:p w14:paraId="327C0EA2" w14:textId="77777777" w:rsidR="00D8717E" w:rsidRDefault="00D8717E" w:rsidP="003A1427">
      <w:pPr>
        <w:pStyle w:val="Paragraphe"/>
      </w:pPr>
    </w:p>
    <w:p w14:paraId="1E9B7C9A" w14:textId="77777777" w:rsidR="00DA32BC" w:rsidRDefault="00DA32BC" w:rsidP="003A1427">
      <w:pPr>
        <w:pStyle w:val="Paragraphe"/>
        <w:sectPr w:rsidR="00DA32BC" w:rsidSect="0098162B">
          <w:headerReference w:type="even" r:id="rId33"/>
          <w:headerReference w:type="default" r:id="rId34"/>
          <w:footerReference w:type="default" r:id="rId35"/>
          <w:headerReference w:type="first" r:id="rId36"/>
          <w:pgSz w:w="12240" w:h="15840" w:code="1"/>
          <w:pgMar w:top="1985" w:right="1134" w:bottom="1418" w:left="1134" w:header="709" w:footer="709" w:gutter="0"/>
          <w:cols w:space="708"/>
          <w:docGrid w:linePitch="360"/>
        </w:sectPr>
      </w:pPr>
    </w:p>
    <w:p w14:paraId="24DF0476" w14:textId="6A1A36ED" w:rsidR="00D8717E" w:rsidRDefault="00E2585F" w:rsidP="00C6059C">
      <w:pPr>
        <w:pStyle w:val="Titre1"/>
      </w:pPr>
      <w:bookmarkStart w:id="46" w:name="_Toc201330491"/>
      <w:r w:rsidRPr="00E2585F">
        <w:lastRenderedPageBreak/>
        <w:t>L’évaluation de la mise en œuvre des dispositions de la LPJ relatives à la stabilité des liens et des conditions de vie de l’enfant</w:t>
      </w:r>
      <w:r w:rsidR="00914C42">
        <w:t> </w:t>
      </w:r>
      <w:r w:rsidR="00C270BA" w:rsidRPr="00E2585F">
        <w:t>depuis la réforme de 2022</w:t>
      </w:r>
      <w:r w:rsidR="00E0563A">
        <w:t> </w:t>
      </w:r>
      <w:r w:rsidRPr="00E2585F">
        <w:t xml:space="preserve">: regard sur les </w:t>
      </w:r>
      <w:r w:rsidR="00075A80">
        <w:t>décisions judiciaires</w:t>
      </w:r>
      <w:r w:rsidR="00B31760">
        <w:t xml:space="preserve"> </w:t>
      </w:r>
      <w:r w:rsidR="004D79CD">
        <w:t xml:space="preserve">confiant </w:t>
      </w:r>
      <w:r w:rsidR="00202A44">
        <w:t>l’enfant</w:t>
      </w:r>
      <w:r w:rsidRPr="00E2585F">
        <w:t xml:space="preserve"> à un milieu de vie substitut jusqu’à la majorité</w:t>
      </w:r>
      <w:bookmarkEnd w:id="46"/>
      <w:r w:rsidRPr="00E2585F">
        <w:t xml:space="preserve"> </w:t>
      </w:r>
    </w:p>
    <w:p w14:paraId="3B0ED3E2" w14:textId="470B5E47" w:rsidR="00066762" w:rsidRDefault="00EC35BD" w:rsidP="003A1427">
      <w:pPr>
        <w:pStyle w:val="Paragraphe"/>
      </w:pPr>
      <w:r>
        <w:t>Les données recueillies dans la jurisprudence</w:t>
      </w:r>
      <w:r w:rsidR="009C04FA">
        <w:t xml:space="preserve"> et </w:t>
      </w:r>
      <w:r>
        <w:t xml:space="preserve">auprès des procureures et procureurs de l’enfant donnent un aperçu de la mise en œuvre des principales dispositions en lien avec la stabilité des liens et des conditions de vie de l’enfant. </w:t>
      </w:r>
    </w:p>
    <w:p w14:paraId="2E5E75D1" w14:textId="10A2733B" w:rsidR="00013849" w:rsidRDefault="00013849" w:rsidP="003A1427">
      <w:pPr>
        <w:pStyle w:val="Paragraphe"/>
      </w:pPr>
      <w:r>
        <w:t>L’ampleur des finalités</w:t>
      </w:r>
      <w:r w:rsidR="00821EFD">
        <w:t xml:space="preserve"> recherchées</w:t>
      </w:r>
      <w:r>
        <w:t xml:space="preserve"> </w:t>
      </w:r>
      <w:r w:rsidR="00432664">
        <w:t>par la réforme</w:t>
      </w:r>
      <w:r>
        <w:t xml:space="preserve"> pour </w:t>
      </w:r>
      <w:r w:rsidR="00035DBC">
        <w:t>améliorer</w:t>
      </w:r>
      <w:r>
        <w:t xml:space="preserve"> la pratique et l’application de la LPJ en faveur </w:t>
      </w:r>
      <w:r w:rsidR="00035DBC">
        <w:t xml:space="preserve">des </w:t>
      </w:r>
      <w:r>
        <w:t xml:space="preserve">enfants </w:t>
      </w:r>
      <w:r w:rsidR="00C64A70">
        <w:t>permet</w:t>
      </w:r>
      <w:r w:rsidR="001E69D1">
        <w:t xml:space="preserve"> </w:t>
      </w:r>
      <w:r w:rsidR="00CB03F3">
        <w:t>e</w:t>
      </w:r>
      <w:r w:rsidR="00A93620">
        <w:t xml:space="preserve">de croire </w:t>
      </w:r>
      <w:r>
        <w:t>que les principales modifications ont apporté</w:t>
      </w:r>
      <w:r w:rsidR="00370CAF">
        <w:t>,</w:t>
      </w:r>
      <w:r>
        <w:t xml:space="preserve"> </w:t>
      </w:r>
      <w:r w:rsidR="00370CAF">
        <w:t>dès leur entrée en vigueur le 26</w:t>
      </w:r>
      <w:r w:rsidR="00220FCC">
        <w:t> </w:t>
      </w:r>
      <w:r w:rsidR="00370CAF">
        <w:t xml:space="preserve">avril 2022, </w:t>
      </w:r>
      <w:r>
        <w:t>des changements concrets</w:t>
      </w:r>
      <w:r w:rsidR="006C544D">
        <w:t xml:space="preserve"> </w:t>
      </w:r>
      <w:r w:rsidR="0047282C">
        <w:t>dans le traitement judiciaire</w:t>
      </w:r>
      <w:r>
        <w:t>.</w:t>
      </w:r>
      <w:r w:rsidRPr="009C3D6E">
        <w:t xml:space="preserve"> </w:t>
      </w:r>
    </w:p>
    <w:p w14:paraId="616EB6A2" w14:textId="4602A5C9" w:rsidR="00063203" w:rsidRDefault="00C64A70" w:rsidP="003A1427">
      <w:pPr>
        <w:pStyle w:val="Paragraphe"/>
      </w:pPr>
      <w:r>
        <w:t xml:space="preserve">Il </w:t>
      </w:r>
      <w:r w:rsidR="00440367">
        <w:t>appa</w:t>
      </w:r>
      <w:r w:rsidR="005B18C2">
        <w:t xml:space="preserve">rait </w:t>
      </w:r>
      <w:r>
        <w:t xml:space="preserve">toutefois </w:t>
      </w:r>
      <w:r w:rsidRPr="00285F52">
        <w:t>que l</w:t>
      </w:r>
      <w:r w:rsidR="00096151" w:rsidRPr="00285F52">
        <w:t>es</w:t>
      </w:r>
      <w:r w:rsidR="00CB03F3" w:rsidRPr="00285F52">
        <w:t xml:space="preserve"> vingt-six (26) </w:t>
      </w:r>
      <w:r w:rsidR="00096151" w:rsidRPr="00285F52">
        <w:t>proc</w:t>
      </w:r>
      <w:r w:rsidR="00096151">
        <w:t>ureur</w:t>
      </w:r>
      <w:r w:rsidR="00CB03F3">
        <w:t>e</w:t>
      </w:r>
      <w:r w:rsidR="00096151">
        <w:t xml:space="preserve">s et procureurs des enfants </w:t>
      </w:r>
      <w:r w:rsidR="002C5F72">
        <w:t>qui ont répondu au son</w:t>
      </w:r>
      <w:r w:rsidR="008266B5">
        <w:t xml:space="preserve">dage dans le cadre du présent rapport </w:t>
      </w:r>
      <w:r w:rsidR="00096151">
        <w:t>sont partagés sur les effets de la réforme</w:t>
      </w:r>
      <w:r w:rsidR="00063203">
        <w:t> :</w:t>
      </w:r>
    </w:p>
    <w:p w14:paraId="4F4B9902" w14:textId="1E5EE51C" w:rsidR="00096151" w:rsidRPr="0061470F" w:rsidRDefault="00096151" w:rsidP="00147CD5">
      <w:pPr>
        <w:pStyle w:val="puces0"/>
        <w:rPr>
          <w:lang w:eastAsia="ja-JP"/>
        </w:rPr>
      </w:pPr>
      <w:r w:rsidRPr="0061470F">
        <w:rPr>
          <w:lang w:eastAsia="ja-JP"/>
        </w:rPr>
        <w:t>11 répondants observent des changements depuis la réforme dans le traitement des dossiers, incluant le traitement judiciaire, lorsqu’ils représentent un enfant pour qui la directrice ou le directeur de la protection de la jeunesse recommande de le confier à un milieu de vie substitut jusqu’à la majorité</w:t>
      </w:r>
      <w:r w:rsidR="001A0FEE" w:rsidRPr="0061470F">
        <w:rPr>
          <w:rFonts w:ascii="Arial" w:hAnsi="Arial" w:cs="Arial"/>
          <w:lang w:eastAsia="ja-JP"/>
        </w:rPr>
        <w:t> </w:t>
      </w:r>
      <w:r w:rsidR="00063203" w:rsidRPr="0061470F">
        <w:rPr>
          <w:lang w:eastAsia="ja-JP"/>
        </w:rPr>
        <w:t>;</w:t>
      </w:r>
    </w:p>
    <w:p w14:paraId="698E423B" w14:textId="37241598" w:rsidR="00650D5D" w:rsidRPr="0061470F" w:rsidRDefault="00096151" w:rsidP="00147CD5">
      <w:pPr>
        <w:pStyle w:val="puces0"/>
        <w:rPr>
          <w:lang w:eastAsia="ja-JP"/>
        </w:rPr>
      </w:pPr>
      <w:r w:rsidRPr="0061470F">
        <w:rPr>
          <w:lang w:eastAsia="ja-JP"/>
        </w:rPr>
        <w:t>La moitié des répondants n’observe pas de changement à cet égard</w:t>
      </w:r>
      <w:r w:rsidR="001A0FEE" w:rsidRPr="0061470F">
        <w:rPr>
          <w:rFonts w:ascii="Arial" w:hAnsi="Arial" w:cs="Arial"/>
          <w:lang w:eastAsia="ja-JP"/>
        </w:rPr>
        <w:t> </w:t>
      </w:r>
      <w:r w:rsidR="00C77CD6" w:rsidRPr="0061470F">
        <w:rPr>
          <w:lang w:eastAsia="ja-JP"/>
        </w:rPr>
        <w:t>;</w:t>
      </w:r>
      <w:r w:rsidRPr="0061470F">
        <w:rPr>
          <w:lang w:eastAsia="ja-JP"/>
        </w:rPr>
        <w:t xml:space="preserve"> </w:t>
      </w:r>
    </w:p>
    <w:p w14:paraId="668E8C72" w14:textId="0ABA1B2F" w:rsidR="00D35055" w:rsidRPr="0061470F" w:rsidRDefault="00096151" w:rsidP="00147CD5">
      <w:pPr>
        <w:pStyle w:val="puces0"/>
        <w:rPr>
          <w:lang w:eastAsia="ja-JP"/>
        </w:rPr>
      </w:pPr>
      <w:r w:rsidRPr="0061470F">
        <w:rPr>
          <w:lang w:eastAsia="ja-JP"/>
        </w:rPr>
        <w:t xml:space="preserve">12 répondants se sont prononcés sur les raisons qui expliquent cette perception. </w:t>
      </w:r>
      <w:r w:rsidR="00CD5EF4" w:rsidRPr="0061470F">
        <w:rPr>
          <w:lang w:eastAsia="ja-JP"/>
        </w:rPr>
        <w:t>La</w:t>
      </w:r>
      <w:r w:rsidR="00C77CD6" w:rsidRPr="0061470F">
        <w:rPr>
          <w:lang w:eastAsia="ja-JP"/>
        </w:rPr>
        <w:t xml:space="preserve"> moitié</w:t>
      </w:r>
      <w:r w:rsidRPr="0061470F">
        <w:rPr>
          <w:lang w:eastAsia="ja-JP"/>
        </w:rPr>
        <w:t xml:space="preserve"> </w:t>
      </w:r>
      <w:r w:rsidR="00CD5EF4" w:rsidRPr="0061470F">
        <w:rPr>
          <w:lang w:eastAsia="ja-JP"/>
        </w:rPr>
        <w:t>ont choisi comme principale raison</w:t>
      </w:r>
      <w:r w:rsidRPr="0061470F">
        <w:rPr>
          <w:lang w:eastAsia="ja-JP"/>
        </w:rPr>
        <w:t xml:space="preserve"> le fait que les modifications législatives n’entrainent pas de changements réels dans la pratique. </w:t>
      </w:r>
      <w:r w:rsidR="00202A76" w:rsidRPr="0061470F">
        <w:rPr>
          <w:lang w:eastAsia="ja-JP"/>
        </w:rPr>
        <w:t>Les autres options identifiées comme étant la raison principale sont les suivantes</w:t>
      </w:r>
      <w:r w:rsidR="00E0563A" w:rsidRPr="0061470F">
        <w:rPr>
          <w:lang w:eastAsia="ja-JP"/>
        </w:rPr>
        <w:t> </w:t>
      </w:r>
      <w:r w:rsidR="00202A76" w:rsidRPr="0061470F">
        <w:rPr>
          <w:lang w:eastAsia="ja-JP"/>
        </w:rPr>
        <w:t>:</w:t>
      </w:r>
    </w:p>
    <w:p w14:paraId="7FD6BF0C" w14:textId="7E5D44E7" w:rsidR="00B00EBC" w:rsidRPr="0061470F" w:rsidRDefault="00202A76" w:rsidP="002233DF">
      <w:pPr>
        <w:pStyle w:val="puces0"/>
        <w:numPr>
          <w:ilvl w:val="0"/>
          <w:numId w:val="15"/>
        </w:numPr>
        <w:rPr>
          <w:lang w:eastAsia="ja-JP"/>
        </w:rPr>
      </w:pPr>
      <w:r w:rsidRPr="0061470F">
        <w:rPr>
          <w:lang w:eastAsia="ja-JP"/>
        </w:rPr>
        <w:t>Le roulement du personnel ou l’insuffisance de ressources humaines dans l’intervention sociale (3/12)</w:t>
      </w:r>
      <w:r w:rsidR="001A0FEE" w:rsidRPr="0061470F">
        <w:rPr>
          <w:rFonts w:ascii="Arial" w:hAnsi="Arial" w:cs="Arial"/>
          <w:lang w:eastAsia="ja-JP"/>
        </w:rPr>
        <w:t> </w:t>
      </w:r>
      <w:r w:rsidR="00B00EBC" w:rsidRPr="0061470F">
        <w:rPr>
          <w:lang w:eastAsia="ja-JP"/>
        </w:rPr>
        <w:t>;</w:t>
      </w:r>
    </w:p>
    <w:p w14:paraId="05CEE5FE" w14:textId="2C1E3D71" w:rsidR="0073054F" w:rsidRPr="0061470F" w:rsidRDefault="008F3A6C" w:rsidP="002233DF">
      <w:pPr>
        <w:pStyle w:val="puces0"/>
        <w:numPr>
          <w:ilvl w:val="0"/>
          <w:numId w:val="15"/>
        </w:numPr>
        <w:rPr>
          <w:lang w:eastAsia="ja-JP"/>
        </w:rPr>
      </w:pPr>
      <w:r w:rsidRPr="0061470F">
        <w:rPr>
          <w:lang w:eastAsia="ja-JP"/>
        </w:rPr>
        <w:t>Le nombre insuffisant de familles d’accueil et de familles d’accueil de proximité (2/12</w:t>
      </w:r>
      <w:r w:rsidR="000F5814" w:rsidRPr="0061470F">
        <w:rPr>
          <w:lang w:eastAsia="ja-JP"/>
        </w:rPr>
        <w:t>)</w:t>
      </w:r>
      <w:r w:rsidR="00096151" w:rsidRPr="0061470F">
        <w:rPr>
          <w:lang w:eastAsia="ja-JP"/>
        </w:rPr>
        <w:t>.</w:t>
      </w:r>
      <w:r w:rsidR="00341825" w:rsidRPr="0061470F">
        <w:rPr>
          <w:lang w:eastAsia="ja-JP"/>
        </w:rPr>
        <w:t xml:space="preserve"> </w:t>
      </w:r>
    </w:p>
    <w:p w14:paraId="31E2C9B4" w14:textId="7DDFF57C" w:rsidR="00096151" w:rsidRPr="0061470F" w:rsidRDefault="006C4940" w:rsidP="002233DF">
      <w:pPr>
        <w:pStyle w:val="puces0"/>
        <w:numPr>
          <w:ilvl w:val="0"/>
          <w:numId w:val="15"/>
        </w:numPr>
        <w:rPr>
          <w:lang w:eastAsia="ja-JP"/>
        </w:rPr>
      </w:pPr>
      <w:r w:rsidRPr="0061470F">
        <w:rPr>
          <w:lang w:eastAsia="ja-JP"/>
        </w:rPr>
        <w:t>Les modifications législatives sont encore trop récentes pour procurer les effets voulus (1/12)</w:t>
      </w:r>
      <w:r w:rsidR="00096151" w:rsidRPr="0061470F">
        <w:rPr>
          <w:lang w:eastAsia="ja-JP"/>
        </w:rPr>
        <w:t>.</w:t>
      </w:r>
    </w:p>
    <w:p w14:paraId="68CA4C9B" w14:textId="77777777" w:rsidR="00955052" w:rsidRDefault="003120FB" w:rsidP="003A1427">
      <w:pPr>
        <w:pStyle w:val="Paragraphe"/>
      </w:pPr>
      <w:r>
        <w:t xml:space="preserve">Il </w:t>
      </w:r>
      <w:r w:rsidR="001D7B09">
        <w:t xml:space="preserve">est par ailleurs intéressant de souligner </w:t>
      </w:r>
      <w:r w:rsidR="00F965BF">
        <w:t xml:space="preserve">que </w:t>
      </w:r>
      <w:r w:rsidR="00EC35BD">
        <w:t xml:space="preserve">le volume d’ordonnances de placement jusqu’à la majorité </w:t>
      </w:r>
      <w:r w:rsidR="00645298">
        <w:t xml:space="preserve">de l’échantillon </w:t>
      </w:r>
      <w:r w:rsidR="00EC35BD">
        <w:t>varie grandement selon les districts judiciaires et ces volumes ne sont pas nécessairement proportionnels avec la taille de la population des municipalités desservies. Par exemple</w:t>
      </w:r>
      <w:r w:rsidR="00955052">
        <w:t> :</w:t>
      </w:r>
    </w:p>
    <w:p w14:paraId="281D07B6" w14:textId="24E3BF74" w:rsidR="00955052" w:rsidRDefault="00CD438E" w:rsidP="00E12CFA">
      <w:pPr>
        <w:pStyle w:val="puces0"/>
      </w:pPr>
      <w:r>
        <w:t>L</w:t>
      </w:r>
      <w:r w:rsidR="00EC35BD">
        <w:t>e district de Montréal arrive au 15</w:t>
      </w:r>
      <w:r w:rsidR="00EC35BD" w:rsidRPr="00692FCA">
        <w:rPr>
          <w:vertAlign w:val="superscript"/>
        </w:rPr>
        <w:t>e</w:t>
      </w:r>
      <w:r w:rsidR="00322ADA">
        <w:t> </w:t>
      </w:r>
      <w:r w:rsidR="00EC35BD">
        <w:t>rang avec 14</w:t>
      </w:r>
      <w:r w:rsidR="00322ADA">
        <w:t> </w:t>
      </w:r>
      <w:r w:rsidR="00EC35BD">
        <w:t>décisions</w:t>
      </w:r>
      <w:r w:rsidR="00170D08">
        <w:t xml:space="preserve"> </w:t>
      </w:r>
      <w:r w:rsidR="00AD7C10">
        <w:t xml:space="preserve">confiant l’enfant </w:t>
      </w:r>
      <w:r w:rsidR="001718F2">
        <w:t>à un</w:t>
      </w:r>
      <w:r w:rsidR="00AD7C10">
        <w:t xml:space="preserve"> milieu de vie substitut jusqu’à la majorité</w:t>
      </w:r>
      <w:r w:rsidR="00220FCC">
        <w:rPr>
          <w:rFonts w:ascii="Arial" w:hAnsi="Arial" w:cs="Arial"/>
        </w:rPr>
        <w:t> </w:t>
      </w:r>
      <w:r w:rsidR="0061470F">
        <w:t>;</w:t>
      </w:r>
      <w:r w:rsidR="00EC35BD">
        <w:t xml:space="preserve"> </w:t>
      </w:r>
    </w:p>
    <w:p w14:paraId="774E3A3C" w14:textId="716FC931" w:rsidR="00C81563" w:rsidRDefault="00EC35BD" w:rsidP="00E12CFA">
      <w:pPr>
        <w:pStyle w:val="puces0"/>
      </w:pPr>
      <w:r>
        <w:lastRenderedPageBreak/>
        <w:t>Des districts desservant des populations de plus faible taille comptent beaucoup de décisions, c’est notamment le cas du district de Drummondville qui se situe au 3</w:t>
      </w:r>
      <w:r w:rsidRPr="00624BDF">
        <w:rPr>
          <w:vertAlign w:val="superscript"/>
        </w:rPr>
        <w:t>e</w:t>
      </w:r>
      <w:r w:rsidR="00322ADA">
        <w:t> </w:t>
      </w:r>
      <w:r>
        <w:t>rang avec 44</w:t>
      </w:r>
      <w:r w:rsidR="00322ADA">
        <w:t> </w:t>
      </w:r>
      <w:r>
        <w:t>décisions</w:t>
      </w:r>
      <w:r w:rsidR="00220FCC">
        <w:rPr>
          <w:rFonts w:ascii="Arial" w:hAnsi="Arial" w:cs="Arial"/>
        </w:rPr>
        <w:t> </w:t>
      </w:r>
      <w:r w:rsidR="0061470F">
        <w:t>;</w:t>
      </w:r>
    </w:p>
    <w:p w14:paraId="29161568" w14:textId="5DE256CF" w:rsidR="00CD438E" w:rsidRDefault="00CD438E" w:rsidP="00E12CFA">
      <w:pPr>
        <w:pStyle w:val="puces0"/>
      </w:pPr>
      <w:r>
        <w:t>L</w:t>
      </w:r>
      <w:r w:rsidR="00EC35BD">
        <w:t xml:space="preserve">e district de Laval ne compte qu’une décision alors qu’il dessert la troisième ville la plus populeuse du Québec. </w:t>
      </w:r>
    </w:p>
    <w:p w14:paraId="24A815E6" w14:textId="56B2998F" w:rsidR="00EC35BD" w:rsidRDefault="00F31907" w:rsidP="003A1427">
      <w:pPr>
        <w:pStyle w:val="Paragraphe"/>
      </w:pPr>
      <w:bookmarkStart w:id="47" w:name="_Ref201069813"/>
      <w:r w:rsidRPr="00F31907">
        <w:t>Bien que les données tirées de la jurisprudence ne permettent pas à elles seules d’expliquer ces disparités régionales, rappelons qu’une récente enquête systémique de la Commission des droits menée dans la région Mauricie–Centre-du-Québec</w:t>
      </w:r>
      <w:r w:rsidR="0085330E">
        <w:rPr>
          <w:rFonts w:ascii="ZWAdobeF" w:hAnsi="ZWAdobeF" w:cs="ZWAdobeF"/>
          <w:sz w:val="2"/>
          <w:szCs w:val="2"/>
        </w:rPr>
        <w:t>90F</w:t>
      </w:r>
      <w:r w:rsidR="009262B1">
        <w:rPr>
          <w:rStyle w:val="Appelnotedebasdep"/>
        </w:rPr>
        <w:footnoteReference w:id="92"/>
      </w:r>
      <w:r w:rsidRPr="00F31907">
        <w:t>, où se trouve Drummondville, a identifié l’existence d’une culture organisationnelle favorisant le placement ou l’adoption. Ceci pourrait fournir une partie d’explication à cette disparité régionale</w:t>
      </w:r>
      <w:bookmarkEnd w:id="47"/>
      <w:r w:rsidR="00EC35BD">
        <w:t>.</w:t>
      </w:r>
    </w:p>
    <w:p w14:paraId="0CDA7E5A" w14:textId="3BD76D5E" w:rsidR="00D8717E" w:rsidRDefault="00110FE2" w:rsidP="003A1427">
      <w:pPr>
        <w:pStyle w:val="Paragraphe"/>
      </w:pPr>
      <w:r>
        <w:t>L</w:t>
      </w:r>
      <w:r w:rsidR="00DA1872">
        <w:t xml:space="preserve">es données sont présentées </w:t>
      </w:r>
      <w:r w:rsidR="00C74F38">
        <w:t xml:space="preserve">sous l’angle </w:t>
      </w:r>
      <w:r w:rsidR="00152517">
        <w:t>des</w:t>
      </w:r>
      <w:r w:rsidR="009C2625">
        <w:t xml:space="preserve"> obligati</w:t>
      </w:r>
      <w:r w:rsidR="008F4365">
        <w:t>ons</w:t>
      </w:r>
      <w:r w:rsidR="00F84408">
        <w:t xml:space="preserve"> </w:t>
      </w:r>
      <w:r w:rsidR="00A40742">
        <w:t xml:space="preserve">prescrites à la </w:t>
      </w:r>
      <w:r w:rsidR="00F84408">
        <w:t>LPJ</w:t>
      </w:r>
      <w:r w:rsidR="00EA7186">
        <w:t>, lesquelles</w:t>
      </w:r>
      <w:r w:rsidR="008F4365">
        <w:t xml:space="preserve"> découlent </w:t>
      </w:r>
      <w:r w:rsidR="00EC35BD">
        <w:t>des droits de l’enfant</w:t>
      </w:r>
      <w:r w:rsidR="00353246">
        <w:t>, incluant le respect de son intérêt</w:t>
      </w:r>
      <w:r w:rsidR="00A602D3">
        <w:t xml:space="preserve">, </w:t>
      </w:r>
      <w:r w:rsidR="009C1C1D">
        <w:t xml:space="preserve">ainsi que </w:t>
      </w:r>
      <w:r w:rsidR="00A602D3">
        <w:t>des droits des parents</w:t>
      </w:r>
      <w:r w:rsidR="00A621BE">
        <w:t xml:space="preserve"> et de</w:t>
      </w:r>
      <w:r w:rsidR="0075563D">
        <w:t xml:space="preserve">s responsabilités </w:t>
      </w:r>
      <w:r w:rsidR="009D0348">
        <w:t>qu’ils ont envers lui</w:t>
      </w:r>
      <w:r w:rsidR="00A602D3">
        <w:t>.</w:t>
      </w:r>
    </w:p>
    <w:p w14:paraId="25A34329" w14:textId="32FDC49B" w:rsidR="00761AB6" w:rsidRPr="00761AB6" w:rsidRDefault="00761AB6" w:rsidP="00F93AC5">
      <w:pPr>
        <w:pStyle w:val="Titre2"/>
        <w:rPr>
          <w:lang w:eastAsia="ja-JP"/>
        </w:rPr>
      </w:pPr>
      <w:bookmarkStart w:id="48" w:name="_Toc201330492"/>
      <w:r>
        <w:rPr>
          <w:lang w:eastAsia="ja-JP"/>
        </w:rPr>
        <w:t>2.1</w:t>
      </w:r>
      <w:r>
        <w:rPr>
          <w:lang w:eastAsia="ja-JP"/>
        </w:rPr>
        <w:tab/>
      </w:r>
      <w:r w:rsidRPr="00761AB6">
        <w:t>Le projet de vie retenu pour l’enfant respecte ses droits et son intérêt</w:t>
      </w:r>
      <w:bookmarkEnd w:id="48"/>
    </w:p>
    <w:p w14:paraId="7755868E" w14:textId="009DE1D2" w:rsidR="00931F55" w:rsidRDefault="004026D5" w:rsidP="00F93AC5">
      <w:pPr>
        <w:pStyle w:val="Titre2"/>
      </w:pPr>
      <w:bookmarkStart w:id="49" w:name="_Toc201330493"/>
      <w:r w:rsidRPr="004026D5">
        <w:t>2.1.1</w:t>
      </w:r>
      <w:r w:rsidRPr="004026D5">
        <w:tab/>
        <w:t>Le projet de vie est dans l’intérêt de l’enfant</w:t>
      </w:r>
      <w:bookmarkEnd w:id="49"/>
    </w:p>
    <w:p w14:paraId="43CF6A78" w14:textId="1CB9DD8A" w:rsidR="000D0514" w:rsidRDefault="000D0514" w:rsidP="003A1427">
      <w:pPr>
        <w:pStyle w:val="Paragraphe"/>
      </w:pPr>
      <w:r>
        <w:t>En matière de protection de la jeunesse, l’intérêt de l’enfant doit être la considération primordiale dans l’application de la loi. Il est d’ailleurs la pierre angulaire des décisions prises à son endroit dans différents contextes</w:t>
      </w:r>
      <w:r w:rsidR="0085330E">
        <w:rPr>
          <w:rFonts w:ascii="ZWAdobeF" w:hAnsi="ZWAdobeF" w:cs="ZWAdobeF"/>
          <w:sz w:val="2"/>
          <w:szCs w:val="2"/>
        </w:rPr>
        <w:t>91F</w:t>
      </w:r>
      <w:r>
        <w:rPr>
          <w:rStyle w:val="Appelnotedebasdep"/>
        </w:rPr>
        <w:footnoteReference w:id="93"/>
      </w:r>
      <w:r>
        <w:t>, particulièrement en matière familiale.</w:t>
      </w:r>
    </w:p>
    <w:p w14:paraId="7CA69F07" w14:textId="2174C1C3" w:rsidR="000D0514" w:rsidRDefault="000D0514" w:rsidP="003A1427">
      <w:pPr>
        <w:pStyle w:val="Paragraphe"/>
      </w:pPr>
      <w:r>
        <w:t>La valeur accordée au principe de l’intérêt de l’enfant est de la même ampleur en droit international</w:t>
      </w:r>
      <w:r w:rsidR="004D1291">
        <w:t xml:space="preserve">. </w:t>
      </w:r>
      <w:r>
        <w:t>Ce principe vise à</w:t>
      </w:r>
      <w:r w:rsidR="005B55B1">
        <w:t xml:space="preserve"> assurer la réalisation complète et effective de tous les droits reconnus dans la CRDE </w:t>
      </w:r>
      <w:r w:rsidR="002E44A4">
        <w:t>ai</w:t>
      </w:r>
      <w:r w:rsidR="00CA77D6">
        <w:t>nsi</w:t>
      </w:r>
      <w:r w:rsidR="005B55B1">
        <w:t xml:space="preserve"> que le développement global de l’enfant</w:t>
      </w:r>
      <w:bookmarkStart w:id="50" w:name="_Ref201318461"/>
      <w:r w:rsidR="0085330E">
        <w:rPr>
          <w:rFonts w:ascii="ZWAdobeF" w:hAnsi="ZWAdobeF" w:cs="ZWAdobeF"/>
          <w:sz w:val="2"/>
          <w:szCs w:val="2"/>
        </w:rPr>
        <w:t>92F</w:t>
      </w:r>
      <w:r w:rsidR="005B55B1">
        <w:rPr>
          <w:rStyle w:val="Appelnotedebasdep"/>
        </w:rPr>
        <w:footnoteReference w:id="94"/>
      </w:r>
      <w:bookmarkEnd w:id="50"/>
      <w:r w:rsidR="005B55B1">
        <w:t>.</w:t>
      </w:r>
    </w:p>
    <w:p w14:paraId="55DA55D7" w14:textId="44B70558" w:rsidR="0055524D" w:rsidRDefault="0055524D" w:rsidP="003A1427">
      <w:pPr>
        <w:pStyle w:val="Paragraphe"/>
      </w:pPr>
      <w:r>
        <w:t xml:space="preserve">La réforme marque un tournant dans l’application du principe de l’intérêt de l’enfant en matière de protection de la jeunesse et l’appréciation des éléments qui le déterminent. Ce changement doit en </w:t>
      </w:r>
      <w:r>
        <w:lastRenderedPageBreak/>
        <w:t>occurrence être appliqué aux situations dans lesquelles le projet de vie envisagé pour l’enfant est de le confier à un milieu de vie substitut jusqu’à la majorité.</w:t>
      </w:r>
    </w:p>
    <w:p w14:paraId="5A321B1A" w14:textId="1964AAF0" w:rsidR="00931F55" w:rsidRDefault="0055524D" w:rsidP="003A1427">
      <w:pPr>
        <w:pStyle w:val="Paragraphe"/>
      </w:pPr>
      <w:r>
        <w:t>Il est désormais très clair que l’intérêt de l’enfant doit prévaloir sur celui de ses parents en cas de conflit dans l’application de la LPJ. Cela est notamment le cas lorsqu’une décision doit être prise au sujet de</w:t>
      </w:r>
      <w:r w:rsidR="00914C42">
        <w:t> </w:t>
      </w:r>
      <w:r>
        <w:t>:</w:t>
      </w:r>
    </w:p>
    <w:p w14:paraId="59EA42F2" w14:textId="1B5901C0" w:rsidR="00CB63D9" w:rsidRDefault="00CB63D9" w:rsidP="00BA3E6E">
      <w:pPr>
        <w:pStyle w:val="puces0"/>
      </w:pPr>
      <w:r>
        <w:t>Son maintien dans son milieu familial (art. 4 al. 1)</w:t>
      </w:r>
      <w:r w:rsidR="00D16B99">
        <w:rPr>
          <w:rFonts w:ascii="Arial" w:hAnsi="Arial" w:cs="Arial"/>
        </w:rPr>
        <w:t> </w:t>
      </w:r>
      <w:r>
        <w:t>;</w:t>
      </w:r>
    </w:p>
    <w:p w14:paraId="0B172698" w14:textId="0DE0CA93" w:rsidR="00CB63D9" w:rsidRDefault="00CB63D9" w:rsidP="00BA3E6E">
      <w:pPr>
        <w:pStyle w:val="puces0"/>
      </w:pPr>
      <w:r>
        <w:t>Son placement chez des personnes qui lui sont les plus significatives (art. 4 al. 2)</w:t>
      </w:r>
      <w:r w:rsidR="00D16B99">
        <w:rPr>
          <w:rFonts w:ascii="Arial" w:hAnsi="Arial" w:cs="Arial"/>
        </w:rPr>
        <w:t> </w:t>
      </w:r>
      <w:r>
        <w:t>;</w:t>
      </w:r>
    </w:p>
    <w:p w14:paraId="12303F2F" w14:textId="7BD8263E" w:rsidR="00CB63D9" w:rsidRDefault="00CB63D9" w:rsidP="00BA3E6E">
      <w:pPr>
        <w:pStyle w:val="puces0"/>
      </w:pPr>
      <w:r>
        <w:t>Son placement dans un même milieu de vie substitut que sa fratrie (art.</w:t>
      </w:r>
      <w:r w:rsidR="00104A0F">
        <w:t> </w:t>
      </w:r>
      <w:r>
        <w:t>4.1)</w:t>
      </w:r>
      <w:r w:rsidR="00D16B99">
        <w:rPr>
          <w:rFonts w:ascii="Arial" w:hAnsi="Arial" w:cs="Arial"/>
        </w:rPr>
        <w:t> </w:t>
      </w:r>
      <w:r>
        <w:t>;</w:t>
      </w:r>
    </w:p>
    <w:p w14:paraId="5FF496C2" w14:textId="692FF53D" w:rsidR="00CB63D9" w:rsidRDefault="00CB63D9" w:rsidP="00BA3E6E">
      <w:pPr>
        <w:pStyle w:val="puces0"/>
      </w:pPr>
      <w:r>
        <w:t>L’implication de ses parents pour les amener ou de les aider à exercer leurs responsabilités parentales (art.</w:t>
      </w:r>
      <w:r w:rsidR="00104A0F">
        <w:t> </w:t>
      </w:r>
      <w:r>
        <w:t>4.2)</w:t>
      </w:r>
      <w:r w:rsidR="00D16B99">
        <w:rPr>
          <w:rFonts w:ascii="Arial" w:hAnsi="Arial" w:cs="Arial"/>
        </w:rPr>
        <w:t> </w:t>
      </w:r>
      <w:r>
        <w:t>;</w:t>
      </w:r>
    </w:p>
    <w:p w14:paraId="615FF198" w14:textId="4D13D2F4" w:rsidR="00931F55" w:rsidRDefault="00CB63D9" w:rsidP="00BA3E6E">
      <w:pPr>
        <w:pStyle w:val="puces0"/>
      </w:pPr>
      <w:r>
        <w:t>La prise en compte de ses désirs pour l’établissement de ses contacts avec les personnes qui lui sont significatives (art.9.1).</w:t>
      </w:r>
    </w:p>
    <w:p w14:paraId="18DA9493" w14:textId="2DC57D93" w:rsidR="00C63E6D" w:rsidRDefault="00FE0BC3" w:rsidP="003A1427">
      <w:pPr>
        <w:pStyle w:val="Paragraphe"/>
      </w:pPr>
      <w:r w:rsidRPr="00FE0BC3">
        <w:t>La détermination de l’intérêt de l’enfant qui est retiré de son milieu familial doit découler d’une évaluation globale de sa situation prenant en considération son histoire personnelle et son projet de vie. La décision retenue au terme de cette démarche doit garantir le bien-être physique et affecti</w:t>
      </w:r>
      <w:bookmarkStart w:id="51" w:name="_Ref201062928"/>
      <w:r w:rsidRPr="00FE0BC3">
        <w:t>f</w:t>
      </w:r>
      <w:bookmarkEnd w:id="51"/>
      <w:r w:rsidRPr="00FE0BC3">
        <w:t xml:space="preserve"> de l’enfant</w:t>
      </w:r>
      <w:bookmarkStart w:id="52" w:name="_Ref200466420"/>
      <w:r w:rsidR="0085330E">
        <w:rPr>
          <w:rFonts w:ascii="ZWAdobeF" w:hAnsi="ZWAdobeF" w:cs="ZWAdobeF"/>
          <w:sz w:val="2"/>
          <w:szCs w:val="2"/>
        </w:rPr>
        <w:t>93F</w:t>
      </w:r>
      <w:r>
        <w:rPr>
          <w:rStyle w:val="Appelnotedebasdep"/>
        </w:rPr>
        <w:footnoteReference w:id="95"/>
      </w:r>
      <w:bookmarkEnd w:id="52"/>
      <w:r w:rsidRPr="00FE0BC3">
        <w:t>. Selon le Comité des droits de l’enfant de l’ONU, dans les situations où la possibilité de séparer un enfant de ses parents est envisagée, il est indispensable d’évaluer et de déterminer l’intérêt supérieur de l’enfant intéressé</w:t>
      </w:r>
      <w:r w:rsidR="0085330E">
        <w:rPr>
          <w:rFonts w:ascii="ZWAdobeF" w:hAnsi="ZWAdobeF" w:cs="ZWAdobeF"/>
          <w:sz w:val="2"/>
          <w:szCs w:val="2"/>
        </w:rPr>
        <w:t>94F</w:t>
      </w:r>
      <w:r>
        <w:rPr>
          <w:rStyle w:val="Appelnotedebasdep"/>
        </w:rPr>
        <w:footnoteReference w:id="96"/>
      </w:r>
      <w:r w:rsidRPr="00FE0BC3">
        <w:t>.</w:t>
      </w:r>
    </w:p>
    <w:p w14:paraId="164DF2EF" w14:textId="22DC5114" w:rsidR="008351F0" w:rsidRDefault="008351F0" w:rsidP="003A1427">
      <w:pPr>
        <w:pStyle w:val="Paragraphe"/>
      </w:pPr>
      <w:r>
        <w:t>Un examen minutieux des circonstances réelles</w:t>
      </w:r>
      <w:r w:rsidR="0085330E">
        <w:rPr>
          <w:rFonts w:ascii="ZWAdobeF" w:hAnsi="ZWAdobeF" w:cs="ZWAdobeF"/>
          <w:sz w:val="2"/>
          <w:szCs w:val="2"/>
        </w:rPr>
        <w:t>95F</w:t>
      </w:r>
      <w:r w:rsidR="00EB4023">
        <w:rPr>
          <w:rStyle w:val="Appelnotedebasdep"/>
        </w:rPr>
        <w:footnoteReference w:id="97"/>
      </w:r>
      <w:r>
        <w:t xml:space="preserve"> dans lesquelles l’enfant vit doit être effectué en suivant trois étapes</w:t>
      </w:r>
      <w:bookmarkStart w:id="53" w:name="_Ref200534848"/>
      <w:r w:rsidR="0085330E">
        <w:rPr>
          <w:rFonts w:ascii="ZWAdobeF" w:hAnsi="ZWAdobeF" w:cs="ZWAdobeF"/>
          <w:sz w:val="2"/>
          <w:szCs w:val="2"/>
        </w:rPr>
        <w:t>96F</w:t>
      </w:r>
      <w:r w:rsidR="001F4447">
        <w:rPr>
          <w:rStyle w:val="Appelnotedebasdep"/>
        </w:rPr>
        <w:footnoteReference w:id="98"/>
      </w:r>
      <w:bookmarkEnd w:id="53"/>
      <w:r w:rsidR="00914C42">
        <w:t> </w:t>
      </w:r>
      <w:r>
        <w:t>:</w:t>
      </w:r>
    </w:p>
    <w:p w14:paraId="476D8155" w14:textId="23EA5003" w:rsidR="008351F0" w:rsidRDefault="008351F0" w:rsidP="002233DF">
      <w:pPr>
        <w:pStyle w:val="Paragraphe"/>
        <w:numPr>
          <w:ilvl w:val="0"/>
          <w:numId w:val="4"/>
        </w:numPr>
      </w:pPr>
      <w:r>
        <w:t>L’identification des besoins de l’enfant</w:t>
      </w:r>
      <w:r w:rsidR="00D16B99">
        <w:rPr>
          <w:rFonts w:ascii="Arial" w:hAnsi="Arial" w:cs="Arial"/>
        </w:rPr>
        <w:t> </w:t>
      </w:r>
      <w:r>
        <w:t>;</w:t>
      </w:r>
    </w:p>
    <w:p w14:paraId="6D0272A4" w14:textId="428AAADD" w:rsidR="00C63E6D" w:rsidRDefault="008351F0" w:rsidP="002233DF">
      <w:pPr>
        <w:pStyle w:val="Paragraphe"/>
        <w:numPr>
          <w:ilvl w:val="0"/>
          <w:numId w:val="4"/>
        </w:numPr>
      </w:pPr>
      <w:r>
        <w:t>La mise en relation des besoins de l’enfant avec les capacités des parents d’y répondre</w:t>
      </w:r>
      <w:r w:rsidR="00D16B99">
        <w:rPr>
          <w:rFonts w:ascii="Arial" w:hAnsi="Arial" w:cs="Arial"/>
        </w:rPr>
        <w:t> </w:t>
      </w:r>
      <w:r>
        <w:t>;</w:t>
      </w:r>
    </w:p>
    <w:p w14:paraId="5489245A" w14:textId="77777777" w:rsidR="001F4447" w:rsidRPr="001F4447" w:rsidRDefault="001F4447" w:rsidP="002233DF">
      <w:pPr>
        <w:pStyle w:val="Paragraphe"/>
        <w:numPr>
          <w:ilvl w:val="0"/>
          <w:numId w:val="4"/>
        </w:numPr>
      </w:pPr>
      <w:r w:rsidRPr="001F4447">
        <w:t>La</w:t>
      </w:r>
      <w:r w:rsidRPr="001F4447">
        <w:rPr>
          <w:spacing w:val="-1"/>
        </w:rPr>
        <w:t xml:space="preserve"> </w:t>
      </w:r>
      <w:r w:rsidRPr="001F4447">
        <w:t>prise</w:t>
      </w:r>
      <w:r w:rsidRPr="001F4447">
        <w:rPr>
          <w:spacing w:val="-3"/>
        </w:rPr>
        <w:t xml:space="preserve"> </w:t>
      </w:r>
      <w:r w:rsidRPr="001F4447">
        <w:t>en</w:t>
      </w:r>
      <w:r w:rsidRPr="001F4447">
        <w:rPr>
          <w:spacing w:val="-1"/>
        </w:rPr>
        <w:t xml:space="preserve"> </w:t>
      </w:r>
      <w:r w:rsidRPr="001F4447">
        <w:t>considération</w:t>
      </w:r>
      <w:r w:rsidRPr="001F4447">
        <w:rPr>
          <w:spacing w:val="-4"/>
        </w:rPr>
        <w:t xml:space="preserve"> </w:t>
      </w:r>
      <w:r w:rsidRPr="001F4447">
        <w:t>pour</w:t>
      </w:r>
      <w:r w:rsidRPr="001F4447">
        <w:rPr>
          <w:spacing w:val="-1"/>
        </w:rPr>
        <w:t xml:space="preserve"> </w:t>
      </w:r>
      <w:r w:rsidRPr="001F4447">
        <w:t>cette</w:t>
      </w:r>
      <w:r w:rsidRPr="001F4447">
        <w:rPr>
          <w:spacing w:val="-3"/>
        </w:rPr>
        <w:t xml:space="preserve"> </w:t>
      </w:r>
      <w:r w:rsidRPr="001F4447">
        <w:t>évaluation</w:t>
      </w:r>
      <w:r w:rsidRPr="001F4447">
        <w:rPr>
          <w:spacing w:val="-2"/>
        </w:rPr>
        <w:t xml:space="preserve"> </w:t>
      </w:r>
      <w:r w:rsidRPr="001F4447">
        <w:t>d’autres</w:t>
      </w:r>
      <w:r w:rsidRPr="001F4447">
        <w:rPr>
          <w:spacing w:val="-4"/>
        </w:rPr>
        <w:t xml:space="preserve"> </w:t>
      </w:r>
      <w:r w:rsidRPr="001F4447">
        <w:t>éléments</w:t>
      </w:r>
      <w:r w:rsidRPr="001F4447">
        <w:rPr>
          <w:spacing w:val="-3"/>
        </w:rPr>
        <w:t xml:space="preserve"> </w:t>
      </w:r>
      <w:r w:rsidRPr="001F4447">
        <w:t>tels</w:t>
      </w:r>
      <w:r w:rsidRPr="001F4447">
        <w:rPr>
          <w:spacing w:val="-3"/>
        </w:rPr>
        <w:t xml:space="preserve"> </w:t>
      </w:r>
      <w:r w:rsidRPr="001F4447">
        <w:t>que</w:t>
      </w:r>
      <w:r w:rsidRPr="001F4447">
        <w:rPr>
          <w:spacing w:val="-1"/>
        </w:rPr>
        <w:t xml:space="preserve"> </w:t>
      </w:r>
      <w:r w:rsidRPr="001F4447">
        <w:t>son</w:t>
      </w:r>
      <w:r w:rsidRPr="001F4447">
        <w:rPr>
          <w:spacing w:val="-3"/>
        </w:rPr>
        <w:t xml:space="preserve"> </w:t>
      </w:r>
      <w:r w:rsidRPr="001F4447">
        <w:t>opinion,</w:t>
      </w:r>
      <w:r w:rsidRPr="001F4447">
        <w:rPr>
          <w:spacing w:val="-1"/>
        </w:rPr>
        <w:t xml:space="preserve"> </w:t>
      </w:r>
      <w:r w:rsidRPr="001F4447">
        <w:t>son</w:t>
      </w:r>
      <w:r w:rsidRPr="001F4447">
        <w:rPr>
          <w:spacing w:val="-3"/>
        </w:rPr>
        <w:t xml:space="preserve"> </w:t>
      </w:r>
      <w:r w:rsidRPr="001F4447">
        <w:t xml:space="preserve">âge, ses caractéristiques personnelles, ses conditions socioéconomiques et son appartenance </w:t>
      </w:r>
      <w:r w:rsidRPr="001F4447">
        <w:rPr>
          <w:spacing w:val="-2"/>
        </w:rPr>
        <w:t>ethnoculturelle.</w:t>
      </w:r>
    </w:p>
    <w:p w14:paraId="4A02B362" w14:textId="3DEE6135" w:rsidR="00C12E88" w:rsidRDefault="00C12E88" w:rsidP="003A1427">
      <w:pPr>
        <w:pStyle w:val="Paragraphe"/>
      </w:pPr>
      <w:r>
        <w:lastRenderedPageBreak/>
        <w:t>L’évaluation de l’intérêt de l’enfant autochtone s’effectue en se fondant sur des critères spécifiques qui s’inscrivent dans une approche holistique</w:t>
      </w:r>
      <w:bookmarkStart w:id="54" w:name="_Ref200618937"/>
      <w:r w:rsidR="0085330E">
        <w:rPr>
          <w:rFonts w:ascii="ZWAdobeF" w:hAnsi="ZWAdobeF" w:cs="ZWAdobeF"/>
          <w:sz w:val="2"/>
          <w:szCs w:val="2"/>
        </w:rPr>
        <w:t>97F</w:t>
      </w:r>
      <w:r w:rsidR="00B128F0">
        <w:rPr>
          <w:rStyle w:val="Appelnotedebasdep"/>
        </w:rPr>
        <w:footnoteReference w:id="99"/>
      </w:r>
      <w:bookmarkEnd w:id="54"/>
      <w:r>
        <w:t>. Différentes facettes de sa situation doivent être prises en compte pour en arriver à une décision, dont les dimensions mentale, physique, émotionnelle et spirituelle</w:t>
      </w:r>
      <w:r w:rsidR="0085330E">
        <w:rPr>
          <w:rFonts w:ascii="ZWAdobeF" w:hAnsi="ZWAdobeF" w:cs="ZWAdobeF"/>
          <w:sz w:val="2"/>
          <w:szCs w:val="2"/>
        </w:rPr>
        <w:t>98F</w:t>
      </w:r>
      <w:r w:rsidR="00B128F0">
        <w:rPr>
          <w:rStyle w:val="Appelnotedebasdep"/>
        </w:rPr>
        <w:footnoteReference w:id="100"/>
      </w:r>
      <w:r>
        <w:t>. L’appréciation de la culture de sa communauté, dont sa langue, sa coutume ses traditions et sa spiritualité, et des liens qui le relient à sa famille élargie et aux personnes de sa communauté constituent le cœur de l’exercice.</w:t>
      </w:r>
    </w:p>
    <w:p w14:paraId="64A88041" w14:textId="7C871AA6" w:rsidR="00C12E88" w:rsidRDefault="00C12E88" w:rsidP="003A1427">
      <w:pPr>
        <w:pStyle w:val="Paragraphe"/>
      </w:pPr>
      <w:r>
        <w:t xml:space="preserve">Il </w:t>
      </w:r>
      <w:r w:rsidR="00ED6B78">
        <w:t>apparait</w:t>
      </w:r>
      <w:r w:rsidR="00CA77D6">
        <w:t xml:space="preserve"> clairement</w:t>
      </w:r>
      <w:r>
        <w:t xml:space="preserve"> des décisions analysées que les juges sont guidés par l’intérêt de l’enfant dans leur prise de décision de le confier à un milieu de vie substitut jusqu’à la majorité. Une quasi-totalité des décisions mentionne que la décision rendue est dans son intérêt (97</w:t>
      </w:r>
      <w:r w:rsidR="009F6EEB">
        <w:t> </w:t>
      </w:r>
      <w:r>
        <w:t xml:space="preserve">%). Elles révèlent par ailleurs </w:t>
      </w:r>
      <w:r w:rsidR="00CA77D6">
        <w:t>les</w:t>
      </w:r>
      <w:r>
        <w:t xml:space="preserve"> éléments </w:t>
      </w:r>
      <w:r w:rsidR="00CA77D6">
        <w:t xml:space="preserve">qui </w:t>
      </w:r>
      <w:r>
        <w:t>sont pris en considération pour déterminer l’intérêt de l’enfant.</w:t>
      </w:r>
    </w:p>
    <w:p w14:paraId="6DA45621" w14:textId="355845CE" w:rsidR="001F4447" w:rsidRDefault="00C12E88" w:rsidP="003A1427">
      <w:pPr>
        <w:pStyle w:val="Paragraphe"/>
      </w:pPr>
      <w:r>
        <w:t xml:space="preserve">L’analyse des décisions retenues ainsi que les réponses fournies par les procureures et procureurs des enfants montrent </w:t>
      </w:r>
      <w:r w:rsidR="006A063C">
        <w:t>plus spécifiquement</w:t>
      </w:r>
      <w:r>
        <w:t xml:space="preserve"> comment la situation de l’enfant est évaluée par les juges.</w:t>
      </w:r>
    </w:p>
    <w:p w14:paraId="0555A501" w14:textId="52A2C6EC" w:rsidR="005A2007" w:rsidRPr="00723553" w:rsidRDefault="00723553" w:rsidP="003A1D08">
      <w:pPr>
        <w:pStyle w:val="Titre5"/>
        <w:tabs>
          <w:tab w:val="clear" w:pos="425"/>
          <w:tab w:val="left" w:pos="426"/>
        </w:tabs>
        <w:ind w:left="426" w:hanging="426"/>
      </w:pPr>
      <w:bookmarkStart w:id="56" w:name="_Toc201330494"/>
      <w:r w:rsidRPr="00723553">
        <w:t>Les besoins de l’enfant sont identifiés</w:t>
      </w:r>
      <w:bookmarkEnd w:id="56"/>
    </w:p>
    <w:p w14:paraId="181E4F6B" w14:textId="0BB6777E" w:rsidR="0073461E" w:rsidRPr="0073461E" w:rsidRDefault="0073461E" w:rsidP="003A1427">
      <w:pPr>
        <w:pStyle w:val="Paragraphe"/>
      </w:pPr>
      <w:r w:rsidRPr="0073461E">
        <w:t>Les besoins de l’enfant sont des éléments prépondérants pris en compte pour l’évaluation de son intérêt.</w:t>
      </w:r>
      <w:r>
        <w:t xml:space="preserve"> </w:t>
      </w:r>
      <w:r w:rsidRPr="0073461E">
        <w:t>Ils sont mentionnés dans 63</w:t>
      </w:r>
      <w:r w:rsidR="009F6EEB">
        <w:t> </w:t>
      </w:r>
      <w:r w:rsidRPr="0073461E">
        <w:t>% des décisions analysées. Ils varient selon l’âge des enfants.</w:t>
      </w:r>
    </w:p>
    <w:p w14:paraId="79499E3C" w14:textId="4E56556D" w:rsidR="0073461E" w:rsidRPr="0073461E" w:rsidRDefault="0073461E" w:rsidP="003A1427">
      <w:pPr>
        <w:pStyle w:val="Paragraphe"/>
      </w:pPr>
      <w:r w:rsidRPr="0073461E">
        <w:t>Le besoin de stabilité de l’enfant est le plus fréquemment évoqué dans les décisions analysées (42</w:t>
      </w:r>
      <w:r w:rsidR="009F6EEB">
        <w:t> </w:t>
      </w:r>
      <w:r w:rsidRPr="0073461E">
        <w:t>%), tous groupes d’âge confondus. Dans le cas des jeunes de 13</w:t>
      </w:r>
      <w:r w:rsidR="00322ADA">
        <w:t> </w:t>
      </w:r>
      <w:r w:rsidRPr="0073461E">
        <w:t xml:space="preserve">ans et plus, c’est cependant le besoin d’encadrement qui </w:t>
      </w:r>
      <w:r w:rsidR="00ED35B7">
        <w:t>apparait</w:t>
      </w:r>
      <w:r w:rsidRPr="0073461E">
        <w:t xml:space="preserve"> le plus souvent, soit dans 37</w:t>
      </w:r>
      <w:r w:rsidR="009F6EEB">
        <w:t> </w:t>
      </w:r>
      <w:r w:rsidRPr="0073461E">
        <w:t>% des décisions analysées. Le besoin d’encadrement est celui qui est globalement le moins mentionné dans les décisions (11</w:t>
      </w:r>
      <w:r w:rsidR="009F6EEB">
        <w:t> </w:t>
      </w:r>
      <w:r w:rsidRPr="0073461E">
        <w:t>%). Il l’est</w:t>
      </w:r>
      <w:r>
        <w:t xml:space="preserve"> </w:t>
      </w:r>
      <w:r w:rsidRPr="0073461E">
        <w:t>d’ailleurs peu ou pas chez les plus jeunes (0</w:t>
      </w:r>
      <w:r w:rsidR="009F6EEB">
        <w:t> </w:t>
      </w:r>
      <w:r w:rsidRPr="0073461E">
        <w:t>% chez les 0 – 24 mois, 7</w:t>
      </w:r>
      <w:r w:rsidR="009F6EEB">
        <w:t> </w:t>
      </w:r>
      <w:r w:rsidRPr="0073461E">
        <w:t>% chez les 2 à 5</w:t>
      </w:r>
      <w:r w:rsidR="00322ADA">
        <w:t> </w:t>
      </w:r>
      <w:r w:rsidRPr="0073461E">
        <w:t>ans, 11</w:t>
      </w:r>
      <w:r w:rsidR="009F6EEB">
        <w:t> </w:t>
      </w:r>
      <w:r w:rsidRPr="0073461E">
        <w:t>% chez les 6 à 12</w:t>
      </w:r>
      <w:r w:rsidR="00322ADA">
        <w:t> </w:t>
      </w:r>
      <w:r w:rsidRPr="0073461E">
        <w:t>ans). Ce besoin est plus fréquemment identifié dans les décisions analysées visant les garçons (60</w:t>
      </w:r>
      <w:r w:rsidR="009F6EEB">
        <w:t> </w:t>
      </w:r>
      <w:r w:rsidRPr="0073461E">
        <w:t>%) que les filles (40</w:t>
      </w:r>
      <w:r w:rsidR="009F6EEB">
        <w:t> </w:t>
      </w:r>
      <w:r w:rsidRPr="0073461E">
        <w:t>%), ce qui en fait celui pour lequel l’écart est le plus grand entre les deux genres.</w:t>
      </w:r>
    </w:p>
    <w:p w14:paraId="5DDE031C" w14:textId="27315188" w:rsidR="005A2007" w:rsidRPr="0073461E" w:rsidRDefault="0073461E" w:rsidP="003A1427">
      <w:pPr>
        <w:pStyle w:val="Paragraphe"/>
      </w:pPr>
      <w:r w:rsidRPr="0073461E">
        <w:t>Le besoin de soins de santé est cité dans 31</w:t>
      </w:r>
      <w:r w:rsidR="009F6EEB">
        <w:t> </w:t>
      </w:r>
      <w:r w:rsidRPr="0073461E">
        <w:t>% des décisions analysées. Il revient de façon relativement</w:t>
      </w:r>
      <w:r>
        <w:t xml:space="preserve"> </w:t>
      </w:r>
      <w:r w:rsidRPr="0073461E">
        <w:t>constante à travers les différents groupes d’âge, la proportion variant entre 21 et 34</w:t>
      </w:r>
      <w:r w:rsidR="009F6EEB">
        <w:t> </w:t>
      </w:r>
      <w:r w:rsidRPr="0073461E">
        <w:t>% des décisions.</w:t>
      </w:r>
    </w:p>
    <w:p w14:paraId="551A2762" w14:textId="06A5DA54" w:rsidR="005A2007" w:rsidRDefault="00832017" w:rsidP="002D1822">
      <w:pPr>
        <w:pStyle w:val="Titre5"/>
        <w:ind w:left="426" w:hanging="426"/>
      </w:pPr>
      <w:bookmarkStart w:id="57" w:name="_Toc201330495"/>
      <w:r w:rsidRPr="00832017">
        <w:t>Les capacités parentales actuelles ou potentielles à répondre aux besoins de l’enfant</w:t>
      </w:r>
      <w:bookmarkEnd w:id="57"/>
    </w:p>
    <w:p w14:paraId="50D63CC6" w14:textId="77777777" w:rsidR="005046D9" w:rsidRDefault="005046D9" w:rsidP="003A1427">
      <w:pPr>
        <w:pStyle w:val="Paragraphe"/>
      </w:pPr>
      <w:r>
        <w:t>Les capacités parentales actuelles ou potentielles à répondre aux besoins de l’enfant au moment de se prononcer sur le projet de vie contribuent dans une large mesure à déterminer si celui-ci est dans son intérêt.</w:t>
      </w:r>
    </w:p>
    <w:p w14:paraId="45E65F1B" w14:textId="16166A37" w:rsidR="005046D9" w:rsidRDefault="005046D9" w:rsidP="003A1427">
      <w:pPr>
        <w:pStyle w:val="Paragraphe"/>
      </w:pPr>
      <w:r>
        <w:lastRenderedPageBreak/>
        <w:t>Plusieurs éléments de la situation parentale contemporaine à cette prise de décision sont notés dans les décisions analysées. Ceux-ci se regroupent en trois catégories</w:t>
      </w:r>
      <w:r w:rsidR="00914C42">
        <w:t> </w:t>
      </w:r>
      <w:r>
        <w:t>: les facteurs personnels, les dynamiques familiales et la situation socioéconomique.</w:t>
      </w:r>
    </w:p>
    <w:p w14:paraId="04C394ED" w14:textId="61249F90" w:rsidR="00D46FF9" w:rsidRDefault="005046D9" w:rsidP="003A1427">
      <w:pPr>
        <w:pStyle w:val="Paragraphe"/>
      </w:pPr>
      <w:r>
        <w:t>Les facteurs personnels des parents sont mentionnés dans 78</w:t>
      </w:r>
      <w:r w:rsidR="009F6EEB">
        <w:t> </w:t>
      </w:r>
      <w:r>
        <w:t>% des décisions, tandis que les dynamiques familiales et la situation socioéconomique le sont respectivement dans 50</w:t>
      </w:r>
      <w:r w:rsidR="009F6EEB">
        <w:t> </w:t>
      </w:r>
      <w:r>
        <w:t>% et 31</w:t>
      </w:r>
      <w:r w:rsidR="009F6EEB">
        <w:t> </w:t>
      </w:r>
      <w:r>
        <w:t>% des décisions.</w:t>
      </w:r>
    </w:p>
    <w:p w14:paraId="727E8812" w14:textId="77777777" w:rsidR="00EE25CD" w:rsidRDefault="00EE25CD" w:rsidP="00F93AC5">
      <w:pPr>
        <w:pStyle w:val="Titre4"/>
      </w:pPr>
      <w:bookmarkStart w:id="58" w:name="_Toc201330496"/>
      <w:r>
        <w:t>Les</w:t>
      </w:r>
      <w:r>
        <w:rPr>
          <w:spacing w:val="-4"/>
        </w:rPr>
        <w:t xml:space="preserve"> </w:t>
      </w:r>
      <w:r>
        <w:t>facteurs</w:t>
      </w:r>
      <w:r>
        <w:rPr>
          <w:spacing w:val="-3"/>
        </w:rPr>
        <w:t xml:space="preserve"> </w:t>
      </w:r>
      <w:r>
        <w:rPr>
          <w:spacing w:val="-2"/>
        </w:rPr>
        <w:t>personnels</w:t>
      </w:r>
      <w:bookmarkEnd w:id="58"/>
    </w:p>
    <w:p w14:paraId="332C667E" w14:textId="567AD333" w:rsidR="00874976" w:rsidRDefault="00180B51" w:rsidP="00F8472D">
      <w:pPr>
        <w:pStyle w:val="Paragraphe"/>
        <w:jc w:val="center"/>
      </w:pPr>
      <w:r>
        <w:rPr>
          <w:noProof/>
        </w:rPr>
        <w:drawing>
          <wp:inline distT="0" distB="0" distL="0" distR="0" wp14:anchorId="2012E79A" wp14:editId="53192213">
            <wp:extent cx="6283570" cy="3414395"/>
            <wp:effectExtent l="0" t="0" r="3175" b="14605"/>
            <wp:docPr id="7929710" name="Graphique 1" descr="P573#yIS1">
              <a:extLst xmlns:a="http://schemas.openxmlformats.org/drawingml/2006/main">
                <a:ext uri="{FF2B5EF4-FFF2-40B4-BE49-F238E27FC236}">
                  <a16:creationId xmlns:a16="http://schemas.microsoft.com/office/drawing/2014/main" id="{B7F3BB96-75DC-4CDB-B183-2D0E54A0BA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BEFE092" w14:textId="04961781" w:rsidR="00874976" w:rsidRDefault="00237625" w:rsidP="003A1427">
      <w:pPr>
        <w:pStyle w:val="Paragraphe"/>
      </w:pPr>
      <w:r>
        <w:t>Comment le montre le graphique</w:t>
      </w:r>
      <w:r w:rsidR="00104A0F">
        <w:t> </w:t>
      </w:r>
      <w:r>
        <w:t>1, les problèmes de santé mentale et les dépendances à l’alcool et aux drogues sont les deux facteurs personnels qui sont le plus fréquemment mentionnés, soit dans</w:t>
      </w:r>
      <w:r w:rsidR="004E6FA6">
        <w:t xml:space="preserve"> respectivement 44</w:t>
      </w:r>
      <w:r w:rsidR="009F6EEB">
        <w:t> </w:t>
      </w:r>
      <w:r w:rsidR="004E6FA6">
        <w:t>% et 40</w:t>
      </w:r>
      <w:r w:rsidR="009F6EEB">
        <w:t> </w:t>
      </w:r>
      <w:r w:rsidR="004E6FA6">
        <w:t>% des décisions analysées. Chez les pères toutefois, l’instabilité émotionnelle arrive au premier rang (22</w:t>
      </w:r>
      <w:r w:rsidR="009F6EEB">
        <w:t> </w:t>
      </w:r>
      <w:r w:rsidR="004E6FA6">
        <w:t>%).</w:t>
      </w:r>
    </w:p>
    <w:p w14:paraId="74C60AED" w14:textId="52C7667B" w:rsidR="00874976" w:rsidRDefault="008760EC" w:rsidP="003A1427">
      <w:pPr>
        <w:pStyle w:val="Paragraphe"/>
      </w:pPr>
      <w:r>
        <w:t>Davantage de décisions font mention de facteurs personnels concernant la mère (70</w:t>
      </w:r>
      <w:r w:rsidR="009F6EEB">
        <w:t> </w:t>
      </w:r>
      <w:r>
        <w:t>%) que le père (46</w:t>
      </w:r>
      <w:r w:rsidR="009F6EEB">
        <w:t> </w:t>
      </w:r>
      <w:r>
        <w:t>%). Cela doit toutefois être mis en perspective avec le fait que 11</w:t>
      </w:r>
      <w:r w:rsidR="009F6EEB">
        <w:t> </w:t>
      </w:r>
      <w:r>
        <w:t>% des décisions font état de l’absence du père, ce qui pourrait expliquer en partie l’écart observé. La situation du père est plus fréquemment relevée uniquement lorsqu’il est question d’un parent incarcéré ou de l’attente d’une décision en matière criminelle, soit pour 8</w:t>
      </w:r>
      <w:r w:rsidR="009F6EEB">
        <w:t> </w:t>
      </w:r>
      <w:r>
        <w:t>% des décisions.</w:t>
      </w:r>
    </w:p>
    <w:p w14:paraId="588602D4" w14:textId="77777777" w:rsidR="0061597E" w:rsidRDefault="0061597E" w:rsidP="003A1427">
      <w:pPr>
        <w:pStyle w:val="Paragraphe"/>
      </w:pPr>
    </w:p>
    <w:p w14:paraId="6EDE3E1A" w14:textId="6EE01B7D" w:rsidR="00927F6E" w:rsidRDefault="00927F6E" w:rsidP="00F93AC5">
      <w:pPr>
        <w:pStyle w:val="Titre4"/>
      </w:pPr>
      <w:bookmarkStart w:id="59" w:name="_Toc201330497"/>
      <w:r>
        <w:lastRenderedPageBreak/>
        <w:t>Les</w:t>
      </w:r>
      <w:r>
        <w:rPr>
          <w:spacing w:val="-4"/>
        </w:rPr>
        <w:t xml:space="preserve"> </w:t>
      </w:r>
      <w:r>
        <w:t>dynamiques familiales</w:t>
      </w:r>
      <w:bookmarkEnd w:id="59"/>
    </w:p>
    <w:p w14:paraId="2664E9AA" w14:textId="3E021692" w:rsidR="00874976" w:rsidRDefault="00D00D38" w:rsidP="0061597E">
      <w:pPr>
        <w:pStyle w:val="Paragraphe"/>
        <w:jc w:val="center"/>
      </w:pPr>
      <w:r w:rsidRPr="00756AB4">
        <w:rPr>
          <w:noProof/>
        </w:rPr>
        <w:drawing>
          <wp:inline distT="0" distB="0" distL="0" distR="0" wp14:anchorId="2A06AE85" wp14:editId="412AE867">
            <wp:extent cx="6032989" cy="3341077"/>
            <wp:effectExtent l="0" t="0" r="6350" b="12065"/>
            <wp:docPr id="797304141" name="Graphique 1" descr="P578#yIS1">
              <a:extLst xmlns:a="http://schemas.openxmlformats.org/drawingml/2006/main">
                <a:ext uri="{FF2B5EF4-FFF2-40B4-BE49-F238E27FC236}">
                  <a16:creationId xmlns:a16="http://schemas.microsoft.com/office/drawing/2014/main" id="{89EF8279-EF9C-44DE-817F-C9C69371D1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BE8C1D1" w14:textId="77777777" w:rsidR="00C50345" w:rsidRPr="00C50345" w:rsidRDefault="00C50345" w:rsidP="00F93AC5">
      <w:pPr>
        <w:pStyle w:val="Titre4"/>
      </w:pPr>
      <w:bookmarkStart w:id="60" w:name="_Toc201330498"/>
      <w:r w:rsidRPr="00C50345">
        <w:t>La situation socioéconomique</w:t>
      </w:r>
      <w:bookmarkEnd w:id="60"/>
    </w:p>
    <w:p w14:paraId="3A85BD1B" w14:textId="48984483" w:rsidR="00874976" w:rsidRDefault="00424210" w:rsidP="0061597E">
      <w:pPr>
        <w:pStyle w:val="Paragraphe"/>
        <w:jc w:val="center"/>
      </w:pPr>
      <w:r w:rsidRPr="00CA5BB0">
        <w:rPr>
          <w:noProof/>
        </w:rPr>
        <w:drawing>
          <wp:inline distT="0" distB="0" distL="0" distR="0" wp14:anchorId="14894443" wp14:editId="3B7BAF6F">
            <wp:extent cx="5917553" cy="2777490"/>
            <wp:effectExtent l="0" t="0" r="7620" b="3810"/>
            <wp:docPr id="536095259" name="Graphique 1" descr="P580#yIS1">
              <a:extLst xmlns:a="http://schemas.openxmlformats.org/drawingml/2006/main">
                <a:ext uri="{FF2B5EF4-FFF2-40B4-BE49-F238E27FC236}">
                  <a16:creationId xmlns:a16="http://schemas.microsoft.com/office/drawing/2014/main" id="{042933E1-FC81-416A-AE7A-F140027BAE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F49DD49" w14:textId="71D6FA65" w:rsidR="00874976" w:rsidRDefault="00EF2214" w:rsidP="003A1427">
      <w:pPr>
        <w:pStyle w:val="Paragraphe"/>
      </w:pPr>
      <w:r>
        <w:t>Parmi les facteurs liés à la situation socioéconomique des parents, celui de l’instabilité résidentielle (24</w:t>
      </w:r>
      <w:r w:rsidR="009F6EEB">
        <w:t> </w:t>
      </w:r>
      <w:r>
        <w:t>%) et l’absence ou l’instabilité de l’emploi (13</w:t>
      </w:r>
      <w:r w:rsidR="009F6EEB">
        <w:t> </w:t>
      </w:r>
      <w:r>
        <w:t xml:space="preserve">%) sont ceux qui sont les plus fréquemment cités dans les décisions analysées. Dans les deux cas, ces facteurs sont davantage mentionnés en lien avec la </w:t>
      </w:r>
      <w:r>
        <w:lastRenderedPageBreak/>
        <w:t>mère. Il en est ainsi du facteur «</w:t>
      </w:r>
      <w:r w:rsidR="00D16B99">
        <w:rPr>
          <w:rFonts w:ascii="Arial" w:hAnsi="Arial" w:cs="Arial"/>
        </w:rPr>
        <w:t> </w:t>
      </w:r>
      <w:r>
        <w:t>instabilité résidentielle d’un parent</w:t>
      </w:r>
      <w:r w:rsidR="00D16B99">
        <w:rPr>
          <w:rFonts w:ascii="Arial" w:hAnsi="Arial" w:cs="Arial"/>
        </w:rPr>
        <w:t> </w:t>
      </w:r>
      <w:r>
        <w:t>» qui est inscrit dans 121</w:t>
      </w:r>
      <w:r w:rsidR="00322ADA">
        <w:t> </w:t>
      </w:r>
      <w:r>
        <w:t>décisions analysées, dont 102 concernent les mères (84</w:t>
      </w:r>
      <w:r w:rsidR="009F6EEB">
        <w:t> </w:t>
      </w:r>
      <w:r>
        <w:t>%) et 48 les pères (40</w:t>
      </w:r>
      <w:r w:rsidR="009F6EEB">
        <w:t> </w:t>
      </w:r>
      <w:r>
        <w:t>%).</w:t>
      </w:r>
    </w:p>
    <w:p w14:paraId="299C9FEE" w14:textId="77777777" w:rsidR="00847640" w:rsidRPr="00847640" w:rsidRDefault="00847640" w:rsidP="00F93AC5">
      <w:pPr>
        <w:pStyle w:val="Titre4"/>
      </w:pPr>
      <w:bookmarkStart w:id="61" w:name="_Toc201330499"/>
      <w:r w:rsidRPr="00847640">
        <w:t>Les motifs pour lesquels la sécurité ou le développement est compromis</w:t>
      </w:r>
      <w:bookmarkEnd w:id="61"/>
    </w:p>
    <w:p w14:paraId="409B27ED" w14:textId="1428A294" w:rsidR="00CB5364" w:rsidRDefault="00CB5364" w:rsidP="003A1427">
      <w:pPr>
        <w:pStyle w:val="Paragraphe"/>
      </w:pPr>
      <w:r>
        <w:t>Dans leurs décisions, les juges retiennent de même différents motifs pour déclarer que la sécurité ou le développement de l’enfant est compromis au moment de le confier à un milieu de vie substitut. Ces motifs de compromission sont un autre indice de l’appréciation faite par les juges des capacités actuelles ou potentielles des parents à répondre aux besoins de l’enfant.</w:t>
      </w:r>
    </w:p>
    <w:p w14:paraId="25A65052" w14:textId="1A6A98EB" w:rsidR="00874976" w:rsidRDefault="00CB5364" w:rsidP="003A1427">
      <w:pPr>
        <w:pStyle w:val="Paragraphe"/>
      </w:pPr>
      <w:r>
        <w:t>Dans un tiers des décisions analysées, il n’y a qu’un motif de compromission. Dans un autre tiers, il y en a deux, tandis que dans un dernier tiers, il y en a trois ou quatre. Quelques décisions font quant à elles état de cinq ou six motifs de compromission</w:t>
      </w:r>
      <w:r w:rsidR="00887E6B">
        <w:t>.</w:t>
      </w:r>
    </w:p>
    <w:p w14:paraId="48617136" w14:textId="45AE3E6B" w:rsidR="00874976" w:rsidRDefault="00C510AB" w:rsidP="002A291D">
      <w:pPr>
        <w:pStyle w:val="Paragraphe"/>
        <w:jc w:val="center"/>
      </w:pPr>
      <w:r>
        <w:rPr>
          <w:noProof/>
        </w:rPr>
        <w:drawing>
          <wp:inline distT="0" distB="0" distL="0" distR="0" wp14:anchorId="489D5AEC" wp14:editId="12F3EAAD">
            <wp:extent cx="6307016" cy="3834130"/>
            <wp:effectExtent l="0" t="0" r="17780" b="13970"/>
            <wp:docPr id="1700299549" name="Graphique 1" descr="P585#yIS1">
              <a:extLst xmlns:a="http://schemas.openxmlformats.org/drawingml/2006/main">
                <a:ext uri="{FF2B5EF4-FFF2-40B4-BE49-F238E27FC236}">
                  <a16:creationId xmlns:a16="http://schemas.microsoft.com/office/drawing/2014/main" id="{02D94915-EF13-2543-4180-FE41BE6E1D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3C56438" w14:textId="49C84661" w:rsidR="00643D08" w:rsidRDefault="00643D08" w:rsidP="003A1427">
      <w:pPr>
        <w:pStyle w:val="Paragraphe"/>
      </w:pPr>
      <w:r>
        <w:t>Comme on peut le voir au graphique</w:t>
      </w:r>
      <w:r w:rsidR="00104A0F">
        <w:t> </w:t>
      </w:r>
      <w:r>
        <w:t>4, de façon globale, les deux principaux motifs de compromission sont le risque sérieux de négligence et la négligence sur le plan éducatif, chacun étant mentionné dans environ une décision analysée sur deux. Suivent les mauvais traitements psychologiques qui concernent plus du tiers des décisions (36</w:t>
      </w:r>
      <w:r w:rsidR="009F6EEB">
        <w:t> </w:t>
      </w:r>
      <w:r>
        <w:t>%), ainsi que différentes autres formes de négligence — sur les plans physiques (28</w:t>
      </w:r>
      <w:r w:rsidR="009F6EEB">
        <w:t> </w:t>
      </w:r>
      <w:r>
        <w:t>%) et de la santé (13</w:t>
      </w:r>
      <w:r w:rsidR="009F6EEB">
        <w:t> </w:t>
      </w:r>
      <w:r>
        <w:t>%).</w:t>
      </w:r>
    </w:p>
    <w:p w14:paraId="0DBC539A" w14:textId="04C0CFCF" w:rsidR="00EF2214" w:rsidRDefault="00643D08" w:rsidP="003A1427">
      <w:pPr>
        <w:pStyle w:val="Paragraphe"/>
      </w:pPr>
      <w:r>
        <w:lastRenderedPageBreak/>
        <w:t>Le risque sérieux de négligence requiert une preuve démontrant la probabilité que l’enfant soit victime de négligence dans l’avenir</w:t>
      </w:r>
      <w:r w:rsidR="0085330E">
        <w:rPr>
          <w:rFonts w:ascii="ZWAdobeF" w:hAnsi="ZWAdobeF" w:cs="ZWAdobeF"/>
          <w:sz w:val="2"/>
          <w:szCs w:val="2"/>
        </w:rPr>
        <w:t>99F</w:t>
      </w:r>
      <w:r>
        <w:rPr>
          <w:rStyle w:val="Appelnotedebasdep"/>
        </w:rPr>
        <w:footnoteReference w:id="101"/>
      </w:r>
      <w:r>
        <w:t>. Le risque doit être sérieux et l’enfant doit souffrir de la négligence</w:t>
      </w:r>
      <w:r w:rsidR="0085330E">
        <w:rPr>
          <w:rFonts w:ascii="ZWAdobeF" w:hAnsi="ZWAdobeF" w:cs="ZWAdobeF"/>
          <w:sz w:val="2"/>
          <w:szCs w:val="2"/>
        </w:rPr>
        <w:t>100F</w:t>
      </w:r>
      <w:r w:rsidR="00EB4023">
        <w:rPr>
          <w:rStyle w:val="Appelnotedebasdep"/>
        </w:rPr>
        <w:footnoteReference w:id="102"/>
      </w:r>
      <w:r>
        <w:t>.</w:t>
      </w:r>
    </w:p>
    <w:p w14:paraId="08B0158B" w14:textId="73F0E5AE" w:rsidR="00EF2214" w:rsidRDefault="00137C8F" w:rsidP="003A1427">
      <w:pPr>
        <w:pStyle w:val="Paragraphe"/>
      </w:pPr>
      <w:r w:rsidRPr="00137C8F">
        <w:t>La négligence sur le plan éducatif renvoie aux acquis que chaque enfant devrait avoir, soit lire, écrire et compter</w:t>
      </w:r>
      <w:r w:rsidR="0085330E">
        <w:rPr>
          <w:rFonts w:ascii="ZWAdobeF" w:hAnsi="ZWAdobeF" w:cs="ZWAdobeF"/>
          <w:sz w:val="2"/>
          <w:szCs w:val="2"/>
        </w:rPr>
        <w:t>101F</w:t>
      </w:r>
      <w:r>
        <w:rPr>
          <w:rStyle w:val="Appelnotedebasdep"/>
        </w:rPr>
        <w:footnoteReference w:id="103"/>
      </w:r>
      <w:r w:rsidRPr="00137C8F">
        <w:t>. Elle peut survenir si les parents font défaut de surveiller l’enfant, de l’encadrer de façon appropriée ou s’ils ne prennent pas les moyens pour assurer sa scolarisation.</w:t>
      </w:r>
    </w:p>
    <w:p w14:paraId="6EBE1805" w14:textId="7BA827DD" w:rsidR="00EF2214" w:rsidRDefault="009A68B5" w:rsidP="003A1427">
      <w:pPr>
        <w:pStyle w:val="Paragraphe"/>
      </w:pPr>
      <w:r w:rsidRPr="009A68B5">
        <w:t>Les mauvais traitements psychologiques réfèrent aux atteintes à la stabilité affective de l’enfant. L’indifférence, le dénigrement, le contrôle excessif, l’isolement, les menaces, le rejet affectif et l’aliénation parentale en sont des illustrations</w:t>
      </w:r>
      <w:r w:rsidR="0085330E">
        <w:rPr>
          <w:rFonts w:ascii="ZWAdobeF" w:hAnsi="ZWAdobeF" w:cs="ZWAdobeF"/>
          <w:sz w:val="2"/>
          <w:szCs w:val="2"/>
        </w:rPr>
        <w:t>102F</w:t>
      </w:r>
      <w:r>
        <w:rPr>
          <w:rStyle w:val="Appelnotedebasdep"/>
        </w:rPr>
        <w:footnoteReference w:id="104"/>
      </w:r>
      <w:r w:rsidRPr="009A68B5">
        <w:t>.</w:t>
      </w:r>
    </w:p>
    <w:p w14:paraId="3DA13ED6" w14:textId="7D0E3999" w:rsidR="00BE450B" w:rsidRDefault="00BE450B" w:rsidP="003A1427">
      <w:pPr>
        <w:pStyle w:val="Paragraphe"/>
      </w:pPr>
      <w:r>
        <w:t>Environ une décision sur dix fait mention d’un abus ou d’un risque d’abus physique ou sexuel. Plus précisément, 3</w:t>
      </w:r>
      <w:r w:rsidR="009F6EEB">
        <w:t> </w:t>
      </w:r>
      <w:r>
        <w:t>% des décisions analysées rapportent que l’enfant a subi des abus sexuels. Cette notion inclut les gestes à caractère sexuel, avec ou sans contact physique, ainsi que toute forme d’exploitation sexuelle</w:t>
      </w:r>
      <w:r w:rsidR="0085330E">
        <w:rPr>
          <w:rFonts w:ascii="ZWAdobeF" w:hAnsi="ZWAdobeF" w:cs="ZWAdobeF"/>
          <w:sz w:val="2"/>
          <w:szCs w:val="2"/>
        </w:rPr>
        <w:t>103F</w:t>
      </w:r>
      <w:r>
        <w:rPr>
          <w:rStyle w:val="Appelnotedebasdep"/>
        </w:rPr>
        <w:footnoteReference w:id="105"/>
      </w:r>
      <w:r>
        <w:t>. L’abus physique englobe pour sa part les sévices corporels et les méthodes éducatives déraisonnables.</w:t>
      </w:r>
    </w:p>
    <w:p w14:paraId="2C3A6CED" w14:textId="36983F10" w:rsidR="00EF2214" w:rsidRDefault="00BE450B" w:rsidP="003A1427">
      <w:pPr>
        <w:pStyle w:val="Paragraphe"/>
      </w:pPr>
      <w:r>
        <w:t>Les pourcentages de filles et de garçons concernés par les différents motifs de compromission sont très similaires, l’écart variant au plus de 4</w:t>
      </w:r>
      <w:r w:rsidR="009F6EEB">
        <w:t> </w:t>
      </w:r>
      <w:r>
        <w:t>%.</w:t>
      </w:r>
    </w:p>
    <w:p w14:paraId="18F4C052" w14:textId="30B661D5" w:rsidR="00EF2214" w:rsidRDefault="004C0525" w:rsidP="002A291D">
      <w:pPr>
        <w:pStyle w:val="Paragraphe"/>
        <w:jc w:val="center"/>
      </w:pPr>
      <w:r w:rsidRPr="00FD18AA">
        <w:rPr>
          <w:noProof/>
        </w:rPr>
        <w:lastRenderedPageBreak/>
        <w:drawing>
          <wp:inline distT="0" distB="0" distL="0" distR="0" wp14:anchorId="5B5C76ED" wp14:editId="7895CF67">
            <wp:extent cx="6207370" cy="3487616"/>
            <wp:effectExtent l="0" t="0" r="3175" b="17780"/>
            <wp:docPr id="233988359" name="Graphique 1" descr="P592#yIS1">
              <a:extLst xmlns:a="http://schemas.openxmlformats.org/drawingml/2006/main">
                <a:ext uri="{FF2B5EF4-FFF2-40B4-BE49-F238E27FC236}">
                  <a16:creationId xmlns:a16="http://schemas.microsoft.com/office/drawing/2014/main" id="{DDA0F8A7-B713-23C3-B55E-18DCC3386C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2CEC970" w14:textId="320AD9CF" w:rsidR="00EF2214" w:rsidRDefault="00755C77" w:rsidP="003A1427">
      <w:pPr>
        <w:pStyle w:val="Paragraphe"/>
      </w:pPr>
      <w:r w:rsidRPr="00755C77">
        <w:t>Les motifs de compromission retenus dans les décisions analysées diffèrent selon l’âge de l’enfant.</w:t>
      </w:r>
    </w:p>
    <w:p w14:paraId="61616C5A" w14:textId="3BD634B8" w:rsidR="00BE450B" w:rsidRDefault="006D05AA" w:rsidP="003A1427">
      <w:pPr>
        <w:pStyle w:val="Paragraphe"/>
      </w:pPr>
      <w:r w:rsidRPr="006D05AA">
        <w:t>Dans les décisions concernant des enfants de 0 à 23</w:t>
      </w:r>
      <w:r w:rsidR="00322ADA">
        <w:t> </w:t>
      </w:r>
      <w:r w:rsidRPr="006D05AA">
        <w:t>mois, le risque sérieux de négligence est de loin le motif de compromission le plus fréquent, étant présent dans les trois quarts des jugements (74</w:t>
      </w:r>
      <w:r w:rsidR="009F6EEB">
        <w:t> </w:t>
      </w:r>
      <w:r w:rsidRPr="006D05AA">
        <w:t>%). Bien que d’autres motifs puissent aussi être présents, les décisions visant des enfants appartenant à ce</w:t>
      </w:r>
      <w:r>
        <w:t xml:space="preserve"> </w:t>
      </w:r>
      <w:r w:rsidR="00BB329C" w:rsidRPr="00BB329C">
        <w:t>groupe d’âge semblent davantage susceptibles d’être préoccupées par un risque, soit par ce qui pourrait advenir de l’enfant quand il grandira</w:t>
      </w:r>
      <w:r w:rsidR="00BB329C">
        <w:t>.</w:t>
      </w:r>
    </w:p>
    <w:p w14:paraId="1ACE2A20" w14:textId="65936E2F" w:rsidR="00DA219E" w:rsidRDefault="00DA219E" w:rsidP="003A1427">
      <w:pPr>
        <w:pStyle w:val="Paragraphe"/>
      </w:pPr>
      <w:r>
        <w:t>Quant aux décisions concernant des enfants âgés de 2 à 5</w:t>
      </w:r>
      <w:r w:rsidR="00322ADA">
        <w:t> </w:t>
      </w:r>
      <w:r>
        <w:t>ans, le risque sérieux de négligence reste le plus fréquent (53</w:t>
      </w:r>
      <w:r w:rsidR="009F6EEB">
        <w:t> </w:t>
      </w:r>
      <w:r>
        <w:t>%), mais la négligence sur le plan éducatif suit de près (46</w:t>
      </w:r>
      <w:r w:rsidR="009F6EEB">
        <w:t> </w:t>
      </w:r>
      <w:r>
        <w:t>%), suivie des mauvais traitements psychologiques (36</w:t>
      </w:r>
      <w:r w:rsidR="009F6EEB">
        <w:t> </w:t>
      </w:r>
      <w:r>
        <w:t>%) et de la négligence sur le plan physique (26</w:t>
      </w:r>
      <w:r w:rsidR="009F6EEB">
        <w:t> </w:t>
      </w:r>
      <w:r>
        <w:t>%).</w:t>
      </w:r>
    </w:p>
    <w:p w14:paraId="7232C00D" w14:textId="77777777" w:rsidR="00DA219E" w:rsidRDefault="00DA219E" w:rsidP="003A1427">
      <w:pPr>
        <w:pStyle w:val="Paragraphe"/>
      </w:pPr>
      <w:r>
        <w:t>D’ailleurs, plus l’âge augmente, plus la proportion de décisions faisant état d’un risque sérieux de négligence diminue pour céder la place aux mauvais traitements psychologiques et à différentes formes de négligence, notamment.</w:t>
      </w:r>
    </w:p>
    <w:p w14:paraId="382BB4D9" w14:textId="760E9090" w:rsidR="00BE450B" w:rsidRDefault="00DA219E" w:rsidP="003A1427">
      <w:pPr>
        <w:pStyle w:val="Paragraphe"/>
      </w:pPr>
      <w:r>
        <w:t>Dans les décisions visant des enfants de plus de 6</w:t>
      </w:r>
      <w:r w:rsidR="00322ADA">
        <w:t> </w:t>
      </w:r>
      <w:r>
        <w:t>ans, la négligence sur le plan éducatif arrive au premier rang, atteignant 60</w:t>
      </w:r>
      <w:r w:rsidR="009F6EEB">
        <w:t> </w:t>
      </w:r>
      <w:r>
        <w:t>% des décisions sur les 6 à 12</w:t>
      </w:r>
      <w:r w:rsidR="00322ADA">
        <w:t> </w:t>
      </w:r>
      <w:r>
        <w:t>ans.</w:t>
      </w:r>
    </w:p>
    <w:p w14:paraId="1EFA253A" w14:textId="77777777" w:rsidR="00D423CD" w:rsidRDefault="00D423CD" w:rsidP="008A6A28">
      <w:pPr>
        <w:pStyle w:val="Paragraphe"/>
        <w:rPr>
          <w:noProof/>
          <w:lang w:eastAsia="fr-CA"/>
        </w:rPr>
      </w:pPr>
      <w:bookmarkStart w:id="62" w:name="_Toc201330500"/>
      <w:r>
        <w:br w:type="page"/>
      </w:r>
    </w:p>
    <w:p w14:paraId="6045D81B" w14:textId="47A4F93B" w:rsidR="00BE450B" w:rsidRDefault="00662754" w:rsidP="00F93AC5">
      <w:pPr>
        <w:pStyle w:val="Titre2"/>
      </w:pPr>
      <w:r>
        <w:lastRenderedPageBreak/>
        <w:t>2.1.</w:t>
      </w:r>
      <w:r w:rsidR="00871E87">
        <w:t>2</w:t>
      </w:r>
      <w:r>
        <w:tab/>
      </w:r>
      <w:r w:rsidR="00813F20" w:rsidRPr="00813F20">
        <w:t>Les autres éléments pour évaluer l’intérêt de l’enfant sont pris en compte</w:t>
      </w:r>
      <w:bookmarkEnd w:id="62"/>
    </w:p>
    <w:p w14:paraId="155FC1ED" w14:textId="77777777" w:rsidR="005B39B2" w:rsidRPr="005B39B2" w:rsidRDefault="005B39B2" w:rsidP="003A1427">
      <w:pPr>
        <w:pStyle w:val="Paragraphe"/>
      </w:pPr>
      <w:r w:rsidRPr="005B39B2">
        <w:t>Certaines caractéristiques personnelles de l’enfant sont mentionnées dans les décisions analysées. Sans connaître si elles ont contribué à évaluer son intérêt à le confier à un milieu de vie substitut jusqu’à la majorité, elles permettent néanmoins d’avoir des indications sur le profil des enfants visés par ce type de projet de vie.</w:t>
      </w:r>
    </w:p>
    <w:p w14:paraId="159F4AFC" w14:textId="77777777" w:rsidR="005B39B2" w:rsidRPr="005B39B2" w:rsidRDefault="005B39B2" w:rsidP="003A1427">
      <w:pPr>
        <w:pStyle w:val="Paragraphe"/>
      </w:pPr>
      <w:r w:rsidRPr="005B39B2">
        <w:t>Les décisions analysées concernent des filles et des garçons à parts égales.</w:t>
      </w:r>
    </w:p>
    <w:p w14:paraId="1B0C6DA1" w14:textId="57A42212" w:rsidR="005B39B2" w:rsidRPr="005B39B2" w:rsidRDefault="005B39B2" w:rsidP="003A1427">
      <w:pPr>
        <w:pStyle w:val="Paragraphe"/>
      </w:pPr>
      <w:r w:rsidRPr="005B39B2">
        <w:t xml:space="preserve">Deux groupes d’âge sont davantage confiés </w:t>
      </w:r>
      <w:r w:rsidR="001718F2">
        <w:t>à un</w:t>
      </w:r>
      <w:r w:rsidRPr="005B39B2">
        <w:t xml:space="preserve"> milieu de vie substitut jusqu’à la majorité</w:t>
      </w:r>
      <w:r w:rsidR="00914C42">
        <w:t> </w:t>
      </w:r>
      <w:r w:rsidRPr="005B39B2">
        <w:t>: les 2-5</w:t>
      </w:r>
      <w:r w:rsidR="00322ADA">
        <w:t> </w:t>
      </w:r>
      <w:r w:rsidRPr="005B39B2">
        <w:t>ans (38</w:t>
      </w:r>
      <w:r w:rsidR="009F6EEB">
        <w:t> </w:t>
      </w:r>
      <w:r w:rsidRPr="005B39B2">
        <w:t>%) et les 6-12</w:t>
      </w:r>
      <w:r w:rsidR="00322ADA">
        <w:t> </w:t>
      </w:r>
      <w:r w:rsidRPr="005B39B2">
        <w:t>ans (35</w:t>
      </w:r>
      <w:r w:rsidR="009F6EEB">
        <w:t> </w:t>
      </w:r>
      <w:r w:rsidRPr="005B39B2">
        <w:t>%) constituant chacun environ un tiers du total.</w:t>
      </w:r>
    </w:p>
    <w:p w14:paraId="412DFFA2" w14:textId="0543B826" w:rsidR="00BE450B" w:rsidRPr="005B39B2" w:rsidRDefault="005B39B2" w:rsidP="003A1427">
      <w:pPr>
        <w:pStyle w:val="Paragraphe"/>
      </w:pPr>
      <w:r w:rsidRPr="005B39B2">
        <w:t>Dans les décisions analysées où le nombre de frères et sœurs</w:t>
      </w:r>
      <w:r w:rsidR="0085330E">
        <w:rPr>
          <w:rFonts w:ascii="ZWAdobeF" w:hAnsi="ZWAdobeF" w:cs="ZWAdobeF"/>
          <w:sz w:val="2"/>
          <w:szCs w:val="2"/>
        </w:rPr>
        <w:t>104F</w:t>
      </w:r>
      <w:r>
        <w:rPr>
          <w:rStyle w:val="Appelnotedebasdep"/>
        </w:rPr>
        <w:footnoteReference w:id="106"/>
      </w:r>
      <w:r w:rsidRPr="005B39B2">
        <w:t xml:space="preserve"> est mentionné (n=420), la taille de la famille est plus grande que ce qui est observé dans la population en général (familles de recensement avec enfants en 2021)</w:t>
      </w:r>
      <w:r w:rsidR="0085330E">
        <w:rPr>
          <w:rFonts w:ascii="ZWAdobeF" w:hAnsi="ZWAdobeF" w:cs="ZWAdobeF"/>
          <w:sz w:val="2"/>
          <w:szCs w:val="2"/>
        </w:rPr>
        <w:t>105F</w:t>
      </w:r>
      <w:r>
        <w:rPr>
          <w:rStyle w:val="Appelnotedebasdep"/>
        </w:rPr>
        <w:footnoteReference w:id="107"/>
      </w:r>
      <w:r w:rsidRPr="005B39B2">
        <w:t>. Si la proportion de familles avec deux enfants (39</w:t>
      </w:r>
      <w:r w:rsidR="009F6EEB">
        <w:t> </w:t>
      </w:r>
      <w:r w:rsidRPr="005B39B2">
        <w:t xml:space="preserve">%) est identique à ce qui est observé dans la population, il </w:t>
      </w:r>
      <w:r w:rsidR="00ED35B7">
        <w:t>apparait</w:t>
      </w:r>
      <w:r w:rsidRPr="005B39B2">
        <w:t xml:space="preserve"> que seulement 15</w:t>
      </w:r>
      <w:r w:rsidR="009F6EEB">
        <w:t> </w:t>
      </w:r>
      <w:r w:rsidRPr="005B39B2">
        <w:t>% des enfants n’ont pas de frère ou sœur, comparativement à 45</w:t>
      </w:r>
      <w:r w:rsidR="009F6EEB">
        <w:t> </w:t>
      </w:r>
      <w:r w:rsidRPr="005B39B2">
        <w:t>% des familles de recensement qui ne comptaient qu’un enfant. Parmi les décisions retenues, la fratrie était de 3 ou plus d’enfants dans 46</w:t>
      </w:r>
      <w:r w:rsidR="009F6EEB">
        <w:t> </w:t>
      </w:r>
      <w:r w:rsidRPr="005B39B2">
        <w:t>% des cas alors que, au sein de la population, seulement 17</w:t>
      </w:r>
      <w:r w:rsidR="009F6EEB">
        <w:t> </w:t>
      </w:r>
      <w:r w:rsidRPr="005B39B2">
        <w:t>% des familles comptent trois enfants ou plus.</w:t>
      </w:r>
    </w:p>
    <w:p w14:paraId="4803C775" w14:textId="093CF6F5" w:rsidR="00BE450B" w:rsidRDefault="004B442A" w:rsidP="003A1427">
      <w:pPr>
        <w:pStyle w:val="Paragraphe"/>
      </w:pPr>
      <w:r w:rsidRPr="004B442A">
        <w:t>Seulement 1</w:t>
      </w:r>
      <w:r w:rsidR="009F6EEB">
        <w:t> </w:t>
      </w:r>
      <w:r w:rsidRPr="004B442A">
        <w:t>% des décisions analysées mentionne que l’enfant est autochtone et seulement 3</w:t>
      </w:r>
      <w:r w:rsidR="009F6EEB">
        <w:t> </w:t>
      </w:r>
      <w:r w:rsidRPr="004B442A">
        <w:t>% notent que l’enfant appartient à une «</w:t>
      </w:r>
      <w:r w:rsidR="00D16B99">
        <w:rPr>
          <w:rFonts w:ascii="Arial" w:hAnsi="Arial" w:cs="Arial"/>
        </w:rPr>
        <w:t> </w:t>
      </w:r>
      <w:r w:rsidRPr="004B442A">
        <w:t>communauté ethnoculturelle</w:t>
      </w:r>
      <w:r w:rsidR="00D16B99">
        <w:rPr>
          <w:rFonts w:ascii="Arial" w:hAnsi="Arial" w:cs="Arial"/>
        </w:rPr>
        <w:t> </w:t>
      </w:r>
      <w:r w:rsidRPr="004B442A">
        <w:t>». Même quand l’information y figure, peu de détails sont fournis à ce sujet. Il est toutefois possible que le juge ait mentionné cette information dans</w:t>
      </w:r>
      <w:r>
        <w:t xml:space="preserve"> </w:t>
      </w:r>
      <w:r w:rsidR="004E2054">
        <w:t>les décisions précédentes concernant ces enfants, ce qui pourrait expliquer l’absence de mention dans les décisions ordonnant qu’ils soient confiés jusqu’à la majorité.</w:t>
      </w:r>
      <w:r w:rsidR="00AD52E9">
        <w:t xml:space="preserve"> </w:t>
      </w:r>
      <w:r w:rsidR="00467C51" w:rsidRPr="00AB5634">
        <w:t>Des pistes d’explication</w:t>
      </w:r>
      <w:r w:rsidR="002F497C" w:rsidRPr="00AB5634">
        <w:t xml:space="preserve"> et des questionne</w:t>
      </w:r>
      <w:r w:rsidR="00CB54E3" w:rsidRPr="00AB5634">
        <w:t xml:space="preserve">ments concernant </w:t>
      </w:r>
      <w:r w:rsidR="003036AB" w:rsidRPr="00AB5634">
        <w:t xml:space="preserve">ces groupes d’enfants </w:t>
      </w:r>
      <w:r w:rsidR="002F497C" w:rsidRPr="00AB5634">
        <w:t xml:space="preserve">sont </w:t>
      </w:r>
      <w:r w:rsidR="003036AB" w:rsidRPr="00AB5634">
        <w:t xml:space="preserve">abordés </w:t>
      </w:r>
      <w:r w:rsidR="00A26073" w:rsidRPr="00AB5634">
        <w:t>à la partie</w:t>
      </w:r>
      <w:r w:rsidR="00104A0F">
        <w:t> </w:t>
      </w:r>
      <w:r w:rsidR="00A26073" w:rsidRPr="00AB5634">
        <w:t>4 du rapport.</w:t>
      </w:r>
    </w:p>
    <w:p w14:paraId="46F64A9B" w14:textId="6CD0DAAD" w:rsidR="00BE450B" w:rsidRDefault="00165FC3" w:rsidP="00F93AC5">
      <w:pPr>
        <w:pStyle w:val="Titre2"/>
      </w:pPr>
      <w:bookmarkStart w:id="63" w:name="_Toc201330501"/>
      <w:r>
        <w:t>2.1.3</w:t>
      </w:r>
      <w:r>
        <w:tab/>
      </w:r>
      <w:r w:rsidRPr="00165FC3">
        <w:t>Le droit à la stabilité des liens et à des conditions de vie de l’enfant appropriées à ses besoins et à son âge</w:t>
      </w:r>
      <w:bookmarkEnd w:id="63"/>
    </w:p>
    <w:p w14:paraId="6189E8CB" w14:textId="1F5DDBF1" w:rsidR="00B60D1C" w:rsidRDefault="00B60D1C" w:rsidP="003A1427">
      <w:pPr>
        <w:pStyle w:val="Paragraphe"/>
      </w:pPr>
      <w:r>
        <w:t>La réforme a modifié l’article</w:t>
      </w:r>
      <w:r w:rsidR="00104A0F">
        <w:t> </w:t>
      </w:r>
      <w:r>
        <w:t>4 de la LPJ, disposition centrale qui énonce les principes fondateurs du maintien en milieu familial et de la continuité des soins et de stabilité des liens pour un enfant en protection.</w:t>
      </w:r>
    </w:p>
    <w:p w14:paraId="02B4A75D" w14:textId="11FC31D2" w:rsidR="00B60D1C" w:rsidRDefault="00B60D1C" w:rsidP="003A1427">
      <w:pPr>
        <w:pStyle w:val="Paragraphe"/>
      </w:pPr>
      <w:r>
        <w:t xml:space="preserve">Le principe du maintien en milieu familial prend sa source dans la </w:t>
      </w:r>
      <w:r w:rsidRPr="00B60D1C">
        <w:rPr>
          <w:i/>
          <w:iCs/>
        </w:rPr>
        <w:t>Charte des droits et libertés de la personne</w:t>
      </w:r>
      <w:r>
        <w:t>, notamment dans le droit de l’enfant «</w:t>
      </w:r>
      <w:r w:rsidR="00D16B99">
        <w:rPr>
          <w:rFonts w:ascii="Arial" w:hAnsi="Arial" w:cs="Arial"/>
        </w:rPr>
        <w:t> </w:t>
      </w:r>
      <w:r>
        <w:t xml:space="preserve">à la protection, à la sécurité et à l’attention que ses </w:t>
      </w:r>
      <w:r>
        <w:lastRenderedPageBreak/>
        <w:t>parents ou les personnes qui en tiennent lieu peuvent lui donner</w:t>
      </w:r>
      <w:r w:rsidR="00D16B99">
        <w:rPr>
          <w:rFonts w:ascii="Arial" w:hAnsi="Arial" w:cs="Arial"/>
        </w:rPr>
        <w:t> </w:t>
      </w:r>
      <w:r>
        <w:t>»</w:t>
      </w:r>
      <w:r w:rsidR="0085330E">
        <w:rPr>
          <w:rFonts w:ascii="ZWAdobeF" w:hAnsi="ZWAdobeF" w:cs="ZWAdobeF"/>
          <w:sz w:val="2"/>
          <w:szCs w:val="2"/>
        </w:rPr>
        <w:t>106F</w:t>
      </w:r>
      <w:r>
        <w:rPr>
          <w:rStyle w:val="Appelnotedebasdep"/>
        </w:rPr>
        <w:footnoteReference w:id="108"/>
      </w:r>
      <w:r>
        <w:t>. Il est également intrinsèquement lié à celui de l’autorité parentale, également consacré à l’article</w:t>
      </w:r>
      <w:r w:rsidR="00104A0F">
        <w:t> </w:t>
      </w:r>
      <w:r>
        <w:t>47 de la Charte et à l’article 599</w:t>
      </w:r>
      <w:r w:rsidR="00322ADA">
        <w:t> </w:t>
      </w:r>
      <w:r>
        <w:t>C.c.Q.</w:t>
      </w:r>
    </w:p>
    <w:p w14:paraId="678558AD" w14:textId="1088D634" w:rsidR="00B60D1C" w:rsidRDefault="00B60D1C" w:rsidP="003A1427">
      <w:pPr>
        <w:pStyle w:val="Paragraphe"/>
      </w:pPr>
      <w:r>
        <w:t>En droit international, le principe directeur est le maintien en milieu familial sauf si cela est contraire à l’intérêt de l’enfant (art.</w:t>
      </w:r>
      <w:r w:rsidR="00104A0F">
        <w:t> </w:t>
      </w:r>
      <w:r>
        <w:t>9 CRDE). La prévention de la séparation de la famille et la préservation de l’unité familiale sont des éléments essentiels du système de protection de l’enfance.</w:t>
      </w:r>
    </w:p>
    <w:p w14:paraId="123F3777" w14:textId="29B6BEFC" w:rsidR="00BE450B" w:rsidRDefault="00B60D1C" w:rsidP="003A1427">
      <w:pPr>
        <w:pStyle w:val="Paragraphe"/>
      </w:pPr>
      <w:r>
        <w:t>Avec la réécriture de l’article</w:t>
      </w:r>
      <w:r w:rsidR="00104A0F">
        <w:t> </w:t>
      </w:r>
      <w:r>
        <w:t xml:space="preserve">4 de la LPJ, il est devenu sans équivoque que la sécurité de l’enfant dépend des soins, des liens et des conditions dont il peut bénéficier à long terme. La stabilité des liens doit </w:t>
      </w:r>
      <w:r w:rsidR="00F40B42">
        <w:t>être interprétée</w:t>
      </w:r>
      <w:r>
        <w:t xml:space="preserve"> comme favorisant le maintien de l’ensemble des relations positives de l’enfant</w:t>
      </w:r>
      <w:r w:rsidR="0085330E">
        <w:rPr>
          <w:rFonts w:ascii="ZWAdobeF" w:hAnsi="ZWAdobeF" w:cs="ZWAdobeF"/>
          <w:sz w:val="2"/>
          <w:szCs w:val="2"/>
        </w:rPr>
        <w:t>107F</w:t>
      </w:r>
      <w:r>
        <w:rPr>
          <w:rStyle w:val="Appelnotedebasdep"/>
        </w:rPr>
        <w:footnoteReference w:id="109"/>
      </w:r>
      <w:r>
        <w:t>. Le maintien de relations durables et positives pour l’enfant, sans considération aux liens filiaux, est prépondérant dans l’analyse de sa situation</w:t>
      </w:r>
      <w:r w:rsidR="0085330E">
        <w:rPr>
          <w:rFonts w:ascii="ZWAdobeF" w:hAnsi="ZWAdobeF" w:cs="ZWAdobeF"/>
          <w:sz w:val="2"/>
          <w:szCs w:val="2"/>
        </w:rPr>
        <w:t>108F</w:t>
      </w:r>
      <w:r>
        <w:rPr>
          <w:rStyle w:val="Appelnotedebasdep"/>
        </w:rPr>
        <w:footnoteReference w:id="110"/>
      </w:r>
      <w:r>
        <w:t>. Étant modulés par l’intérêt de l’enfant, les liens d’attachement avec le milieu substitut se trouvent ainsi pris en compte dans la LPJ</w:t>
      </w:r>
      <w:r w:rsidR="003E0A93">
        <w:t>,</w:t>
      </w:r>
      <w:r w:rsidR="00D62A41">
        <w:t xml:space="preserve"> </w:t>
      </w:r>
      <w:r w:rsidR="003E0A93">
        <w:t>de</w:t>
      </w:r>
      <w:r>
        <w:t xml:space="preserve"> telle sorte que les liens développés avec la famille dans laquelle l’enfant évolue depuis assez longtemps deviennent une considération importante de la décision de l’y confier</w:t>
      </w:r>
      <w:r w:rsidR="0085330E">
        <w:rPr>
          <w:rFonts w:ascii="ZWAdobeF" w:hAnsi="ZWAdobeF" w:cs="ZWAdobeF"/>
          <w:sz w:val="2"/>
          <w:szCs w:val="2"/>
        </w:rPr>
        <w:t>109F</w:t>
      </w:r>
      <w:r>
        <w:rPr>
          <w:rStyle w:val="Appelnotedebasdep"/>
        </w:rPr>
        <w:footnoteReference w:id="111"/>
      </w:r>
      <w:r>
        <w:t>. Cette nouvelle approche est appuyée par le préambule de la LPJ. Celui-ci érige la stabilité et la sécurité affective de l’enfant au titre des déterminants majeurs pour assurer son sain développement.</w:t>
      </w:r>
    </w:p>
    <w:p w14:paraId="5B60B90E" w14:textId="6AB393F9" w:rsidR="00BE450B" w:rsidRDefault="00FE4CA0" w:rsidP="003A1427">
      <w:pPr>
        <w:pStyle w:val="Paragraphe"/>
      </w:pPr>
      <w:r w:rsidRPr="00FE4CA0">
        <w:t>Le milieu de vie est de ce fait un élément central à prendre en compte dans le choix de son projet de vie</w:t>
      </w:r>
      <w:r w:rsidR="0085330E">
        <w:rPr>
          <w:rFonts w:ascii="ZWAdobeF" w:hAnsi="ZWAdobeF" w:cs="ZWAdobeF"/>
          <w:sz w:val="2"/>
          <w:szCs w:val="2"/>
        </w:rPr>
        <w:t>110F</w:t>
      </w:r>
      <w:r>
        <w:rPr>
          <w:rStyle w:val="Appelnotedebasdep"/>
        </w:rPr>
        <w:footnoteReference w:id="112"/>
      </w:r>
      <w:r w:rsidRPr="00FE4CA0">
        <w:t>. Dans tous les cas, il revient au DPJ de faire la preuve que le projet de vie choisi pour l’enfant</w:t>
      </w:r>
      <w:r>
        <w:t xml:space="preserve"> </w:t>
      </w:r>
      <w:r w:rsidR="00034524">
        <w:t>permettra d’assurer la continuité des soins et la stabilité des liens</w:t>
      </w:r>
      <w:r w:rsidR="0085330E">
        <w:rPr>
          <w:rFonts w:ascii="ZWAdobeF" w:hAnsi="ZWAdobeF" w:cs="ZWAdobeF"/>
          <w:sz w:val="2"/>
          <w:szCs w:val="2"/>
        </w:rPr>
        <w:t>111F</w:t>
      </w:r>
      <w:r w:rsidR="00034524">
        <w:rPr>
          <w:rStyle w:val="Appelnotedebasdep"/>
        </w:rPr>
        <w:footnoteReference w:id="113"/>
      </w:r>
      <w:r w:rsidR="00034524">
        <w:t>. Il revient ensuite au tribunal d’évaluer la viabilité du projet de vie proposé</w:t>
      </w:r>
      <w:r w:rsidR="0039114F">
        <w:t xml:space="preserve"> et de </w:t>
      </w:r>
      <w:r w:rsidR="00034524">
        <w:t>rendre une ordonnance qui assure la continuité des soins et la stabilité des liens de l’enfant</w:t>
      </w:r>
      <w:r w:rsidR="0039114F">
        <w:t xml:space="preserve"> </w:t>
      </w:r>
      <w:r w:rsidR="00034524">
        <w:t>(art.</w:t>
      </w:r>
      <w:r w:rsidR="00104A0F">
        <w:t> </w:t>
      </w:r>
      <w:r w:rsidR="00034524">
        <w:t>91.1 LPJ). De plus, la possibilité pour le tribunal de passer outre aux délais maximaux de placement est dorénavant conditionnée par l’intérêt de l’enfant et l’existence de motifs sérieux ou la possibilité d’un retour à court terme dans le milieu familial.</w:t>
      </w:r>
    </w:p>
    <w:p w14:paraId="54961E2A" w14:textId="0640ACA6" w:rsidR="0099041B" w:rsidRDefault="0099041B" w:rsidP="003A1427">
      <w:pPr>
        <w:pStyle w:val="Paragraphe"/>
      </w:pPr>
      <w:r>
        <w:t xml:space="preserve">L’ordre de priorité pour choisir un milieu de vie substitut étant clarifié, le DPJ a </w:t>
      </w:r>
      <w:r w:rsidR="00F40B42">
        <w:t>dans la</w:t>
      </w:r>
      <w:r>
        <w:t xml:space="preserve"> même </w:t>
      </w:r>
      <w:r w:rsidR="00F40B42">
        <w:t>mesure</w:t>
      </w:r>
      <w:r>
        <w:t xml:space="preserve"> l’obligation de confier l’enfant aux personnes qui lui sont les plus significatives. Il doit donc vérifier qui sont ces personnes et si elles sont intéressées à recevoir l’enfant lorsque cela est dans son intérêt. Il reviendra au DPJ d’expliquer les raisons pour lesquelles il refuse de confier l’enfant à une personne qui pourrait être considérée comme telle et recommande que l’enfant soit plutôt confié à un autre milieu</w:t>
      </w:r>
      <w:r w:rsidR="0085330E">
        <w:rPr>
          <w:rFonts w:ascii="ZWAdobeF" w:hAnsi="ZWAdobeF" w:cs="ZWAdobeF"/>
          <w:sz w:val="2"/>
          <w:szCs w:val="2"/>
        </w:rPr>
        <w:t>112F</w:t>
      </w:r>
      <w:r>
        <w:rPr>
          <w:rStyle w:val="Appelnotedebasdep"/>
        </w:rPr>
        <w:footnoteReference w:id="114"/>
      </w:r>
      <w:r>
        <w:t>.</w:t>
      </w:r>
    </w:p>
    <w:p w14:paraId="67EB56BC" w14:textId="3686FD71" w:rsidR="0099041B" w:rsidRDefault="0099041B" w:rsidP="003A1427">
      <w:pPr>
        <w:pStyle w:val="Paragraphe"/>
      </w:pPr>
      <w:r>
        <w:lastRenderedPageBreak/>
        <w:t>Pour l’enfant autochtone qui doit être confié à un milieu de vie substitut, le choix doit se faire en respectant l’ordre de priorité prévu à la loi (art.</w:t>
      </w:r>
      <w:r w:rsidR="00104A0F">
        <w:t> </w:t>
      </w:r>
      <w:r>
        <w:t>131.5 LPJ). L’importance de la continuité culturelle de l’enfant exige de le placer dans sa famille élargie, chez des membres de sa communauté ou d’une autre communauté de sa nation ou encore chez des membres d’une autre nation. Tout autre milieu de vie est alternatif.</w:t>
      </w:r>
    </w:p>
    <w:p w14:paraId="4A6B6268" w14:textId="1DC3BA80" w:rsidR="0099041B" w:rsidRDefault="0099041B" w:rsidP="003A1427">
      <w:pPr>
        <w:pStyle w:val="Paragraphe"/>
      </w:pPr>
      <w:r>
        <w:t>De plus, le choix du milieu de vie de l’enfant qui appartient à une communauté «</w:t>
      </w:r>
      <w:r w:rsidR="00D96428">
        <w:rPr>
          <w:rFonts w:ascii="Arial" w:hAnsi="Arial" w:cs="Arial"/>
        </w:rPr>
        <w:t> </w:t>
      </w:r>
      <w:r>
        <w:t>ethnoculturelle</w:t>
      </w:r>
      <w:r w:rsidR="00D96428">
        <w:rPr>
          <w:rFonts w:ascii="Arial" w:hAnsi="Arial" w:cs="Arial"/>
        </w:rPr>
        <w:t> </w:t>
      </w:r>
      <w:r>
        <w:t>» doit se faire en priorisant celui des membres de sa communauté (art.</w:t>
      </w:r>
      <w:r w:rsidR="00104A0F">
        <w:t> </w:t>
      </w:r>
      <w:r>
        <w:t>4.5</w:t>
      </w:r>
      <w:r w:rsidR="000F131E">
        <w:t xml:space="preserve"> LPJ</w:t>
      </w:r>
      <w:r>
        <w:t>).</w:t>
      </w:r>
    </w:p>
    <w:p w14:paraId="14AB1024" w14:textId="7CC39BCE" w:rsidR="0099041B" w:rsidRDefault="0099041B" w:rsidP="003A1427">
      <w:pPr>
        <w:pStyle w:val="Paragraphe"/>
      </w:pPr>
      <w:r>
        <w:t xml:space="preserve">L’intérêt de l’enfant oblige par ailleurs </w:t>
      </w:r>
      <w:r w:rsidR="00F40B42">
        <w:t>d’</w:t>
      </w:r>
      <w:r>
        <w:t>agir rapidement pour stabiliser sa situation. Le préambule de la LPJ place cette préoccupation au centre de l’application de la loi en statuant que la notion de temps est différente chez l’enfant considérant qu’il est en développement.</w:t>
      </w:r>
    </w:p>
    <w:p w14:paraId="0196FF30" w14:textId="07E4B7A4" w:rsidR="0099041B" w:rsidRDefault="0099041B" w:rsidP="003A1427">
      <w:pPr>
        <w:pStyle w:val="Paragraphe"/>
      </w:pPr>
      <w:r>
        <w:t xml:space="preserve">L’obligation de planifier sans délai un projet alternatif au retour de l’enfant dans le milieu familial dès qu’il en est retiré </w:t>
      </w:r>
      <w:r w:rsidR="000F131E">
        <w:t>(art.</w:t>
      </w:r>
      <w:r w:rsidR="00104A0F">
        <w:t> </w:t>
      </w:r>
      <w:r w:rsidR="000F131E">
        <w:t>4.2 al. 2 LPJ</w:t>
      </w:r>
      <w:r w:rsidR="005A305A">
        <w:t xml:space="preserve">) </w:t>
      </w:r>
      <w:r w:rsidR="00B94D68">
        <w:t xml:space="preserve">oblige </w:t>
      </w:r>
      <w:r w:rsidR="00F40B42">
        <w:t>d</w:t>
      </w:r>
      <w:r w:rsidR="00DB4EFE">
        <w:t>’</w:t>
      </w:r>
      <w:r>
        <w:t>agir vite pour projeter les «</w:t>
      </w:r>
      <w:r w:rsidR="00D96428">
        <w:rPr>
          <w:rFonts w:ascii="Arial" w:hAnsi="Arial" w:cs="Arial"/>
        </w:rPr>
        <w:t> </w:t>
      </w:r>
      <w:r>
        <w:t>conditions de vie sociales et familiales jugées les plus aptes à répondre aux besoins de l’enfant pendant la période où l’on apporte du soutien au titulaire de l’autorité parentale</w:t>
      </w:r>
      <w:r w:rsidR="001A0FEE">
        <w:rPr>
          <w:rFonts w:ascii="Arial" w:hAnsi="Arial" w:cs="Arial"/>
        </w:rPr>
        <w:t> </w:t>
      </w:r>
      <w:r>
        <w:t>»</w:t>
      </w:r>
      <w:r w:rsidR="0085330E">
        <w:rPr>
          <w:rFonts w:ascii="ZWAdobeF" w:hAnsi="ZWAdobeF" w:cs="ZWAdobeF"/>
          <w:sz w:val="2"/>
          <w:szCs w:val="2"/>
        </w:rPr>
        <w:t>113F</w:t>
      </w:r>
      <w:r w:rsidR="002D14CF">
        <w:rPr>
          <w:rStyle w:val="Appelnotedebasdep"/>
        </w:rPr>
        <w:footnoteReference w:id="115"/>
      </w:r>
      <w:r>
        <w:t>. L’objectif est d’éviter les allers-retours entre sa famille et le milieu de vie substitut</w:t>
      </w:r>
      <w:r w:rsidR="0085330E">
        <w:rPr>
          <w:rFonts w:ascii="ZWAdobeF" w:hAnsi="ZWAdobeF" w:cs="ZWAdobeF"/>
          <w:sz w:val="2"/>
          <w:szCs w:val="2"/>
        </w:rPr>
        <w:t>114F</w:t>
      </w:r>
      <w:r w:rsidR="002D14CF">
        <w:rPr>
          <w:rStyle w:val="Appelnotedebasdep"/>
        </w:rPr>
        <w:footnoteReference w:id="116"/>
      </w:r>
      <w:r>
        <w:t>.</w:t>
      </w:r>
    </w:p>
    <w:p w14:paraId="553BCA57" w14:textId="1859532C" w:rsidR="00BE450B" w:rsidRDefault="0099041B" w:rsidP="003A1427">
      <w:pPr>
        <w:pStyle w:val="Paragraphe"/>
      </w:pPr>
      <w:r>
        <w:t>Enfin, le maintien des contacts de l’enfant avec son milieu d’origine lorsqu’il est confié à un milieu de vie substitut jusqu’à la majorité est possible lorsque cela est dans son intérêt. En effet, à moins d’être déchus de l’autorité parentale, les parents continuent à entretenir des liens avec leur enfant lorsqu’il est</w:t>
      </w:r>
      <w:r w:rsidR="00BD6DCA">
        <w:t xml:space="preserve"> </w:t>
      </w:r>
      <w:r w:rsidR="00BD6DCA" w:rsidRPr="00BD6DCA">
        <w:t xml:space="preserve">confié </w:t>
      </w:r>
      <w:r w:rsidR="001718F2">
        <w:t>à un</w:t>
      </w:r>
      <w:r w:rsidR="00BD6DCA" w:rsidRPr="00BD6DCA">
        <w:t xml:space="preserve"> milieu de vie substitut jusqu’à la majorité. Selon les modalités que le tribunal détermine, il peut autoriser le maintien des relations entre l’enfant et ses parents ou toute autre personne qui lui est significative. À défaut d’entente entre les parties, il revient exclusivement au tribunal de les déterminer</w:t>
      </w:r>
      <w:r w:rsidR="0085330E">
        <w:rPr>
          <w:rFonts w:ascii="ZWAdobeF" w:hAnsi="ZWAdobeF" w:cs="ZWAdobeF"/>
          <w:sz w:val="2"/>
          <w:szCs w:val="2"/>
        </w:rPr>
        <w:t>115F</w:t>
      </w:r>
      <w:r w:rsidR="00BD6DCA">
        <w:rPr>
          <w:rStyle w:val="Appelnotedebasdep"/>
        </w:rPr>
        <w:footnoteReference w:id="117"/>
      </w:r>
      <w:r w:rsidR="00BD6DCA" w:rsidRPr="00BD6DCA">
        <w:t>. Dans la pratique, selon les circonstances, le tribunal permet à la DPJ ou au DPJ de moduler les contacts (fréquence, durée et supervisions) selon ses prescriptions</w:t>
      </w:r>
      <w:r w:rsidR="0085330E">
        <w:rPr>
          <w:rFonts w:ascii="ZWAdobeF" w:hAnsi="ZWAdobeF" w:cs="ZWAdobeF"/>
          <w:sz w:val="2"/>
          <w:szCs w:val="2"/>
        </w:rPr>
        <w:t>116F</w:t>
      </w:r>
      <w:r w:rsidR="00BD6DCA">
        <w:rPr>
          <w:rStyle w:val="Appelnotedebasdep"/>
        </w:rPr>
        <w:footnoteReference w:id="118"/>
      </w:r>
      <w:r w:rsidR="00BD6DCA" w:rsidRPr="00BD6DCA">
        <w:t>.</w:t>
      </w:r>
    </w:p>
    <w:p w14:paraId="54BEFC1D" w14:textId="35D88126" w:rsidR="00566E60" w:rsidRDefault="00566E60" w:rsidP="003A1427">
      <w:pPr>
        <w:pStyle w:val="Paragraphe"/>
      </w:pPr>
      <w:r>
        <w:t>Le critère à prendre en considération pour déterminer les contacts est celui de l’intérêt de l’enfant. Il ne s’agit pas pour les parents de maintenir des liens avec leur enfant selon leur désir, mais bien pour l’enfant de préserver des liens avec eux si cela est dans son intérêt</w:t>
      </w:r>
      <w:r w:rsidR="0085330E">
        <w:rPr>
          <w:rFonts w:ascii="ZWAdobeF" w:hAnsi="ZWAdobeF" w:cs="ZWAdobeF"/>
          <w:sz w:val="2"/>
          <w:szCs w:val="2"/>
        </w:rPr>
        <w:t>117F</w:t>
      </w:r>
      <w:r>
        <w:rPr>
          <w:rStyle w:val="Appelnotedebasdep"/>
        </w:rPr>
        <w:footnoteReference w:id="119"/>
      </w:r>
      <w:r>
        <w:t>.</w:t>
      </w:r>
    </w:p>
    <w:p w14:paraId="10EEFC3A" w14:textId="4DDF5131" w:rsidR="00BE450B" w:rsidRDefault="00566E60" w:rsidP="003A1427">
      <w:pPr>
        <w:pStyle w:val="Paragraphe"/>
      </w:pPr>
      <w:r>
        <w:lastRenderedPageBreak/>
        <w:t>Les contacts sont établis que s’ils se déroulent en toute sécurité, selon l’âge de l’enfant, du milieu de vie du parent et de la qualité du lien d’attachement</w:t>
      </w:r>
      <w:r w:rsidR="0085330E">
        <w:rPr>
          <w:rFonts w:ascii="ZWAdobeF" w:hAnsi="ZWAdobeF" w:cs="ZWAdobeF"/>
          <w:sz w:val="2"/>
          <w:szCs w:val="2"/>
        </w:rPr>
        <w:t>118F</w:t>
      </w:r>
      <w:r>
        <w:rPr>
          <w:rStyle w:val="Appelnotedebasdep"/>
        </w:rPr>
        <w:footnoteReference w:id="120"/>
      </w:r>
      <w:r>
        <w:t>. Les droits d’accès peuvent être limités par le tribunal. Ils peuvent être interdits lorsque la sécurité ou le développement l’exige (art.</w:t>
      </w:r>
      <w:r w:rsidR="00104A0F">
        <w:t> </w:t>
      </w:r>
      <w:r>
        <w:t>91</w:t>
      </w:r>
      <w:r w:rsidR="000A59FB">
        <w:t> </w:t>
      </w:r>
      <w:r>
        <w:t>al.1).</w:t>
      </w:r>
    </w:p>
    <w:p w14:paraId="60E76014" w14:textId="730CB476" w:rsidR="00BE450B" w:rsidRPr="000B3DBC" w:rsidRDefault="000C7FA7" w:rsidP="0071082B">
      <w:pPr>
        <w:pStyle w:val="Titre5"/>
        <w:numPr>
          <w:ilvl w:val="0"/>
          <w:numId w:val="22"/>
        </w:numPr>
        <w:ind w:left="426" w:hanging="426"/>
      </w:pPr>
      <w:bookmarkStart w:id="64" w:name="_Toc201330502"/>
      <w:r w:rsidRPr="000B3DBC">
        <w:t>Un projet de vie alternatif pour l’enfant retiré du milieu familial est planifié</w:t>
      </w:r>
      <w:bookmarkEnd w:id="64"/>
    </w:p>
    <w:p w14:paraId="6F1A7ACE" w14:textId="77777777" w:rsidR="00C7506A" w:rsidRDefault="00C7506A" w:rsidP="003A1427">
      <w:pPr>
        <w:pStyle w:val="Paragraphe"/>
      </w:pPr>
      <w:r>
        <w:t>Si les décisions analysées confiant l’enfant jusqu’à la majorité ne permettaient pas de déterminer si un projet de vie alternatif avait été planifié dès son retrait du milieu familial, les réponses fournies par les procureures et les procureurs des enfants donnent un aperçu de leur perception sur le sujet.</w:t>
      </w:r>
    </w:p>
    <w:p w14:paraId="539E3AF1" w14:textId="0E4BB1BF" w:rsidR="00BE450B" w:rsidRDefault="00C7506A" w:rsidP="003A1427">
      <w:pPr>
        <w:pStyle w:val="Paragraphe"/>
      </w:pPr>
      <w:r>
        <w:t>Parmi les 11</w:t>
      </w:r>
      <w:r w:rsidR="00322ADA">
        <w:t> </w:t>
      </w:r>
      <w:r>
        <w:t>répondants qui observent des changements depuis la réforme de 2022 dans le traitement des dossiers, 3 considèrent qu’ils ont eu un effet modéré et 5 considèrent qu’ils ont eu un effet important sur la planification d’un projet de vie alternatif.</w:t>
      </w:r>
    </w:p>
    <w:p w14:paraId="0120F609" w14:textId="2D72308E" w:rsidR="00BE450B" w:rsidRDefault="004C3983" w:rsidP="0071082B">
      <w:pPr>
        <w:pStyle w:val="Titre5"/>
        <w:numPr>
          <w:ilvl w:val="0"/>
          <w:numId w:val="22"/>
        </w:numPr>
        <w:ind w:left="426" w:hanging="426"/>
      </w:pPr>
      <w:bookmarkStart w:id="65" w:name="_Toc201330503"/>
      <w:r w:rsidRPr="004C3983">
        <w:t>Le milieu de vie substitut désigné</w:t>
      </w:r>
      <w:bookmarkEnd w:id="65"/>
    </w:p>
    <w:p w14:paraId="0ADC99C3" w14:textId="00B8BA31" w:rsidR="00EB2C05" w:rsidRDefault="00EB2C05" w:rsidP="003A1427">
      <w:pPr>
        <w:pStyle w:val="Paragraphe"/>
      </w:pPr>
      <w:r>
        <w:t xml:space="preserve">Dans les décisions analysées, il </w:t>
      </w:r>
      <w:r w:rsidR="00F40B42">
        <w:t>s’avère</w:t>
      </w:r>
      <w:r>
        <w:t xml:space="preserve"> globalement que la proportion d’enfants placés en famille d’accueil régulière (68</w:t>
      </w:r>
      <w:r w:rsidR="009F6EEB">
        <w:t> </w:t>
      </w:r>
      <w:r>
        <w:t>%) est plus de deux fois plus importante que celle des enfants placés en famille d’accueil de proximité (31</w:t>
      </w:r>
      <w:r w:rsidR="009F6EEB">
        <w:t> </w:t>
      </w:r>
      <w:r>
        <w:t>%). Seulement 1</w:t>
      </w:r>
      <w:r w:rsidR="009F6EEB">
        <w:t> </w:t>
      </w:r>
      <w:r>
        <w:t>% des enfants sont confié</w:t>
      </w:r>
      <w:r w:rsidR="002D7072">
        <w:t>s</w:t>
      </w:r>
      <w:r>
        <w:t xml:space="preserve"> à un centre de réadaptation jusqu’à la majorité.</w:t>
      </w:r>
    </w:p>
    <w:p w14:paraId="472377B7" w14:textId="4C0397A5" w:rsidR="00BE450B" w:rsidRDefault="00EB2C05" w:rsidP="003A1427">
      <w:pPr>
        <w:pStyle w:val="Paragraphe"/>
      </w:pPr>
      <w:r>
        <w:t>En excluant ce dernier pourcentage, la répartition des données quant au choix de milieu de vie substitut ne reflète pas la priorité de placement prévue à la LPJ, laquelle prévoit que le placement doit se faire chez les personnes les plus significatives pour l’enfant et à défaut dans un milieu qui se rapproche le plus du milieu familial.</w:t>
      </w:r>
    </w:p>
    <w:p w14:paraId="46B50E3E" w14:textId="480FB515" w:rsidR="00BE450B" w:rsidRDefault="00E71555" w:rsidP="003A1427">
      <w:pPr>
        <w:pStyle w:val="Paragraphe"/>
      </w:pPr>
      <w:r>
        <w:t>La perception des procureures et procureurs de l’enfant appuie la pratique observée quant à l’application de la priorité pour le choix du milieu de vie substitut de l’enfant. Parmi les 9</w:t>
      </w:r>
      <w:r w:rsidR="00322ADA">
        <w:t> </w:t>
      </w:r>
      <w:r>
        <w:t xml:space="preserve">personnes répondantes qui </w:t>
      </w:r>
      <w:r w:rsidR="00767402" w:rsidRPr="00767402">
        <w:t>observent des changements depuis la réforme de 2022 dans le traitement des dossiers et qui se sont exprimé quant aux effets sur le placement de l’enfant jusqu’à la majorité chez des personnes qui lui sont significatives, 4 qualifient l’effet d’important et 3 de modéré.</w:t>
      </w:r>
    </w:p>
    <w:p w14:paraId="7B0D94ED" w14:textId="49AC9253" w:rsidR="002B6B11" w:rsidRDefault="002B6B11" w:rsidP="003A1427">
      <w:pPr>
        <w:pStyle w:val="Paragraphe"/>
      </w:pPr>
      <w:r>
        <w:t xml:space="preserve">La perception des procureures et procureurs de l’enfant apporte </w:t>
      </w:r>
      <w:r w:rsidR="00F40B42">
        <w:t>a</w:t>
      </w:r>
      <w:r w:rsidR="005B42CE">
        <w:t>us</w:t>
      </w:r>
      <w:r w:rsidR="00F40B42">
        <w:t>si</w:t>
      </w:r>
      <w:r>
        <w:t xml:space="preserve"> un éclairage sur la prise en compte de l’appartenance de l’enfant à une «</w:t>
      </w:r>
      <w:r w:rsidR="00D96428">
        <w:rPr>
          <w:rFonts w:ascii="Arial" w:hAnsi="Arial" w:cs="Arial"/>
        </w:rPr>
        <w:t> </w:t>
      </w:r>
      <w:r>
        <w:t>communauté ethnoculturelle</w:t>
      </w:r>
      <w:r w:rsidR="00D96428">
        <w:rPr>
          <w:rFonts w:ascii="Arial" w:hAnsi="Arial" w:cs="Arial"/>
        </w:rPr>
        <w:t> </w:t>
      </w:r>
      <w:r>
        <w:t xml:space="preserve">». </w:t>
      </w:r>
      <w:r w:rsidR="00120353">
        <w:t>Les</w:t>
      </w:r>
      <w:r>
        <w:t xml:space="preserve"> personnes qui se sont prononcées </w:t>
      </w:r>
      <w:r w:rsidR="00120353">
        <w:t>sur la question</w:t>
      </w:r>
      <w:r>
        <w:t xml:space="preserve"> sont partagées équitablement entre la perception que le tribunal prend davantage en compte les caractéristiques de la «</w:t>
      </w:r>
      <w:r w:rsidR="00D96428">
        <w:rPr>
          <w:rFonts w:ascii="Arial" w:hAnsi="Arial" w:cs="Arial"/>
        </w:rPr>
        <w:t> </w:t>
      </w:r>
      <w:r>
        <w:t>communauté ethnoculturelle</w:t>
      </w:r>
      <w:r w:rsidR="00D96428">
        <w:rPr>
          <w:rFonts w:ascii="Arial" w:hAnsi="Arial" w:cs="Arial"/>
        </w:rPr>
        <w:t> </w:t>
      </w:r>
      <w:r>
        <w:t>» de l’enfant dans le choix du milieu de vie substitut et la perception selon laquelle le tribunal les traite de la même manière qu’avant, soit 8</w:t>
      </w:r>
      <w:r w:rsidR="00322ADA">
        <w:t> </w:t>
      </w:r>
      <w:r>
        <w:t>personnes contre 7.</w:t>
      </w:r>
      <w:r w:rsidR="00366696">
        <w:t xml:space="preserve"> </w:t>
      </w:r>
      <w:r w:rsidR="00366696" w:rsidRPr="00366696">
        <w:t>Les personnes qui cumulent plus d</w:t>
      </w:r>
      <w:r w:rsidR="00F078AA">
        <w:t>’</w:t>
      </w:r>
      <w:r w:rsidR="00366696" w:rsidRPr="00366696">
        <w:t>années d</w:t>
      </w:r>
      <w:r w:rsidR="009E526A">
        <w:t>’</w:t>
      </w:r>
      <w:r w:rsidR="00366696" w:rsidRPr="00366696">
        <w:t>expérience sont plus nombreuses à rapporter que c</w:t>
      </w:r>
      <w:r w:rsidR="00366696">
        <w:t>et</w:t>
      </w:r>
      <w:r w:rsidR="00366696" w:rsidRPr="00366696">
        <w:t xml:space="preserve"> élément </w:t>
      </w:r>
      <w:r w:rsidR="00366696">
        <w:t xml:space="preserve">est </w:t>
      </w:r>
      <w:r w:rsidR="00366696" w:rsidRPr="00366696">
        <w:t>davantage pris en considération depuis la réforme</w:t>
      </w:r>
      <w:r w:rsidR="00E30EED">
        <w:t>.</w:t>
      </w:r>
    </w:p>
    <w:p w14:paraId="5FDE9238" w14:textId="169069CE" w:rsidR="00BE450B" w:rsidRDefault="005F5703" w:rsidP="003A1427">
      <w:pPr>
        <w:pStyle w:val="Paragraphe"/>
      </w:pPr>
      <w:r>
        <w:lastRenderedPageBreak/>
        <w:t>C</w:t>
      </w:r>
      <w:r w:rsidR="001B6644">
        <w:t>oncernant</w:t>
      </w:r>
      <w:r w:rsidR="002B6B11">
        <w:t xml:space="preserve"> la prise en compte de l’ordre de priorité établi à la LPJ lors du choix du milieu de vie de l’enfant autochtone, les décisions analysées ne contiennent pas les informations permettant d’évaluer l’application de la priorité de placement. Les réponses des procureures et procureurs donnent toutefois une indication à cet égard. </w:t>
      </w:r>
      <w:r w:rsidR="00C705D3">
        <w:t xml:space="preserve">Parmi les </w:t>
      </w:r>
      <w:r w:rsidR="003B32A7">
        <w:t>quatorze (</w:t>
      </w:r>
      <w:r w:rsidR="002B6B11">
        <w:t>14</w:t>
      </w:r>
      <w:r w:rsidR="003B32A7">
        <w:t>)</w:t>
      </w:r>
      <w:r w:rsidR="002B6B11">
        <w:t xml:space="preserve"> personnes qui se sont prononcées sur la question</w:t>
      </w:r>
      <w:r w:rsidR="00C705D3">
        <w:t>,</w:t>
      </w:r>
      <w:r w:rsidR="002B6B11">
        <w:t xml:space="preserve"> la moitié </w:t>
      </w:r>
      <w:r w:rsidR="004312F5">
        <w:t>(7)</w:t>
      </w:r>
      <w:r w:rsidR="002B6B11">
        <w:t xml:space="preserve"> estimaient que cela était désormais davantage </w:t>
      </w:r>
      <w:r w:rsidR="00F56536">
        <w:t>pris en compte</w:t>
      </w:r>
      <w:r w:rsidR="002B6B11">
        <w:t xml:space="preserve"> qu’avant la réforme de 2022</w:t>
      </w:r>
      <w:r w:rsidR="00542AD6">
        <w:t xml:space="preserve"> et l’autre moitié ne rapportaient pas de changement</w:t>
      </w:r>
      <w:r w:rsidR="002B6B11">
        <w:t xml:space="preserve">. </w:t>
      </w:r>
      <w:r w:rsidR="00542AD6">
        <w:t xml:space="preserve">À nouveau, les personnes ayant plus d’expérience étaient plus nombreuses à observer des changements. </w:t>
      </w:r>
    </w:p>
    <w:p w14:paraId="17723477" w14:textId="30296C97" w:rsidR="00522514" w:rsidRDefault="00522514" w:rsidP="003A1427">
      <w:pPr>
        <w:pStyle w:val="Paragraphe"/>
      </w:pPr>
      <w:r w:rsidRPr="00522514">
        <w:t xml:space="preserve">De plus, toujours selon les procureures et procureurs, parmi les </w:t>
      </w:r>
      <w:r w:rsidR="003B32A7">
        <w:t>neuf</w:t>
      </w:r>
      <w:r w:rsidRPr="00522514">
        <w:t xml:space="preserve"> </w:t>
      </w:r>
      <w:r w:rsidR="003B32A7">
        <w:t>(</w:t>
      </w:r>
      <w:r w:rsidRPr="00522514">
        <w:t>9</w:t>
      </w:r>
      <w:r w:rsidR="003B32A7">
        <w:t>)</w:t>
      </w:r>
      <w:r w:rsidRPr="00522514">
        <w:t xml:space="preserve"> personnes répondantes qui observent des changements dans le traitement des dossiers </w:t>
      </w:r>
      <w:r w:rsidR="00C85ECD" w:rsidRPr="00522514">
        <w:t xml:space="preserve">depuis la réforme de 2022 </w:t>
      </w:r>
      <w:r w:rsidRPr="00522514">
        <w:t xml:space="preserve">et qui se sont exprimées quant aux effets sur les mesures prises pour favoriser la continuité culturelle de l’enfant autochtone, seulement </w:t>
      </w:r>
      <w:r w:rsidR="003B32A7">
        <w:t>trois (</w:t>
      </w:r>
      <w:r w:rsidRPr="00522514">
        <w:t>3</w:t>
      </w:r>
      <w:r w:rsidR="003B32A7">
        <w:t>)</w:t>
      </w:r>
      <w:r w:rsidRPr="00522514">
        <w:t xml:space="preserve"> estimaient que cet effet était important. Ceux-ci cumulaient au moins </w:t>
      </w:r>
      <w:r w:rsidR="003B32A7">
        <w:t>six (</w:t>
      </w:r>
      <w:r w:rsidRPr="00522514">
        <w:t>6</w:t>
      </w:r>
      <w:r w:rsidR="003B32A7">
        <w:t>)</w:t>
      </w:r>
      <w:r w:rsidRPr="00522514">
        <w:t xml:space="preserve"> ans de pratique.</w:t>
      </w:r>
    </w:p>
    <w:p w14:paraId="7F8053ED" w14:textId="00602950" w:rsidR="00BE450B" w:rsidRDefault="008A6B9D" w:rsidP="00D6127C">
      <w:pPr>
        <w:pStyle w:val="Paragraphe"/>
        <w:jc w:val="center"/>
      </w:pPr>
      <w:r>
        <w:rPr>
          <w:noProof/>
        </w:rPr>
        <w:drawing>
          <wp:inline distT="0" distB="0" distL="0" distR="0" wp14:anchorId="041D8D26" wp14:editId="647A16A8">
            <wp:extent cx="4582795" cy="2753995"/>
            <wp:effectExtent l="0" t="0" r="8255" b="8255"/>
            <wp:docPr id="1006142686" name="Image 11" descr="P6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42686" name="Image 11" descr="P629#yIS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82795" cy="2753995"/>
                    </a:xfrm>
                    <a:prstGeom prst="rect">
                      <a:avLst/>
                    </a:prstGeom>
                    <a:noFill/>
                  </pic:spPr>
                </pic:pic>
              </a:graphicData>
            </a:graphic>
          </wp:inline>
        </w:drawing>
      </w:r>
    </w:p>
    <w:p w14:paraId="0F33B946" w14:textId="477D86C5" w:rsidR="00913157" w:rsidRDefault="00913157" w:rsidP="003A1427">
      <w:pPr>
        <w:pStyle w:val="Paragraphe"/>
      </w:pPr>
      <w:r>
        <w:t>Les données des décisions analysées montrent par ailleurs que le type de milieu de vie substitut ordonné varie relativement peu selon l’âge des enfants visés par les décisions analysées pour ceux qui ont 12</w:t>
      </w:r>
      <w:r w:rsidR="00322ADA">
        <w:t> </w:t>
      </w:r>
      <w:r>
        <w:t>ans et moins. Pour ces groupes d’âge, entre 65 et 75</w:t>
      </w:r>
      <w:r w:rsidR="009F6EEB">
        <w:t> </w:t>
      </w:r>
      <w:r>
        <w:t>% des décisions analysées confient l’enfant en famille d’accueil, tandis qu’entre 25 et 35</w:t>
      </w:r>
      <w:r w:rsidR="009F6EEB">
        <w:t> </w:t>
      </w:r>
      <w:r>
        <w:t>% les confient en famille d’accueil de proximité.</w:t>
      </w:r>
    </w:p>
    <w:p w14:paraId="4E576202" w14:textId="0E221D69" w:rsidR="00913157" w:rsidRDefault="00913157" w:rsidP="003A1427">
      <w:pPr>
        <w:pStyle w:val="Paragraphe"/>
      </w:pPr>
      <w:r>
        <w:t>La situation des enfants visés âgés de 13</w:t>
      </w:r>
      <w:r w:rsidR="00322ADA">
        <w:t> </w:t>
      </w:r>
      <w:r>
        <w:t>ans et plus se distingue par un plus faible nombre confié à une famille d’accueil (59</w:t>
      </w:r>
      <w:r w:rsidR="009F6EEB">
        <w:t> </w:t>
      </w:r>
      <w:r>
        <w:t>%), la différence s’expliquant vraisemblablement par le nombre d’enfants confiés à un centre de réadaptation (9</w:t>
      </w:r>
      <w:r w:rsidR="009F6EEB">
        <w:t> </w:t>
      </w:r>
      <w:r>
        <w:t>%).</w:t>
      </w:r>
    </w:p>
    <w:p w14:paraId="0957CDAF" w14:textId="37AE7BEB" w:rsidR="00913157" w:rsidRDefault="00913157" w:rsidP="003A1427">
      <w:pPr>
        <w:pStyle w:val="Paragraphe"/>
      </w:pPr>
      <w:r>
        <w:t>La trajectoire de placement de l’enfant avant d’être confié à un milieu de vie substitut jusqu’à la majorité apparait relativement courte. Dans la majorité des décisions analysées (58</w:t>
      </w:r>
      <w:r w:rsidR="009F6EEB">
        <w:t> </w:t>
      </w:r>
      <w:r>
        <w:t>%), l’enfant est confié dans le milieu de vie substitut où il l’a été lors du retrait du milieu familial.</w:t>
      </w:r>
    </w:p>
    <w:p w14:paraId="2FE0984A" w14:textId="176FA595" w:rsidR="002377CA" w:rsidRDefault="00913157" w:rsidP="003A1427">
      <w:pPr>
        <w:pStyle w:val="Paragraphe"/>
      </w:pPr>
      <w:r>
        <w:lastRenderedPageBreak/>
        <w:t>Un quart des enfants visés a toutefois fait l’objet de deux ou trois placements avant d’arriver dans le milieu du placement jusqu’à la majorité. Plus les enfants sont âgés, plus ils sont susceptibles d’avoir été confiés à plus d’un milieu de vie substitut que celui dans lequel ils sont confiés jusqu’à la majorité. Dans</w:t>
      </w:r>
      <w:r w:rsidR="002377CA">
        <w:t xml:space="preserve"> les décisions analysées pour lesquelles l’âge et le nombre de placements connus étaient mentionnés (n = 412), plus du tiers des enfants âgés de plus 6</w:t>
      </w:r>
      <w:r w:rsidR="00322ADA">
        <w:t> </w:t>
      </w:r>
      <w:r w:rsidR="002377CA">
        <w:t>ans ont connu plus d’un placement.</w:t>
      </w:r>
    </w:p>
    <w:p w14:paraId="563F1FBB" w14:textId="1CB991EF" w:rsidR="002377CA" w:rsidRDefault="002377CA" w:rsidP="003A1427">
      <w:pPr>
        <w:pStyle w:val="Paragraphe"/>
      </w:pPr>
      <w:r>
        <w:t>La trajectoire de placement semble par ailleurs influencer le type de famille d’accueil auquel l’enfant est confié. Dans les décisions analysées, plus le nombre de placements connus est grand, plus l’enfant est susceptible d’être placé en famille d’accueil «</w:t>
      </w:r>
      <w:r w:rsidR="00D96428">
        <w:rPr>
          <w:rFonts w:ascii="Arial" w:hAnsi="Arial" w:cs="Arial"/>
        </w:rPr>
        <w:t> </w:t>
      </w:r>
      <w:r>
        <w:t>régulière</w:t>
      </w:r>
      <w:r w:rsidR="00D96428">
        <w:rPr>
          <w:rFonts w:ascii="Arial" w:hAnsi="Arial" w:cs="Arial"/>
        </w:rPr>
        <w:t> </w:t>
      </w:r>
      <w:r>
        <w:t>». Au contraire, moins le nombre de placements connus est élevé, plus l’enfant est susceptible d’être placé en famille d’accueil de proximité. Ainsi, dans les décisions analysées où le nombre de placements connus est mentionné, seulement 14</w:t>
      </w:r>
      <w:r w:rsidR="009F6EEB">
        <w:t> </w:t>
      </w:r>
      <w:r>
        <w:t>% des enfants qui ont connu au moins 4</w:t>
      </w:r>
      <w:r w:rsidR="00322ADA">
        <w:t> </w:t>
      </w:r>
      <w:r>
        <w:t>placements antérieurs sont placés jusqu’à la majorité dans une famille d’accueil de proximité alors que c’est le cas de 33</w:t>
      </w:r>
      <w:r w:rsidR="009F6EEB">
        <w:t> </w:t>
      </w:r>
      <w:r>
        <w:t>% de ceux qui n’ont connu qu’un placement.</w:t>
      </w:r>
    </w:p>
    <w:p w14:paraId="4EB12266" w14:textId="77777777" w:rsidR="002377CA" w:rsidRDefault="002377CA" w:rsidP="003A1427">
      <w:pPr>
        <w:pStyle w:val="Paragraphe"/>
      </w:pPr>
      <w:r>
        <w:t>Bien que la tendance soit claire, elle doit être interprétée avec prudence, notamment pour les enfants qui ont été antérieurement placés quatre fois et plus, compte tenu du faible nombre de décisions portant sur une telle situation.</w:t>
      </w:r>
    </w:p>
    <w:p w14:paraId="0DEEF6E3" w14:textId="192CDDFA" w:rsidR="002377CA" w:rsidRDefault="002377CA" w:rsidP="003A1427">
      <w:pPr>
        <w:pStyle w:val="Paragraphe"/>
      </w:pPr>
      <w:r>
        <w:t>D’autres facteurs apparaissent importants pour les juges dans la prise de la décision menant au projet de</w:t>
      </w:r>
      <w:r w:rsidR="000904BC">
        <w:t xml:space="preserve"> </w:t>
      </w:r>
      <w:r>
        <w:t xml:space="preserve">vie de l’enfant de le placer </w:t>
      </w:r>
      <w:r w:rsidR="001718F2">
        <w:t>à un</w:t>
      </w:r>
      <w:r>
        <w:t xml:space="preserve"> milieu de vie substitut. L’engagement de celui-ci à prendre soin de l’enfant jusqu’à la majorité est mentionné dans 71</w:t>
      </w:r>
      <w:r w:rsidR="009F6EEB">
        <w:t> </w:t>
      </w:r>
      <w:r>
        <w:t>% des décisions analysées. Les liens affectifs que l’enfant a développés avec les membres du milieu de vie substitut sont pour leur part invoqués dans 63</w:t>
      </w:r>
      <w:r w:rsidR="000E416F">
        <w:t> </w:t>
      </w:r>
      <w:r>
        <w:t>% des décisions analysées.</w:t>
      </w:r>
    </w:p>
    <w:p w14:paraId="23820875" w14:textId="6E746D18" w:rsidR="002377CA" w:rsidRDefault="002377CA" w:rsidP="003A1427">
      <w:pPr>
        <w:pStyle w:val="Paragraphe"/>
      </w:pPr>
      <w:r>
        <w:t xml:space="preserve">La perception des procureures et des procureurs de l’enfant à ce sujet </w:t>
      </w:r>
      <w:r w:rsidR="00ED35B7">
        <w:t>apparait</w:t>
      </w:r>
      <w:r>
        <w:t xml:space="preserve"> toutefois plus mitigée puisque parmi les 11</w:t>
      </w:r>
      <w:r w:rsidR="00322ADA">
        <w:t> </w:t>
      </w:r>
      <w:r>
        <w:t xml:space="preserve">répondants qui observent des changements depuis la réforme dans le traitement des dossiers, seulement 2 considèrent qu’ils ont eu un effet important sur l’évaluation par les juges des liens que l’enfant </w:t>
      </w:r>
      <w:r w:rsidR="00F40B42">
        <w:t>détient</w:t>
      </w:r>
      <w:r>
        <w:t xml:space="preserve"> avec les personnes du milieu de vie substitut et 3 un effet modéré.</w:t>
      </w:r>
    </w:p>
    <w:p w14:paraId="4E8B2780" w14:textId="17EE7F43" w:rsidR="002377CA" w:rsidRDefault="002377CA" w:rsidP="003A1427">
      <w:pPr>
        <w:pStyle w:val="Paragraphe"/>
      </w:pPr>
      <w:r>
        <w:t xml:space="preserve">De façon corollaire à la prise en compte des liens affectifs de l’enfant avec le milieu d’accueil, l’évolution positive de l’enfant dans son milieu de vie substitut </w:t>
      </w:r>
      <w:r w:rsidR="00F40B42">
        <w:t>se dégage en tant qu’</w:t>
      </w:r>
      <w:r>
        <w:t>élément déterminant dans la prise de la décision de l’y confier jusqu’à la majorité puisqu’elle est mentionnée dans 79</w:t>
      </w:r>
      <w:r w:rsidR="000E416F">
        <w:t> </w:t>
      </w:r>
      <w:r>
        <w:t xml:space="preserve">% des décisions analysées. Le progrès observé dans le développement de l’enfant depuis qu’il est confié </w:t>
      </w:r>
      <w:r w:rsidR="001718F2">
        <w:t>à un</w:t>
      </w:r>
      <w:r>
        <w:t xml:space="preserve"> milieu de vie substitut occupe une place moins importante, mais néanmoins considérée dans 36</w:t>
      </w:r>
      <w:r w:rsidR="000E416F">
        <w:t> </w:t>
      </w:r>
      <w:r>
        <w:t>% des décisions.</w:t>
      </w:r>
    </w:p>
    <w:p w14:paraId="7B28DF02" w14:textId="7B6814D1" w:rsidR="00BE450B" w:rsidRDefault="002377CA" w:rsidP="003A1427">
      <w:pPr>
        <w:pStyle w:val="Paragraphe"/>
      </w:pPr>
      <w:r>
        <w:t>L’importance des bonnes relations entre le milieu familial et le milieu d’accueil semble être moins prise en considération par les juges dans la décision de confier l’enfant à un milieu de vie substitut jusqu’à la majorité. La qualité de la relation entre les parents et le milieu de vie substitut n’est prise en compte que dans 21</w:t>
      </w:r>
      <w:r w:rsidR="000E416F">
        <w:t> </w:t>
      </w:r>
      <w:r>
        <w:t>% des décisions analysées.</w:t>
      </w:r>
    </w:p>
    <w:p w14:paraId="78934343" w14:textId="77777777" w:rsidR="0071082B" w:rsidRDefault="0071082B" w:rsidP="003A1427">
      <w:pPr>
        <w:pStyle w:val="Paragraphe"/>
      </w:pPr>
    </w:p>
    <w:p w14:paraId="263D1DBF" w14:textId="2FCBE00B" w:rsidR="007B6D2B" w:rsidRDefault="00DA5082" w:rsidP="0071082B">
      <w:pPr>
        <w:pStyle w:val="Titre5"/>
        <w:numPr>
          <w:ilvl w:val="0"/>
          <w:numId w:val="22"/>
        </w:numPr>
        <w:ind w:left="426" w:hanging="426"/>
      </w:pPr>
      <w:bookmarkStart w:id="66" w:name="_Toc201330504"/>
      <w:r w:rsidRPr="00DA5082">
        <w:lastRenderedPageBreak/>
        <w:t>Le projet de vie est en place dans les délais prévus à la LPJ</w:t>
      </w:r>
      <w:bookmarkEnd w:id="66"/>
    </w:p>
    <w:p w14:paraId="63C9F30F" w14:textId="26F6F476" w:rsidR="007B6D2B" w:rsidRDefault="008C32E0" w:rsidP="003A1427">
      <w:pPr>
        <w:pStyle w:val="Paragraphe"/>
      </w:pPr>
      <w:r w:rsidRPr="008C32E0">
        <w:t xml:space="preserve">Pour plus de la moitié des enfants visés par les décisions analysées, la durée maximale durant laquelle il peut être confié à un milieu de vie substitut est atteinte au moment de se prononcer sur la décision de le confier </w:t>
      </w:r>
      <w:r w:rsidR="002A6D13">
        <w:t>à</w:t>
      </w:r>
      <w:r w:rsidRPr="008C32E0">
        <w:t xml:space="preserve"> </w:t>
      </w:r>
      <w:r w:rsidR="002A6D13">
        <w:t xml:space="preserve">un </w:t>
      </w:r>
      <w:r w:rsidRPr="008C32E0">
        <w:t>milieu de vie substitut (59</w:t>
      </w:r>
      <w:r w:rsidR="000E416F">
        <w:t> </w:t>
      </w:r>
      <w:r w:rsidRPr="008C32E0">
        <w:t>%).</w:t>
      </w:r>
    </w:p>
    <w:p w14:paraId="6CDC0192" w14:textId="21488074" w:rsidR="007B6D2B" w:rsidRPr="00604DCB" w:rsidRDefault="009F2CDF" w:rsidP="00A23BE4">
      <w:pPr>
        <w:pStyle w:val="Paragraphe"/>
        <w:jc w:val="center"/>
      </w:pPr>
      <w:r>
        <w:rPr>
          <w:noProof/>
        </w:rPr>
        <w:drawing>
          <wp:inline distT="0" distB="0" distL="0" distR="0" wp14:anchorId="0D9F83DB" wp14:editId="6C4E2180">
            <wp:extent cx="5444490" cy="2889885"/>
            <wp:effectExtent l="0" t="0" r="3810" b="5715"/>
            <wp:docPr id="212163279" name="Image 26" descr="P6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3279" name="Image 26" descr="P643#yIS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44490" cy="2889885"/>
                    </a:xfrm>
                    <a:prstGeom prst="rect">
                      <a:avLst/>
                    </a:prstGeom>
                    <a:noFill/>
                  </pic:spPr>
                </pic:pic>
              </a:graphicData>
            </a:graphic>
          </wp:inline>
        </w:drawing>
      </w:r>
    </w:p>
    <w:p w14:paraId="1BB8E71B" w14:textId="68481571" w:rsidR="007B6D2B" w:rsidRPr="00604DCB" w:rsidRDefault="009F4476" w:rsidP="003A1427">
      <w:pPr>
        <w:pStyle w:val="Paragraphe"/>
      </w:pPr>
      <w:r w:rsidRPr="009F4476">
        <w:t>Les enfants âgés de 2 à 5</w:t>
      </w:r>
      <w:r w:rsidR="00322ADA">
        <w:t> </w:t>
      </w:r>
      <w:r w:rsidRPr="009F4476">
        <w:t>ans sont ceux pour qui la durée maximale durant laquelle ils peuvent être confiés à un milieu de vie substitut est la plus souvent dépassée. C’est le cas dans 67</w:t>
      </w:r>
      <w:r w:rsidR="000E416F">
        <w:t> </w:t>
      </w:r>
      <w:r w:rsidRPr="009F4476">
        <w:t>% des décisions analysées portant sur ce groupe d’âge.</w:t>
      </w:r>
    </w:p>
    <w:p w14:paraId="0D8A1553" w14:textId="639E7E8E" w:rsidR="007B6D2B" w:rsidRPr="00604DCB" w:rsidRDefault="005651BA" w:rsidP="00A23BE4">
      <w:pPr>
        <w:pStyle w:val="Paragraphe"/>
        <w:jc w:val="center"/>
      </w:pPr>
      <w:r>
        <w:rPr>
          <w:noProof/>
        </w:rPr>
        <w:drawing>
          <wp:inline distT="0" distB="0" distL="0" distR="0" wp14:anchorId="2CDF4AF9" wp14:editId="66A8B2F4">
            <wp:extent cx="5584190" cy="2646045"/>
            <wp:effectExtent l="0" t="0" r="0" b="1905"/>
            <wp:docPr id="1855703695" name="Image 27" descr="P6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703695" name="Image 27" descr="P645#yIS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84190" cy="2646045"/>
                    </a:xfrm>
                    <a:prstGeom prst="rect">
                      <a:avLst/>
                    </a:prstGeom>
                    <a:noFill/>
                  </pic:spPr>
                </pic:pic>
              </a:graphicData>
            </a:graphic>
          </wp:inline>
        </w:drawing>
      </w:r>
    </w:p>
    <w:p w14:paraId="0C135A8E" w14:textId="0608BEA7" w:rsidR="007B6D2B" w:rsidRDefault="006657E4" w:rsidP="003A1427">
      <w:pPr>
        <w:pStyle w:val="Paragraphe"/>
      </w:pPr>
      <w:r w:rsidRPr="006657E4">
        <w:lastRenderedPageBreak/>
        <w:t xml:space="preserve">Parmi les décisions analysées pour lesquelles la durée </w:t>
      </w:r>
      <w:r w:rsidRPr="00D423CD">
        <w:t>maximale est atteinte, celle-ci l’est depuis</w:t>
      </w:r>
      <w:r w:rsidRPr="006657E4">
        <w:t xml:space="preserve"> au moins un an dans trois cas sur dix (28</w:t>
      </w:r>
      <w:r w:rsidR="000E416F">
        <w:t> </w:t>
      </w:r>
      <w:r w:rsidRPr="006657E4">
        <w:t>%). Cette proportion passe à 45</w:t>
      </w:r>
      <w:r w:rsidR="000E416F">
        <w:t> </w:t>
      </w:r>
      <w:r w:rsidRPr="006657E4">
        <w:t>% lorsque l’on ne retient que les décisions pour lesquelles la durée excédentaire est connue.</w:t>
      </w:r>
    </w:p>
    <w:p w14:paraId="3B25B4F2" w14:textId="22B72439" w:rsidR="00604DCB" w:rsidRDefault="00AD763D" w:rsidP="0071082B">
      <w:pPr>
        <w:pStyle w:val="Titre5"/>
        <w:numPr>
          <w:ilvl w:val="0"/>
          <w:numId w:val="22"/>
        </w:numPr>
        <w:ind w:left="426" w:hanging="426"/>
      </w:pPr>
      <w:bookmarkStart w:id="67" w:name="_Toc201330505"/>
      <w:r w:rsidRPr="00AD763D">
        <w:t>L’enfant est confié dans le même milieu de vie que sa fratrie</w:t>
      </w:r>
      <w:bookmarkEnd w:id="67"/>
    </w:p>
    <w:p w14:paraId="32EFE1C2" w14:textId="2656A425" w:rsidR="00F40E10" w:rsidRDefault="00F40E10" w:rsidP="003A1427">
      <w:pPr>
        <w:pStyle w:val="Paragraphe"/>
      </w:pPr>
      <w:r>
        <w:t>Parmi les 360</w:t>
      </w:r>
      <w:r w:rsidR="00322ADA">
        <w:t> </w:t>
      </w:r>
      <w:r>
        <w:t xml:space="preserve">décisions mentionnant que l’enfant confié </w:t>
      </w:r>
      <w:r w:rsidR="001718F2">
        <w:t>à un</w:t>
      </w:r>
      <w:r>
        <w:t xml:space="preserve"> milieu de vie substitut a des sœurs et frères, la quasi-totalité des décisions (89</w:t>
      </w:r>
      <w:r w:rsidR="000E416F">
        <w:t> </w:t>
      </w:r>
      <w:r>
        <w:t>%) mentionne si l’enfant est confié ou non dans un même milieu de vie que sa fratrie.</w:t>
      </w:r>
    </w:p>
    <w:p w14:paraId="27AE0729" w14:textId="16978B16" w:rsidR="00F40E10" w:rsidRDefault="00F40E10" w:rsidP="003A1427">
      <w:pPr>
        <w:pStyle w:val="Paragraphe"/>
      </w:pPr>
      <w:r>
        <w:t>Parmi les 322</w:t>
      </w:r>
      <w:r w:rsidR="00322ADA">
        <w:t> </w:t>
      </w:r>
      <w:r>
        <w:t>décisions où il est explicitement mentionné si l’enfant est ou n’est pas confié dans le</w:t>
      </w:r>
      <w:r w:rsidR="005651BA">
        <w:t xml:space="preserve"> </w:t>
      </w:r>
      <w:r>
        <w:t>même milieu que sa fratrie, la proportion de placement avec la fratrie est de 54</w:t>
      </w:r>
      <w:r w:rsidR="000E416F">
        <w:t> </w:t>
      </w:r>
      <w:r>
        <w:t>%.</w:t>
      </w:r>
    </w:p>
    <w:p w14:paraId="1DA32DB5" w14:textId="1AF5E98F" w:rsidR="00F40E10" w:rsidRDefault="00F40E10" w:rsidP="003A1427">
      <w:pPr>
        <w:pStyle w:val="Paragraphe"/>
      </w:pPr>
      <w:r>
        <w:t>Une plus grande proportion d’enfants (66</w:t>
      </w:r>
      <w:r w:rsidR="000E416F">
        <w:t> </w:t>
      </w:r>
      <w:r>
        <w:t>%) est confiée dans le même milieu de vie substitut que la fratrie lorsque celui-ci est une famille d’accueil de proximité comparativement à la famille d’accueil</w:t>
      </w:r>
      <w:r w:rsidR="005651BA">
        <w:t xml:space="preserve"> </w:t>
      </w:r>
      <w:r>
        <w:t>«</w:t>
      </w:r>
      <w:r w:rsidR="00D96428">
        <w:rPr>
          <w:rFonts w:ascii="Arial" w:hAnsi="Arial" w:cs="Arial"/>
        </w:rPr>
        <w:t> </w:t>
      </w:r>
      <w:r>
        <w:t>régulière</w:t>
      </w:r>
      <w:r w:rsidR="00D96428">
        <w:rPr>
          <w:rFonts w:ascii="Arial" w:hAnsi="Arial" w:cs="Arial"/>
        </w:rPr>
        <w:t> </w:t>
      </w:r>
      <w:r>
        <w:t>» (42</w:t>
      </w:r>
      <w:r w:rsidR="000E416F">
        <w:t> </w:t>
      </w:r>
      <w:r>
        <w:t>%). Cette répartition est similaire à travers les différents groupes d’âge.</w:t>
      </w:r>
    </w:p>
    <w:p w14:paraId="181D2890" w14:textId="2235C0D9" w:rsidR="00F40E10" w:rsidRDefault="00F40E10" w:rsidP="003A1427">
      <w:pPr>
        <w:pStyle w:val="Paragraphe"/>
      </w:pPr>
      <w:r w:rsidRPr="003A1427">
        <w:t xml:space="preserve">Toutefois, les liens affectifs que l’enfant peut maintenir avec sa fratrie dans le milieu de vie substitut auquel il est confié </w:t>
      </w:r>
      <w:r w:rsidR="007C777B">
        <w:t>n’est</w:t>
      </w:r>
      <w:r w:rsidR="00FE0583" w:rsidRPr="003A1427">
        <w:t xml:space="preserve"> </w:t>
      </w:r>
      <w:r w:rsidRPr="003A1427">
        <w:t>mentionné que dans 20</w:t>
      </w:r>
      <w:r w:rsidR="000E416F" w:rsidRPr="003A1427">
        <w:t> </w:t>
      </w:r>
      <w:r w:rsidRPr="003A1427">
        <w:t>% de</w:t>
      </w:r>
      <w:r w:rsidR="00B41C43" w:rsidRPr="003A1427">
        <w:t xml:space="preserve"> l’ensemble des</w:t>
      </w:r>
      <w:r w:rsidRPr="003A1427">
        <w:t xml:space="preserve"> </w:t>
      </w:r>
      <w:r w:rsidR="00B41C43" w:rsidRPr="003A1427">
        <w:t>501</w:t>
      </w:r>
      <w:r w:rsidR="00322ADA">
        <w:t> </w:t>
      </w:r>
      <w:r w:rsidRPr="003A1427">
        <w:t>décisions analysées.</w:t>
      </w:r>
    </w:p>
    <w:p w14:paraId="59EE918E" w14:textId="0A5FDBEF" w:rsidR="00F40E10" w:rsidRDefault="00F40E10" w:rsidP="003A1427">
      <w:pPr>
        <w:pStyle w:val="Paragraphe"/>
      </w:pPr>
      <w:r w:rsidRPr="00D423CD">
        <w:t>L</w:t>
      </w:r>
      <w:r w:rsidR="00CD3170" w:rsidRPr="00D423CD">
        <w:t>a forte majorité</w:t>
      </w:r>
      <w:r w:rsidR="00CD3170">
        <w:t xml:space="preserve"> d</w:t>
      </w:r>
      <w:r>
        <w:t>es procureures et des procureurs de l’enfant</w:t>
      </w:r>
      <w:r w:rsidR="00CD3170">
        <w:t xml:space="preserve"> </w:t>
      </w:r>
      <w:r>
        <w:t>ne perçoivent pas de changement quant à la prise en compte du placement ou de la possibilité d’un</w:t>
      </w:r>
      <w:r w:rsidR="0078194E">
        <w:t xml:space="preserve"> </w:t>
      </w:r>
      <w:r>
        <w:t xml:space="preserve">placement de l’enfant dans le même milieu de vie substitut que les membres de sa fratrie. Aucun procureur du groupe le moins expérimenté ne juge que le tribunal </w:t>
      </w:r>
      <w:r w:rsidR="005D5379">
        <w:t>prenne</w:t>
      </w:r>
      <w:r>
        <w:t xml:space="preserve"> désormais davantage en compte cet élément. Si on fait abstraction d’une personne qui dit ne pas savoir, l’ensemble des personnes de ce groupe d’expérience estime qu’il n’y a pas de changement.</w:t>
      </w:r>
    </w:p>
    <w:p w14:paraId="3052D6D1" w14:textId="2122D001" w:rsidR="00F40E10" w:rsidRDefault="00F40E10" w:rsidP="003A1427">
      <w:pPr>
        <w:pStyle w:val="Paragraphe"/>
      </w:pPr>
      <w:r>
        <w:t>Au contraire, près d’une personne sur cinq (5/26) estime que cet élément est davantage pris en compte alors que deux considèrent que cet élément est moins pris en compte qu’avant. Les 5</w:t>
      </w:r>
      <w:r w:rsidR="00322ADA">
        <w:t> </w:t>
      </w:r>
      <w:r>
        <w:t>personnes qui considèrent que cela est davantage pris en compte qu’avant cumulent au moins 6</w:t>
      </w:r>
      <w:r w:rsidR="00322ADA">
        <w:t> </w:t>
      </w:r>
      <w:r>
        <w:t xml:space="preserve">ans d’expérience en </w:t>
      </w:r>
      <w:r w:rsidR="00515B9F" w:rsidRPr="00D423CD">
        <w:t>protection de la jeunesse</w:t>
      </w:r>
      <w:r>
        <w:t>.</w:t>
      </w:r>
    </w:p>
    <w:p w14:paraId="7507EEC8" w14:textId="1C8F48A3" w:rsidR="00F40E10" w:rsidRDefault="00F40E10" w:rsidP="003A1427">
      <w:pPr>
        <w:pStyle w:val="Paragraphe"/>
      </w:pPr>
      <w:r>
        <w:t>La prise en compte du maintien des liens de l’enfant avec sa fratrie s’évalue par ailleurs à partir des contacts établis entre eux. Parmi les décisions où l’enfant a des frères et sœurs et où il est explicitement indiqué si des modalités de contacts sont établies entre eux, de telles modalités ne sont établies que dans 18</w:t>
      </w:r>
      <w:r w:rsidR="000E416F">
        <w:t> </w:t>
      </w:r>
      <w:r>
        <w:t>% des cas.</w:t>
      </w:r>
    </w:p>
    <w:p w14:paraId="589CBCFC" w14:textId="5D2A2374" w:rsidR="00604DCB" w:rsidRDefault="00F40E10" w:rsidP="003A1427">
      <w:pPr>
        <w:pStyle w:val="Paragraphe"/>
      </w:pPr>
      <w:r>
        <w:t>Cela varie de façon importante selon l’âge des enfants. Plus ils sont âgés et plus les décisions sont susceptibles de prévoir des modalités de contacts avec la fratrie. C’est le cas de 7</w:t>
      </w:r>
      <w:r w:rsidR="000E416F">
        <w:t> </w:t>
      </w:r>
      <w:r>
        <w:t>% des décisions qui concernent des enfants de moins de deux ans, de 15</w:t>
      </w:r>
      <w:r w:rsidR="000E416F">
        <w:t> </w:t>
      </w:r>
      <w:r>
        <w:t>% de celles qui concernent des enfants de 2 à 5</w:t>
      </w:r>
      <w:r w:rsidR="00322ADA">
        <w:t> </w:t>
      </w:r>
      <w:r>
        <w:t>ans, de 22</w:t>
      </w:r>
      <w:r w:rsidR="000E416F">
        <w:t> </w:t>
      </w:r>
      <w:r>
        <w:t>% de celles qui concernent des enfants de 6 à 12</w:t>
      </w:r>
      <w:r w:rsidR="00322ADA">
        <w:t> </w:t>
      </w:r>
      <w:r>
        <w:t>ans et de 29</w:t>
      </w:r>
      <w:r w:rsidR="000E416F">
        <w:t> </w:t>
      </w:r>
      <w:r>
        <w:t>% de celles qui concernent des enfants de 13</w:t>
      </w:r>
      <w:r w:rsidR="00322ADA">
        <w:t> </w:t>
      </w:r>
      <w:r>
        <w:t>ans et plus.</w:t>
      </w:r>
    </w:p>
    <w:p w14:paraId="0C9738ED" w14:textId="505C6876" w:rsidR="00604DCB" w:rsidRDefault="00BC550F" w:rsidP="0071082B">
      <w:pPr>
        <w:pStyle w:val="Titre5"/>
        <w:numPr>
          <w:ilvl w:val="0"/>
          <w:numId w:val="22"/>
        </w:numPr>
        <w:ind w:left="426" w:hanging="426"/>
      </w:pPr>
      <w:bookmarkStart w:id="68" w:name="_Toc201330506"/>
      <w:r>
        <w:lastRenderedPageBreak/>
        <w:t>L’enfant maintient des contacts avec ses parents une fois confié à un milieu de vie substitut jusqu’à la majorité</w:t>
      </w:r>
      <w:bookmarkEnd w:id="68"/>
    </w:p>
    <w:p w14:paraId="56BCD976" w14:textId="77777777" w:rsidR="0034228D" w:rsidRDefault="0034228D" w:rsidP="003A1427">
      <w:pPr>
        <w:pStyle w:val="Paragraphe"/>
      </w:pPr>
      <w:r>
        <w:t>Dans l’objectif de stabilité des liens et des conditions de vie de l’enfant, les contacts de l’enfant avec les parents doivent être déterminés par les juges dans l’ordonnance confiant l’enfant à un milieu de vie substitut jusqu’à l’âge de la majorité.</w:t>
      </w:r>
    </w:p>
    <w:p w14:paraId="74005F45" w14:textId="0C928449" w:rsidR="00604DCB" w:rsidRDefault="0034228D" w:rsidP="003A1427">
      <w:pPr>
        <w:pStyle w:val="Paragraphe"/>
      </w:pPr>
      <w:r>
        <w:t>Dans les décisions analysées, différents facteurs sont pondérés par les juges pour déterminer les contacts entre l’enfant et ses parents. Ils tendent à accorder un peu plus d’attention à la qualité de la relation entre l’enfant et ses parents depuis la naissance (64</w:t>
      </w:r>
      <w:r w:rsidR="000E416F">
        <w:t> </w:t>
      </w:r>
      <w:r>
        <w:t>% des décisions analysées) ainsi qu’à la constance de cette relation à long terme depuis sa naissance (57</w:t>
      </w:r>
      <w:r w:rsidR="000E416F">
        <w:t> </w:t>
      </w:r>
      <w:r>
        <w:t>%), qu’aux aspects plus contemporains observés lors des contacts, soit l’assiduité des parents lors des contacts planifiés avec l’enfant (42</w:t>
      </w:r>
      <w:r w:rsidR="000E416F">
        <w:t> </w:t>
      </w:r>
      <w:r>
        <w:t>%), le déroulement des contacts supervisés entre l’enfant et ses parents (48</w:t>
      </w:r>
      <w:r w:rsidR="000E416F">
        <w:t> </w:t>
      </w:r>
      <w:r>
        <w:t>%) et les réactions de l’enfant à la suite des contacts avec ses parents (52</w:t>
      </w:r>
      <w:r w:rsidR="000E416F">
        <w:t> </w:t>
      </w:r>
      <w:r>
        <w:t>%).</w:t>
      </w:r>
    </w:p>
    <w:p w14:paraId="4BF530DA" w14:textId="0B508769" w:rsidR="00604DCB" w:rsidRDefault="00F43403" w:rsidP="002C4074">
      <w:pPr>
        <w:pStyle w:val="Paragraphe"/>
        <w:jc w:val="center"/>
      </w:pPr>
      <w:r>
        <w:rPr>
          <w:noProof/>
        </w:rPr>
        <w:drawing>
          <wp:inline distT="0" distB="0" distL="0" distR="0" wp14:anchorId="2EF956BC" wp14:editId="641B7CE1">
            <wp:extent cx="5047615" cy="2664460"/>
            <wp:effectExtent l="0" t="0" r="635" b="2540"/>
            <wp:docPr id="1700011339" name="Image 28" descr="P65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011339" name="Image 28" descr="P659#yIS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7615" cy="2664460"/>
                    </a:xfrm>
                    <a:prstGeom prst="rect">
                      <a:avLst/>
                    </a:prstGeom>
                    <a:noFill/>
                  </pic:spPr>
                </pic:pic>
              </a:graphicData>
            </a:graphic>
          </wp:inline>
        </w:drawing>
      </w:r>
    </w:p>
    <w:p w14:paraId="43E3706F" w14:textId="104DFDE3" w:rsidR="00E34BE0" w:rsidRDefault="00E34BE0" w:rsidP="003A1427">
      <w:pPr>
        <w:pStyle w:val="Paragraphe"/>
      </w:pPr>
      <w:r>
        <w:t>Dans la majorité des décisions (67</w:t>
      </w:r>
      <w:r w:rsidR="000E416F">
        <w:t> </w:t>
      </w:r>
      <w:r>
        <w:t xml:space="preserve">%), les juges laissent aux parties l’établissement de la fréquence, des modalités et de la durée des contacts selon l’évaluation de la </w:t>
      </w:r>
      <w:r w:rsidRPr="009F24CB">
        <w:t xml:space="preserve">situation. </w:t>
      </w:r>
      <w:r w:rsidR="00EC1543" w:rsidRPr="009F24CB">
        <w:t>Parmi ces décisions, l</w:t>
      </w:r>
      <w:r w:rsidRPr="009F24CB">
        <w:t>es juges prennent toutefois le soin de prévoir</w:t>
      </w:r>
      <w:r w:rsidR="00FD70FC" w:rsidRPr="009F24CB">
        <w:t>, dans 63</w:t>
      </w:r>
      <w:r w:rsidR="00F02A29">
        <w:t> </w:t>
      </w:r>
      <w:r w:rsidR="00FD70FC" w:rsidRPr="009F24CB">
        <w:t>% des cas,</w:t>
      </w:r>
      <w:r w:rsidR="00E07824" w:rsidRPr="009F24CB">
        <w:t xml:space="preserve"> les modalités de contact</w:t>
      </w:r>
      <w:r w:rsidRPr="009F24CB">
        <w:t xml:space="preserve"> advenant que les parties ne parviennent pas à s’entendre.</w:t>
      </w:r>
    </w:p>
    <w:p w14:paraId="0731C264" w14:textId="39A6788E" w:rsidR="00D82765" w:rsidRDefault="00E34BE0" w:rsidP="003A1427">
      <w:pPr>
        <w:pStyle w:val="Paragraphe"/>
      </w:pPr>
      <w:r>
        <w:t xml:space="preserve">Il </w:t>
      </w:r>
      <w:r w:rsidR="00E2431D">
        <w:t>résulte</w:t>
      </w:r>
      <w:r>
        <w:t xml:space="preserve"> qu’un nombre significatif d’enfants n’a pas de contact avec ses parents ou l’un d’eux une fois qu’il est confié à un milieu de vie substitut jusqu’à la majorité puisqu’un interdit de contact est prévu dans 23</w:t>
      </w:r>
      <w:r w:rsidR="000E416F">
        <w:t> </w:t>
      </w:r>
      <w:r>
        <w:t>% des décisions analysées. De plus, plusieurs enfants n’auront pas de contact avec au moins un parent de façon temporaire puisque 18</w:t>
      </w:r>
      <w:r w:rsidR="000E416F">
        <w:t> </w:t>
      </w:r>
      <w:r>
        <w:t>% des décisions prévoient la suspension des contacts.</w:t>
      </w:r>
    </w:p>
    <w:p w14:paraId="30AAB392" w14:textId="77777777" w:rsidR="00D82765" w:rsidRDefault="00D82765" w:rsidP="003A1427">
      <w:pPr>
        <w:pStyle w:val="Paragraphe"/>
      </w:pPr>
    </w:p>
    <w:p w14:paraId="6400AFAA" w14:textId="75BE0993" w:rsidR="00D82765" w:rsidRDefault="007A30B7" w:rsidP="002C4074">
      <w:pPr>
        <w:pStyle w:val="Paragraphe"/>
        <w:jc w:val="center"/>
      </w:pPr>
      <w:r>
        <w:rPr>
          <w:noProof/>
        </w:rPr>
        <w:lastRenderedPageBreak/>
        <w:drawing>
          <wp:inline distT="0" distB="0" distL="0" distR="0" wp14:anchorId="5C9FD115" wp14:editId="463A08CA">
            <wp:extent cx="5365115" cy="3115310"/>
            <wp:effectExtent l="0" t="0" r="6985" b="8890"/>
            <wp:docPr id="993165098" name="Image 29" descr="P6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65098" name="Image 29" descr="P663#yIS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65115" cy="3115310"/>
                    </a:xfrm>
                    <a:prstGeom prst="rect">
                      <a:avLst/>
                    </a:prstGeom>
                    <a:noFill/>
                  </pic:spPr>
                </pic:pic>
              </a:graphicData>
            </a:graphic>
          </wp:inline>
        </w:drawing>
      </w:r>
    </w:p>
    <w:p w14:paraId="66587832" w14:textId="77777777" w:rsidR="00E05224" w:rsidRDefault="00E05224" w:rsidP="003A1427">
      <w:pPr>
        <w:pStyle w:val="Paragraphe"/>
      </w:pPr>
      <w:r>
        <w:t>Parmi les décisions où le tribunal établit les modalités de contacts entre l’enfant et le ou les parents, les interdictions concernent plus souvent les mères que les pères. Ces données descriptives ne prennent cependant pas en compte le fait que les pères sont plus souvent absents de la vie des enfants.</w:t>
      </w:r>
    </w:p>
    <w:p w14:paraId="70C91C15" w14:textId="487DB347" w:rsidR="00D82765" w:rsidRDefault="00E05224" w:rsidP="003A1427">
      <w:pPr>
        <w:pStyle w:val="Paragraphe"/>
      </w:pPr>
      <w:r>
        <w:t>Il est par ailleurs intéressant de noter que les contacts entre l’enfant et ses parents doivent être supervisés dans 37</w:t>
      </w:r>
      <w:r w:rsidR="000E416F">
        <w:t> </w:t>
      </w:r>
      <w:r>
        <w:t>% des décisions analysées et que l’établissement de contacts supervisés avec l’enfant concerne plus fréquemment les mères que les pères. La même mise en garde relative à l’absence des pères s’applique dans l’interprétation des résultats.</w:t>
      </w:r>
    </w:p>
    <w:p w14:paraId="052745B7" w14:textId="4499D594" w:rsidR="00D82765" w:rsidRDefault="004B47C1" w:rsidP="002C4074">
      <w:pPr>
        <w:pStyle w:val="Paragraphe"/>
        <w:jc w:val="center"/>
      </w:pPr>
      <w:r>
        <w:rPr>
          <w:noProof/>
        </w:rPr>
        <w:drawing>
          <wp:inline distT="0" distB="0" distL="0" distR="0" wp14:anchorId="66F0DEF2" wp14:editId="2DEF8C3F">
            <wp:extent cx="5641200" cy="2901600"/>
            <wp:effectExtent l="0" t="0" r="0" b="0"/>
            <wp:docPr id="1058529465" name="Image 20" descr="P6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529465" name="Image 20" descr="P666#yIS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41200" cy="2901600"/>
                    </a:xfrm>
                    <a:prstGeom prst="rect">
                      <a:avLst/>
                    </a:prstGeom>
                    <a:noFill/>
                  </pic:spPr>
                </pic:pic>
              </a:graphicData>
            </a:graphic>
          </wp:inline>
        </w:drawing>
      </w:r>
    </w:p>
    <w:p w14:paraId="2015EFE5" w14:textId="70F74641" w:rsidR="00976D0B" w:rsidRDefault="00976D0B" w:rsidP="003A1427">
      <w:pPr>
        <w:pStyle w:val="Paragraphe"/>
      </w:pPr>
      <w:r>
        <w:lastRenderedPageBreak/>
        <w:t>On peut constater que plus les enfants sont jeunes, plus les juges ont tendance à ordonner des interdictions de contacts et des suspensions de contacts. Les décisions concernant des enfants de moins de deux ans sont celles pour lesquelles l’interdiction de contacts est la principale modalité des contacts établis par les juges. Pour les autres groupes d’âge, il s’agit plutôt de la supervision des contacts.</w:t>
      </w:r>
    </w:p>
    <w:p w14:paraId="04A0F857" w14:textId="5465D01E" w:rsidR="00976D0B" w:rsidRDefault="00976D0B" w:rsidP="003A1427">
      <w:pPr>
        <w:pStyle w:val="Paragraphe"/>
      </w:pPr>
      <w:r>
        <w:t>Il est intéressant de mentionner plus largement au sujet du maintien des liens entre l’enfant et les personnes qui lui sont significatives, dont ses grands-parents ou autres membres de la famille élargie, que parmi les procureures et procureurs de l’enfant, près de 7</w:t>
      </w:r>
      <w:r w:rsidR="00322ADA">
        <w:t> </w:t>
      </w:r>
      <w:r>
        <w:t>personnes répondantes sur 10 (18/26) ne perçoivent pas de changement quant à la prise en compte de la détermination des contacts entre l’enfant et les personnes qui lui sont significatives. Près d’une personne sur cinq (5/26) estime que cet élément est davantage pris en compte. Deux considèrent que cet élément est moins pris en compte qu’avant.</w:t>
      </w:r>
    </w:p>
    <w:p w14:paraId="57F4F10F" w14:textId="22E3C260" w:rsidR="00976D0B" w:rsidRDefault="00976D0B" w:rsidP="003A1427">
      <w:pPr>
        <w:pStyle w:val="Paragraphe"/>
      </w:pPr>
      <w:r>
        <w:t xml:space="preserve">Les personnes du groupe le plus expérimenté sont proportionnellement plus nombreuses à estimer que cela est davantage pris en compte qu’avant. </w:t>
      </w:r>
      <w:r w:rsidRPr="00396D08">
        <w:t xml:space="preserve">C’est le cas </w:t>
      </w:r>
      <w:r w:rsidR="001E40FD" w:rsidRPr="00396D08">
        <w:t>de</w:t>
      </w:r>
      <w:r w:rsidRPr="00396D08">
        <w:t xml:space="preserve"> 3</w:t>
      </w:r>
      <w:r w:rsidR="00322ADA">
        <w:t> </w:t>
      </w:r>
      <w:r w:rsidRPr="00396D08">
        <w:t>personnes.</w:t>
      </w:r>
    </w:p>
    <w:p w14:paraId="63DB3BC8" w14:textId="734B44D7" w:rsidR="00976D0B" w:rsidRDefault="00CC78F7" w:rsidP="00F93AC5">
      <w:pPr>
        <w:pStyle w:val="Titre2"/>
      </w:pPr>
      <w:bookmarkStart w:id="69" w:name="_Toc201330507"/>
      <w:r>
        <w:t>2.1.4</w:t>
      </w:r>
      <w:r>
        <w:tab/>
        <w:t>Le processus décisionnel du projet de vie permet à l’enfant de participer activement et d’être entendu</w:t>
      </w:r>
      <w:bookmarkEnd w:id="69"/>
    </w:p>
    <w:p w14:paraId="120B4595" w14:textId="42DE81CC" w:rsidR="00064190" w:rsidRDefault="00064190" w:rsidP="003A1427">
      <w:pPr>
        <w:pStyle w:val="Paragraphe"/>
      </w:pPr>
      <w:r>
        <w:t>La participation active de l’enfant est un droit prévu à la LPJ (art.</w:t>
      </w:r>
      <w:r w:rsidR="00104A0F">
        <w:t> </w:t>
      </w:r>
      <w:r>
        <w:t>4.5) qui nécessite de recueillir son opinion et de l’entendre à toutes les étapes du processus menant à son projet de vie (art.</w:t>
      </w:r>
      <w:r w:rsidR="00104A0F">
        <w:t> </w:t>
      </w:r>
      <w:r>
        <w:t>5 et 6). La participation de l’enfant est l’un des principes directeurs de la CRDE qui contribue à la mise en œuvre des droits de l’enfant (art.</w:t>
      </w:r>
      <w:r w:rsidR="00104A0F">
        <w:t> </w:t>
      </w:r>
      <w:r>
        <w:t>12).</w:t>
      </w:r>
    </w:p>
    <w:p w14:paraId="55792C29" w14:textId="0B485699" w:rsidR="00064190" w:rsidRDefault="00064190" w:rsidP="003A1427">
      <w:pPr>
        <w:pStyle w:val="Paragraphe"/>
      </w:pPr>
      <w:r>
        <w:t xml:space="preserve">Le préambule introduit à la LPJ à l’occasion de la réforme rend explicite le droit de l’enfant de faire entendre sa voix. Il spécifie que </w:t>
      </w:r>
      <w:r w:rsidR="00E2431D">
        <w:t>sa</w:t>
      </w:r>
      <w:r>
        <w:t xml:space="preserve"> participation aux décisions qui le concernent et la prise en compte de leur opinion ont pour effet de renforcer leur pouvoir d’agir.</w:t>
      </w:r>
    </w:p>
    <w:p w14:paraId="2982430A" w14:textId="7AD43F01" w:rsidR="00064190" w:rsidRDefault="00064190" w:rsidP="003A1427">
      <w:pPr>
        <w:pStyle w:val="Paragraphe"/>
      </w:pPr>
      <w:r>
        <w:t>La prise en compte de l’opinion de l’enfant permet par ailleurs d’avoir une compréhension nuancée de la situation familiale et pourrait renforcer chez l’enfant le sentiment d’être écouté et pris en considération.</w:t>
      </w:r>
    </w:p>
    <w:p w14:paraId="1FE004E4" w14:textId="62830FA5" w:rsidR="00976D0B" w:rsidRDefault="00064190" w:rsidP="003A1427">
      <w:pPr>
        <w:pStyle w:val="Paragraphe"/>
      </w:pPr>
      <w:r>
        <w:t>Selon son âge, l’enfant peut exprimer son opinion et être entendu directement ou par son représentant légal. Dans toutes les procédures judiciaires en matière de protection de la jeunesse, les enfants et les adolescents se voient nommer un avocat d’office</w:t>
      </w:r>
      <w:r w:rsidR="0085330E">
        <w:rPr>
          <w:rFonts w:ascii="ZWAdobeF" w:hAnsi="ZWAdobeF" w:cs="ZWAdobeF"/>
          <w:sz w:val="2"/>
          <w:szCs w:val="2"/>
        </w:rPr>
        <w:t>119F</w:t>
      </w:r>
      <w:r w:rsidR="005E06F3">
        <w:rPr>
          <w:rStyle w:val="Appelnotedebasdep"/>
        </w:rPr>
        <w:footnoteReference w:id="121"/>
      </w:r>
      <w:r>
        <w:t xml:space="preserve">. Il revient au juge de s’assurer qu’un avocat conseille et représente exclusivement </w:t>
      </w:r>
      <w:r w:rsidRPr="00625A9F">
        <w:t>l’enfant (art.</w:t>
      </w:r>
      <w:r w:rsidR="00104A0F">
        <w:t> </w:t>
      </w:r>
      <w:r w:rsidRPr="00625A9F">
        <w:t>78</w:t>
      </w:r>
      <w:r w:rsidR="000A59FB">
        <w:t> </w:t>
      </w:r>
      <w:r w:rsidRPr="00625A9F">
        <w:t>al.</w:t>
      </w:r>
      <w:r w:rsidR="00625A9F" w:rsidRPr="00625A9F">
        <w:t>2</w:t>
      </w:r>
      <w:r w:rsidRPr="00625A9F">
        <w:t xml:space="preserve"> LPJ).</w:t>
      </w:r>
      <w:r>
        <w:t xml:space="preserve"> Il s’agit désormais d’une obligation légale. À partir de 14</w:t>
      </w:r>
      <w:r w:rsidR="00322ADA">
        <w:t> </w:t>
      </w:r>
      <w:r>
        <w:t xml:space="preserve">ans, les enfants peuvent retenir les services de l’avocat de leur choix. L’avocat de l’enfant doit, selon son âge, tenir compte de ses désirs et agir dans </w:t>
      </w:r>
      <w:r w:rsidR="00983C73" w:rsidRPr="0038380C">
        <w:t xml:space="preserve">son </w:t>
      </w:r>
      <w:r w:rsidRPr="0038380C">
        <w:t>intérêt</w:t>
      </w:r>
      <w:r w:rsidR="0085330E">
        <w:rPr>
          <w:rFonts w:ascii="ZWAdobeF" w:hAnsi="ZWAdobeF" w:cs="ZWAdobeF"/>
          <w:sz w:val="2"/>
          <w:szCs w:val="2"/>
        </w:rPr>
        <w:t>120F</w:t>
      </w:r>
      <w:r w:rsidR="005E06F3">
        <w:rPr>
          <w:rStyle w:val="Appelnotedebasdep"/>
        </w:rPr>
        <w:footnoteReference w:id="122"/>
      </w:r>
      <w:r w:rsidR="005E06F3">
        <w:t>.</w:t>
      </w:r>
    </w:p>
    <w:p w14:paraId="58ECA959" w14:textId="21D753A1" w:rsidR="00976D0B" w:rsidRDefault="0080680E" w:rsidP="003A1427">
      <w:pPr>
        <w:pStyle w:val="Paragraphe"/>
      </w:pPr>
      <w:r w:rsidRPr="0080680E">
        <w:lastRenderedPageBreak/>
        <w:t>La LPJ détaille les règles entourant le témoignage de l’enfant (art.</w:t>
      </w:r>
      <w:r w:rsidR="00104A0F">
        <w:t> </w:t>
      </w:r>
      <w:r w:rsidRPr="0080680E">
        <w:t>85.1 à 85.6). Selon celles-ci, tout enfant est apte à témoigner. Des mécanismes permettent aux jeunes enfants de faire des déclarations judiciaires. L’enfant peut toutefois être dispensé de témoigner s’il cela peut nuire à son développement mental ou affectif.</w:t>
      </w:r>
    </w:p>
    <w:p w14:paraId="79777D34" w14:textId="09EEEBF2" w:rsidR="00976D0B" w:rsidRDefault="000E4D8A" w:rsidP="0071082B">
      <w:pPr>
        <w:pStyle w:val="Titre5"/>
        <w:numPr>
          <w:ilvl w:val="0"/>
          <w:numId w:val="7"/>
        </w:numPr>
        <w:ind w:left="426" w:hanging="426"/>
      </w:pPr>
      <w:bookmarkStart w:id="70" w:name="_Toc201330508"/>
      <w:r w:rsidRPr="000E4D8A">
        <w:t>L’opinion de l’enfant concernant le choix de son projet de vie est prise en compte</w:t>
      </w:r>
      <w:bookmarkEnd w:id="70"/>
    </w:p>
    <w:p w14:paraId="07CDDD85" w14:textId="6F7D9AFC" w:rsidR="00786785" w:rsidRDefault="00786785" w:rsidP="003A1427">
      <w:pPr>
        <w:pStyle w:val="Paragraphe"/>
      </w:pPr>
      <w:r>
        <w:t>Plus l’enfant est âgé, plus son opinion quant au choix de son projet de vie est prise en compte dans les décisions de le confier à un milieu de vie substitut jusqu’à la majorité. Ainsi, parmi les décisions qui concernent des enfants de 6 à 12</w:t>
      </w:r>
      <w:r w:rsidR="00322ADA">
        <w:t> </w:t>
      </w:r>
      <w:r>
        <w:t>ans, 55</w:t>
      </w:r>
      <w:r w:rsidR="000E416F">
        <w:t> </w:t>
      </w:r>
      <w:r>
        <w:t>% mentionnent l’opinion de l’enfant. C’est cependant le cas de 91</w:t>
      </w:r>
      <w:r w:rsidR="000E416F">
        <w:t> </w:t>
      </w:r>
      <w:r>
        <w:t>% des décisions qui concernent des enfants de 13</w:t>
      </w:r>
      <w:r w:rsidR="00322ADA">
        <w:t> </w:t>
      </w:r>
      <w:r>
        <w:t>ans et plus.</w:t>
      </w:r>
    </w:p>
    <w:p w14:paraId="4F832ABA" w14:textId="49D105BB" w:rsidR="00786785" w:rsidRDefault="00786785" w:rsidP="003A1427">
      <w:pPr>
        <w:pStyle w:val="Paragraphe"/>
      </w:pPr>
      <w:r>
        <w:t>La réforme ne semble pas avoir eu d’effet sur la pratique à cet égard. Hormis une personne disant ne pas savoir, l’ensemble des répondants estiment que la réforme de 2022 n’a pas entrainé de modification quant à la prise en compte par le tribunal de la participation de l’enfant à la décision concernant son projet de vie et au choix des mesures concernant son placement jusqu’à la majorité.</w:t>
      </w:r>
    </w:p>
    <w:p w14:paraId="5FCC1A9F" w14:textId="30779184" w:rsidR="00976D0B" w:rsidRDefault="00786785" w:rsidP="003A1427">
      <w:pPr>
        <w:pStyle w:val="Paragraphe"/>
      </w:pPr>
      <w:r>
        <w:t>La seule personne qui a indiqué ne pas savoir cumule moins de 6</w:t>
      </w:r>
      <w:r w:rsidR="00322ADA">
        <w:t> </w:t>
      </w:r>
      <w:r>
        <w:t>ans de pratique en PJ.</w:t>
      </w:r>
    </w:p>
    <w:p w14:paraId="617AE0E2" w14:textId="44F8DC4E" w:rsidR="002E78D1" w:rsidRDefault="00067499" w:rsidP="002E69C1">
      <w:pPr>
        <w:pStyle w:val="Paragraphe"/>
        <w:jc w:val="center"/>
      </w:pPr>
      <w:r>
        <w:rPr>
          <w:noProof/>
        </w:rPr>
        <w:drawing>
          <wp:inline distT="0" distB="0" distL="0" distR="0" wp14:anchorId="1A287534" wp14:editId="7D3149F3">
            <wp:extent cx="5657850" cy="3016250"/>
            <wp:effectExtent l="0" t="0" r="0" b="12700"/>
            <wp:docPr id="596880707" name="Graphique 1" descr="P680#yIS1">
              <a:extLst xmlns:a="http://schemas.openxmlformats.org/drawingml/2006/main">
                <a:ext uri="{FF2B5EF4-FFF2-40B4-BE49-F238E27FC236}">
                  <a16:creationId xmlns:a16="http://schemas.microsoft.com/office/drawing/2014/main" id="{23558779-75A3-957B-BE3D-2F84A2F118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D2FD313" w14:textId="10AE38E7" w:rsidR="002E78D1" w:rsidRDefault="005B60F5" w:rsidP="003A1427">
      <w:pPr>
        <w:pStyle w:val="Paragraphe"/>
      </w:pPr>
      <w:r w:rsidRPr="005B60F5">
        <w:t xml:space="preserve">Sans être directement liée à la participation active de l’enfant, la position de l’enfant ou de la procureure ou du procureur qui le représente concernant la demande du DJP d’actualiser le projet de vie de le confier </w:t>
      </w:r>
      <w:r w:rsidR="001D4FC5">
        <w:t>à un</w:t>
      </w:r>
      <w:r w:rsidRPr="005B60F5">
        <w:t xml:space="preserve"> milieu de vie substitut jusqu’à la majorité est un indicateur pertinent de l’implication de l’enfant dans le processus décisionnel.</w:t>
      </w:r>
    </w:p>
    <w:p w14:paraId="72DE431A" w14:textId="3064397C" w:rsidR="005B6DFF" w:rsidRDefault="005B6DFF" w:rsidP="003A1427">
      <w:pPr>
        <w:pStyle w:val="Paragraphe"/>
      </w:pPr>
      <w:r>
        <w:lastRenderedPageBreak/>
        <w:t>Les décisions analysées démontrent qu’une vaste majorité d’enfants</w:t>
      </w:r>
      <w:r w:rsidR="008B53C9">
        <w:t xml:space="preserve"> </w:t>
      </w:r>
      <w:r>
        <w:t>ou de procureures ou procureurs qui les représentent</w:t>
      </w:r>
      <w:r w:rsidR="008B53C9">
        <w:t xml:space="preserve"> </w:t>
      </w:r>
      <w:r>
        <w:t>adhèrent au projet de vie proposé par le DPJ de les confier à un milieu de vie substitut jusqu’à la majorité (73</w:t>
      </w:r>
      <w:r w:rsidR="000E416F">
        <w:t> </w:t>
      </w:r>
      <w:r>
        <w:t>%). Seulement 9,4</w:t>
      </w:r>
      <w:r w:rsidR="000E416F">
        <w:t> </w:t>
      </w:r>
      <w:r>
        <w:t>% des décisions analysées font état d’une contestation, par l’enfant ou sa procureure ou son procureur, de la décision du DPJ de les confier à un milieu de vie substitut jusqu’à la majorité.</w:t>
      </w:r>
    </w:p>
    <w:p w14:paraId="53C12B7D" w14:textId="4D391D31" w:rsidR="005B6DFF" w:rsidRDefault="005B6DFF" w:rsidP="003A1427">
      <w:pPr>
        <w:pStyle w:val="Paragraphe"/>
      </w:pPr>
      <w:r>
        <w:t>En ne retenant que les décisions qui mentionnent explicitement l’adhésion ou la contestation par rapport au projet de vie proposé (n = 410), il ressort que le projet a davantage tendance à être contesté lorsque l’enfant est plus âgé. Cependant, même parmi ces décisions concernant des enfants de 13</w:t>
      </w:r>
      <w:r w:rsidR="00322ADA">
        <w:t> </w:t>
      </w:r>
      <w:r>
        <w:t>ans et plus, seule une minorité de 37</w:t>
      </w:r>
      <w:r w:rsidR="000E416F">
        <w:t> </w:t>
      </w:r>
      <w:r>
        <w:t>% d’entre eux conteste le projet.</w:t>
      </w:r>
    </w:p>
    <w:p w14:paraId="193B0F9B" w14:textId="5E360BF1" w:rsidR="002E78D1" w:rsidRDefault="005B6DFF" w:rsidP="003A1427">
      <w:pPr>
        <w:pStyle w:val="Paragraphe"/>
      </w:pPr>
      <w:r>
        <w:t xml:space="preserve">Il </w:t>
      </w:r>
      <w:r w:rsidR="003708D4">
        <w:t>se dégage</w:t>
      </w:r>
      <w:r>
        <w:t xml:space="preserve"> par ailleurs des données recueillies auprès des procureures et procureurs de l’enfant que parmi les 11</w:t>
      </w:r>
      <w:r w:rsidR="00322ADA">
        <w:t> </w:t>
      </w:r>
      <w:r>
        <w:t xml:space="preserve">personnes répondantes qui observent des changements depuis la réforme de 2022 dans le traitement des dossiers, </w:t>
      </w:r>
      <w:r w:rsidR="000F50E6">
        <w:t>qu’</w:t>
      </w:r>
      <w:r>
        <w:t>une majorité (6) considère qu’ils ont eu un effet important sur la place accordée à l’enfant, dont la prise en compte de son opinion et sa participation à l’audience.</w:t>
      </w:r>
    </w:p>
    <w:p w14:paraId="67FFE35E" w14:textId="1095C625" w:rsidR="002E78D1" w:rsidRDefault="00C91C61" w:rsidP="00560DAC">
      <w:pPr>
        <w:pStyle w:val="Titre5"/>
        <w:numPr>
          <w:ilvl w:val="0"/>
          <w:numId w:val="7"/>
        </w:numPr>
        <w:ind w:left="426" w:hanging="426"/>
      </w:pPr>
      <w:bookmarkStart w:id="71" w:name="_Toc201330509"/>
      <w:r w:rsidRPr="00C91C61">
        <w:t>Les désirs de l’enfant pour l’établissement des contacts avec les personnes significatives sont favorisés</w:t>
      </w:r>
      <w:bookmarkEnd w:id="71"/>
    </w:p>
    <w:p w14:paraId="196FC05D" w14:textId="77140AAF" w:rsidR="008F4790" w:rsidRPr="008F4790" w:rsidRDefault="008F4790" w:rsidP="003A1427">
      <w:pPr>
        <w:pStyle w:val="Paragraphe"/>
      </w:pPr>
      <w:r w:rsidRPr="008F4790">
        <w:t xml:space="preserve">En </w:t>
      </w:r>
      <w:r w:rsidR="00AA6784" w:rsidRPr="00D62304">
        <w:t>considérant</w:t>
      </w:r>
      <w:r w:rsidRPr="008F4790">
        <w:t xml:space="preserve"> que les 217</w:t>
      </w:r>
      <w:r w:rsidR="00322ADA">
        <w:t> </w:t>
      </w:r>
      <w:r w:rsidRPr="008F4790">
        <w:t>décisions applicables où les enfants ont 6</w:t>
      </w:r>
      <w:r w:rsidR="00322ADA">
        <w:t> </w:t>
      </w:r>
      <w:r w:rsidRPr="008F4790">
        <w:t>ans ou plus,</w:t>
      </w:r>
      <w:r>
        <w:t xml:space="preserve"> </w:t>
      </w:r>
      <w:r w:rsidRPr="008F4790">
        <w:t>73</w:t>
      </w:r>
      <w:r w:rsidR="000E416F">
        <w:t> </w:t>
      </w:r>
      <w:r w:rsidRPr="008F4790">
        <w:t xml:space="preserve">% </w:t>
      </w:r>
      <w:r w:rsidR="003708D4">
        <w:t xml:space="preserve">des juges </w:t>
      </w:r>
      <w:r w:rsidRPr="008F4790">
        <w:t>mentionnent que le désir de l’enfant a été pris en compte lors de l’établissement des contacts avec les personnes qui lui sont significatives. Le taux est plus élevé parmi les décisions concernant les enfants de 13</w:t>
      </w:r>
      <w:r w:rsidR="00322ADA">
        <w:t> </w:t>
      </w:r>
      <w:r w:rsidRPr="008F4790">
        <w:t>ans et plus (89</w:t>
      </w:r>
      <w:r w:rsidR="000E416F">
        <w:t> </w:t>
      </w:r>
      <w:r w:rsidRPr="008F4790">
        <w:t>%) que pour celles concernant les enfants de 6 à 12</w:t>
      </w:r>
      <w:r w:rsidR="00322ADA">
        <w:t> </w:t>
      </w:r>
      <w:r w:rsidRPr="008F4790">
        <w:t>ans (68</w:t>
      </w:r>
      <w:r w:rsidR="000E416F">
        <w:t> </w:t>
      </w:r>
      <w:r w:rsidRPr="008F4790">
        <w:t>%).</w:t>
      </w:r>
    </w:p>
    <w:p w14:paraId="257BC496" w14:textId="0C17F1E9" w:rsidR="008F4790" w:rsidRPr="008F4790" w:rsidRDefault="008F4790" w:rsidP="003A1427">
      <w:pPr>
        <w:pStyle w:val="Paragraphe"/>
      </w:pPr>
      <w:r w:rsidRPr="008F4790">
        <w:t>Les réponses obtenues des procureures et procureurs à ce sujet montrent que plus du quart des personnes répondantes (20/26) ne perçoivent pas de changement quant à la prise en compte des désirs de l’enfant lors de la détermination des contacts avec les personnes qui lui sont significatives. Seulement 4</w:t>
      </w:r>
      <w:r w:rsidR="00322ADA">
        <w:t> </w:t>
      </w:r>
      <w:r w:rsidRPr="008F4790">
        <w:t>personnes estiment que cela est davantage pris en compte qu’avant alors qu’une personne juge que,</w:t>
      </w:r>
      <w:r>
        <w:t xml:space="preserve"> </w:t>
      </w:r>
      <w:r w:rsidRPr="008F4790">
        <w:t>au contraire, c’est moins le cas qu’avant.</w:t>
      </w:r>
    </w:p>
    <w:p w14:paraId="5CECC182" w14:textId="0554CF6A" w:rsidR="008F4790" w:rsidRPr="008F4790" w:rsidRDefault="008F4790" w:rsidP="003A1427">
      <w:pPr>
        <w:pStyle w:val="Paragraphe"/>
      </w:pPr>
      <w:r w:rsidRPr="008F4790">
        <w:t>Les personnes du groupe le plus expérimenté sont proportionnellement plus nombreuses à estimer que</w:t>
      </w:r>
      <w:r>
        <w:t xml:space="preserve"> </w:t>
      </w:r>
      <w:r w:rsidRPr="008F4790">
        <w:t>cela est davantage pris en compte qu’a</w:t>
      </w:r>
      <w:r w:rsidR="003708D4">
        <w:t>uparavant</w:t>
      </w:r>
      <w:r w:rsidRPr="008F4790">
        <w:t xml:space="preserve">. C’est le </w:t>
      </w:r>
      <w:r w:rsidRPr="007464BC">
        <w:t>cas de 3</w:t>
      </w:r>
      <w:r w:rsidR="00322ADA">
        <w:t> </w:t>
      </w:r>
      <w:r w:rsidRPr="007464BC">
        <w:t>personnes.</w:t>
      </w:r>
    </w:p>
    <w:p w14:paraId="5CDEB7F9" w14:textId="01C86F72" w:rsidR="002E78D1" w:rsidRDefault="00FB6C3C" w:rsidP="00560DAC">
      <w:pPr>
        <w:pStyle w:val="Titre5"/>
        <w:numPr>
          <w:ilvl w:val="0"/>
          <w:numId w:val="7"/>
        </w:numPr>
        <w:ind w:left="426" w:hanging="426"/>
      </w:pPr>
      <w:bookmarkStart w:id="72" w:name="_Toc201330510"/>
      <w:r>
        <w:t>Le projet de vie retenu pour l’enfant tient compte des droits et des responsabilités de ses parents</w:t>
      </w:r>
      <w:bookmarkEnd w:id="72"/>
    </w:p>
    <w:p w14:paraId="512133C9" w14:textId="7E070A06" w:rsidR="002E78D1" w:rsidRDefault="00594ECA" w:rsidP="003A1427">
      <w:pPr>
        <w:pStyle w:val="Paragraphe"/>
      </w:pPr>
      <w:r>
        <w:t>La participation de l’enfant à l’audience sous la forme d’un témoignage n’apparait toutefois pas constituer un fait significatif à mentionner dans la décision de le confier à un milieu de vie substitut jusqu’à la majorité puisque seulement 24</w:t>
      </w:r>
      <w:r w:rsidR="00322ADA">
        <w:t> </w:t>
      </w:r>
      <w:r>
        <w:t>décisions en font état, soit seulement 5</w:t>
      </w:r>
      <w:r w:rsidR="000E416F">
        <w:t> </w:t>
      </w:r>
      <w:r>
        <w:t>% de l’échantillon. 14 de ces décisions concernent des enfants de 13</w:t>
      </w:r>
      <w:r w:rsidR="00322ADA">
        <w:t> </w:t>
      </w:r>
      <w:r>
        <w:t>ans et plus et 9 concernent des enfants de 6 à 12</w:t>
      </w:r>
      <w:r w:rsidR="00322ADA">
        <w:t> </w:t>
      </w:r>
      <w:r>
        <w:t>ans</w:t>
      </w:r>
      <w:r w:rsidR="00734713">
        <w:t>.</w:t>
      </w:r>
    </w:p>
    <w:p w14:paraId="20ECA315" w14:textId="2E82ED01" w:rsidR="002E78D1" w:rsidRDefault="00B942EE" w:rsidP="003A1427">
      <w:pPr>
        <w:pStyle w:val="Paragraphe"/>
      </w:pPr>
      <w:r w:rsidRPr="007974D9">
        <w:t>S</w:t>
      </w:r>
      <w:r>
        <w:t>oulignons que s</w:t>
      </w:r>
      <w:r w:rsidRPr="007974D9">
        <w:t xml:space="preserve">euls les cas où </w:t>
      </w:r>
      <w:r w:rsidR="0074717D">
        <w:t>les</w:t>
      </w:r>
      <w:r w:rsidRPr="007974D9">
        <w:t xml:space="preserve"> juge</w:t>
      </w:r>
      <w:r w:rsidR="00495F8D">
        <w:t>s</w:t>
      </w:r>
      <w:r w:rsidRPr="007974D9">
        <w:t xml:space="preserve"> mentionne</w:t>
      </w:r>
      <w:r w:rsidR="0074717D">
        <w:t>n</w:t>
      </w:r>
      <w:r w:rsidR="00B40C94">
        <w:t>t</w:t>
      </w:r>
      <w:r w:rsidRPr="007974D9">
        <w:t xml:space="preserve"> cette participation dans </w:t>
      </w:r>
      <w:r w:rsidR="000A597E" w:rsidRPr="007974D9">
        <w:t>la décision de les confier à un milieu de vie substitut jusqu’à la majorité</w:t>
      </w:r>
      <w:r w:rsidRPr="007974D9">
        <w:t xml:space="preserve"> ont été retenus.</w:t>
      </w:r>
      <w:r w:rsidR="002A0A0C">
        <w:t xml:space="preserve"> </w:t>
      </w:r>
      <w:r w:rsidR="007974D9" w:rsidRPr="007974D9">
        <w:t xml:space="preserve">Il est </w:t>
      </w:r>
      <w:r w:rsidR="00AB5A62">
        <w:t xml:space="preserve">ainsi </w:t>
      </w:r>
      <w:r w:rsidR="007974D9" w:rsidRPr="007974D9">
        <w:t>possible que</w:t>
      </w:r>
      <w:r w:rsidR="00395FF4">
        <w:t xml:space="preserve"> la participation d</w:t>
      </w:r>
      <w:r w:rsidR="007974D9" w:rsidRPr="005A1241">
        <w:t xml:space="preserve">es enfants </w:t>
      </w:r>
      <w:r w:rsidR="00395FF4" w:rsidRPr="005A1241">
        <w:t>à</w:t>
      </w:r>
      <w:r w:rsidR="007974D9" w:rsidRPr="005A1241">
        <w:t xml:space="preserve"> l’audience </w:t>
      </w:r>
      <w:r w:rsidR="00CA0FF1">
        <w:t>soit</w:t>
      </w:r>
      <w:r w:rsidR="00A964D8">
        <w:t xml:space="preserve"> </w:t>
      </w:r>
      <w:r w:rsidR="00CA0FF1">
        <w:t xml:space="preserve">plus grande </w:t>
      </w:r>
      <w:r w:rsidR="007974D9" w:rsidRPr="007974D9">
        <w:t>que</w:t>
      </w:r>
      <w:r w:rsidR="00553232">
        <w:t xml:space="preserve"> ce que montrent les </w:t>
      </w:r>
      <w:r w:rsidR="00725A69">
        <w:t>données</w:t>
      </w:r>
      <w:r w:rsidR="007974D9" w:rsidRPr="007974D9">
        <w:t xml:space="preserve">. </w:t>
      </w:r>
    </w:p>
    <w:p w14:paraId="781442FC" w14:textId="33FF041B" w:rsidR="002E78D1" w:rsidRDefault="002611B2" w:rsidP="00F93AC5">
      <w:pPr>
        <w:pStyle w:val="Titre2"/>
      </w:pPr>
      <w:bookmarkStart w:id="73" w:name="_Toc201330511"/>
      <w:r>
        <w:lastRenderedPageBreak/>
        <w:t>2.2</w:t>
      </w:r>
      <w:r>
        <w:tab/>
      </w:r>
      <w:r w:rsidR="00496911">
        <w:t>Le projet de vie retenu pour l’enfant tient compte des droits et des responsabilités de ses parents</w:t>
      </w:r>
      <w:bookmarkEnd w:id="73"/>
    </w:p>
    <w:p w14:paraId="44FC1317" w14:textId="71C25FB6" w:rsidR="002E78D1" w:rsidRDefault="004F45C3" w:rsidP="00F93AC5">
      <w:pPr>
        <w:pStyle w:val="Titre2"/>
      </w:pPr>
      <w:bookmarkStart w:id="74" w:name="_Toc201330512"/>
      <w:r w:rsidRPr="004F45C3">
        <w:t>2.2.1</w:t>
      </w:r>
      <w:r w:rsidRPr="004F45C3">
        <w:tab/>
        <w:t>Les parents sont impliqués pour les aider ou les amener à exercer leurs responsabilités parentales</w:t>
      </w:r>
      <w:bookmarkEnd w:id="74"/>
    </w:p>
    <w:p w14:paraId="45DB2EF1" w14:textId="6AC21348" w:rsidR="00E37DB6" w:rsidRDefault="00E37DB6" w:rsidP="003A1427">
      <w:pPr>
        <w:pStyle w:val="Paragraphe"/>
      </w:pPr>
      <w:r>
        <w:t>L’implication des parents est à la fois un droit qui leur est reconnu (art.</w:t>
      </w:r>
      <w:r w:rsidR="00104A0F">
        <w:t> </w:t>
      </w:r>
      <w:r>
        <w:t>4.4 LPJ) et une responsabilité qui leur est dévolue (11.5 LPJ). Le préambule rend explicite le droit des parents de faire entendre leur voix et de participer aux décisions qui les concernent pour renforcer leur pouvoir d’agir.</w:t>
      </w:r>
    </w:p>
    <w:p w14:paraId="3D1D493B" w14:textId="0627340C" w:rsidR="00E37DB6" w:rsidRDefault="00E37DB6" w:rsidP="003A1427">
      <w:pPr>
        <w:pStyle w:val="Paragraphe"/>
      </w:pPr>
      <w:r>
        <w:t>Le droit de tout enfant à la protection à la protection, à la sécurité et à l’attention que ses parents ou les personnes qui en tiennent lieu peuvent lui donner, prévu à l’article</w:t>
      </w:r>
      <w:r w:rsidR="00104A0F">
        <w:t> </w:t>
      </w:r>
      <w:r>
        <w:t xml:space="preserve">39 de la Charte, a pour corollaire le devoir </w:t>
      </w:r>
      <w:r w:rsidR="0025502B">
        <w:t>des</w:t>
      </w:r>
      <w:r>
        <w:t xml:space="preserve"> parents d’assurer la protection et la sécurité de leur enfant et de lui donner l’attention à laquelle il a droit, inscrit à l’article</w:t>
      </w:r>
      <w:r w:rsidR="00104A0F">
        <w:t> </w:t>
      </w:r>
      <w:r>
        <w:t>47 de la Charte. En tant que titulaires de l’autorité parentale, les pères, mères ou parents ont, à l’égard de leur enfant, le droit et le devoir de garde, de surveillance et d’éducation</w:t>
      </w:r>
      <w:r w:rsidR="0085330E">
        <w:rPr>
          <w:rFonts w:ascii="ZWAdobeF" w:hAnsi="ZWAdobeF" w:cs="ZWAdobeF"/>
          <w:sz w:val="2"/>
          <w:szCs w:val="2"/>
        </w:rPr>
        <w:t>121F</w:t>
      </w:r>
      <w:r>
        <w:rPr>
          <w:rStyle w:val="Appelnotedebasdep"/>
        </w:rPr>
        <w:footnoteReference w:id="123"/>
      </w:r>
      <w:r>
        <w:t>. Ils exercent ensemble l’autorité parentale</w:t>
      </w:r>
      <w:r w:rsidR="0085330E">
        <w:rPr>
          <w:rFonts w:ascii="ZWAdobeF" w:hAnsi="ZWAdobeF" w:cs="ZWAdobeF"/>
          <w:sz w:val="2"/>
          <w:szCs w:val="2"/>
        </w:rPr>
        <w:t>122F</w:t>
      </w:r>
      <w:r>
        <w:rPr>
          <w:rStyle w:val="Appelnotedebasdep"/>
        </w:rPr>
        <w:footnoteReference w:id="124"/>
      </w:r>
      <w:r>
        <w:t>. L’intervention du DPJ dans leur vie n’a pas pour effet de les priver de leurs obligations envers leur enfant puisqu’ils ne peuvent légalement pas y renoncer</w:t>
      </w:r>
      <w:r w:rsidR="0085330E">
        <w:rPr>
          <w:rFonts w:ascii="ZWAdobeF" w:hAnsi="ZWAdobeF" w:cs="ZWAdobeF"/>
          <w:sz w:val="2"/>
          <w:szCs w:val="2"/>
        </w:rPr>
        <w:t>123F</w:t>
      </w:r>
      <w:r>
        <w:rPr>
          <w:rStyle w:val="Appelnotedebasdep"/>
        </w:rPr>
        <w:footnoteReference w:id="125"/>
      </w:r>
      <w:r>
        <w:t xml:space="preserve">. Lorsque ce dernier est confié en famille d’accueil, ils conservent l’autorité parentale. Il est toutefois possible de limiter les attributs parentaux. </w:t>
      </w:r>
    </w:p>
    <w:p w14:paraId="4E02E246" w14:textId="29046004" w:rsidR="002E78D1" w:rsidRDefault="00E37DB6" w:rsidP="003A1427">
      <w:pPr>
        <w:pStyle w:val="Paragraphe"/>
      </w:pPr>
      <w:r>
        <w:t>L’application du principe du maintien en milieu familial sous-tend que l’État doit aider les parents à exercer leurs responsabilités parentales et à renforcer l’aptitude de la famille à s’occuper de l’enfant, à moins que la séparation ne soit indispensable pour protéger l’enfant</w:t>
      </w:r>
      <w:r w:rsidR="0085330E">
        <w:rPr>
          <w:rFonts w:ascii="ZWAdobeF" w:hAnsi="ZWAdobeF" w:cs="ZWAdobeF"/>
          <w:sz w:val="2"/>
          <w:szCs w:val="2"/>
        </w:rPr>
        <w:t>124F</w:t>
      </w:r>
      <w:r>
        <w:rPr>
          <w:rStyle w:val="Appelnotedebasdep"/>
        </w:rPr>
        <w:footnoteReference w:id="126"/>
      </w:r>
      <w:r>
        <w:t>.</w:t>
      </w:r>
    </w:p>
    <w:p w14:paraId="2EAD6597" w14:textId="27E44103" w:rsidR="00976D0B" w:rsidRDefault="001610D2" w:rsidP="003A1427">
      <w:pPr>
        <w:pStyle w:val="Paragraphe"/>
      </w:pPr>
      <w:r w:rsidRPr="001610D2">
        <w:t>Si l’État doit les soutenir dans leurs devoirs et responsabilités envers leur enfant, les parents doivent collaborer avec les personnes responsables de la prise en charge de la situation de leur enfant. Leur</w:t>
      </w:r>
      <w:r w:rsidR="00FB1960">
        <w:t xml:space="preserve"> contribution est essentielle pour trouver les solutions à mettre en place pour protéger l’enfant.</w:t>
      </w:r>
      <w:r w:rsidR="003620B6">
        <w:t xml:space="preserve"> </w:t>
      </w:r>
      <w:r w:rsidR="00A1057A">
        <w:t>Pour cela, ils doivent être</w:t>
      </w:r>
      <w:r w:rsidR="003620B6">
        <w:t xml:space="preserve"> informés et consultés dans les décisions prises concernant leur enfant</w:t>
      </w:r>
      <w:r w:rsidR="0085330E">
        <w:rPr>
          <w:rFonts w:ascii="ZWAdobeF" w:hAnsi="ZWAdobeF" w:cs="ZWAdobeF"/>
          <w:sz w:val="2"/>
          <w:szCs w:val="2"/>
        </w:rPr>
        <w:t>125F</w:t>
      </w:r>
      <w:r w:rsidR="003620B6">
        <w:rPr>
          <w:rStyle w:val="Appelnotedebasdep"/>
        </w:rPr>
        <w:footnoteReference w:id="127"/>
      </w:r>
      <w:r w:rsidR="003620B6">
        <w:t>.</w:t>
      </w:r>
      <w:r w:rsidR="00A1057A">
        <w:t xml:space="preserve"> </w:t>
      </w:r>
      <w:r w:rsidR="00FB1960">
        <w:t>Le manque d’investissement du parent peut justifier la prise de mesures pour protéger l’enfant</w:t>
      </w:r>
      <w:r w:rsidR="00FB1960" w:rsidRPr="003620B6">
        <w:t>.</w:t>
      </w:r>
    </w:p>
    <w:p w14:paraId="3EB82886" w14:textId="77777777" w:rsidR="00560DAC" w:rsidRDefault="00560DAC" w:rsidP="003A1427">
      <w:pPr>
        <w:pStyle w:val="Paragraphe"/>
      </w:pPr>
    </w:p>
    <w:p w14:paraId="6545A117" w14:textId="77777777" w:rsidR="00560DAC" w:rsidRDefault="00560DAC" w:rsidP="003A1427">
      <w:pPr>
        <w:pStyle w:val="Paragraphe"/>
      </w:pPr>
    </w:p>
    <w:p w14:paraId="235736CF" w14:textId="65725789" w:rsidR="001610D2" w:rsidRDefault="008607E9" w:rsidP="00560DAC">
      <w:pPr>
        <w:pStyle w:val="Titre5"/>
        <w:numPr>
          <w:ilvl w:val="0"/>
          <w:numId w:val="8"/>
        </w:numPr>
        <w:ind w:left="426" w:hanging="426"/>
      </w:pPr>
      <w:bookmarkStart w:id="75" w:name="_Toc201330513"/>
      <w:r w:rsidRPr="008607E9">
        <w:lastRenderedPageBreak/>
        <w:t>Les parents sont impliqués depuis que l’enfant est retiré du milieu familial</w:t>
      </w:r>
      <w:bookmarkEnd w:id="75"/>
    </w:p>
    <w:p w14:paraId="67984F83" w14:textId="3038BAF2" w:rsidR="001610D2" w:rsidRDefault="00C77B9E" w:rsidP="003A1427">
      <w:pPr>
        <w:pStyle w:val="Paragraphe"/>
      </w:pPr>
      <w:r w:rsidRPr="00C77B9E">
        <w:t>Parmi les décisions analysées, 88</w:t>
      </w:r>
      <w:r w:rsidR="000E416F">
        <w:t> </w:t>
      </w:r>
      <w:r w:rsidRPr="00C77B9E">
        <w:t>% mentionnent des éléments pour évaluer l’implication des parents pour assumer leurs responsabilités parentales</w:t>
      </w:r>
      <w:r w:rsidR="0056537F">
        <w:t xml:space="preserve">. </w:t>
      </w:r>
      <w:r w:rsidR="000D66F7">
        <w:t xml:space="preserve">Ces éléments sont </w:t>
      </w:r>
      <w:r w:rsidRPr="00C77B9E">
        <w:t xml:space="preserve">pondérés pour </w:t>
      </w:r>
      <w:r w:rsidR="007F71C1">
        <w:t>examiner</w:t>
      </w:r>
      <w:r w:rsidRPr="00C77B9E">
        <w:t xml:space="preserve"> leurs capacités parentales.</w:t>
      </w:r>
    </w:p>
    <w:p w14:paraId="05901B8C" w14:textId="59DC2BD0" w:rsidR="001610D2" w:rsidRDefault="00A0198D" w:rsidP="00340FFA">
      <w:pPr>
        <w:pStyle w:val="Titregraphique"/>
      </w:pPr>
      <w:r>
        <w:drawing>
          <wp:inline distT="0" distB="0" distL="0" distR="0" wp14:anchorId="6E89B662" wp14:editId="114BC7FE">
            <wp:extent cx="6008461" cy="3933598"/>
            <wp:effectExtent l="0" t="0" r="11430" b="10160"/>
            <wp:docPr id="905598291" name="Graphique 1" descr="P702#yIS1">
              <a:extLst xmlns:a="http://schemas.openxmlformats.org/drawingml/2006/main">
                <a:ext uri="{FF2B5EF4-FFF2-40B4-BE49-F238E27FC236}">
                  <a16:creationId xmlns:a16="http://schemas.microsoft.com/office/drawing/2014/main" id="{0832E4EF-075F-CADE-F99C-D21044A72A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9844339" w14:textId="1A0652A1" w:rsidR="004028AD" w:rsidRDefault="004028AD" w:rsidP="003A1427">
      <w:pPr>
        <w:pStyle w:val="Paragraphe"/>
      </w:pPr>
      <w:r>
        <w:t>L’état de la collaboration des parents avec le personnel du DPJ est l’aspect le plus fréquemment considéré par les juges pour apprécier l’engagement des parents à améliorer leurs capacités parentales. Il l’est en effet dans deux décisions sur trois, suivi de près l’état de la participation des parents aux services mis à leur disposition (58</w:t>
      </w:r>
      <w:r w:rsidR="000E416F">
        <w:t> </w:t>
      </w:r>
      <w:r>
        <w:t>%).</w:t>
      </w:r>
    </w:p>
    <w:p w14:paraId="5B72329B" w14:textId="62331006" w:rsidR="001610D2" w:rsidRDefault="004028AD" w:rsidP="003A1427">
      <w:pPr>
        <w:pStyle w:val="Paragraphe"/>
      </w:pPr>
      <w:r>
        <w:t xml:space="preserve">L’état de reconnaissance de leurs problématiques par les parents parait </w:t>
      </w:r>
      <w:r w:rsidR="0025502B">
        <w:t>aussi</w:t>
      </w:r>
      <w:r>
        <w:t xml:space="preserve"> être un aspect significatif de l’évaluation de leur implication à exercer leurs capacités parentales puisque, dans la moitié des décisions (51</w:t>
      </w:r>
      <w:r w:rsidR="000E416F">
        <w:t> </w:t>
      </w:r>
      <w:r>
        <w:t>%), les juges ont noté cet aspect.</w:t>
      </w:r>
    </w:p>
    <w:p w14:paraId="3AB80DCB" w14:textId="77777777" w:rsidR="005263FC" w:rsidRDefault="005263FC" w:rsidP="003A1427">
      <w:pPr>
        <w:pStyle w:val="Paragraphe"/>
      </w:pPr>
    </w:p>
    <w:p w14:paraId="120FB661" w14:textId="77777777" w:rsidR="005263FC" w:rsidRDefault="005263FC" w:rsidP="003A1427">
      <w:pPr>
        <w:pStyle w:val="Paragraphe"/>
      </w:pPr>
    </w:p>
    <w:p w14:paraId="3CBBBDD6" w14:textId="1E1FC797" w:rsidR="001610D2" w:rsidRDefault="00411E7C" w:rsidP="00560DAC">
      <w:pPr>
        <w:pStyle w:val="Titre5"/>
        <w:numPr>
          <w:ilvl w:val="0"/>
          <w:numId w:val="8"/>
        </w:numPr>
        <w:ind w:left="426" w:hanging="426"/>
      </w:pPr>
      <w:bookmarkStart w:id="76" w:name="_Toc201330514"/>
      <w:r w:rsidRPr="00411E7C">
        <w:lastRenderedPageBreak/>
        <w:t>Les services sont rendus aux parents pour les aider ou les amener à exercer leurs responsabilités parentales</w:t>
      </w:r>
      <w:bookmarkEnd w:id="76"/>
    </w:p>
    <w:p w14:paraId="07571EFC" w14:textId="5844E917" w:rsidR="00763C8C" w:rsidRDefault="00763C8C" w:rsidP="003A1427">
      <w:pPr>
        <w:pStyle w:val="Paragraphe"/>
      </w:pPr>
      <w:r>
        <w:t>Les décisions analysées montrent que moins de la moitié des décisions (45</w:t>
      </w:r>
      <w:r w:rsidR="000E416F">
        <w:t> </w:t>
      </w:r>
      <w:r>
        <w:t>%) mentionne les services rendus par le DPJ aux parents pour les aider ou les amener à exercer leurs responsabilités parentales depuis que leur enfant a été confié à un milieu de vie substitut.</w:t>
      </w:r>
    </w:p>
    <w:p w14:paraId="344C6770" w14:textId="63D748A4" w:rsidR="00763C8C" w:rsidRDefault="00763C8C" w:rsidP="003A1427">
      <w:pPr>
        <w:pStyle w:val="Paragraphe"/>
      </w:pPr>
      <w:r>
        <w:t>Parmi les décisions qui prennent en compte ces services rendus aux parents (n = 227), le tribunal considère différents aspects des services rendus. Dans 66</w:t>
      </w:r>
      <w:r w:rsidR="000E416F">
        <w:t> </w:t>
      </w:r>
      <w:r>
        <w:t>% de celles-ci, c’est la nature des services qui est mentionnée. Moins fréquemment, dans un peu plus du tiers de ces décisions, l’intensité (39</w:t>
      </w:r>
      <w:r w:rsidR="000E416F">
        <w:t> </w:t>
      </w:r>
      <w:r>
        <w:t>%) et l’adéquation (37</w:t>
      </w:r>
      <w:r w:rsidR="000E416F">
        <w:t> </w:t>
      </w:r>
      <w:r>
        <w:t>%) des services sont prises en compte. Dans seulement quatre décisions, la capacité même du réseau à offrir ces services est abordée.</w:t>
      </w:r>
    </w:p>
    <w:p w14:paraId="6E96795D" w14:textId="1D14F3D4" w:rsidR="004028AD" w:rsidRDefault="00763C8C" w:rsidP="003A1427">
      <w:pPr>
        <w:pStyle w:val="Paragraphe"/>
      </w:pPr>
      <w:r>
        <w:t>Selon la perception des procureures ou procureurs de l’enfant, la réforme ne semble avoir occasionné de changement sur les services rendus aux parents. Parmi les 11</w:t>
      </w:r>
      <w:r w:rsidR="00322ADA">
        <w:t> </w:t>
      </w:r>
      <w:r>
        <w:t>personnes répondantes qui observent des changements depuis la réforme de 2022 dans le traitement des dossiers, seulement une considère qu’ils ont eu un effet important sur l’aide, les conseils ou l’assistance apportés aux parents. Deux considèrent que leur effet est modéré.</w:t>
      </w:r>
    </w:p>
    <w:p w14:paraId="37AB50D4" w14:textId="5D345C5A" w:rsidR="004028AD" w:rsidRDefault="001968DF" w:rsidP="00F93AC5">
      <w:pPr>
        <w:pStyle w:val="Titre2"/>
        <w:ind w:left="708" w:hanging="708"/>
      </w:pPr>
      <w:bookmarkStart w:id="77" w:name="_Toc201330515"/>
      <w:r>
        <w:t>2.</w:t>
      </w:r>
      <w:r w:rsidR="008C7DE5">
        <w:t>2.2.</w:t>
      </w:r>
      <w:r w:rsidR="008C7DE5">
        <w:tab/>
      </w:r>
      <w:r w:rsidR="00F93AC5">
        <w:tab/>
      </w:r>
      <w:r>
        <w:t>Le processus décisionnel du projet de vie permet aux parents de participer activement et d’être entendus dans les décisions prises concernant leur enfant</w:t>
      </w:r>
      <w:bookmarkEnd w:id="77"/>
    </w:p>
    <w:p w14:paraId="784C4608" w14:textId="36316310" w:rsidR="004028AD" w:rsidRDefault="007D6693" w:rsidP="00560DAC">
      <w:pPr>
        <w:pStyle w:val="Titre5"/>
        <w:numPr>
          <w:ilvl w:val="0"/>
          <w:numId w:val="19"/>
        </w:numPr>
        <w:ind w:left="426" w:hanging="426"/>
      </w:pPr>
      <w:bookmarkStart w:id="78" w:name="_Toc201330516"/>
      <w:r w:rsidRPr="007D6693">
        <w:t>Les parents participent au processus décisionnel menant au projet de vie de leur enfant</w:t>
      </w:r>
      <w:bookmarkEnd w:id="78"/>
    </w:p>
    <w:p w14:paraId="46BA8A23" w14:textId="4AF5ACDA" w:rsidR="00B000D0" w:rsidRDefault="00B000D0" w:rsidP="003A1427">
      <w:pPr>
        <w:pStyle w:val="Paragraphe"/>
      </w:pPr>
      <w:r>
        <w:t xml:space="preserve">Les décisions analysées démontrent par ailleurs que les juges accordent une grande importance à la participation des parents dans le processus décisionnel du placement de leur enfant </w:t>
      </w:r>
      <w:r w:rsidR="001718F2">
        <w:t>à un</w:t>
      </w:r>
      <w:r>
        <w:t xml:space="preserve"> milieu de vie substitut jusqu’à la majorité, y faisant référence dans 84</w:t>
      </w:r>
      <w:r w:rsidR="000E416F">
        <w:t> </w:t>
      </w:r>
      <w:r>
        <w:t>% des décisions analysées.</w:t>
      </w:r>
    </w:p>
    <w:p w14:paraId="0631B9F5" w14:textId="30527B08" w:rsidR="004028AD" w:rsidRDefault="00B000D0" w:rsidP="003A1427">
      <w:pPr>
        <w:pStyle w:val="Paragraphe"/>
      </w:pPr>
      <w:r>
        <w:t>Selon la perception des procureures et procureurs des enfants, la pratique à cet égard n’aurait connu aucun changement. En fait, parmi les 11</w:t>
      </w:r>
      <w:r w:rsidR="00322ADA">
        <w:t> </w:t>
      </w:r>
      <w:r>
        <w:t xml:space="preserve">personnes répondantes qui observent des changements depuis la réforme de 2022 dans le traitement des dossiers, aucun ne considère qu’ils </w:t>
      </w:r>
      <w:r w:rsidR="003A0E29">
        <w:t>ont</w:t>
      </w:r>
      <w:r>
        <w:t xml:space="preserve"> eu un effet important sur participation des parents à la décision du placement de l’enfant jusqu’à la majorité et au choix des mesures qui le concernent</w:t>
      </w:r>
      <w:r w:rsidR="00B129D8">
        <w:t>.</w:t>
      </w:r>
    </w:p>
    <w:p w14:paraId="6BE99DCB" w14:textId="2467D64A" w:rsidR="004028AD" w:rsidRDefault="000D310E" w:rsidP="0075437D">
      <w:pPr>
        <w:pStyle w:val="Paragraphe"/>
        <w:jc w:val="center"/>
      </w:pPr>
      <w:r>
        <w:rPr>
          <w:noProof/>
        </w:rPr>
        <w:lastRenderedPageBreak/>
        <w:drawing>
          <wp:inline distT="0" distB="0" distL="0" distR="0" wp14:anchorId="2531580F" wp14:editId="17006969">
            <wp:extent cx="5594400" cy="3409200"/>
            <wp:effectExtent l="0" t="0" r="6350" b="1270"/>
            <wp:docPr id="1463994898" name="Image 30" descr="P7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994898" name="Image 30" descr="P715#yIS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94400" cy="3409200"/>
                    </a:xfrm>
                    <a:prstGeom prst="rect">
                      <a:avLst/>
                    </a:prstGeom>
                    <a:noFill/>
                  </pic:spPr>
                </pic:pic>
              </a:graphicData>
            </a:graphic>
          </wp:inline>
        </w:drawing>
      </w:r>
    </w:p>
    <w:p w14:paraId="35887C53" w14:textId="6B5A6679" w:rsidR="004028AD" w:rsidRDefault="00204606" w:rsidP="00151BC7">
      <w:pPr>
        <w:pStyle w:val="Titre5"/>
        <w:numPr>
          <w:ilvl w:val="0"/>
          <w:numId w:val="19"/>
        </w:numPr>
        <w:ind w:left="426" w:hanging="426"/>
      </w:pPr>
      <w:bookmarkStart w:id="79" w:name="_Toc201330517"/>
      <w:r w:rsidRPr="00204606">
        <w:t>Les parents expriment leur point de vue sur le projet de vie retenu pour leur enfant</w:t>
      </w:r>
      <w:bookmarkEnd w:id="79"/>
    </w:p>
    <w:p w14:paraId="224F8B6F" w14:textId="2AC96893" w:rsidR="008712DE" w:rsidRDefault="008712DE" w:rsidP="003A1427">
      <w:pPr>
        <w:pStyle w:val="Paragraphe"/>
      </w:pPr>
      <w:r>
        <w:t>De la même façon que la position des enfants en regard du projet de vie, celle des parents est un indicateur de leur participation dans le processus décisionnel. Parmi l’ensemble des décisions analysées, 221 (44</w:t>
      </w:r>
      <w:r w:rsidR="000E416F">
        <w:t> </w:t>
      </w:r>
      <w:r>
        <w:t>%) rapportent qu’au moins un des parents adhère au projet de vie. Dans 12</w:t>
      </w:r>
      <w:r w:rsidR="000E416F">
        <w:t> </w:t>
      </w:r>
      <w:r>
        <w:t>% des décisions, un parent y adhère alors que l’autre le conteste.</w:t>
      </w:r>
    </w:p>
    <w:p w14:paraId="60A4E3B6" w14:textId="1B19D40D" w:rsidR="008712DE" w:rsidRDefault="00B9752B" w:rsidP="003A1427">
      <w:pPr>
        <w:pStyle w:val="Paragraphe"/>
      </w:pPr>
      <w:r w:rsidRPr="00B9752B">
        <w:t>En</w:t>
      </w:r>
      <w:r w:rsidR="008712DE">
        <w:t xml:space="preserve"> prenant compte</w:t>
      </w:r>
      <w:r w:rsidRPr="00B9752B">
        <w:t xml:space="preserve"> de</w:t>
      </w:r>
      <w:r w:rsidR="008712DE">
        <w:t xml:space="preserve"> l’ensemble des options relatives au positionnement des parents en regard du projet de vie de confier l’enfant à un milieu de vie substitut jusqu’à la majorité, seule la contestation par la mère se démarque puisqu’elle est présente dans 3</w:t>
      </w:r>
      <w:r w:rsidR="00322ADA">
        <w:t> </w:t>
      </w:r>
      <w:r w:rsidR="008712DE">
        <w:t>décisions sur 10. Cependant, le fait que la mère soit plus fréquemment la seule à contester le projet de vie proposé ne reflète pas nécessairement une attitude différente entre les mères et les pères. Il s’agit probablement davantage d’une conséquence de la situation familiale dans laquelle elle se trouve, par exemple le fait que le père soit absent. De plus, les mentions de la position de la mère sont plus fréquentes (407) que celles du père (264).</w:t>
      </w:r>
    </w:p>
    <w:p w14:paraId="04975B52" w14:textId="21D32CD2" w:rsidR="004028AD" w:rsidRDefault="008712DE" w:rsidP="003A1427">
      <w:pPr>
        <w:pStyle w:val="Paragraphe"/>
      </w:pPr>
      <w:r>
        <w:t>Dans 56</w:t>
      </w:r>
      <w:r w:rsidR="000E416F">
        <w:t> </w:t>
      </w:r>
      <w:r>
        <w:t>% des décisions analysées, au moins un des deux parents conteste le projet de vie. De façon globale, cela est plus fréquent lorsque les enfants font partie des deux groupes d’âge</w:t>
      </w:r>
      <w:r w:rsidR="00C210F5">
        <w:t>,</w:t>
      </w:r>
      <w:r>
        <w:t xml:space="preserve"> les plus jeunes. Cela est particulièrement le cas pour les décisions concernant des enfants de 2 à 5</w:t>
      </w:r>
      <w:r w:rsidR="00322ADA">
        <w:t> </w:t>
      </w:r>
      <w:r>
        <w:t>ans. Parmi celles-ci, 66</w:t>
      </w:r>
      <w:r w:rsidR="000E416F">
        <w:t> </w:t>
      </w:r>
      <w:r>
        <w:t>% font mention de la contestation d’au moins un parent</w:t>
      </w:r>
      <w:r w:rsidR="00B129D8">
        <w:t>.</w:t>
      </w:r>
    </w:p>
    <w:p w14:paraId="64BBD586" w14:textId="388CC63D" w:rsidR="004028AD" w:rsidRDefault="003B1E50" w:rsidP="0075437D">
      <w:pPr>
        <w:pStyle w:val="Paragraphe"/>
        <w:jc w:val="center"/>
      </w:pPr>
      <w:r w:rsidRPr="00D51DC0">
        <w:rPr>
          <w:noProof/>
        </w:rPr>
        <w:lastRenderedPageBreak/>
        <w:drawing>
          <wp:inline distT="0" distB="0" distL="0" distR="0" wp14:anchorId="6A27552B" wp14:editId="6D4AE776">
            <wp:extent cx="4921250" cy="3276600"/>
            <wp:effectExtent l="0" t="0" r="12700" b="0"/>
            <wp:docPr id="1363175926" name="Graphique 1" descr="P720#yIS1">
              <a:extLst xmlns:a="http://schemas.openxmlformats.org/drawingml/2006/main">
                <a:ext uri="{FF2B5EF4-FFF2-40B4-BE49-F238E27FC236}">
                  <a16:creationId xmlns:a16="http://schemas.microsoft.com/office/drawing/2014/main" id="{F9B08AFA-BD15-2D4B-A2B5-99B1E6DEC3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9EB77B4" w14:textId="2287A475" w:rsidR="004028AD" w:rsidRDefault="00463E93" w:rsidP="00151BC7">
      <w:pPr>
        <w:pStyle w:val="Titre5"/>
        <w:numPr>
          <w:ilvl w:val="0"/>
          <w:numId w:val="19"/>
        </w:numPr>
        <w:ind w:left="426" w:hanging="426"/>
      </w:pPr>
      <w:bookmarkStart w:id="80" w:name="_Toc201330518"/>
      <w:r w:rsidRPr="00463E93">
        <w:t>Les parents continuent à prendre les décisions concernant leur enfant confié à un milieu de vie substitut</w:t>
      </w:r>
      <w:bookmarkEnd w:id="80"/>
    </w:p>
    <w:p w14:paraId="4BAFB629" w14:textId="7A9ED578" w:rsidR="00E002F7" w:rsidRDefault="00E002F7" w:rsidP="003A1427">
      <w:pPr>
        <w:pStyle w:val="Paragraphe"/>
      </w:pPr>
      <w:r>
        <w:t>Parmi les 493</w:t>
      </w:r>
      <w:r w:rsidR="00322ADA">
        <w:t> </w:t>
      </w:r>
      <w:r>
        <w:t>décisions analysées dans lesquelles au moins un des deux parents est vivant, l’autorité parentale est déléguée au milieu de vie substitut auquel l’enfant est confié ou au DPJ une fois sur trois. Cela signifie qu’une majorité de parents continuera à prendre des décisions concernant leur enfant, dont celles relatives à sa santé ou à son éducation. Cela semble aller à l’encontre du souhait exprimé par la CSDEPJ qui était de favoriser le transfert de l’exercice des attributs de l’autorité parentale à la famille de permanence lorsqu’un placement à majorité est ordonné ou une fois que les durées maximales d’hébergement sont atteintes</w:t>
      </w:r>
      <w:r w:rsidR="0085330E">
        <w:rPr>
          <w:rFonts w:ascii="ZWAdobeF" w:hAnsi="ZWAdobeF" w:cs="ZWAdobeF"/>
          <w:sz w:val="2"/>
          <w:szCs w:val="2"/>
        </w:rPr>
        <w:t>126F</w:t>
      </w:r>
      <w:r>
        <w:rPr>
          <w:rStyle w:val="Appelnotedebasdep"/>
        </w:rPr>
        <w:footnoteReference w:id="128"/>
      </w:r>
      <w:r>
        <w:t>.</w:t>
      </w:r>
    </w:p>
    <w:p w14:paraId="0E2741C0" w14:textId="2EEC1C49" w:rsidR="004028AD" w:rsidRDefault="00E002F7" w:rsidP="003A1427">
      <w:pPr>
        <w:pStyle w:val="Paragraphe"/>
      </w:pPr>
      <w:r>
        <w:t>Le taux de délégation de certains attributs de l’autorité parentale varie d’ailleurs peu entre les différents types de milieu de vie substitut. Ce taux est un peu plus élevé parmi les cinq décisions ordonnant un placement en centre de réadaptation. Cela pourrait s’expliquer par le fait que ce type de milieu de vie substitut concerne davantage des enfants plus âgés.</w:t>
      </w:r>
    </w:p>
    <w:p w14:paraId="4270F29F" w14:textId="77777777" w:rsidR="005263FC" w:rsidRDefault="005263FC" w:rsidP="003A1427">
      <w:pPr>
        <w:pStyle w:val="Paragraphe"/>
        <w:sectPr w:rsidR="005263FC" w:rsidSect="0098162B">
          <w:pgSz w:w="12240" w:h="15840" w:code="1"/>
          <w:pgMar w:top="1985" w:right="1134" w:bottom="1418" w:left="1134" w:header="709" w:footer="709" w:gutter="0"/>
          <w:cols w:space="708"/>
          <w:docGrid w:linePitch="360"/>
        </w:sectPr>
      </w:pPr>
    </w:p>
    <w:p w14:paraId="037FEF9C" w14:textId="646981E1" w:rsidR="004028AD" w:rsidRDefault="00542EEB" w:rsidP="00C6059C">
      <w:pPr>
        <w:pStyle w:val="Titre1"/>
      </w:pPr>
      <w:bookmarkStart w:id="81" w:name="_Toc201330519"/>
      <w:r w:rsidRPr="00542EEB">
        <w:lastRenderedPageBreak/>
        <w:t xml:space="preserve">Les principaux constats de la mise en œuvre des dispositions de la LPJ relatives à la stabilité des liens et des conditions de vie de l’enfant confié </w:t>
      </w:r>
      <w:r w:rsidR="00201F12">
        <w:t>à un</w:t>
      </w:r>
      <w:r w:rsidRPr="00542EEB">
        <w:t xml:space="preserve"> milieu de vie substitut jusqu’à la majorité</w:t>
      </w:r>
      <w:bookmarkEnd w:id="81"/>
      <w:r w:rsidRPr="00542EEB">
        <w:t xml:space="preserve"> </w:t>
      </w:r>
    </w:p>
    <w:p w14:paraId="1D9EAF34" w14:textId="2DF0174A" w:rsidR="00442E8A" w:rsidRPr="00442E8A" w:rsidRDefault="007761C7" w:rsidP="003A1427">
      <w:pPr>
        <w:pStyle w:val="Paragraphe"/>
      </w:pPr>
      <w:r w:rsidRPr="00EC4DF0">
        <w:t xml:space="preserve">À partir des </w:t>
      </w:r>
      <w:r w:rsidR="000A3E35" w:rsidRPr="00EC4DF0">
        <w:t>données recueillies</w:t>
      </w:r>
      <w:r w:rsidRPr="00EC4DF0">
        <w:t>, la Commission déga</w:t>
      </w:r>
      <w:r w:rsidR="00713596" w:rsidRPr="00EC4DF0">
        <w:t>ge</w:t>
      </w:r>
      <w:r w:rsidR="00C65BEC" w:rsidRPr="00EC4DF0">
        <w:t xml:space="preserve"> </w:t>
      </w:r>
      <w:r w:rsidR="005A7F73" w:rsidRPr="00EC4DF0">
        <w:t xml:space="preserve">des </w:t>
      </w:r>
      <w:r w:rsidR="00C65BEC" w:rsidRPr="00EC4DF0">
        <w:t>con</w:t>
      </w:r>
      <w:r w:rsidR="00590F46" w:rsidRPr="00EC4DF0">
        <w:t>s</w:t>
      </w:r>
      <w:r w:rsidR="00C65BEC" w:rsidRPr="00EC4DF0">
        <w:t>tats</w:t>
      </w:r>
      <w:r w:rsidR="00FF50E7" w:rsidRPr="00EC4DF0">
        <w:t xml:space="preserve"> sur </w:t>
      </w:r>
      <w:r w:rsidR="002D084E" w:rsidRPr="00EC4DF0">
        <w:t xml:space="preserve">les effets de la </w:t>
      </w:r>
      <w:r w:rsidR="00647B6F" w:rsidRPr="00EC4DF0">
        <w:t xml:space="preserve">réforme </w:t>
      </w:r>
      <w:r w:rsidR="002302A1" w:rsidRPr="00EC4DF0">
        <w:t>de</w:t>
      </w:r>
      <w:r w:rsidR="00647B6F" w:rsidRPr="00EC4DF0">
        <w:t xml:space="preserve"> </w:t>
      </w:r>
      <w:r w:rsidR="00FF50E7" w:rsidRPr="00EC4DF0">
        <w:t>la m</w:t>
      </w:r>
      <w:r w:rsidR="00B01933" w:rsidRPr="00EC4DF0">
        <w:t xml:space="preserve">ise en œuvre des dispositions de la LPJ </w:t>
      </w:r>
      <w:r w:rsidR="0005118D" w:rsidRPr="00EC4DF0">
        <w:t>relatives</w:t>
      </w:r>
      <w:r w:rsidR="00B01933" w:rsidRPr="00EC4DF0">
        <w:t xml:space="preserve"> à la stabilité des liens et des conditions de vie de l’enfant</w:t>
      </w:r>
      <w:r w:rsidR="00C65BEC" w:rsidRPr="00EC4DF0">
        <w:t xml:space="preserve"> </w:t>
      </w:r>
      <w:r w:rsidR="00201F12" w:rsidRPr="00EC4DF0">
        <w:t>confié à un milieu de vie substitut jusqu’à la majorité.</w:t>
      </w:r>
      <w:r w:rsidR="00CE0D3F" w:rsidRPr="00EC4DF0">
        <w:t xml:space="preserve"> </w:t>
      </w:r>
      <w:r w:rsidR="00AA4A5E" w:rsidRPr="00EC4DF0">
        <w:t xml:space="preserve">Ceux-ci sont </w:t>
      </w:r>
      <w:r w:rsidR="00545D01" w:rsidRPr="00EC4DF0">
        <w:t xml:space="preserve">présentés </w:t>
      </w:r>
      <w:r w:rsidR="00DA512E" w:rsidRPr="00EC4DF0">
        <w:t>sous l’angle</w:t>
      </w:r>
      <w:r w:rsidR="00DB6B32" w:rsidRPr="00EC4DF0">
        <w:t xml:space="preserve"> de</w:t>
      </w:r>
      <w:r w:rsidR="007D34D1" w:rsidRPr="00EC4DF0">
        <w:t xml:space="preserve">s droits de l’enfant </w:t>
      </w:r>
      <w:r w:rsidR="00261E82" w:rsidRPr="00EC4DF0">
        <w:t>et de</w:t>
      </w:r>
      <w:r w:rsidR="00CB37BA" w:rsidRPr="00EC4DF0">
        <w:t xml:space="preserve"> ceux de ses parents.</w:t>
      </w:r>
      <w:r w:rsidR="007F339A" w:rsidRPr="00EC4DF0">
        <w:t xml:space="preserve"> </w:t>
      </w:r>
      <w:r w:rsidR="00C17823" w:rsidRPr="00EC4DF0">
        <w:t xml:space="preserve">C’est </w:t>
      </w:r>
      <w:r w:rsidR="00E236AE" w:rsidRPr="00EC4DF0">
        <w:t>à</w:t>
      </w:r>
      <w:r w:rsidR="0054281E" w:rsidRPr="00EC4DF0">
        <w:t xml:space="preserve"> la </w:t>
      </w:r>
      <w:r w:rsidR="009566AF" w:rsidRPr="00EC4DF0">
        <w:t xml:space="preserve">lumière de ces </w:t>
      </w:r>
      <w:r w:rsidR="00FA370B" w:rsidRPr="00EC4DF0">
        <w:t xml:space="preserve">principaux </w:t>
      </w:r>
      <w:r w:rsidR="007F339A" w:rsidRPr="00EC4DF0">
        <w:t>constat</w:t>
      </w:r>
      <w:r w:rsidR="00FA370B" w:rsidRPr="00EC4DF0">
        <w:t>s</w:t>
      </w:r>
      <w:r w:rsidR="00C17823" w:rsidRPr="00EC4DF0">
        <w:t xml:space="preserve"> que</w:t>
      </w:r>
      <w:r w:rsidR="009566AF" w:rsidRPr="00EC4DF0">
        <w:t xml:space="preserve"> la Commission </w:t>
      </w:r>
      <w:r w:rsidR="00C17823" w:rsidRPr="00EC4DF0">
        <w:t>identifie</w:t>
      </w:r>
      <w:r w:rsidR="00E81C70" w:rsidRPr="00EC4DF0">
        <w:t xml:space="preserve"> </w:t>
      </w:r>
      <w:r w:rsidR="00ED46BC" w:rsidRPr="00EC4DF0">
        <w:t>dans la partie suivante les actions à entreprendre</w:t>
      </w:r>
      <w:r w:rsidR="00FA7F90" w:rsidRPr="00EC4DF0">
        <w:t xml:space="preserve"> pour améliorer la mise en œuvre.</w:t>
      </w:r>
      <w:r w:rsidR="001709FB">
        <w:t xml:space="preserve"> </w:t>
      </w:r>
    </w:p>
    <w:p w14:paraId="55DD708B" w14:textId="58FA6133" w:rsidR="004028AD" w:rsidRDefault="005F23DC" w:rsidP="00F93AC5">
      <w:pPr>
        <w:pStyle w:val="Titre2"/>
      </w:pPr>
      <w:bookmarkStart w:id="82" w:name="_Toc201330520"/>
      <w:r w:rsidRPr="005F23DC">
        <w:t>3.1</w:t>
      </w:r>
      <w:r w:rsidRPr="005F23DC">
        <w:tab/>
        <w:t>La stabilité des liens et des conditions de vie de l’enfant</w:t>
      </w:r>
      <w:r w:rsidR="00914C42">
        <w:t> </w:t>
      </w:r>
      <w:r w:rsidRPr="005F23DC">
        <w:t xml:space="preserve">: les effets de la réforme </w:t>
      </w:r>
      <w:r w:rsidR="0044033F" w:rsidRPr="0044033F">
        <w:t>sont</w:t>
      </w:r>
      <w:r w:rsidRPr="005F23DC">
        <w:t xml:space="preserve"> encore </w:t>
      </w:r>
      <w:r w:rsidR="0044033F" w:rsidRPr="0044033F">
        <w:t>insuffisamment</w:t>
      </w:r>
      <w:r w:rsidRPr="005F23DC">
        <w:t xml:space="preserve"> perceptibles</w:t>
      </w:r>
      <w:bookmarkEnd w:id="82"/>
      <w:r w:rsidR="0044033F">
        <w:t xml:space="preserve"> </w:t>
      </w:r>
    </w:p>
    <w:p w14:paraId="70C76C18" w14:textId="57A7697F" w:rsidR="004028AD" w:rsidRDefault="00957BF6" w:rsidP="00F93AC5">
      <w:pPr>
        <w:pStyle w:val="Titre3"/>
      </w:pPr>
      <w:bookmarkStart w:id="83" w:name="_Toc201330521"/>
      <w:r w:rsidRPr="00957BF6">
        <w:t>3.1.1</w:t>
      </w:r>
      <w:r w:rsidRPr="00957BF6">
        <w:tab/>
      </w:r>
      <w:r w:rsidR="00630A5B">
        <w:tab/>
      </w:r>
      <w:r w:rsidRPr="00957BF6">
        <w:t>L’intérêt de l’enfant</w:t>
      </w:r>
      <w:r w:rsidR="00914C42">
        <w:t> </w:t>
      </w:r>
      <w:r w:rsidRPr="00957BF6">
        <w:t>: une évaluation inégale des éléments qui le déterminent</w:t>
      </w:r>
      <w:bookmarkEnd w:id="83"/>
    </w:p>
    <w:p w14:paraId="7F5B15DC" w14:textId="6E9BE24D" w:rsidR="007343EF" w:rsidRDefault="007343EF" w:rsidP="00BA3E6E">
      <w:pPr>
        <w:pStyle w:val="puces0"/>
      </w:pPr>
      <w:r>
        <w:t>Les juges accordent une considération à l’intérêt de l’enfant dans l’évaluation de la décision de le confier jusqu’à la majorité</w:t>
      </w:r>
      <w:r w:rsidR="008E5B4A">
        <w:t xml:space="preserve"> à un milieu de vie </w:t>
      </w:r>
      <w:r w:rsidR="00507D50">
        <w:t>substitut</w:t>
      </w:r>
      <w:r>
        <w:t>, le mentionnant dans la quasi-totalité des situations (97</w:t>
      </w:r>
      <w:r w:rsidR="000E416F">
        <w:t> </w:t>
      </w:r>
      <w:r>
        <w:t>%)</w:t>
      </w:r>
      <w:r w:rsidR="00D16B99">
        <w:rPr>
          <w:rFonts w:ascii="Arial" w:hAnsi="Arial" w:cs="Arial"/>
        </w:rPr>
        <w:t> </w:t>
      </w:r>
      <w:r>
        <w:t>;</w:t>
      </w:r>
    </w:p>
    <w:p w14:paraId="64628365" w14:textId="6F9C0E9E" w:rsidR="007343EF" w:rsidRDefault="007343EF" w:rsidP="00BA3E6E">
      <w:pPr>
        <w:pStyle w:val="puces0"/>
      </w:pPr>
      <w:r>
        <w:t>Parmi les éléments que les juges pondèrent pour évaluer l’intérêt de l’enfant, ses besoins de stabilité sont les plus considérés (63</w:t>
      </w:r>
      <w:r w:rsidR="000E416F">
        <w:t> </w:t>
      </w:r>
      <w:r>
        <w:t>%), et ce, tou</w:t>
      </w:r>
      <w:r w:rsidR="0004759A">
        <w:t xml:space="preserve">s </w:t>
      </w:r>
      <w:r>
        <w:t>groupe</w:t>
      </w:r>
      <w:r w:rsidR="0004759A">
        <w:t>s</w:t>
      </w:r>
      <w:r>
        <w:t xml:space="preserve"> d’âge confondu</w:t>
      </w:r>
      <w:r w:rsidR="0004759A">
        <w:t>s</w:t>
      </w:r>
      <w:r w:rsidR="00D16B99">
        <w:rPr>
          <w:rFonts w:ascii="Arial" w:hAnsi="Arial" w:cs="Arial"/>
        </w:rPr>
        <w:t> </w:t>
      </w:r>
      <w:r>
        <w:t>;</w:t>
      </w:r>
    </w:p>
    <w:p w14:paraId="325797E1" w14:textId="115FA05A" w:rsidR="007343EF" w:rsidRDefault="007343EF" w:rsidP="00BA3E6E">
      <w:pPr>
        <w:pStyle w:val="puces0"/>
      </w:pPr>
      <w:r>
        <w:t>Certaines caractéristiques de l’enfant, déterminantes pour évaluer son intérêt, sont presque absentes des décisions analysées. Cela est le cas des caractéristiques de l’enfant autochtone et de l’enfant appartenant à une «</w:t>
      </w:r>
      <w:r w:rsidR="00D96428">
        <w:rPr>
          <w:rFonts w:ascii="Arial" w:hAnsi="Arial" w:cs="Arial"/>
        </w:rPr>
        <w:t> </w:t>
      </w:r>
      <w:r>
        <w:t>communauté ethnoculturelle</w:t>
      </w:r>
      <w:r w:rsidR="00D96428">
        <w:rPr>
          <w:rFonts w:ascii="Arial" w:hAnsi="Arial" w:cs="Arial"/>
        </w:rPr>
        <w:t> </w:t>
      </w:r>
      <w:r>
        <w:t>»</w:t>
      </w:r>
      <w:r w:rsidR="00D16B99">
        <w:rPr>
          <w:rFonts w:ascii="Arial" w:hAnsi="Arial" w:cs="Arial"/>
        </w:rPr>
        <w:t> </w:t>
      </w:r>
      <w:r>
        <w:t>;</w:t>
      </w:r>
    </w:p>
    <w:p w14:paraId="656A5293" w14:textId="45E2E490" w:rsidR="007343EF" w:rsidRDefault="007343EF" w:rsidP="00BA3E6E">
      <w:pPr>
        <w:pStyle w:val="puces0"/>
      </w:pPr>
      <w:r>
        <w:t>Dans l’évaluation de l’intérêt de l’enfant, une attention est accordée à la situation contemporaine des parents comme prédicteur de leurs capacités parentales actuelles ou potentielles à répondre aux besoins de leur enfant</w:t>
      </w:r>
      <w:r w:rsidR="00D16B99">
        <w:rPr>
          <w:rFonts w:ascii="Arial" w:hAnsi="Arial" w:cs="Arial"/>
        </w:rPr>
        <w:t> </w:t>
      </w:r>
      <w:r>
        <w:t>;</w:t>
      </w:r>
    </w:p>
    <w:p w14:paraId="3AEEC850" w14:textId="3C43C72B" w:rsidR="007343EF" w:rsidRDefault="007343EF" w:rsidP="00BA3E6E">
      <w:pPr>
        <w:pStyle w:val="puces0"/>
      </w:pPr>
      <w:r>
        <w:t>Les parents présentent des facteurs personnels qui affectent leurs capacités parentales, dont des problèmes de santé mentale (44</w:t>
      </w:r>
      <w:r w:rsidR="000E416F">
        <w:t> </w:t>
      </w:r>
      <w:r>
        <w:t>%) et de dépendances à l’alcool et aux drogues (40</w:t>
      </w:r>
      <w:r w:rsidR="000E416F">
        <w:t> </w:t>
      </w:r>
      <w:r>
        <w:t>%)</w:t>
      </w:r>
      <w:r w:rsidR="00D16B99">
        <w:rPr>
          <w:rFonts w:ascii="Arial" w:hAnsi="Arial" w:cs="Arial"/>
        </w:rPr>
        <w:t> </w:t>
      </w:r>
      <w:r>
        <w:t>;</w:t>
      </w:r>
    </w:p>
    <w:p w14:paraId="75878904" w14:textId="0FF05C4D" w:rsidR="007343EF" w:rsidRDefault="007343EF" w:rsidP="00BA3E6E">
      <w:pPr>
        <w:pStyle w:val="puces0"/>
      </w:pPr>
      <w:r>
        <w:t>Les dynamiques familiales sont prises en compte dans l’analyse de la situation de l’enfant. À ce titre, la présence de violence conjugale est notée dans plus d’une décision sur cinq analysées</w:t>
      </w:r>
      <w:r w:rsidR="00D16B99">
        <w:rPr>
          <w:rFonts w:ascii="Arial" w:hAnsi="Arial" w:cs="Arial"/>
        </w:rPr>
        <w:t> </w:t>
      </w:r>
      <w:r>
        <w:t>;</w:t>
      </w:r>
    </w:p>
    <w:p w14:paraId="6BA04421" w14:textId="395B07A1" w:rsidR="007343EF" w:rsidRDefault="007343EF" w:rsidP="00BA3E6E">
      <w:pPr>
        <w:pStyle w:val="puces0"/>
      </w:pPr>
      <w:r>
        <w:t>Les facteurs liés à la situation socioéconomique des parents sont moins cités dans les décisions analysées. L’instabilité résidentielle (24</w:t>
      </w:r>
      <w:r w:rsidR="000E416F">
        <w:t> </w:t>
      </w:r>
      <w:r>
        <w:t>%) ainsi que l’absence ou l’instabilité de l’emploi (13</w:t>
      </w:r>
      <w:r w:rsidR="000E416F">
        <w:t> </w:t>
      </w:r>
      <w:r>
        <w:t>%) apparaissent néanmoins les plus prises en compte</w:t>
      </w:r>
      <w:r w:rsidR="00D16B99">
        <w:rPr>
          <w:rFonts w:ascii="Arial" w:hAnsi="Arial" w:cs="Arial"/>
        </w:rPr>
        <w:t> </w:t>
      </w:r>
      <w:r>
        <w:t>;</w:t>
      </w:r>
    </w:p>
    <w:p w14:paraId="42ACACC2" w14:textId="3258B429" w:rsidR="004028AD" w:rsidRDefault="007343EF" w:rsidP="00BA3E6E">
      <w:pPr>
        <w:pStyle w:val="puces0"/>
      </w:pPr>
      <w:r>
        <w:t>À titre d’indice de l’appréciation faite par les juges des capacités parentales à répondre aux besoins de l’enfant, deux principaux motifs pour lesquels la situation ou le développement de l’enfant confié à un milieu de vie substitut est compromis ressortent</w:t>
      </w:r>
      <w:r w:rsidR="00914C42">
        <w:t> </w:t>
      </w:r>
      <w:r>
        <w:t xml:space="preserve">: le risque sérieux de </w:t>
      </w:r>
      <w:r>
        <w:lastRenderedPageBreak/>
        <w:t>négligence (50</w:t>
      </w:r>
      <w:r w:rsidR="000E416F">
        <w:t> </w:t>
      </w:r>
      <w:r>
        <w:t>%) et la négligence sur le plan éducatif (50</w:t>
      </w:r>
      <w:r w:rsidR="000E416F">
        <w:t> </w:t>
      </w:r>
      <w:r>
        <w:t>%). Les mauvais traitements psychologiques suivent, concernant plus du tiers des décisions (36</w:t>
      </w:r>
      <w:r w:rsidR="000E416F">
        <w:t> </w:t>
      </w:r>
      <w:r>
        <w:t>%).</w:t>
      </w:r>
    </w:p>
    <w:p w14:paraId="588678A5" w14:textId="6DA2778D" w:rsidR="004028AD" w:rsidRDefault="00106D15" w:rsidP="00F93AC5">
      <w:pPr>
        <w:pStyle w:val="Titre3"/>
      </w:pPr>
      <w:bookmarkStart w:id="84" w:name="_Toc201330522"/>
      <w:r w:rsidRPr="00106D15">
        <w:t>3.1.2</w:t>
      </w:r>
      <w:r w:rsidR="005C0BDA">
        <w:tab/>
      </w:r>
      <w:r w:rsidRPr="00106D15">
        <w:tab/>
        <w:t>Le droit à la stabilité des liens et à des conditions de vie appropriées à ses besoins et à son âge</w:t>
      </w:r>
      <w:r w:rsidR="00914C42">
        <w:t> </w:t>
      </w:r>
      <w:r w:rsidRPr="00106D15">
        <w:t>: une appréciation de la situation relativement complète, mais qui tarde trop souvent</w:t>
      </w:r>
      <w:bookmarkEnd w:id="84"/>
    </w:p>
    <w:p w14:paraId="5B11B1DD" w14:textId="44FA412E" w:rsidR="004028AD" w:rsidRDefault="00080F75" w:rsidP="00BA3E6E">
      <w:pPr>
        <w:pStyle w:val="puces0"/>
      </w:pPr>
      <w:r>
        <w:t>La répartition du nombre total d’enfants confiés à un milieu de vie substitut ne reflète pas l’ordre de priorité prévue à la LPJ. Les enfants sont confiés en famille d’accueil régulière (68</w:t>
      </w:r>
      <w:r w:rsidR="000E416F">
        <w:t> </w:t>
      </w:r>
      <w:r>
        <w:t>%) deux fois plus qu’en famille d’accueil de proximité (31</w:t>
      </w:r>
      <w:r w:rsidR="000E416F">
        <w:t> </w:t>
      </w:r>
      <w:r>
        <w:t>%)</w:t>
      </w:r>
      <w:r w:rsidR="00D16B99">
        <w:rPr>
          <w:rFonts w:ascii="Arial" w:hAnsi="Arial" w:cs="Arial"/>
        </w:rPr>
        <w:t> </w:t>
      </w:r>
      <w:r>
        <w:t>;</w:t>
      </w:r>
    </w:p>
    <w:p w14:paraId="7A7E8324" w14:textId="49499E67" w:rsidR="00335AE5" w:rsidRPr="00335AE5" w:rsidRDefault="00335AE5" w:rsidP="00BA3E6E">
      <w:pPr>
        <w:pStyle w:val="puces0"/>
      </w:pPr>
      <w:r w:rsidRPr="00335AE5">
        <w:t>La</w:t>
      </w:r>
      <w:r w:rsidRPr="00335AE5">
        <w:rPr>
          <w:spacing w:val="-2"/>
        </w:rPr>
        <w:t xml:space="preserve"> </w:t>
      </w:r>
      <w:r w:rsidRPr="00335AE5">
        <w:t>situation</w:t>
      </w:r>
      <w:r w:rsidRPr="00335AE5">
        <w:rPr>
          <w:spacing w:val="-3"/>
        </w:rPr>
        <w:t xml:space="preserve"> </w:t>
      </w:r>
      <w:r w:rsidRPr="00335AE5">
        <w:t>de</w:t>
      </w:r>
      <w:r w:rsidRPr="00335AE5">
        <w:rPr>
          <w:spacing w:val="-1"/>
        </w:rPr>
        <w:t xml:space="preserve"> </w:t>
      </w:r>
      <w:r w:rsidRPr="00335AE5">
        <w:t>l’enfant</w:t>
      </w:r>
      <w:r w:rsidRPr="00335AE5">
        <w:rPr>
          <w:spacing w:val="-4"/>
        </w:rPr>
        <w:t xml:space="preserve"> </w:t>
      </w:r>
      <w:r w:rsidRPr="00335AE5">
        <w:t>retiré</w:t>
      </w:r>
      <w:r w:rsidRPr="00335AE5">
        <w:rPr>
          <w:spacing w:val="-3"/>
        </w:rPr>
        <w:t xml:space="preserve"> </w:t>
      </w:r>
      <w:r w:rsidRPr="00335AE5">
        <w:t>de</w:t>
      </w:r>
      <w:r w:rsidRPr="00335AE5">
        <w:rPr>
          <w:spacing w:val="-3"/>
        </w:rPr>
        <w:t xml:space="preserve"> </w:t>
      </w:r>
      <w:r w:rsidRPr="00335AE5">
        <w:t>son</w:t>
      </w:r>
      <w:r w:rsidRPr="00335AE5">
        <w:rPr>
          <w:spacing w:val="-4"/>
        </w:rPr>
        <w:t xml:space="preserve"> </w:t>
      </w:r>
      <w:r w:rsidRPr="00335AE5">
        <w:t>milieu</w:t>
      </w:r>
      <w:r w:rsidRPr="00335AE5">
        <w:rPr>
          <w:spacing w:val="-4"/>
        </w:rPr>
        <w:t xml:space="preserve"> </w:t>
      </w:r>
      <w:r w:rsidRPr="00335AE5">
        <w:t>familial</w:t>
      </w:r>
      <w:r w:rsidRPr="00335AE5">
        <w:rPr>
          <w:spacing w:val="-4"/>
        </w:rPr>
        <w:t xml:space="preserve"> </w:t>
      </w:r>
      <w:r w:rsidRPr="00335AE5">
        <w:t>apparait</w:t>
      </w:r>
      <w:r w:rsidRPr="00335AE5">
        <w:rPr>
          <w:spacing w:val="-4"/>
        </w:rPr>
        <w:t xml:space="preserve"> </w:t>
      </w:r>
      <w:r w:rsidRPr="00335AE5">
        <w:t>relativement</w:t>
      </w:r>
      <w:r w:rsidRPr="00335AE5">
        <w:rPr>
          <w:spacing w:val="-4"/>
        </w:rPr>
        <w:t xml:space="preserve"> </w:t>
      </w:r>
      <w:r w:rsidRPr="00335AE5">
        <w:t>stable</w:t>
      </w:r>
      <w:r w:rsidRPr="00335AE5">
        <w:rPr>
          <w:spacing w:val="-3"/>
        </w:rPr>
        <w:t xml:space="preserve"> </w:t>
      </w:r>
      <w:r w:rsidRPr="00335AE5">
        <w:t>puisque</w:t>
      </w:r>
      <w:r w:rsidRPr="00335AE5">
        <w:rPr>
          <w:spacing w:val="-3"/>
        </w:rPr>
        <w:t xml:space="preserve"> </w:t>
      </w:r>
      <w:r w:rsidRPr="00335AE5">
        <w:t>dans</w:t>
      </w:r>
      <w:r w:rsidRPr="00335AE5">
        <w:rPr>
          <w:spacing w:val="-3"/>
        </w:rPr>
        <w:t xml:space="preserve"> </w:t>
      </w:r>
      <w:r w:rsidRPr="00335AE5">
        <w:t>la majorité des décisions analysées (58</w:t>
      </w:r>
      <w:r w:rsidR="000E416F">
        <w:t> </w:t>
      </w:r>
      <w:r w:rsidRPr="00335AE5">
        <w:t>%), l’enfant est confié dans le milieu de vie substitut où il l’a été lors du retrait du milieu familial</w:t>
      </w:r>
      <w:r w:rsidR="00D16B99">
        <w:rPr>
          <w:rFonts w:ascii="Arial" w:hAnsi="Arial" w:cs="Arial"/>
        </w:rPr>
        <w:t> </w:t>
      </w:r>
      <w:r w:rsidRPr="00335AE5">
        <w:t>;</w:t>
      </w:r>
    </w:p>
    <w:p w14:paraId="6279F443" w14:textId="6E27A2D4" w:rsidR="00335AE5" w:rsidRDefault="00335AE5" w:rsidP="00BA3E6E">
      <w:pPr>
        <w:pStyle w:val="puces0"/>
      </w:pPr>
      <w:r w:rsidRPr="00335AE5">
        <w:t>L’engagement</w:t>
      </w:r>
      <w:r w:rsidRPr="00335AE5">
        <w:rPr>
          <w:spacing w:val="-4"/>
        </w:rPr>
        <w:t xml:space="preserve"> </w:t>
      </w:r>
      <w:r w:rsidRPr="00335AE5">
        <w:t>du</w:t>
      </w:r>
      <w:r w:rsidRPr="00335AE5">
        <w:rPr>
          <w:spacing w:val="-5"/>
        </w:rPr>
        <w:t xml:space="preserve"> </w:t>
      </w:r>
      <w:r w:rsidRPr="00335AE5">
        <w:t>milieu</w:t>
      </w:r>
      <w:r w:rsidRPr="00335AE5">
        <w:rPr>
          <w:spacing w:val="-5"/>
        </w:rPr>
        <w:t xml:space="preserve"> </w:t>
      </w:r>
      <w:r w:rsidRPr="00335AE5">
        <w:t>de</w:t>
      </w:r>
      <w:r w:rsidRPr="00335AE5">
        <w:rPr>
          <w:spacing w:val="-3"/>
        </w:rPr>
        <w:t xml:space="preserve"> </w:t>
      </w:r>
      <w:r w:rsidRPr="00335AE5">
        <w:t>vie</w:t>
      </w:r>
      <w:r w:rsidRPr="00335AE5">
        <w:rPr>
          <w:spacing w:val="-3"/>
        </w:rPr>
        <w:t xml:space="preserve"> </w:t>
      </w:r>
      <w:r w:rsidRPr="00335AE5">
        <w:t>substitut</w:t>
      </w:r>
      <w:r w:rsidRPr="00335AE5">
        <w:rPr>
          <w:spacing w:val="-4"/>
        </w:rPr>
        <w:t xml:space="preserve"> </w:t>
      </w:r>
      <w:r w:rsidRPr="00335AE5">
        <w:t>à</w:t>
      </w:r>
      <w:r w:rsidRPr="00335AE5">
        <w:rPr>
          <w:spacing w:val="-4"/>
        </w:rPr>
        <w:t xml:space="preserve"> </w:t>
      </w:r>
      <w:r w:rsidRPr="00335AE5">
        <w:t>prendre</w:t>
      </w:r>
      <w:r w:rsidRPr="00335AE5">
        <w:rPr>
          <w:spacing w:val="-3"/>
        </w:rPr>
        <w:t xml:space="preserve"> </w:t>
      </w:r>
      <w:r w:rsidRPr="00335AE5">
        <w:t>soin</w:t>
      </w:r>
      <w:r w:rsidRPr="00335AE5">
        <w:rPr>
          <w:spacing w:val="-3"/>
        </w:rPr>
        <w:t xml:space="preserve"> </w:t>
      </w:r>
      <w:r w:rsidRPr="00335AE5">
        <w:t>de</w:t>
      </w:r>
      <w:r w:rsidRPr="00335AE5">
        <w:rPr>
          <w:spacing w:val="-1"/>
        </w:rPr>
        <w:t xml:space="preserve"> </w:t>
      </w:r>
      <w:r w:rsidRPr="00335AE5">
        <w:t>l’enfant</w:t>
      </w:r>
      <w:r w:rsidRPr="00335AE5">
        <w:rPr>
          <w:spacing w:val="-4"/>
        </w:rPr>
        <w:t xml:space="preserve"> </w:t>
      </w:r>
      <w:r w:rsidRPr="00335AE5">
        <w:t>jusqu’à</w:t>
      </w:r>
      <w:r w:rsidRPr="00335AE5">
        <w:rPr>
          <w:spacing w:val="-1"/>
        </w:rPr>
        <w:t xml:space="preserve"> </w:t>
      </w:r>
      <w:r w:rsidRPr="00335AE5">
        <w:t>la</w:t>
      </w:r>
      <w:r w:rsidRPr="00335AE5">
        <w:rPr>
          <w:spacing w:val="-4"/>
        </w:rPr>
        <w:t xml:space="preserve"> </w:t>
      </w:r>
      <w:r w:rsidRPr="00335AE5">
        <w:t>majorité</w:t>
      </w:r>
      <w:r w:rsidRPr="00335AE5">
        <w:rPr>
          <w:spacing w:val="-3"/>
        </w:rPr>
        <w:t xml:space="preserve"> </w:t>
      </w:r>
      <w:r w:rsidRPr="00335AE5">
        <w:t>est</w:t>
      </w:r>
      <w:r w:rsidRPr="00335AE5">
        <w:rPr>
          <w:spacing w:val="-1"/>
        </w:rPr>
        <w:t xml:space="preserve"> </w:t>
      </w:r>
      <w:r w:rsidRPr="00335AE5">
        <w:t xml:space="preserve">une considération importante de la stabilité de l’enfant. </w:t>
      </w:r>
      <w:r>
        <w:t>Il est pris en compte dans 71</w:t>
      </w:r>
      <w:r w:rsidR="000E416F">
        <w:t> </w:t>
      </w:r>
      <w:r>
        <w:t>% des décisions analysées</w:t>
      </w:r>
      <w:r w:rsidR="00D16B99">
        <w:rPr>
          <w:rFonts w:ascii="Arial" w:hAnsi="Arial" w:cs="Arial"/>
        </w:rPr>
        <w:t> </w:t>
      </w:r>
      <w:r>
        <w:t>;</w:t>
      </w:r>
    </w:p>
    <w:p w14:paraId="7B9C95AA" w14:textId="3872512A" w:rsidR="00335AE5" w:rsidRPr="00335AE5" w:rsidRDefault="00335AE5" w:rsidP="00BA3E6E">
      <w:pPr>
        <w:pStyle w:val="puces0"/>
      </w:pPr>
      <w:r w:rsidRPr="00335AE5">
        <w:t>La</w:t>
      </w:r>
      <w:r w:rsidRPr="00335AE5">
        <w:rPr>
          <w:spacing w:val="-3"/>
        </w:rPr>
        <w:t xml:space="preserve"> </w:t>
      </w:r>
      <w:r w:rsidRPr="00335AE5">
        <w:t>stabilité</w:t>
      </w:r>
      <w:r w:rsidRPr="00335AE5">
        <w:rPr>
          <w:spacing w:val="-3"/>
        </w:rPr>
        <w:t xml:space="preserve"> </w:t>
      </w:r>
      <w:r w:rsidRPr="00335AE5">
        <w:t>affective</w:t>
      </w:r>
      <w:r w:rsidRPr="00335AE5">
        <w:rPr>
          <w:spacing w:val="-3"/>
        </w:rPr>
        <w:t xml:space="preserve"> </w:t>
      </w:r>
      <w:r w:rsidRPr="00335AE5">
        <w:t>de</w:t>
      </w:r>
      <w:r w:rsidRPr="00335AE5">
        <w:rPr>
          <w:spacing w:val="-3"/>
        </w:rPr>
        <w:t xml:space="preserve"> </w:t>
      </w:r>
      <w:r w:rsidRPr="00335AE5">
        <w:t>l’enfant</w:t>
      </w:r>
      <w:r w:rsidRPr="00335AE5">
        <w:rPr>
          <w:spacing w:val="-4"/>
        </w:rPr>
        <w:t xml:space="preserve"> </w:t>
      </w:r>
      <w:r w:rsidRPr="00335AE5">
        <w:t>est</w:t>
      </w:r>
      <w:r w:rsidRPr="00335AE5">
        <w:rPr>
          <w:spacing w:val="-4"/>
        </w:rPr>
        <w:t xml:space="preserve"> </w:t>
      </w:r>
      <w:r w:rsidRPr="00335AE5">
        <w:t>évaluée</w:t>
      </w:r>
      <w:r w:rsidRPr="00335AE5">
        <w:rPr>
          <w:spacing w:val="-3"/>
        </w:rPr>
        <w:t xml:space="preserve"> </w:t>
      </w:r>
      <w:r w:rsidRPr="00335AE5">
        <w:t>par</w:t>
      </w:r>
      <w:r w:rsidRPr="00335AE5">
        <w:rPr>
          <w:spacing w:val="-3"/>
        </w:rPr>
        <w:t xml:space="preserve"> </w:t>
      </w:r>
      <w:r w:rsidRPr="00335AE5">
        <w:t>les</w:t>
      </w:r>
      <w:r w:rsidRPr="00335AE5">
        <w:rPr>
          <w:spacing w:val="-3"/>
        </w:rPr>
        <w:t xml:space="preserve"> </w:t>
      </w:r>
      <w:r w:rsidRPr="00335AE5">
        <w:t>juges</w:t>
      </w:r>
      <w:r w:rsidRPr="00335AE5">
        <w:rPr>
          <w:spacing w:val="-3"/>
        </w:rPr>
        <w:t xml:space="preserve"> </w:t>
      </w:r>
      <w:r w:rsidRPr="00335AE5">
        <w:t>par</w:t>
      </w:r>
      <w:r w:rsidRPr="00335AE5">
        <w:rPr>
          <w:spacing w:val="-2"/>
        </w:rPr>
        <w:t xml:space="preserve"> </w:t>
      </w:r>
      <w:r w:rsidRPr="00335AE5">
        <w:t>l’appréciation</w:t>
      </w:r>
      <w:r w:rsidRPr="00335AE5">
        <w:rPr>
          <w:spacing w:val="-4"/>
        </w:rPr>
        <w:t xml:space="preserve"> </w:t>
      </w:r>
      <w:r w:rsidRPr="00335AE5">
        <w:t>des liens</w:t>
      </w:r>
      <w:r w:rsidRPr="00335AE5">
        <w:rPr>
          <w:spacing w:val="-3"/>
        </w:rPr>
        <w:t xml:space="preserve"> </w:t>
      </w:r>
      <w:r w:rsidRPr="00335AE5">
        <w:t>affectifs qu’il a développés avec les membres du milieu de vie substitut</w:t>
      </w:r>
      <w:r w:rsidR="00D16B99">
        <w:rPr>
          <w:rFonts w:ascii="Arial" w:hAnsi="Arial" w:cs="Arial"/>
        </w:rPr>
        <w:t> </w:t>
      </w:r>
      <w:r w:rsidRPr="00335AE5">
        <w:t>; ceux-ci sont invoqués dans 63</w:t>
      </w:r>
      <w:r w:rsidR="000E416F">
        <w:t> </w:t>
      </w:r>
      <w:r w:rsidRPr="00335AE5">
        <w:t>% des décisions analysées</w:t>
      </w:r>
      <w:r w:rsidR="00D16B99">
        <w:rPr>
          <w:rFonts w:ascii="Arial" w:hAnsi="Arial" w:cs="Arial"/>
        </w:rPr>
        <w:t> </w:t>
      </w:r>
      <w:r w:rsidRPr="00335AE5">
        <w:t>;</w:t>
      </w:r>
    </w:p>
    <w:p w14:paraId="4126871B" w14:textId="5F53CA19" w:rsidR="00335AE5" w:rsidRPr="00335AE5" w:rsidRDefault="00335AE5" w:rsidP="00BA3E6E">
      <w:pPr>
        <w:pStyle w:val="puces0"/>
      </w:pPr>
      <w:r w:rsidRPr="00335AE5">
        <w:t xml:space="preserve">Le choix du milieu de vie substitut est fait en fonction de la situation de l’enfant. Son évolution positive dans son milieu de vie substitut ainsi que le progrès observé dans son développement </w:t>
      </w:r>
      <w:r w:rsidR="007F2387">
        <w:t>apparaissent</w:t>
      </w:r>
      <w:r w:rsidRPr="00335AE5">
        <w:rPr>
          <w:spacing w:val="-1"/>
        </w:rPr>
        <w:t xml:space="preserve"> </w:t>
      </w:r>
      <w:r w:rsidRPr="00335AE5">
        <w:t>comme</w:t>
      </w:r>
      <w:r w:rsidRPr="00335AE5">
        <w:rPr>
          <w:spacing w:val="-4"/>
        </w:rPr>
        <w:t xml:space="preserve"> </w:t>
      </w:r>
      <w:r w:rsidRPr="00335AE5">
        <w:t>étant</w:t>
      </w:r>
      <w:r w:rsidRPr="00335AE5">
        <w:rPr>
          <w:spacing w:val="-5"/>
        </w:rPr>
        <w:t xml:space="preserve"> </w:t>
      </w:r>
      <w:r w:rsidRPr="00335AE5">
        <w:t>des</w:t>
      </w:r>
      <w:r w:rsidRPr="00335AE5">
        <w:rPr>
          <w:spacing w:val="-4"/>
        </w:rPr>
        <w:t xml:space="preserve"> </w:t>
      </w:r>
      <w:r w:rsidRPr="00335AE5">
        <w:t>éléments</w:t>
      </w:r>
      <w:r w:rsidRPr="00335AE5">
        <w:rPr>
          <w:spacing w:val="-4"/>
        </w:rPr>
        <w:t xml:space="preserve"> </w:t>
      </w:r>
      <w:r w:rsidRPr="00335AE5">
        <w:t>importants</w:t>
      </w:r>
      <w:r w:rsidRPr="00335AE5">
        <w:rPr>
          <w:spacing w:val="-4"/>
        </w:rPr>
        <w:t xml:space="preserve"> </w:t>
      </w:r>
      <w:r w:rsidRPr="00335AE5">
        <w:t>dans</w:t>
      </w:r>
      <w:r w:rsidRPr="00335AE5">
        <w:rPr>
          <w:spacing w:val="-2"/>
        </w:rPr>
        <w:t xml:space="preserve"> </w:t>
      </w:r>
      <w:r w:rsidRPr="00335AE5">
        <w:t>la</w:t>
      </w:r>
      <w:r w:rsidRPr="00335AE5">
        <w:rPr>
          <w:spacing w:val="-5"/>
        </w:rPr>
        <w:t xml:space="preserve"> </w:t>
      </w:r>
      <w:r w:rsidRPr="00335AE5">
        <w:t>prise</w:t>
      </w:r>
      <w:r w:rsidRPr="00335AE5">
        <w:rPr>
          <w:spacing w:val="-4"/>
        </w:rPr>
        <w:t xml:space="preserve"> </w:t>
      </w:r>
      <w:r w:rsidRPr="00335AE5">
        <w:t>de</w:t>
      </w:r>
      <w:r w:rsidRPr="00335AE5">
        <w:rPr>
          <w:spacing w:val="-2"/>
        </w:rPr>
        <w:t xml:space="preserve"> </w:t>
      </w:r>
      <w:r w:rsidRPr="00335AE5">
        <w:t>la</w:t>
      </w:r>
      <w:r w:rsidRPr="00335AE5">
        <w:rPr>
          <w:spacing w:val="-5"/>
        </w:rPr>
        <w:t xml:space="preserve"> </w:t>
      </w:r>
      <w:r w:rsidRPr="00335AE5">
        <w:t>décision</w:t>
      </w:r>
      <w:r w:rsidRPr="00335AE5">
        <w:rPr>
          <w:spacing w:val="-4"/>
        </w:rPr>
        <w:t xml:space="preserve"> </w:t>
      </w:r>
      <w:r w:rsidRPr="00335AE5">
        <w:t>de l’y</w:t>
      </w:r>
      <w:r w:rsidRPr="00335AE5">
        <w:rPr>
          <w:spacing w:val="-2"/>
        </w:rPr>
        <w:t xml:space="preserve"> </w:t>
      </w:r>
      <w:r w:rsidRPr="00335AE5">
        <w:t>confier</w:t>
      </w:r>
      <w:r w:rsidRPr="00335AE5">
        <w:rPr>
          <w:spacing w:val="-1"/>
        </w:rPr>
        <w:t xml:space="preserve"> </w:t>
      </w:r>
      <w:r w:rsidRPr="00335AE5">
        <w:t>jusqu’à la majorité puisqu’ils sont mentionnés respectivement dans 79</w:t>
      </w:r>
      <w:r w:rsidR="000E416F">
        <w:t> </w:t>
      </w:r>
      <w:r w:rsidRPr="00335AE5">
        <w:t>% et 36</w:t>
      </w:r>
      <w:r w:rsidR="000E416F">
        <w:t> </w:t>
      </w:r>
      <w:r w:rsidRPr="00335AE5">
        <w:t>% des décisions analysées</w:t>
      </w:r>
      <w:r w:rsidR="00D16B99">
        <w:rPr>
          <w:rFonts w:ascii="Arial" w:hAnsi="Arial" w:cs="Arial"/>
        </w:rPr>
        <w:t> </w:t>
      </w:r>
      <w:r w:rsidRPr="00335AE5">
        <w:t>;</w:t>
      </w:r>
    </w:p>
    <w:p w14:paraId="7E19E375" w14:textId="3E8FF9FD" w:rsidR="00335AE5" w:rsidRPr="00335AE5" w:rsidRDefault="00335AE5" w:rsidP="00BA3E6E">
      <w:pPr>
        <w:pStyle w:val="puces0"/>
      </w:pPr>
      <w:r w:rsidRPr="00335AE5">
        <w:t>Les délais maximums de placement ne sont pas respectés pour une majorité d’enfants. La durée maximale durant laquelle il peut être confié à un milieu de vie substitut est atteinte au moment</w:t>
      </w:r>
      <w:r w:rsidRPr="00335AE5">
        <w:rPr>
          <w:spacing w:val="-4"/>
        </w:rPr>
        <w:t xml:space="preserve"> </w:t>
      </w:r>
      <w:r w:rsidRPr="00335AE5">
        <w:t>de</w:t>
      </w:r>
      <w:r w:rsidRPr="00335AE5">
        <w:rPr>
          <w:spacing w:val="-3"/>
        </w:rPr>
        <w:t xml:space="preserve"> </w:t>
      </w:r>
      <w:r w:rsidRPr="00335AE5">
        <w:t>se</w:t>
      </w:r>
      <w:r w:rsidRPr="00335AE5">
        <w:rPr>
          <w:spacing w:val="-3"/>
        </w:rPr>
        <w:t xml:space="preserve"> </w:t>
      </w:r>
      <w:r w:rsidRPr="00335AE5">
        <w:t>prononcer</w:t>
      </w:r>
      <w:r w:rsidRPr="00335AE5">
        <w:rPr>
          <w:spacing w:val="-3"/>
        </w:rPr>
        <w:t xml:space="preserve"> </w:t>
      </w:r>
      <w:r w:rsidRPr="00335AE5">
        <w:t>sur</w:t>
      </w:r>
      <w:r w:rsidRPr="00335AE5">
        <w:rPr>
          <w:spacing w:val="-1"/>
        </w:rPr>
        <w:t xml:space="preserve"> </w:t>
      </w:r>
      <w:r w:rsidRPr="00335AE5">
        <w:t>la</w:t>
      </w:r>
      <w:r w:rsidRPr="00335AE5">
        <w:rPr>
          <w:spacing w:val="-4"/>
        </w:rPr>
        <w:t xml:space="preserve"> </w:t>
      </w:r>
      <w:r w:rsidRPr="00335AE5">
        <w:t>décision</w:t>
      </w:r>
      <w:r w:rsidRPr="00335AE5">
        <w:rPr>
          <w:spacing w:val="-4"/>
        </w:rPr>
        <w:t xml:space="preserve"> </w:t>
      </w:r>
      <w:r w:rsidRPr="00335AE5">
        <w:t>de</w:t>
      </w:r>
      <w:r w:rsidRPr="00335AE5">
        <w:rPr>
          <w:spacing w:val="-3"/>
        </w:rPr>
        <w:t xml:space="preserve"> </w:t>
      </w:r>
      <w:r w:rsidRPr="00335AE5">
        <w:t>le</w:t>
      </w:r>
      <w:r w:rsidRPr="00335AE5">
        <w:rPr>
          <w:spacing w:val="-3"/>
        </w:rPr>
        <w:t xml:space="preserve"> </w:t>
      </w:r>
      <w:r w:rsidRPr="00335AE5">
        <w:t>confier</w:t>
      </w:r>
      <w:r w:rsidR="00397A09">
        <w:rPr>
          <w:spacing w:val="-3"/>
        </w:rPr>
        <w:t xml:space="preserve"> à un</w:t>
      </w:r>
      <w:r w:rsidRPr="00335AE5">
        <w:rPr>
          <w:spacing w:val="-4"/>
        </w:rPr>
        <w:t xml:space="preserve"> </w:t>
      </w:r>
      <w:r w:rsidRPr="00335AE5">
        <w:t>milieu</w:t>
      </w:r>
      <w:r w:rsidRPr="00335AE5">
        <w:rPr>
          <w:spacing w:val="-5"/>
        </w:rPr>
        <w:t xml:space="preserve"> </w:t>
      </w:r>
      <w:r w:rsidRPr="00335AE5">
        <w:t>de</w:t>
      </w:r>
      <w:r w:rsidRPr="00335AE5">
        <w:rPr>
          <w:spacing w:val="-3"/>
        </w:rPr>
        <w:t xml:space="preserve"> </w:t>
      </w:r>
      <w:r w:rsidRPr="00335AE5">
        <w:t>vie</w:t>
      </w:r>
      <w:r w:rsidRPr="00335AE5">
        <w:rPr>
          <w:spacing w:val="-3"/>
        </w:rPr>
        <w:t xml:space="preserve"> </w:t>
      </w:r>
      <w:r w:rsidRPr="00335AE5">
        <w:t>substitut dans</w:t>
      </w:r>
      <w:r w:rsidRPr="00335AE5">
        <w:rPr>
          <w:spacing w:val="-2"/>
        </w:rPr>
        <w:t xml:space="preserve"> </w:t>
      </w:r>
      <w:r w:rsidRPr="00335AE5">
        <w:t>59</w:t>
      </w:r>
      <w:r w:rsidR="000E416F">
        <w:rPr>
          <w:spacing w:val="-2"/>
        </w:rPr>
        <w:t> </w:t>
      </w:r>
      <w:r w:rsidRPr="00335AE5">
        <w:t>%</w:t>
      </w:r>
      <w:r w:rsidRPr="00335AE5">
        <w:rPr>
          <w:spacing w:val="-4"/>
        </w:rPr>
        <w:t xml:space="preserve"> </w:t>
      </w:r>
      <w:r w:rsidRPr="00335AE5">
        <w:t>des décisions analysées. Cette proportion augmente à 67</w:t>
      </w:r>
      <w:r w:rsidR="000E416F">
        <w:t> </w:t>
      </w:r>
      <w:r w:rsidRPr="00335AE5">
        <w:t>% pour le groupe d’âge des 2 à 5</w:t>
      </w:r>
      <w:r w:rsidR="00322ADA">
        <w:t> </w:t>
      </w:r>
      <w:r w:rsidRPr="00335AE5">
        <w:t>ans</w:t>
      </w:r>
      <w:r w:rsidR="00D16B99">
        <w:rPr>
          <w:rFonts w:ascii="Arial" w:hAnsi="Arial" w:cs="Arial"/>
        </w:rPr>
        <w:t> </w:t>
      </w:r>
      <w:r w:rsidRPr="00335AE5">
        <w:t>;</w:t>
      </w:r>
    </w:p>
    <w:p w14:paraId="4237F8BD" w14:textId="59A351DF" w:rsidR="00335AE5" w:rsidRPr="00335AE5" w:rsidRDefault="00335AE5" w:rsidP="00BA3E6E">
      <w:pPr>
        <w:pStyle w:val="puces0"/>
      </w:pPr>
      <w:r w:rsidRPr="00335AE5">
        <w:t>L</w:t>
      </w:r>
      <w:r w:rsidR="00376858">
        <w:t>e</w:t>
      </w:r>
      <w:r w:rsidRPr="00335AE5">
        <w:t>s</w:t>
      </w:r>
      <w:r w:rsidRPr="00335AE5">
        <w:rPr>
          <w:spacing w:val="-4"/>
        </w:rPr>
        <w:t xml:space="preserve"> </w:t>
      </w:r>
      <w:r w:rsidRPr="00335AE5">
        <w:t>juges</w:t>
      </w:r>
      <w:r w:rsidRPr="00335AE5">
        <w:rPr>
          <w:spacing w:val="-4"/>
        </w:rPr>
        <w:t xml:space="preserve"> </w:t>
      </w:r>
      <w:r w:rsidRPr="00335AE5">
        <w:t>estiment</w:t>
      </w:r>
      <w:r w:rsidRPr="00335AE5">
        <w:rPr>
          <w:spacing w:val="-5"/>
        </w:rPr>
        <w:t xml:space="preserve"> </w:t>
      </w:r>
      <w:r w:rsidRPr="00335AE5">
        <w:t>important</w:t>
      </w:r>
      <w:r w:rsidRPr="00335AE5">
        <w:rPr>
          <w:spacing w:val="-5"/>
        </w:rPr>
        <w:t xml:space="preserve"> </w:t>
      </w:r>
      <w:r w:rsidRPr="00335AE5">
        <w:t>de</w:t>
      </w:r>
      <w:r w:rsidRPr="00335AE5">
        <w:rPr>
          <w:spacing w:val="-4"/>
        </w:rPr>
        <w:t xml:space="preserve"> </w:t>
      </w:r>
      <w:r w:rsidRPr="00335AE5">
        <w:t>mentionner</w:t>
      </w:r>
      <w:r w:rsidRPr="00335AE5">
        <w:rPr>
          <w:spacing w:val="-4"/>
        </w:rPr>
        <w:t xml:space="preserve"> </w:t>
      </w:r>
      <w:r w:rsidRPr="00335AE5">
        <w:t>dans</w:t>
      </w:r>
      <w:r w:rsidRPr="00335AE5">
        <w:rPr>
          <w:spacing w:val="-4"/>
        </w:rPr>
        <w:t xml:space="preserve"> </w:t>
      </w:r>
      <w:r w:rsidRPr="00335AE5">
        <w:t>la</w:t>
      </w:r>
      <w:r w:rsidRPr="00335AE5">
        <w:rPr>
          <w:spacing w:val="-5"/>
        </w:rPr>
        <w:t xml:space="preserve"> </w:t>
      </w:r>
      <w:r w:rsidRPr="00335AE5">
        <w:t>décision</w:t>
      </w:r>
      <w:r w:rsidRPr="00335AE5">
        <w:rPr>
          <w:spacing w:val="-4"/>
        </w:rPr>
        <w:t xml:space="preserve"> </w:t>
      </w:r>
      <w:r w:rsidRPr="00335AE5">
        <w:t>si</w:t>
      </w:r>
      <w:r w:rsidRPr="00335AE5">
        <w:rPr>
          <w:spacing w:val="-5"/>
        </w:rPr>
        <w:t xml:space="preserve"> </w:t>
      </w:r>
      <w:r w:rsidRPr="00335AE5">
        <w:t>l’enfant</w:t>
      </w:r>
      <w:r w:rsidRPr="00335AE5">
        <w:rPr>
          <w:spacing w:val="-5"/>
        </w:rPr>
        <w:t xml:space="preserve"> </w:t>
      </w:r>
      <w:r w:rsidRPr="00335AE5">
        <w:t>est confié dans le même milieu que sa fratrie, ce qui est observé dans 54</w:t>
      </w:r>
      <w:r w:rsidR="000E416F">
        <w:t> </w:t>
      </w:r>
      <w:r w:rsidRPr="00335AE5">
        <w:t>% des décisions analysées.</w:t>
      </w:r>
      <w:r w:rsidRPr="00335AE5">
        <w:rPr>
          <w:spacing w:val="-3"/>
        </w:rPr>
        <w:t xml:space="preserve"> </w:t>
      </w:r>
      <w:r w:rsidRPr="00335AE5">
        <w:t>Une</w:t>
      </w:r>
      <w:r w:rsidRPr="00335AE5">
        <w:rPr>
          <w:spacing w:val="-2"/>
        </w:rPr>
        <w:t xml:space="preserve"> </w:t>
      </w:r>
      <w:r w:rsidRPr="00335AE5">
        <w:t>plus</w:t>
      </w:r>
      <w:r w:rsidRPr="00335AE5">
        <w:rPr>
          <w:spacing w:val="-2"/>
        </w:rPr>
        <w:t xml:space="preserve"> </w:t>
      </w:r>
      <w:r w:rsidRPr="00335AE5">
        <w:t>grande</w:t>
      </w:r>
      <w:r w:rsidRPr="00335AE5">
        <w:rPr>
          <w:spacing w:val="-2"/>
        </w:rPr>
        <w:t xml:space="preserve"> </w:t>
      </w:r>
      <w:r w:rsidRPr="00335AE5">
        <w:t>proportion</w:t>
      </w:r>
      <w:r w:rsidRPr="00335AE5">
        <w:rPr>
          <w:spacing w:val="-3"/>
        </w:rPr>
        <w:t xml:space="preserve"> </w:t>
      </w:r>
      <w:r w:rsidRPr="00335AE5">
        <w:t>d’enfants</w:t>
      </w:r>
      <w:r w:rsidRPr="00335AE5">
        <w:rPr>
          <w:spacing w:val="-2"/>
        </w:rPr>
        <w:t xml:space="preserve"> </w:t>
      </w:r>
      <w:r w:rsidRPr="00335AE5">
        <w:t>(66</w:t>
      </w:r>
      <w:r w:rsidR="000E416F">
        <w:t> </w:t>
      </w:r>
      <w:r w:rsidRPr="00335AE5">
        <w:t>%)</w:t>
      </w:r>
      <w:r w:rsidRPr="00335AE5">
        <w:rPr>
          <w:spacing w:val="-3"/>
        </w:rPr>
        <w:t xml:space="preserve"> </w:t>
      </w:r>
      <w:r w:rsidRPr="00335AE5">
        <w:t>est confiée</w:t>
      </w:r>
      <w:r w:rsidRPr="00335AE5">
        <w:rPr>
          <w:spacing w:val="-2"/>
        </w:rPr>
        <w:t xml:space="preserve"> </w:t>
      </w:r>
      <w:r w:rsidRPr="00335AE5">
        <w:t>dans</w:t>
      </w:r>
      <w:r w:rsidRPr="00335AE5">
        <w:rPr>
          <w:spacing w:val="-2"/>
        </w:rPr>
        <w:t xml:space="preserve"> </w:t>
      </w:r>
      <w:r w:rsidRPr="00335AE5">
        <w:t>le</w:t>
      </w:r>
      <w:r w:rsidRPr="00335AE5">
        <w:rPr>
          <w:spacing w:val="-4"/>
        </w:rPr>
        <w:t xml:space="preserve"> </w:t>
      </w:r>
      <w:r w:rsidRPr="00335AE5">
        <w:t>même</w:t>
      </w:r>
      <w:r w:rsidRPr="00335AE5">
        <w:rPr>
          <w:spacing w:val="-2"/>
        </w:rPr>
        <w:t xml:space="preserve"> </w:t>
      </w:r>
      <w:r w:rsidRPr="00335AE5">
        <w:t>milieu</w:t>
      </w:r>
      <w:r w:rsidRPr="00335AE5">
        <w:rPr>
          <w:spacing w:val="-4"/>
        </w:rPr>
        <w:t xml:space="preserve"> </w:t>
      </w:r>
      <w:r w:rsidRPr="00335AE5">
        <w:t>de</w:t>
      </w:r>
      <w:r w:rsidRPr="00335AE5">
        <w:rPr>
          <w:spacing w:val="-2"/>
        </w:rPr>
        <w:t xml:space="preserve"> </w:t>
      </w:r>
      <w:r w:rsidRPr="00335AE5">
        <w:t>vie substitut</w:t>
      </w:r>
      <w:r w:rsidRPr="00335AE5">
        <w:rPr>
          <w:spacing w:val="-3"/>
        </w:rPr>
        <w:t xml:space="preserve"> </w:t>
      </w:r>
      <w:r w:rsidRPr="00335AE5">
        <w:t>que la</w:t>
      </w:r>
      <w:r w:rsidRPr="00335AE5">
        <w:rPr>
          <w:spacing w:val="-1"/>
        </w:rPr>
        <w:t xml:space="preserve"> </w:t>
      </w:r>
      <w:r w:rsidRPr="00335AE5">
        <w:t>fratrie lorsque celui-ci</w:t>
      </w:r>
      <w:r w:rsidRPr="00335AE5">
        <w:rPr>
          <w:spacing w:val="-1"/>
        </w:rPr>
        <w:t xml:space="preserve"> </w:t>
      </w:r>
      <w:r w:rsidRPr="00335AE5">
        <w:t>est</w:t>
      </w:r>
      <w:r w:rsidRPr="00335AE5">
        <w:rPr>
          <w:spacing w:val="-3"/>
        </w:rPr>
        <w:t xml:space="preserve"> </w:t>
      </w:r>
      <w:r w:rsidRPr="00335AE5">
        <w:t>une famille</w:t>
      </w:r>
      <w:r w:rsidRPr="00335AE5">
        <w:rPr>
          <w:spacing w:val="-2"/>
        </w:rPr>
        <w:t xml:space="preserve"> </w:t>
      </w:r>
      <w:r w:rsidRPr="00335AE5">
        <w:t>d’accueil</w:t>
      </w:r>
      <w:r w:rsidRPr="00335AE5">
        <w:rPr>
          <w:spacing w:val="-3"/>
        </w:rPr>
        <w:t xml:space="preserve"> </w:t>
      </w:r>
      <w:r w:rsidRPr="00335AE5">
        <w:t>de</w:t>
      </w:r>
      <w:r w:rsidRPr="00335AE5">
        <w:rPr>
          <w:spacing w:val="-2"/>
        </w:rPr>
        <w:t xml:space="preserve"> </w:t>
      </w:r>
      <w:r w:rsidRPr="00335AE5">
        <w:t>proximité</w:t>
      </w:r>
      <w:r w:rsidRPr="00335AE5">
        <w:rPr>
          <w:spacing w:val="-2"/>
        </w:rPr>
        <w:t xml:space="preserve"> </w:t>
      </w:r>
      <w:r w:rsidRPr="00335AE5">
        <w:t>comparativement à la famille d’accueil «</w:t>
      </w:r>
      <w:r w:rsidR="00D96428">
        <w:rPr>
          <w:rFonts w:ascii="Arial" w:hAnsi="Arial" w:cs="Arial"/>
        </w:rPr>
        <w:t> </w:t>
      </w:r>
      <w:r w:rsidRPr="00335AE5">
        <w:t>régulière</w:t>
      </w:r>
      <w:r w:rsidR="00D96428">
        <w:rPr>
          <w:rFonts w:ascii="Arial" w:hAnsi="Arial" w:cs="Arial"/>
        </w:rPr>
        <w:t> </w:t>
      </w:r>
      <w:r w:rsidRPr="00335AE5">
        <w:t>» (42</w:t>
      </w:r>
      <w:r w:rsidR="000E416F">
        <w:t> </w:t>
      </w:r>
      <w:r w:rsidRPr="00335AE5">
        <w:t>%)</w:t>
      </w:r>
      <w:r w:rsidR="00D16B99">
        <w:rPr>
          <w:rFonts w:ascii="Arial" w:hAnsi="Arial" w:cs="Arial"/>
        </w:rPr>
        <w:t> </w:t>
      </w:r>
      <w:r w:rsidRPr="00335AE5">
        <w:t>;</w:t>
      </w:r>
    </w:p>
    <w:p w14:paraId="490D5335" w14:textId="6666C53A" w:rsidR="00335AE5" w:rsidRPr="00562E22" w:rsidRDefault="00335AE5" w:rsidP="00BA3E6E">
      <w:pPr>
        <w:pStyle w:val="puces0"/>
      </w:pPr>
      <w:r w:rsidRPr="00335AE5">
        <w:t>Pour</w:t>
      </w:r>
      <w:r w:rsidRPr="00335AE5">
        <w:rPr>
          <w:spacing w:val="-7"/>
        </w:rPr>
        <w:t xml:space="preserve"> </w:t>
      </w:r>
      <w:r w:rsidRPr="00335AE5">
        <w:t>déterminer</w:t>
      </w:r>
      <w:r w:rsidRPr="00335AE5">
        <w:rPr>
          <w:spacing w:val="-6"/>
        </w:rPr>
        <w:t xml:space="preserve"> </w:t>
      </w:r>
      <w:r w:rsidRPr="00335AE5">
        <w:t>les</w:t>
      </w:r>
      <w:r w:rsidRPr="00335AE5">
        <w:rPr>
          <w:spacing w:val="-2"/>
        </w:rPr>
        <w:t xml:space="preserve"> </w:t>
      </w:r>
      <w:r w:rsidRPr="00335AE5">
        <w:t>contacts</w:t>
      </w:r>
      <w:r w:rsidRPr="00335AE5">
        <w:rPr>
          <w:spacing w:val="-5"/>
        </w:rPr>
        <w:t xml:space="preserve"> </w:t>
      </w:r>
      <w:r w:rsidRPr="00335AE5">
        <w:t>entre</w:t>
      </w:r>
      <w:r w:rsidRPr="00335AE5">
        <w:rPr>
          <w:spacing w:val="-3"/>
        </w:rPr>
        <w:t xml:space="preserve"> </w:t>
      </w:r>
      <w:r w:rsidRPr="00335AE5">
        <w:t>l’enfant</w:t>
      </w:r>
      <w:r w:rsidRPr="00335AE5">
        <w:rPr>
          <w:spacing w:val="-6"/>
        </w:rPr>
        <w:t xml:space="preserve"> </w:t>
      </w:r>
      <w:r w:rsidRPr="00335AE5">
        <w:t>et</w:t>
      </w:r>
      <w:r w:rsidRPr="00335AE5">
        <w:rPr>
          <w:spacing w:val="-3"/>
        </w:rPr>
        <w:t xml:space="preserve"> </w:t>
      </w:r>
      <w:r w:rsidRPr="00335AE5">
        <w:t>ses</w:t>
      </w:r>
      <w:r w:rsidRPr="00335AE5">
        <w:rPr>
          <w:spacing w:val="-3"/>
        </w:rPr>
        <w:t xml:space="preserve"> </w:t>
      </w:r>
      <w:r w:rsidRPr="00335AE5">
        <w:t>parents</w:t>
      </w:r>
      <w:r w:rsidRPr="00335AE5">
        <w:rPr>
          <w:spacing w:val="-1"/>
        </w:rPr>
        <w:t xml:space="preserve"> </w:t>
      </w:r>
      <w:r w:rsidRPr="00335AE5">
        <w:t>une</w:t>
      </w:r>
      <w:r w:rsidRPr="00335AE5">
        <w:rPr>
          <w:spacing w:val="-5"/>
        </w:rPr>
        <w:t xml:space="preserve"> </w:t>
      </w:r>
      <w:r w:rsidRPr="00335AE5">
        <w:t>fois</w:t>
      </w:r>
      <w:r w:rsidRPr="00335AE5">
        <w:rPr>
          <w:spacing w:val="-5"/>
        </w:rPr>
        <w:t xml:space="preserve"> </w:t>
      </w:r>
      <w:r w:rsidRPr="00335AE5">
        <w:t>que</w:t>
      </w:r>
      <w:r w:rsidRPr="00335AE5">
        <w:rPr>
          <w:spacing w:val="-5"/>
        </w:rPr>
        <w:t xml:space="preserve"> </w:t>
      </w:r>
      <w:r w:rsidRPr="00335AE5">
        <w:t>ce</w:t>
      </w:r>
      <w:r w:rsidRPr="00335AE5">
        <w:rPr>
          <w:spacing w:val="-5"/>
        </w:rPr>
        <w:t xml:space="preserve"> </w:t>
      </w:r>
      <w:r w:rsidRPr="00335AE5">
        <w:t>premier</w:t>
      </w:r>
      <w:r w:rsidRPr="00335AE5">
        <w:rPr>
          <w:spacing w:val="-4"/>
        </w:rPr>
        <w:t xml:space="preserve"> </w:t>
      </w:r>
      <w:r w:rsidRPr="00335AE5">
        <w:t>est</w:t>
      </w:r>
      <w:r w:rsidRPr="00335AE5">
        <w:rPr>
          <w:spacing w:val="-4"/>
        </w:rPr>
        <w:t xml:space="preserve"> </w:t>
      </w:r>
      <w:r w:rsidRPr="00335AE5">
        <w:t>confié</w:t>
      </w:r>
      <w:r w:rsidRPr="00335AE5">
        <w:rPr>
          <w:spacing w:val="-4"/>
        </w:rPr>
        <w:t xml:space="preserve"> </w:t>
      </w:r>
      <w:r w:rsidRPr="00335AE5">
        <w:rPr>
          <w:spacing w:val="-10"/>
        </w:rPr>
        <w:t>à</w:t>
      </w:r>
      <w:r w:rsidR="008E7931" w:rsidRPr="008E7931">
        <w:rPr>
          <w:spacing w:val="-10"/>
        </w:rPr>
        <w:t xml:space="preserve"> </w:t>
      </w:r>
      <w:r>
        <w:t>un</w:t>
      </w:r>
      <w:r>
        <w:rPr>
          <w:spacing w:val="-5"/>
        </w:rPr>
        <w:t xml:space="preserve"> </w:t>
      </w:r>
      <w:r>
        <w:t>milieu</w:t>
      </w:r>
      <w:r>
        <w:rPr>
          <w:spacing w:val="-6"/>
        </w:rPr>
        <w:t xml:space="preserve"> </w:t>
      </w:r>
      <w:r>
        <w:t>de</w:t>
      </w:r>
      <w:r>
        <w:rPr>
          <w:spacing w:val="-4"/>
        </w:rPr>
        <w:t xml:space="preserve"> </w:t>
      </w:r>
      <w:r>
        <w:t>vie</w:t>
      </w:r>
      <w:r>
        <w:rPr>
          <w:spacing w:val="-5"/>
        </w:rPr>
        <w:t xml:space="preserve"> </w:t>
      </w:r>
      <w:r>
        <w:t>substitut</w:t>
      </w:r>
      <w:r>
        <w:rPr>
          <w:spacing w:val="-7"/>
        </w:rPr>
        <w:t xml:space="preserve"> </w:t>
      </w:r>
      <w:r>
        <w:t>jusqu’à</w:t>
      </w:r>
      <w:r>
        <w:rPr>
          <w:spacing w:val="-5"/>
        </w:rPr>
        <w:t xml:space="preserve"> </w:t>
      </w:r>
      <w:r>
        <w:t>la</w:t>
      </w:r>
      <w:r>
        <w:rPr>
          <w:spacing w:val="-5"/>
        </w:rPr>
        <w:t xml:space="preserve"> </w:t>
      </w:r>
      <w:r>
        <w:t>majorité,</w:t>
      </w:r>
      <w:r>
        <w:rPr>
          <w:spacing w:val="-4"/>
        </w:rPr>
        <w:t xml:space="preserve"> </w:t>
      </w:r>
      <w:r>
        <w:t>les</w:t>
      </w:r>
      <w:r>
        <w:rPr>
          <w:spacing w:val="-4"/>
        </w:rPr>
        <w:t xml:space="preserve"> </w:t>
      </w:r>
      <w:r>
        <w:t>juges</w:t>
      </w:r>
      <w:r>
        <w:rPr>
          <w:spacing w:val="-5"/>
        </w:rPr>
        <w:t xml:space="preserve"> </w:t>
      </w:r>
      <w:r>
        <w:t>tiennent</w:t>
      </w:r>
      <w:r>
        <w:rPr>
          <w:spacing w:val="-2"/>
        </w:rPr>
        <w:t xml:space="preserve"> </w:t>
      </w:r>
      <w:r>
        <w:t>compte</w:t>
      </w:r>
      <w:r>
        <w:rPr>
          <w:spacing w:val="-4"/>
        </w:rPr>
        <w:t xml:space="preserve"> </w:t>
      </w:r>
      <w:r>
        <w:t>de</w:t>
      </w:r>
      <w:r>
        <w:rPr>
          <w:spacing w:val="6"/>
        </w:rPr>
        <w:t xml:space="preserve"> </w:t>
      </w:r>
      <w:r>
        <w:t>la</w:t>
      </w:r>
      <w:r>
        <w:rPr>
          <w:spacing w:val="-6"/>
        </w:rPr>
        <w:t xml:space="preserve"> </w:t>
      </w:r>
      <w:r>
        <w:t>qualité</w:t>
      </w:r>
      <w:r>
        <w:rPr>
          <w:spacing w:val="-3"/>
        </w:rPr>
        <w:t xml:space="preserve"> </w:t>
      </w:r>
      <w:r>
        <w:t>de</w:t>
      </w:r>
      <w:r>
        <w:rPr>
          <w:spacing w:val="-4"/>
        </w:rPr>
        <w:t xml:space="preserve"> </w:t>
      </w:r>
      <w:r>
        <w:rPr>
          <w:spacing w:val="-5"/>
        </w:rPr>
        <w:t>la</w:t>
      </w:r>
      <w:r w:rsidR="008E7931" w:rsidRPr="008E7931">
        <w:rPr>
          <w:spacing w:val="-5"/>
        </w:rPr>
        <w:t xml:space="preserve"> </w:t>
      </w:r>
      <w:r>
        <w:t>relation</w:t>
      </w:r>
      <w:r>
        <w:rPr>
          <w:spacing w:val="-4"/>
        </w:rPr>
        <w:t xml:space="preserve"> </w:t>
      </w:r>
      <w:r>
        <w:t>entre</w:t>
      </w:r>
      <w:r>
        <w:rPr>
          <w:spacing w:val="-1"/>
        </w:rPr>
        <w:t xml:space="preserve"> </w:t>
      </w:r>
      <w:r>
        <w:t>l’enfant</w:t>
      </w:r>
      <w:r>
        <w:rPr>
          <w:spacing w:val="-4"/>
        </w:rPr>
        <w:t xml:space="preserve"> </w:t>
      </w:r>
      <w:r>
        <w:t>et</w:t>
      </w:r>
      <w:r>
        <w:rPr>
          <w:spacing w:val="-4"/>
        </w:rPr>
        <w:t xml:space="preserve"> </w:t>
      </w:r>
      <w:r>
        <w:t>ses</w:t>
      </w:r>
      <w:r>
        <w:rPr>
          <w:spacing w:val="-3"/>
        </w:rPr>
        <w:t xml:space="preserve"> </w:t>
      </w:r>
      <w:r>
        <w:t>parents</w:t>
      </w:r>
      <w:r>
        <w:rPr>
          <w:spacing w:val="-3"/>
        </w:rPr>
        <w:t xml:space="preserve"> </w:t>
      </w:r>
      <w:r>
        <w:t>depuis</w:t>
      </w:r>
      <w:r>
        <w:rPr>
          <w:spacing w:val="-3"/>
        </w:rPr>
        <w:t xml:space="preserve"> </w:t>
      </w:r>
      <w:r>
        <w:t>la</w:t>
      </w:r>
      <w:r>
        <w:rPr>
          <w:spacing w:val="-4"/>
        </w:rPr>
        <w:t xml:space="preserve"> </w:t>
      </w:r>
      <w:r>
        <w:t>naissance (64</w:t>
      </w:r>
      <w:r w:rsidR="000E416F">
        <w:rPr>
          <w:spacing w:val="-4"/>
        </w:rPr>
        <w:t> </w:t>
      </w:r>
      <w:r>
        <w:t>%</w:t>
      </w:r>
      <w:r>
        <w:rPr>
          <w:spacing w:val="-4"/>
        </w:rPr>
        <w:t xml:space="preserve"> </w:t>
      </w:r>
      <w:r>
        <w:t>des</w:t>
      </w:r>
      <w:r>
        <w:rPr>
          <w:spacing w:val="-3"/>
        </w:rPr>
        <w:t xml:space="preserve"> </w:t>
      </w:r>
      <w:r>
        <w:t>décisions</w:t>
      </w:r>
      <w:r>
        <w:rPr>
          <w:spacing w:val="-6"/>
        </w:rPr>
        <w:t xml:space="preserve"> </w:t>
      </w:r>
      <w:r w:rsidRPr="00562E22">
        <w:t>analysées)</w:t>
      </w:r>
      <w:r w:rsidRPr="00562E22">
        <w:rPr>
          <w:spacing w:val="-4"/>
        </w:rPr>
        <w:t xml:space="preserve"> </w:t>
      </w:r>
      <w:r w:rsidRPr="00562E22">
        <w:t>ainsi que de sa constance depuis sa naissance (57</w:t>
      </w:r>
      <w:r w:rsidR="000E416F" w:rsidRPr="00562E22">
        <w:t> </w:t>
      </w:r>
      <w:r w:rsidRPr="00562E22">
        <w:t>%)</w:t>
      </w:r>
      <w:r w:rsidR="00D16B99" w:rsidRPr="00562E22">
        <w:rPr>
          <w:rFonts w:ascii="Arial" w:hAnsi="Arial" w:cs="Arial"/>
        </w:rPr>
        <w:t> </w:t>
      </w:r>
      <w:r w:rsidRPr="00562E22">
        <w:t>;</w:t>
      </w:r>
    </w:p>
    <w:p w14:paraId="1F3E0760" w14:textId="402BA99A" w:rsidR="00335AE5" w:rsidRPr="00562E22" w:rsidRDefault="00335AE5" w:rsidP="00BA3E6E">
      <w:pPr>
        <w:pStyle w:val="puces0"/>
      </w:pPr>
      <w:r w:rsidRPr="00562E22">
        <w:lastRenderedPageBreak/>
        <w:t>Dans</w:t>
      </w:r>
      <w:r w:rsidRPr="00562E22">
        <w:rPr>
          <w:spacing w:val="-4"/>
        </w:rPr>
        <w:t xml:space="preserve"> </w:t>
      </w:r>
      <w:r w:rsidRPr="00562E22">
        <w:t>la</w:t>
      </w:r>
      <w:r w:rsidRPr="00562E22">
        <w:rPr>
          <w:spacing w:val="-5"/>
        </w:rPr>
        <w:t xml:space="preserve"> </w:t>
      </w:r>
      <w:r w:rsidRPr="00562E22">
        <w:t>majorité</w:t>
      </w:r>
      <w:r w:rsidRPr="00562E22">
        <w:rPr>
          <w:spacing w:val="-4"/>
        </w:rPr>
        <w:t xml:space="preserve"> </w:t>
      </w:r>
      <w:r w:rsidRPr="00562E22">
        <w:t>des</w:t>
      </w:r>
      <w:r w:rsidRPr="00562E22">
        <w:rPr>
          <w:spacing w:val="-4"/>
        </w:rPr>
        <w:t xml:space="preserve"> </w:t>
      </w:r>
      <w:r w:rsidRPr="00562E22">
        <w:t>décisions</w:t>
      </w:r>
      <w:r w:rsidRPr="00562E22">
        <w:rPr>
          <w:spacing w:val="-2"/>
        </w:rPr>
        <w:t xml:space="preserve"> </w:t>
      </w:r>
      <w:r w:rsidRPr="00562E22">
        <w:t>(67</w:t>
      </w:r>
      <w:r w:rsidR="000E416F" w:rsidRPr="00562E22">
        <w:rPr>
          <w:spacing w:val="-3"/>
        </w:rPr>
        <w:t> </w:t>
      </w:r>
      <w:r w:rsidRPr="00562E22">
        <w:t>%),</w:t>
      </w:r>
      <w:r w:rsidRPr="00562E22">
        <w:rPr>
          <w:spacing w:val="-5"/>
        </w:rPr>
        <w:t xml:space="preserve"> </w:t>
      </w:r>
      <w:r w:rsidRPr="00562E22">
        <w:t>les</w:t>
      </w:r>
      <w:r w:rsidRPr="00562E22">
        <w:rPr>
          <w:spacing w:val="-2"/>
        </w:rPr>
        <w:t xml:space="preserve"> </w:t>
      </w:r>
      <w:r w:rsidRPr="00562E22">
        <w:t>juges</w:t>
      </w:r>
      <w:r w:rsidRPr="00562E22">
        <w:rPr>
          <w:spacing w:val="-1"/>
        </w:rPr>
        <w:t xml:space="preserve"> </w:t>
      </w:r>
      <w:r w:rsidRPr="00562E22">
        <w:t>laissent</w:t>
      </w:r>
      <w:r w:rsidRPr="00562E22">
        <w:rPr>
          <w:spacing w:val="-2"/>
        </w:rPr>
        <w:t xml:space="preserve"> </w:t>
      </w:r>
      <w:r w:rsidRPr="00562E22">
        <w:t>aux</w:t>
      </w:r>
      <w:r w:rsidRPr="00562E22">
        <w:rPr>
          <w:spacing w:val="-4"/>
        </w:rPr>
        <w:t xml:space="preserve"> </w:t>
      </w:r>
      <w:r w:rsidRPr="00562E22">
        <w:t>parties</w:t>
      </w:r>
      <w:r w:rsidRPr="00562E22">
        <w:rPr>
          <w:b/>
          <w:spacing w:val="-3"/>
        </w:rPr>
        <w:t xml:space="preserve"> </w:t>
      </w:r>
      <w:r w:rsidRPr="00562E22">
        <w:t>l’établissement</w:t>
      </w:r>
      <w:r w:rsidRPr="00562E22">
        <w:rPr>
          <w:spacing w:val="-5"/>
        </w:rPr>
        <w:t xml:space="preserve"> </w:t>
      </w:r>
      <w:r w:rsidRPr="00562E22">
        <w:t>de</w:t>
      </w:r>
      <w:r w:rsidRPr="00562E22">
        <w:rPr>
          <w:spacing w:val="-2"/>
        </w:rPr>
        <w:t xml:space="preserve"> </w:t>
      </w:r>
      <w:r w:rsidRPr="00562E22">
        <w:t>la fréquence, des modalités et de la durée des contacts selon l’évaluation de la situation</w:t>
      </w:r>
      <w:r w:rsidR="00D16B99" w:rsidRPr="00562E22">
        <w:rPr>
          <w:rFonts w:ascii="Arial" w:hAnsi="Arial" w:cs="Arial"/>
        </w:rPr>
        <w:t> </w:t>
      </w:r>
      <w:r w:rsidRPr="00562E22">
        <w:t>;</w:t>
      </w:r>
    </w:p>
    <w:p w14:paraId="29ADAFAA" w14:textId="02DA0A88" w:rsidR="00335AE5" w:rsidRPr="00335AE5" w:rsidRDefault="00335AE5" w:rsidP="00BA3E6E">
      <w:pPr>
        <w:pStyle w:val="puces0"/>
      </w:pPr>
      <w:r w:rsidRPr="00335AE5">
        <w:t>Un</w:t>
      </w:r>
      <w:r w:rsidRPr="00335AE5">
        <w:rPr>
          <w:spacing w:val="-4"/>
        </w:rPr>
        <w:t xml:space="preserve"> </w:t>
      </w:r>
      <w:r w:rsidRPr="00335AE5">
        <w:t>nombre</w:t>
      </w:r>
      <w:r w:rsidRPr="00335AE5">
        <w:rPr>
          <w:spacing w:val="-4"/>
        </w:rPr>
        <w:t xml:space="preserve"> </w:t>
      </w:r>
      <w:r w:rsidRPr="00335AE5">
        <w:t>significatif</w:t>
      </w:r>
      <w:r w:rsidRPr="00335AE5">
        <w:rPr>
          <w:spacing w:val="-4"/>
        </w:rPr>
        <w:t xml:space="preserve"> </w:t>
      </w:r>
      <w:r w:rsidRPr="00335AE5">
        <w:t>d’enfants ne</w:t>
      </w:r>
      <w:r w:rsidRPr="00335AE5">
        <w:rPr>
          <w:spacing w:val="-4"/>
        </w:rPr>
        <w:t xml:space="preserve"> </w:t>
      </w:r>
      <w:r w:rsidRPr="00335AE5">
        <w:t>maintient</w:t>
      </w:r>
      <w:r w:rsidRPr="00335AE5">
        <w:rPr>
          <w:spacing w:val="-5"/>
        </w:rPr>
        <w:t xml:space="preserve"> </w:t>
      </w:r>
      <w:r w:rsidRPr="00335AE5">
        <w:t>pas</w:t>
      </w:r>
      <w:r w:rsidRPr="00335AE5">
        <w:rPr>
          <w:spacing w:val="-4"/>
        </w:rPr>
        <w:t xml:space="preserve"> </w:t>
      </w:r>
      <w:r w:rsidRPr="00335AE5">
        <w:t>de</w:t>
      </w:r>
      <w:r w:rsidRPr="00335AE5">
        <w:rPr>
          <w:spacing w:val="-2"/>
        </w:rPr>
        <w:t xml:space="preserve"> </w:t>
      </w:r>
      <w:r w:rsidRPr="00335AE5">
        <w:t>contact avec</w:t>
      </w:r>
      <w:r w:rsidRPr="00335AE5">
        <w:rPr>
          <w:spacing w:val="-3"/>
        </w:rPr>
        <w:t xml:space="preserve"> </w:t>
      </w:r>
      <w:r w:rsidRPr="00335AE5">
        <w:t>ses</w:t>
      </w:r>
      <w:r w:rsidRPr="00335AE5">
        <w:rPr>
          <w:spacing w:val="-4"/>
        </w:rPr>
        <w:t xml:space="preserve"> </w:t>
      </w:r>
      <w:r w:rsidRPr="00335AE5">
        <w:t>parents</w:t>
      </w:r>
      <w:r w:rsidRPr="00335AE5">
        <w:rPr>
          <w:spacing w:val="-2"/>
        </w:rPr>
        <w:t xml:space="preserve"> </w:t>
      </w:r>
      <w:r w:rsidRPr="00335AE5">
        <w:t>ou</w:t>
      </w:r>
      <w:r w:rsidRPr="00335AE5">
        <w:rPr>
          <w:spacing w:val="-5"/>
        </w:rPr>
        <w:t xml:space="preserve"> </w:t>
      </w:r>
      <w:r w:rsidRPr="00335AE5">
        <w:t>l’un</w:t>
      </w:r>
      <w:r w:rsidRPr="00335AE5">
        <w:rPr>
          <w:spacing w:val="-5"/>
        </w:rPr>
        <w:t xml:space="preserve"> </w:t>
      </w:r>
      <w:r w:rsidRPr="00335AE5">
        <w:t>d’eux</w:t>
      </w:r>
      <w:r w:rsidRPr="00335AE5">
        <w:rPr>
          <w:spacing w:val="-2"/>
        </w:rPr>
        <w:t xml:space="preserve"> </w:t>
      </w:r>
      <w:r w:rsidRPr="00335AE5">
        <w:t xml:space="preserve">une fois qu’il est confié à un milieu de vie substitut jusqu’à la majorité puisqu’un </w:t>
      </w:r>
      <w:r w:rsidRPr="006D5995">
        <w:rPr>
          <w:bCs/>
        </w:rPr>
        <w:t>interdit de</w:t>
      </w:r>
      <w:r w:rsidRPr="006D5995">
        <w:rPr>
          <w:bCs/>
          <w:spacing w:val="40"/>
        </w:rPr>
        <w:t xml:space="preserve"> </w:t>
      </w:r>
      <w:r w:rsidRPr="006D5995">
        <w:rPr>
          <w:bCs/>
        </w:rPr>
        <w:t>contact</w:t>
      </w:r>
      <w:r w:rsidRPr="00335AE5">
        <w:rPr>
          <w:b/>
        </w:rPr>
        <w:t xml:space="preserve"> </w:t>
      </w:r>
      <w:r w:rsidRPr="00335AE5">
        <w:t>est prévu dans 23</w:t>
      </w:r>
      <w:r w:rsidR="000E416F">
        <w:t> </w:t>
      </w:r>
      <w:r w:rsidRPr="00335AE5">
        <w:t>% des décisions analysées. Les enfants de moins de deux ans sont ceux les plus visés par les interdictions de contacts.</w:t>
      </w:r>
    </w:p>
    <w:p w14:paraId="6D98A91F" w14:textId="4826FE59" w:rsidR="004028AD" w:rsidRDefault="00922F79" w:rsidP="0003534F">
      <w:pPr>
        <w:pStyle w:val="Titre3"/>
        <w:ind w:left="566" w:hanging="566"/>
      </w:pPr>
      <w:bookmarkStart w:id="85" w:name="_Toc201330523"/>
      <w:r w:rsidRPr="00922F79">
        <w:t>3.1.3</w:t>
      </w:r>
      <w:r w:rsidR="005C0BDA">
        <w:tab/>
      </w:r>
      <w:r w:rsidRPr="00922F79">
        <w:tab/>
        <w:t>Le droit à la participation active des enfants et le droit d’être entendus</w:t>
      </w:r>
      <w:r w:rsidR="00914C42">
        <w:t> </w:t>
      </w:r>
      <w:r w:rsidRPr="00922F79">
        <w:t xml:space="preserve">: les plus jeunes encore trop peu </w:t>
      </w:r>
      <w:bookmarkEnd w:id="85"/>
      <w:r w:rsidR="005B6452">
        <w:t>entendus</w:t>
      </w:r>
    </w:p>
    <w:p w14:paraId="06AD51C8" w14:textId="11C7016B" w:rsidR="004028AD" w:rsidRPr="005C0BDA" w:rsidRDefault="009A4BBD" w:rsidP="00BA3E6E">
      <w:pPr>
        <w:pStyle w:val="puces0"/>
      </w:pPr>
      <w:r w:rsidRPr="005C0BDA">
        <w:t>L’âge de l’enfant apparait comme étant un facteur déterminant de la prise en compte de son opinion concernant le choix de son projet de vie. Les juges accordent une grande importance au point de vue des enfants de 13</w:t>
      </w:r>
      <w:r w:rsidR="00322ADA">
        <w:t> </w:t>
      </w:r>
      <w:r w:rsidRPr="005C0BDA">
        <w:t>ans et plus dans la décision de le confier à un milieu de vie</w:t>
      </w:r>
      <w:r w:rsidR="00A67BC1" w:rsidRPr="005C0BDA">
        <w:t xml:space="preserve"> substitut jusqu’à la majorité, mentionnant cet aspect dans 91</w:t>
      </w:r>
      <w:r w:rsidR="000E416F">
        <w:t> </w:t>
      </w:r>
      <w:r w:rsidR="00A67BC1" w:rsidRPr="005C0BDA">
        <w:t>% des décisions analysées. Cette considération diminue toutefois pour les enfants âgés entre 6 à 12</w:t>
      </w:r>
      <w:r w:rsidR="00322ADA">
        <w:t> </w:t>
      </w:r>
      <w:r w:rsidR="00A67BC1" w:rsidRPr="005C0BDA">
        <w:t>ans, puisque seulement 55</w:t>
      </w:r>
      <w:r w:rsidR="000E416F">
        <w:t> </w:t>
      </w:r>
      <w:r w:rsidR="00A67BC1" w:rsidRPr="005C0BDA">
        <w:t>% des décisions analysées en font état</w:t>
      </w:r>
      <w:r w:rsidR="00D16B99">
        <w:rPr>
          <w:rFonts w:ascii="Arial" w:hAnsi="Arial" w:cs="Arial"/>
        </w:rPr>
        <w:t> </w:t>
      </w:r>
      <w:r w:rsidR="00A67BC1" w:rsidRPr="005C0BDA">
        <w:t>;</w:t>
      </w:r>
    </w:p>
    <w:p w14:paraId="59C81B32" w14:textId="6CAB8651" w:rsidR="00D82ADB" w:rsidRPr="005C0BDA" w:rsidRDefault="00D82ADB" w:rsidP="00BA3E6E">
      <w:pPr>
        <w:pStyle w:val="puces0"/>
      </w:pPr>
      <w:r w:rsidRPr="005C0BDA">
        <w:t>La position exprimée par les enfants ou leurs procureures ou procureurs en regard du projet de vie de les confier à un milieu de vie substitut jusqu’à la majorité dans les décisions analysées révèle dans une large mesure leur adhésion (73</w:t>
      </w:r>
      <w:r w:rsidR="000E416F">
        <w:t> </w:t>
      </w:r>
      <w:r w:rsidRPr="005C0BDA">
        <w:t>%)</w:t>
      </w:r>
      <w:r w:rsidR="00D16B99">
        <w:rPr>
          <w:rFonts w:ascii="Arial" w:hAnsi="Arial" w:cs="Arial"/>
        </w:rPr>
        <w:t> </w:t>
      </w:r>
      <w:r w:rsidRPr="005C0BDA">
        <w:t>;</w:t>
      </w:r>
    </w:p>
    <w:p w14:paraId="6CC826B3" w14:textId="58B9F9A4" w:rsidR="00D82ADB" w:rsidRPr="005C0BDA" w:rsidRDefault="00D82ADB" w:rsidP="00BA3E6E">
      <w:pPr>
        <w:pStyle w:val="puces0"/>
      </w:pPr>
      <w:r w:rsidRPr="005C0BDA">
        <w:t>Les enfants de 13</w:t>
      </w:r>
      <w:r w:rsidR="00322ADA">
        <w:t> </w:t>
      </w:r>
      <w:r w:rsidRPr="005C0BDA">
        <w:t>ans et plus sont les plus nombreux à contester la décision de les confier à un milieu de vie substitut jusqu’à la majorité, mais seulement une minorité d’entre eux conteste le projet de vie (37</w:t>
      </w:r>
      <w:r w:rsidR="000E416F">
        <w:t> </w:t>
      </w:r>
      <w:r w:rsidRPr="005C0BDA">
        <w:t>%)</w:t>
      </w:r>
      <w:r w:rsidR="00D16B99">
        <w:rPr>
          <w:rFonts w:ascii="Arial" w:hAnsi="Arial" w:cs="Arial"/>
        </w:rPr>
        <w:t> </w:t>
      </w:r>
      <w:r w:rsidRPr="005C0BDA">
        <w:t>;</w:t>
      </w:r>
    </w:p>
    <w:p w14:paraId="5581A38D" w14:textId="7B6D53B4" w:rsidR="00D82ADB" w:rsidRPr="005C0BDA" w:rsidRDefault="00D82ADB" w:rsidP="00BA3E6E">
      <w:pPr>
        <w:pStyle w:val="puces0"/>
      </w:pPr>
      <w:r w:rsidRPr="005C0BDA">
        <w:t>La prise en compte des désirs de l’enfant concernant l’établissement des contacts avec les personnes qui lui sont significatives semble tributaire de son âge. Les décisions analysées la mentionnent pour les enfants de 13</w:t>
      </w:r>
      <w:r w:rsidR="00322ADA">
        <w:t> </w:t>
      </w:r>
      <w:r w:rsidRPr="005C0BDA">
        <w:t>ans et plus (89</w:t>
      </w:r>
      <w:r w:rsidR="000E416F">
        <w:t> </w:t>
      </w:r>
      <w:r w:rsidRPr="005C0BDA">
        <w:t>%) comparativement aux enfants de 6 à 12</w:t>
      </w:r>
      <w:r w:rsidR="00322ADA">
        <w:t> </w:t>
      </w:r>
      <w:r w:rsidRPr="005C0BDA">
        <w:t>ans (68</w:t>
      </w:r>
      <w:r w:rsidR="000E416F">
        <w:t> </w:t>
      </w:r>
      <w:r w:rsidRPr="005C0BDA">
        <w:t>%)</w:t>
      </w:r>
      <w:r w:rsidR="00D16B99">
        <w:rPr>
          <w:rFonts w:ascii="Arial" w:hAnsi="Arial" w:cs="Arial"/>
        </w:rPr>
        <w:t> </w:t>
      </w:r>
      <w:r w:rsidRPr="005C0BDA">
        <w:t>;</w:t>
      </w:r>
    </w:p>
    <w:p w14:paraId="696C423E" w14:textId="12864133" w:rsidR="00D82ADB" w:rsidRPr="005C0BDA" w:rsidRDefault="00D82ADB" w:rsidP="00BA3E6E">
      <w:pPr>
        <w:pStyle w:val="puces0"/>
      </w:pPr>
      <w:r w:rsidRPr="005C0BDA">
        <w:t>Peu de décisions analysées notent la participation de l’enfant à l’audience (5</w:t>
      </w:r>
      <w:r w:rsidR="000E416F">
        <w:t> </w:t>
      </w:r>
      <w:r w:rsidRPr="005C0BDA">
        <w:t>%). De ces décisions,</w:t>
      </w:r>
      <w:r w:rsidR="00B129D8">
        <w:t xml:space="preserve"> </w:t>
      </w:r>
      <w:r w:rsidRPr="005C0BDA">
        <w:t>14 concernent des enfants de 13</w:t>
      </w:r>
      <w:r w:rsidR="00322ADA">
        <w:t> </w:t>
      </w:r>
      <w:r w:rsidRPr="005C0BDA">
        <w:t>ans et plus et 9 concernent des enfants de 6 à 12</w:t>
      </w:r>
      <w:r w:rsidR="00322ADA">
        <w:t> </w:t>
      </w:r>
      <w:r w:rsidRPr="005C0BDA">
        <w:t>ans.</w:t>
      </w:r>
    </w:p>
    <w:p w14:paraId="3DD3519D" w14:textId="66FB6A7C" w:rsidR="00CC5346" w:rsidRDefault="00CC5346" w:rsidP="00F93AC5">
      <w:pPr>
        <w:pStyle w:val="Titre2"/>
      </w:pPr>
      <w:bookmarkStart w:id="86" w:name="_Toc201330524"/>
      <w:r>
        <w:t>3.2</w:t>
      </w:r>
      <w:r>
        <w:tab/>
        <w:t>Les parents de l’enfant retiré de son milieu familial</w:t>
      </w:r>
      <w:r w:rsidR="00914C42">
        <w:t> </w:t>
      </w:r>
      <w:r>
        <w:t>: leur rôle pour assurer sa stabilité insuffisamment pris</w:t>
      </w:r>
      <w:r w:rsidR="002B75E0">
        <w:t>e</w:t>
      </w:r>
      <w:r>
        <w:t xml:space="preserve"> en compte dans la mise en œuvre de la réforme</w:t>
      </w:r>
      <w:bookmarkEnd w:id="86"/>
    </w:p>
    <w:p w14:paraId="71D39552" w14:textId="529B780C" w:rsidR="004028AD" w:rsidRDefault="00CC5346" w:rsidP="00B81CCF">
      <w:pPr>
        <w:pStyle w:val="Titre3"/>
        <w:ind w:left="566" w:hanging="566"/>
      </w:pPr>
      <w:bookmarkStart w:id="87" w:name="_Toc201330525"/>
      <w:r>
        <w:t>3.2.1</w:t>
      </w:r>
      <w:r>
        <w:tab/>
      </w:r>
      <w:r>
        <w:tab/>
        <w:t>Le droit des parents d’être impliqués pour exercer leurs responsabilités parentales</w:t>
      </w:r>
      <w:r w:rsidR="00914C42">
        <w:t> </w:t>
      </w:r>
      <w:r>
        <w:t>: une évaluation de la capacité qui ne considère pas suffisamment les services dont ils ont besoin</w:t>
      </w:r>
      <w:bookmarkEnd w:id="87"/>
    </w:p>
    <w:p w14:paraId="21EE3759" w14:textId="205A288C" w:rsidR="009643D5" w:rsidRPr="009643D5" w:rsidRDefault="009643D5" w:rsidP="00BA3E6E">
      <w:pPr>
        <w:pStyle w:val="puces0"/>
      </w:pPr>
      <w:r w:rsidRPr="009643D5">
        <w:t>Le</w:t>
      </w:r>
      <w:r w:rsidRPr="009643D5">
        <w:rPr>
          <w:spacing w:val="-4"/>
        </w:rPr>
        <w:t xml:space="preserve"> </w:t>
      </w:r>
      <w:r w:rsidRPr="009643D5">
        <w:t>niveau</w:t>
      </w:r>
      <w:r w:rsidRPr="009643D5">
        <w:rPr>
          <w:spacing w:val="-6"/>
        </w:rPr>
        <w:t xml:space="preserve"> </w:t>
      </w:r>
      <w:r w:rsidRPr="009643D5">
        <w:t>d’implication</w:t>
      </w:r>
      <w:r w:rsidRPr="009643D5">
        <w:rPr>
          <w:spacing w:val="-5"/>
        </w:rPr>
        <w:t xml:space="preserve"> </w:t>
      </w:r>
      <w:r w:rsidRPr="009643D5">
        <w:t>des</w:t>
      </w:r>
      <w:r w:rsidRPr="009643D5">
        <w:rPr>
          <w:spacing w:val="-4"/>
        </w:rPr>
        <w:t xml:space="preserve"> </w:t>
      </w:r>
      <w:r w:rsidRPr="009643D5">
        <w:t>parents</w:t>
      </w:r>
      <w:r w:rsidRPr="009643D5">
        <w:rPr>
          <w:spacing w:val="-4"/>
        </w:rPr>
        <w:t xml:space="preserve"> </w:t>
      </w:r>
      <w:r w:rsidRPr="009643D5">
        <w:t>pour</w:t>
      </w:r>
      <w:r w:rsidRPr="009643D5">
        <w:rPr>
          <w:spacing w:val="-5"/>
        </w:rPr>
        <w:t xml:space="preserve"> </w:t>
      </w:r>
      <w:r w:rsidRPr="009643D5">
        <w:t>assumer</w:t>
      </w:r>
      <w:r w:rsidRPr="009643D5">
        <w:rPr>
          <w:spacing w:val="-7"/>
        </w:rPr>
        <w:t xml:space="preserve"> </w:t>
      </w:r>
      <w:r w:rsidRPr="009643D5">
        <w:t>leurs</w:t>
      </w:r>
      <w:r w:rsidRPr="009643D5">
        <w:rPr>
          <w:spacing w:val="-4"/>
        </w:rPr>
        <w:t xml:space="preserve"> </w:t>
      </w:r>
      <w:r w:rsidRPr="009643D5">
        <w:t>responsabilités</w:t>
      </w:r>
      <w:r w:rsidRPr="009643D5">
        <w:rPr>
          <w:spacing w:val="-4"/>
        </w:rPr>
        <w:t xml:space="preserve"> </w:t>
      </w:r>
      <w:r w:rsidRPr="009643D5">
        <w:t>parentales est</w:t>
      </w:r>
      <w:r w:rsidRPr="009643D5">
        <w:rPr>
          <w:spacing w:val="-2"/>
        </w:rPr>
        <w:t xml:space="preserve"> </w:t>
      </w:r>
      <w:r w:rsidRPr="009643D5">
        <w:t>une considération importante, notée dans un grand nombre de décisions analysées (88</w:t>
      </w:r>
      <w:r w:rsidR="000E416F">
        <w:t> </w:t>
      </w:r>
      <w:r w:rsidRPr="009643D5">
        <w:t>%)</w:t>
      </w:r>
      <w:r w:rsidR="00D16B99">
        <w:rPr>
          <w:rFonts w:ascii="Arial" w:hAnsi="Arial" w:cs="Arial"/>
        </w:rPr>
        <w:t> </w:t>
      </w:r>
      <w:r w:rsidRPr="009643D5">
        <w:t>;</w:t>
      </w:r>
    </w:p>
    <w:p w14:paraId="4ACE1A76" w14:textId="305EAFAE" w:rsidR="009643D5" w:rsidRPr="009643D5" w:rsidRDefault="009643D5" w:rsidP="00BA3E6E">
      <w:pPr>
        <w:pStyle w:val="puces0"/>
      </w:pPr>
      <w:r w:rsidRPr="009643D5">
        <w:lastRenderedPageBreak/>
        <w:t>Le</w:t>
      </w:r>
      <w:r w:rsidRPr="009643D5">
        <w:rPr>
          <w:spacing w:val="-3"/>
        </w:rPr>
        <w:t xml:space="preserve"> </w:t>
      </w:r>
      <w:r w:rsidRPr="009643D5">
        <w:t>niveau</w:t>
      </w:r>
      <w:r w:rsidRPr="009643D5">
        <w:rPr>
          <w:spacing w:val="-4"/>
        </w:rPr>
        <w:t xml:space="preserve"> </w:t>
      </w:r>
      <w:r w:rsidRPr="009643D5">
        <w:t>d’engagement</w:t>
      </w:r>
      <w:r w:rsidRPr="009643D5">
        <w:rPr>
          <w:spacing w:val="-4"/>
        </w:rPr>
        <w:t xml:space="preserve"> </w:t>
      </w:r>
      <w:r w:rsidRPr="009643D5">
        <w:t>des</w:t>
      </w:r>
      <w:r w:rsidRPr="009643D5">
        <w:rPr>
          <w:spacing w:val="-3"/>
        </w:rPr>
        <w:t xml:space="preserve"> </w:t>
      </w:r>
      <w:r w:rsidRPr="009643D5">
        <w:t>parents</w:t>
      </w:r>
      <w:r w:rsidRPr="009643D5">
        <w:rPr>
          <w:spacing w:val="-3"/>
        </w:rPr>
        <w:t xml:space="preserve"> </w:t>
      </w:r>
      <w:r w:rsidRPr="009643D5">
        <w:t>à</w:t>
      </w:r>
      <w:r w:rsidRPr="009643D5">
        <w:rPr>
          <w:spacing w:val="-4"/>
        </w:rPr>
        <w:t xml:space="preserve"> </w:t>
      </w:r>
      <w:r w:rsidRPr="009643D5">
        <w:t>améliorer</w:t>
      </w:r>
      <w:r w:rsidRPr="009643D5">
        <w:rPr>
          <w:spacing w:val="-4"/>
        </w:rPr>
        <w:t xml:space="preserve"> </w:t>
      </w:r>
      <w:r w:rsidRPr="009643D5">
        <w:t>leurs</w:t>
      </w:r>
      <w:r w:rsidRPr="009643D5">
        <w:rPr>
          <w:spacing w:val="-3"/>
        </w:rPr>
        <w:t xml:space="preserve"> </w:t>
      </w:r>
      <w:r w:rsidRPr="009643D5">
        <w:t>capacités</w:t>
      </w:r>
      <w:r w:rsidRPr="009643D5">
        <w:rPr>
          <w:spacing w:val="-3"/>
        </w:rPr>
        <w:t xml:space="preserve"> </w:t>
      </w:r>
      <w:r w:rsidRPr="009643D5">
        <w:t>parentales est</w:t>
      </w:r>
      <w:r w:rsidRPr="009643D5">
        <w:rPr>
          <w:spacing w:val="-4"/>
        </w:rPr>
        <w:t xml:space="preserve"> </w:t>
      </w:r>
      <w:r w:rsidRPr="009643D5">
        <w:t>évalué</w:t>
      </w:r>
      <w:r w:rsidRPr="009643D5">
        <w:rPr>
          <w:spacing w:val="-3"/>
        </w:rPr>
        <w:t xml:space="preserve"> </w:t>
      </w:r>
      <w:r w:rsidRPr="009643D5">
        <w:t>par les juges qui tiennent compte de leur collaboration ou non avec les intervenantes et intervenants du DPJ (66</w:t>
      </w:r>
      <w:r w:rsidR="000E416F">
        <w:t> </w:t>
      </w:r>
      <w:r w:rsidRPr="009643D5">
        <w:t>% des décisions), de leur participation ou non aux services mis à leur disposition (58</w:t>
      </w:r>
      <w:r w:rsidR="000E416F">
        <w:t> </w:t>
      </w:r>
      <w:r w:rsidRPr="009643D5">
        <w:t>%) et de leur reconnaissance ou non de leurs problématiques (51</w:t>
      </w:r>
      <w:r w:rsidR="000E416F">
        <w:t> </w:t>
      </w:r>
      <w:r w:rsidRPr="009643D5">
        <w:t>%)</w:t>
      </w:r>
      <w:r w:rsidR="00D16B99">
        <w:rPr>
          <w:rFonts w:ascii="Arial" w:hAnsi="Arial" w:cs="Arial"/>
        </w:rPr>
        <w:t> </w:t>
      </w:r>
      <w:r w:rsidRPr="009643D5">
        <w:t>;</w:t>
      </w:r>
    </w:p>
    <w:p w14:paraId="4A11B0CD" w14:textId="6B14C33F" w:rsidR="009643D5" w:rsidRDefault="009643D5" w:rsidP="00BA3E6E">
      <w:pPr>
        <w:pStyle w:val="puces0"/>
      </w:pPr>
      <w:r>
        <w:t>L’importance</w:t>
      </w:r>
      <w:r>
        <w:rPr>
          <w:spacing w:val="-6"/>
        </w:rPr>
        <w:t xml:space="preserve"> </w:t>
      </w:r>
      <w:r>
        <w:t>de</w:t>
      </w:r>
      <w:r>
        <w:rPr>
          <w:spacing w:val="-5"/>
        </w:rPr>
        <w:t xml:space="preserve"> </w:t>
      </w:r>
      <w:r>
        <w:t>mentionner</w:t>
      </w:r>
      <w:r>
        <w:rPr>
          <w:spacing w:val="-3"/>
        </w:rPr>
        <w:t xml:space="preserve"> </w:t>
      </w:r>
      <w:r>
        <w:t>les</w:t>
      </w:r>
      <w:r>
        <w:rPr>
          <w:spacing w:val="-5"/>
        </w:rPr>
        <w:t xml:space="preserve"> </w:t>
      </w:r>
      <w:r>
        <w:t>services</w:t>
      </w:r>
      <w:r>
        <w:rPr>
          <w:spacing w:val="-3"/>
        </w:rPr>
        <w:t xml:space="preserve"> </w:t>
      </w:r>
      <w:r>
        <w:t>rendus</w:t>
      </w:r>
      <w:r>
        <w:rPr>
          <w:spacing w:val="-4"/>
        </w:rPr>
        <w:t xml:space="preserve"> </w:t>
      </w:r>
      <w:r>
        <w:t>par</w:t>
      </w:r>
      <w:r>
        <w:rPr>
          <w:spacing w:val="-3"/>
        </w:rPr>
        <w:t xml:space="preserve"> </w:t>
      </w:r>
      <w:r>
        <w:t>le</w:t>
      </w:r>
      <w:r>
        <w:rPr>
          <w:spacing w:val="-3"/>
        </w:rPr>
        <w:t xml:space="preserve"> </w:t>
      </w:r>
      <w:r>
        <w:t>DPJ</w:t>
      </w:r>
      <w:r>
        <w:rPr>
          <w:spacing w:val="-5"/>
        </w:rPr>
        <w:t xml:space="preserve"> </w:t>
      </w:r>
      <w:r>
        <w:t>aux</w:t>
      </w:r>
      <w:r>
        <w:rPr>
          <w:spacing w:val="-5"/>
        </w:rPr>
        <w:t xml:space="preserve"> </w:t>
      </w:r>
      <w:r>
        <w:t>parents</w:t>
      </w:r>
      <w:r>
        <w:rPr>
          <w:spacing w:val="-5"/>
        </w:rPr>
        <w:t xml:space="preserve"> </w:t>
      </w:r>
      <w:r>
        <w:t>pour</w:t>
      </w:r>
      <w:r>
        <w:rPr>
          <w:spacing w:val="-6"/>
        </w:rPr>
        <w:t xml:space="preserve"> </w:t>
      </w:r>
      <w:r>
        <w:t>les</w:t>
      </w:r>
      <w:r>
        <w:rPr>
          <w:spacing w:val="-4"/>
        </w:rPr>
        <w:t xml:space="preserve"> </w:t>
      </w:r>
      <w:r>
        <w:t>soutenir</w:t>
      </w:r>
      <w:r>
        <w:rPr>
          <w:spacing w:val="-5"/>
        </w:rPr>
        <w:t xml:space="preserve"> </w:t>
      </w:r>
      <w:r>
        <w:rPr>
          <w:spacing w:val="-4"/>
        </w:rPr>
        <w:t>dans</w:t>
      </w:r>
      <w:r w:rsidR="008E7931" w:rsidRPr="008E7931">
        <w:rPr>
          <w:spacing w:val="-4"/>
        </w:rPr>
        <w:t xml:space="preserve"> </w:t>
      </w:r>
      <w:r>
        <w:t>l’exercice</w:t>
      </w:r>
      <w:r>
        <w:rPr>
          <w:spacing w:val="-4"/>
        </w:rPr>
        <w:t xml:space="preserve"> </w:t>
      </w:r>
      <w:r>
        <w:t>de</w:t>
      </w:r>
      <w:r>
        <w:rPr>
          <w:spacing w:val="-2"/>
        </w:rPr>
        <w:t xml:space="preserve"> </w:t>
      </w:r>
      <w:r>
        <w:t>leurs</w:t>
      </w:r>
      <w:r>
        <w:rPr>
          <w:spacing w:val="-2"/>
        </w:rPr>
        <w:t xml:space="preserve"> </w:t>
      </w:r>
      <w:r>
        <w:t>responsabilités</w:t>
      </w:r>
      <w:r>
        <w:rPr>
          <w:spacing w:val="-4"/>
        </w:rPr>
        <w:t xml:space="preserve"> </w:t>
      </w:r>
      <w:r>
        <w:t>parentales</w:t>
      </w:r>
      <w:r>
        <w:rPr>
          <w:spacing w:val="-4"/>
        </w:rPr>
        <w:t xml:space="preserve"> </w:t>
      </w:r>
      <w:r>
        <w:t>depuis</w:t>
      </w:r>
      <w:r>
        <w:rPr>
          <w:spacing w:val="-2"/>
        </w:rPr>
        <w:t xml:space="preserve"> </w:t>
      </w:r>
      <w:r>
        <w:t>que</w:t>
      </w:r>
      <w:r>
        <w:rPr>
          <w:spacing w:val="-2"/>
        </w:rPr>
        <w:t xml:space="preserve"> </w:t>
      </w:r>
      <w:r>
        <w:t>leur</w:t>
      </w:r>
      <w:r>
        <w:rPr>
          <w:spacing w:val="-4"/>
        </w:rPr>
        <w:t xml:space="preserve"> </w:t>
      </w:r>
      <w:r>
        <w:t>enfant a</w:t>
      </w:r>
      <w:r>
        <w:rPr>
          <w:spacing w:val="-4"/>
        </w:rPr>
        <w:t xml:space="preserve"> </w:t>
      </w:r>
      <w:r>
        <w:t>été</w:t>
      </w:r>
      <w:r>
        <w:rPr>
          <w:spacing w:val="-3"/>
        </w:rPr>
        <w:t xml:space="preserve"> </w:t>
      </w:r>
      <w:r>
        <w:t>confié</w:t>
      </w:r>
      <w:r>
        <w:rPr>
          <w:spacing w:val="-1"/>
        </w:rPr>
        <w:t xml:space="preserve"> </w:t>
      </w:r>
      <w:r>
        <w:t>à</w:t>
      </w:r>
      <w:r>
        <w:rPr>
          <w:spacing w:val="-4"/>
        </w:rPr>
        <w:t xml:space="preserve"> </w:t>
      </w:r>
      <w:r>
        <w:t>un</w:t>
      </w:r>
      <w:r>
        <w:rPr>
          <w:spacing w:val="-4"/>
        </w:rPr>
        <w:t xml:space="preserve"> </w:t>
      </w:r>
      <w:r>
        <w:t>milieu</w:t>
      </w:r>
      <w:r>
        <w:rPr>
          <w:spacing w:val="-5"/>
        </w:rPr>
        <w:t xml:space="preserve"> </w:t>
      </w:r>
      <w:r>
        <w:t>de vie substitut n’apparait pas centrale dans les décisions analysées. Moins de la moitié des décisions (45</w:t>
      </w:r>
      <w:r w:rsidR="000E416F">
        <w:t> </w:t>
      </w:r>
      <w:r>
        <w:t>%) mentionnent les services rendus par le DPJ aux parents pour les aider ou les amener à exercer leurs responsabilités parentales depuis que leur enfant a été confié à un milieu de vie substitut</w:t>
      </w:r>
      <w:r w:rsidR="00D16B99">
        <w:rPr>
          <w:rFonts w:ascii="Arial" w:hAnsi="Arial" w:cs="Arial"/>
        </w:rPr>
        <w:t> </w:t>
      </w:r>
      <w:r>
        <w:t>;</w:t>
      </w:r>
    </w:p>
    <w:p w14:paraId="7B68A655" w14:textId="2B59F528" w:rsidR="009643D5" w:rsidRDefault="009643D5" w:rsidP="00BA3E6E">
      <w:pPr>
        <w:pStyle w:val="puces0"/>
      </w:pPr>
      <w:r>
        <w:t>Lorsque</w:t>
      </w:r>
      <w:r w:rsidRPr="009643D5">
        <w:rPr>
          <w:spacing w:val="-6"/>
        </w:rPr>
        <w:t xml:space="preserve"> </w:t>
      </w:r>
      <w:r>
        <w:t>les</w:t>
      </w:r>
      <w:r w:rsidRPr="009643D5">
        <w:rPr>
          <w:spacing w:val="-5"/>
        </w:rPr>
        <w:t xml:space="preserve"> </w:t>
      </w:r>
      <w:r>
        <w:t>juges</w:t>
      </w:r>
      <w:r w:rsidRPr="009643D5">
        <w:rPr>
          <w:spacing w:val="-6"/>
        </w:rPr>
        <w:t xml:space="preserve"> </w:t>
      </w:r>
      <w:r>
        <w:t>traitent</w:t>
      </w:r>
      <w:r w:rsidRPr="009643D5">
        <w:rPr>
          <w:spacing w:val="-7"/>
        </w:rPr>
        <w:t xml:space="preserve"> </w:t>
      </w:r>
      <w:r>
        <w:t>des</w:t>
      </w:r>
      <w:r w:rsidRPr="009643D5">
        <w:rPr>
          <w:spacing w:val="-3"/>
        </w:rPr>
        <w:t xml:space="preserve"> </w:t>
      </w:r>
      <w:r>
        <w:t>services</w:t>
      </w:r>
      <w:r w:rsidRPr="009643D5">
        <w:rPr>
          <w:spacing w:val="-6"/>
        </w:rPr>
        <w:t xml:space="preserve"> </w:t>
      </w:r>
      <w:r>
        <w:t>rendus</w:t>
      </w:r>
      <w:r w:rsidRPr="009643D5">
        <w:rPr>
          <w:spacing w:val="-6"/>
        </w:rPr>
        <w:t xml:space="preserve"> </w:t>
      </w:r>
      <w:r>
        <w:t>aux</w:t>
      </w:r>
      <w:r w:rsidRPr="009643D5">
        <w:rPr>
          <w:spacing w:val="-6"/>
        </w:rPr>
        <w:t xml:space="preserve"> </w:t>
      </w:r>
      <w:r>
        <w:t>parents,</w:t>
      </w:r>
      <w:r w:rsidRPr="009643D5">
        <w:rPr>
          <w:spacing w:val="-4"/>
        </w:rPr>
        <w:t xml:space="preserve"> </w:t>
      </w:r>
      <w:r>
        <w:t>ils</w:t>
      </w:r>
      <w:r w:rsidRPr="009643D5">
        <w:rPr>
          <w:spacing w:val="-4"/>
        </w:rPr>
        <w:t xml:space="preserve"> </w:t>
      </w:r>
      <w:r>
        <w:t>s’intéressent</w:t>
      </w:r>
      <w:r w:rsidRPr="009643D5">
        <w:rPr>
          <w:spacing w:val="-7"/>
        </w:rPr>
        <w:t xml:space="preserve"> </w:t>
      </w:r>
      <w:r>
        <w:t>davantage</w:t>
      </w:r>
      <w:r w:rsidRPr="009643D5">
        <w:rPr>
          <w:spacing w:val="-4"/>
        </w:rPr>
        <w:t xml:space="preserve"> </w:t>
      </w:r>
      <w:r>
        <w:t>à</w:t>
      </w:r>
      <w:r w:rsidRPr="009643D5">
        <w:rPr>
          <w:spacing w:val="-6"/>
        </w:rPr>
        <w:t xml:space="preserve"> </w:t>
      </w:r>
      <w:r w:rsidRPr="009643D5">
        <w:rPr>
          <w:spacing w:val="-4"/>
        </w:rPr>
        <w:t xml:space="preserve">leur </w:t>
      </w:r>
      <w:r>
        <w:t>nature</w:t>
      </w:r>
      <w:r w:rsidRPr="009643D5">
        <w:rPr>
          <w:spacing w:val="-2"/>
        </w:rPr>
        <w:t xml:space="preserve"> </w:t>
      </w:r>
      <w:r>
        <w:t>(66</w:t>
      </w:r>
      <w:r w:rsidR="000E416F">
        <w:rPr>
          <w:spacing w:val="-3"/>
        </w:rPr>
        <w:t> </w:t>
      </w:r>
      <w:r>
        <w:t>%)</w:t>
      </w:r>
      <w:r w:rsidRPr="009643D5">
        <w:rPr>
          <w:spacing w:val="-5"/>
        </w:rPr>
        <w:t xml:space="preserve"> </w:t>
      </w:r>
      <w:r>
        <w:t>qu’à</w:t>
      </w:r>
      <w:r w:rsidRPr="009643D5">
        <w:rPr>
          <w:spacing w:val="-3"/>
        </w:rPr>
        <w:t xml:space="preserve"> </w:t>
      </w:r>
      <w:r>
        <w:t>leur</w:t>
      </w:r>
      <w:r w:rsidRPr="009643D5">
        <w:rPr>
          <w:spacing w:val="-4"/>
        </w:rPr>
        <w:t xml:space="preserve"> </w:t>
      </w:r>
      <w:r>
        <w:t>l’intensité</w:t>
      </w:r>
      <w:r w:rsidRPr="009643D5">
        <w:rPr>
          <w:spacing w:val="-3"/>
        </w:rPr>
        <w:t xml:space="preserve"> </w:t>
      </w:r>
      <w:r>
        <w:t>(39</w:t>
      </w:r>
      <w:r w:rsidR="000E416F">
        <w:rPr>
          <w:spacing w:val="-4"/>
        </w:rPr>
        <w:t> </w:t>
      </w:r>
      <w:r>
        <w:t>%)</w:t>
      </w:r>
      <w:r w:rsidRPr="009643D5">
        <w:rPr>
          <w:spacing w:val="-5"/>
        </w:rPr>
        <w:t xml:space="preserve"> </w:t>
      </w:r>
      <w:r>
        <w:t>ou</w:t>
      </w:r>
      <w:r w:rsidRPr="009643D5">
        <w:rPr>
          <w:spacing w:val="-4"/>
        </w:rPr>
        <w:t xml:space="preserve"> </w:t>
      </w:r>
      <w:r>
        <w:t>leur</w:t>
      </w:r>
      <w:r w:rsidRPr="009643D5">
        <w:rPr>
          <w:spacing w:val="-4"/>
        </w:rPr>
        <w:t xml:space="preserve"> </w:t>
      </w:r>
      <w:r>
        <w:t>adéquation</w:t>
      </w:r>
      <w:r w:rsidRPr="009643D5">
        <w:rPr>
          <w:spacing w:val="-1"/>
        </w:rPr>
        <w:t xml:space="preserve"> </w:t>
      </w:r>
      <w:r>
        <w:t>(37</w:t>
      </w:r>
      <w:r w:rsidR="000E416F">
        <w:rPr>
          <w:spacing w:val="-5"/>
        </w:rPr>
        <w:t> </w:t>
      </w:r>
      <w:r w:rsidRPr="009643D5">
        <w:rPr>
          <w:spacing w:val="-5"/>
        </w:rPr>
        <w:t>%).</w:t>
      </w:r>
    </w:p>
    <w:p w14:paraId="72F4C878" w14:textId="4A13DB3B" w:rsidR="004028AD" w:rsidRDefault="00B81CCF" w:rsidP="00B81CCF">
      <w:pPr>
        <w:pStyle w:val="Titre3"/>
        <w:ind w:left="566" w:hanging="566"/>
      </w:pPr>
      <w:bookmarkStart w:id="88" w:name="_Toc201330526"/>
      <w:r>
        <w:t>3.2.2</w:t>
      </w:r>
      <w:r>
        <w:tab/>
      </w:r>
      <w:r w:rsidR="00A027E1" w:rsidRPr="00A027E1">
        <w:t>Le droit des parents de participer aux décisions concernant leur enfant</w:t>
      </w:r>
      <w:r w:rsidR="00914C42">
        <w:t> </w:t>
      </w:r>
      <w:r w:rsidR="00A027E1" w:rsidRPr="00A027E1">
        <w:t>: une participation assurée aux décisions, mais une adhésion variable au choix du projet de vie</w:t>
      </w:r>
      <w:bookmarkEnd w:id="88"/>
    </w:p>
    <w:p w14:paraId="5A1BA389" w14:textId="499D5A4E" w:rsidR="005E5A9C" w:rsidRPr="005E5A9C" w:rsidRDefault="005E5A9C" w:rsidP="00BA3E6E">
      <w:pPr>
        <w:pStyle w:val="puces0"/>
      </w:pPr>
      <w:r w:rsidRPr="005E5A9C">
        <w:t>Les juges portent une grande attention à la participation des parents dans le processus décisionnel</w:t>
      </w:r>
      <w:r w:rsidRPr="005E5A9C">
        <w:rPr>
          <w:spacing w:val="-4"/>
        </w:rPr>
        <w:t xml:space="preserve"> </w:t>
      </w:r>
      <w:r w:rsidRPr="005E5A9C">
        <w:t>du</w:t>
      </w:r>
      <w:r w:rsidRPr="005E5A9C">
        <w:rPr>
          <w:spacing w:val="-5"/>
        </w:rPr>
        <w:t xml:space="preserve"> </w:t>
      </w:r>
      <w:r w:rsidRPr="005E5A9C">
        <w:t>placement</w:t>
      </w:r>
      <w:r w:rsidRPr="005E5A9C">
        <w:rPr>
          <w:spacing w:val="-1"/>
        </w:rPr>
        <w:t xml:space="preserve"> </w:t>
      </w:r>
      <w:r w:rsidRPr="005E5A9C">
        <w:t>de</w:t>
      </w:r>
      <w:r w:rsidRPr="005E5A9C">
        <w:rPr>
          <w:spacing w:val="-3"/>
        </w:rPr>
        <w:t xml:space="preserve"> </w:t>
      </w:r>
      <w:r w:rsidRPr="005E5A9C">
        <w:t>leur</w:t>
      </w:r>
      <w:r w:rsidRPr="005E5A9C">
        <w:rPr>
          <w:spacing w:val="-4"/>
        </w:rPr>
        <w:t xml:space="preserve"> </w:t>
      </w:r>
      <w:r w:rsidRPr="005E5A9C">
        <w:t>enfant</w:t>
      </w:r>
      <w:r w:rsidRPr="005E5A9C">
        <w:rPr>
          <w:spacing w:val="-2"/>
        </w:rPr>
        <w:t xml:space="preserve"> </w:t>
      </w:r>
      <w:r w:rsidR="001718F2">
        <w:t>à un</w:t>
      </w:r>
      <w:r>
        <w:t xml:space="preserve"> </w:t>
      </w:r>
      <w:r w:rsidRPr="005E5A9C">
        <w:t>milieu</w:t>
      </w:r>
      <w:r>
        <w:t xml:space="preserve"> </w:t>
      </w:r>
      <w:r w:rsidRPr="005E5A9C">
        <w:t>de</w:t>
      </w:r>
      <w:r>
        <w:t xml:space="preserve"> </w:t>
      </w:r>
      <w:r w:rsidRPr="005E5A9C">
        <w:t>vie</w:t>
      </w:r>
      <w:r w:rsidRPr="005E5A9C">
        <w:rPr>
          <w:spacing w:val="-3"/>
        </w:rPr>
        <w:t xml:space="preserve"> </w:t>
      </w:r>
      <w:r w:rsidRPr="005E5A9C">
        <w:t>substitut jusqu’à</w:t>
      </w:r>
      <w:r w:rsidRPr="005E5A9C">
        <w:rPr>
          <w:spacing w:val="-4"/>
        </w:rPr>
        <w:t xml:space="preserve"> </w:t>
      </w:r>
      <w:r w:rsidRPr="005E5A9C">
        <w:t>la</w:t>
      </w:r>
      <w:r w:rsidRPr="005E5A9C">
        <w:rPr>
          <w:spacing w:val="-4"/>
        </w:rPr>
        <w:t xml:space="preserve"> </w:t>
      </w:r>
      <w:r w:rsidRPr="005E5A9C">
        <w:t>majorité,</w:t>
      </w:r>
      <w:r w:rsidRPr="005E5A9C">
        <w:rPr>
          <w:spacing w:val="-2"/>
        </w:rPr>
        <w:t xml:space="preserve"> </w:t>
      </w:r>
      <w:r w:rsidRPr="005E5A9C">
        <w:t>y</w:t>
      </w:r>
      <w:r w:rsidRPr="005E5A9C">
        <w:rPr>
          <w:spacing w:val="-3"/>
        </w:rPr>
        <w:t xml:space="preserve"> </w:t>
      </w:r>
      <w:r w:rsidRPr="005E5A9C">
        <w:t>faisant référence dans 84</w:t>
      </w:r>
      <w:r w:rsidR="000E416F">
        <w:t> </w:t>
      </w:r>
      <w:r w:rsidRPr="005E5A9C">
        <w:t>% des décisions analysées</w:t>
      </w:r>
      <w:r w:rsidR="00D16B99">
        <w:rPr>
          <w:rFonts w:ascii="Arial" w:hAnsi="Arial" w:cs="Arial"/>
        </w:rPr>
        <w:t> </w:t>
      </w:r>
      <w:r w:rsidR="00F1166F">
        <w:t>;</w:t>
      </w:r>
    </w:p>
    <w:p w14:paraId="715DA066" w14:textId="21737BAE" w:rsidR="005E5A9C" w:rsidRDefault="005E5A9C" w:rsidP="00BA3E6E">
      <w:pPr>
        <w:pStyle w:val="puces0"/>
      </w:pPr>
      <w:r w:rsidRPr="005E5A9C">
        <w:t>Malgré</w:t>
      </w:r>
      <w:r w:rsidRPr="005E5A9C">
        <w:rPr>
          <w:spacing w:val="-2"/>
        </w:rPr>
        <w:t xml:space="preserve"> </w:t>
      </w:r>
      <w:r w:rsidRPr="005E5A9C">
        <w:t>la</w:t>
      </w:r>
      <w:r w:rsidRPr="005E5A9C">
        <w:rPr>
          <w:spacing w:val="-5"/>
        </w:rPr>
        <w:t xml:space="preserve"> </w:t>
      </w:r>
      <w:r w:rsidRPr="005E5A9C">
        <w:t>participation</w:t>
      </w:r>
      <w:r w:rsidRPr="005E5A9C">
        <w:rPr>
          <w:spacing w:val="-5"/>
        </w:rPr>
        <w:t xml:space="preserve"> </w:t>
      </w:r>
      <w:r w:rsidRPr="005E5A9C">
        <w:t>des</w:t>
      </w:r>
      <w:r w:rsidRPr="005E5A9C">
        <w:rPr>
          <w:spacing w:val="-2"/>
        </w:rPr>
        <w:t xml:space="preserve"> </w:t>
      </w:r>
      <w:r w:rsidRPr="005E5A9C">
        <w:t>parents</w:t>
      </w:r>
      <w:r w:rsidRPr="005E5A9C">
        <w:rPr>
          <w:spacing w:val="-4"/>
        </w:rPr>
        <w:t xml:space="preserve"> </w:t>
      </w:r>
      <w:r w:rsidRPr="005E5A9C">
        <w:t>au</w:t>
      </w:r>
      <w:r w:rsidRPr="005E5A9C">
        <w:rPr>
          <w:spacing w:val="-3"/>
        </w:rPr>
        <w:t xml:space="preserve"> </w:t>
      </w:r>
      <w:r w:rsidRPr="005E5A9C">
        <w:t>processus</w:t>
      </w:r>
      <w:r w:rsidRPr="005E5A9C">
        <w:rPr>
          <w:spacing w:val="-4"/>
        </w:rPr>
        <w:t xml:space="preserve"> </w:t>
      </w:r>
      <w:r w:rsidRPr="005E5A9C">
        <w:t>décisionnel,</w:t>
      </w:r>
      <w:r w:rsidRPr="005E5A9C">
        <w:rPr>
          <w:spacing w:val="-5"/>
        </w:rPr>
        <w:t xml:space="preserve"> </w:t>
      </w:r>
      <w:r w:rsidRPr="005E5A9C">
        <w:t>la</w:t>
      </w:r>
      <w:r w:rsidRPr="005E5A9C">
        <w:rPr>
          <w:spacing w:val="-5"/>
        </w:rPr>
        <w:t xml:space="preserve"> </w:t>
      </w:r>
      <w:r w:rsidRPr="005E5A9C">
        <w:t>majorité</w:t>
      </w:r>
      <w:r w:rsidRPr="005E5A9C">
        <w:rPr>
          <w:spacing w:val="-2"/>
        </w:rPr>
        <w:t xml:space="preserve"> </w:t>
      </w:r>
      <w:r w:rsidRPr="005E5A9C">
        <w:t>conteste</w:t>
      </w:r>
      <w:r w:rsidRPr="005E5A9C">
        <w:rPr>
          <w:spacing w:val="-4"/>
        </w:rPr>
        <w:t xml:space="preserve"> </w:t>
      </w:r>
      <w:r w:rsidRPr="005E5A9C">
        <w:t>le</w:t>
      </w:r>
      <w:r w:rsidRPr="005E5A9C">
        <w:rPr>
          <w:spacing w:val="-4"/>
        </w:rPr>
        <w:t xml:space="preserve"> </w:t>
      </w:r>
      <w:r w:rsidRPr="005E5A9C">
        <w:t>projet</w:t>
      </w:r>
      <w:r w:rsidRPr="005E5A9C">
        <w:rPr>
          <w:spacing w:val="-5"/>
        </w:rPr>
        <w:t xml:space="preserve"> </w:t>
      </w:r>
      <w:r w:rsidRPr="005E5A9C">
        <w:t>de vie proposé DPJ, soit le placement dans un milieu de vie substitut jusqu’à la majorité. Dans</w:t>
      </w:r>
      <w:r w:rsidRPr="005E5A9C">
        <w:rPr>
          <w:spacing w:val="80"/>
        </w:rPr>
        <w:t xml:space="preserve"> </w:t>
      </w:r>
      <w:r w:rsidRPr="005E5A9C">
        <w:t>56</w:t>
      </w:r>
      <w:r w:rsidR="000E416F">
        <w:t> </w:t>
      </w:r>
      <w:r w:rsidRPr="005E5A9C">
        <w:t xml:space="preserve">% des décisions analysées, au moins un des deux parents conteste le projet de vie. </w:t>
      </w:r>
      <w:r>
        <w:t>Cette proportion augmente à 66</w:t>
      </w:r>
      <w:r w:rsidR="000E416F">
        <w:t> </w:t>
      </w:r>
      <w:r>
        <w:t>% pour les enfants du groupe d’âge 2-5</w:t>
      </w:r>
      <w:r w:rsidR="00322ADA">
        <w:t> </w:t>
      </w:r>
      <w:r>
        <w:t>ans</w:t>
      </w:r>
      <w:r w:rsidR="00D16B99">
        <w:rPr>
          <w:rFonts w:ascii="Arial" w:hAnsi="Arial" w:cs="Arial"/>
        </w:rPr>
        <w:t> </w:t>
      </w:r>
      <w:r>
        <w:t>;</w:t>
      </w:r>
    </w:p>
    <w:p w14:paraId="1BD56B7B" w14:textId="5A5E4BCA" w:rsidR="005E5A9C" w:rsidRPr="00286C4F" w:rsidRDefault="005E5A9C" w:rsidP="00BA3E6E">
      <w:pPr>
        <w:pStyle w:val="puces0"/>
      </w:pPr>
      <w:r>
        <w:t>Une majorité de parents continuera à prendre des décisions importantes concernant leur enfant,</w:t>
      </w:r>
      <w:r w:rsidRPr="00F1166F">
        <w:rPr>
          <w:spacing w:val="-1"/>
        </w:rPr>
        <w:t xml:space="preserve"> </w:t>
      </w:r>
      <w:r>
        <w:t>dont celles</w:t>
      </w:r>
      <w:r w:rsidRPr="00F1166F">
        <w:rPr>
          <w:spacing w:val="-2"/>
        </w:rPr>
        <w:t xml:space="preserve"> </w:t>
      </w:r>
      <w:r>
        <w:t>relatives</w:t>
      </w:r>
      <w:r w:rsidRPr="00F1166F">
        <w:rPr>
          <w:spacing w:val="-2"/>
        </w:rPr>
        <w:t xml:space="preserve"> </w:t>
      </w:r>
      <w:r>
        <w:t>à</w:t>
      </w:r>
      <w:r w:rsidRPr="00F1166F">
        <w:rPr>
          <w:spacing w:val="-3"/>
        </w:rPr>
        <w:t xml:space="preserve"> </w:t>
      </w:r>
      <w:r>
        <w:t>sa</w:t>
      </w:r>
      <w:r w:rsidRPr="00F1166F">
        <w:rPr>
          <w:spacing w:val="-3"/>
        </w:rPr>
        <w:t xml:space="preserve"> </w:t>
      </w:r>
      <w:r>
        <w:t>santé ou</w:t>
      </w:r>
      <w:r w:rsidRPr="00F1166F">
        <w:rPr>
          <w:spacing w:val="-3"/>
        </w:rPr>
        <w:t xml:space="preserve"> </w:t>
      </w:r>
      <w:r>
        <w:t>à</w:t>
      </w:r>
      <w:r w:rsidRPr="00F1166F">
        <w:rPr>
          <w:spacing w:val="-3"/>
        </w:rPr>
        <w:t xml:space="preserve"> </w:t>
      </w:r>
      <w:r>
        <w:t>son</w:t>
      </w:r>
      <w:r w:rsidRPr="00F1166F">
        <w:rPr>
          <w:spacing w:val="-3"/>
        </w:rPr>
        <w:t xml:space="preserve"> </w:t>
      </w:r>
      <w:r>
        <w:t>éducation,</w:t>
      </w:r>
      <w:r w:rsidRPr="00F1166F">
        <w:rPr>
          <w:spacing w:val="-4"/>
        </w:rPr>
        <w:t xml:space="preserve"> </w:t>
      </w:r>
      <w:r>
        <w:t>une</w:t>
      </w:r>
      <w:r w:rsidRPr="00F1166F">
        <w:rPr>
          <w:spacing w:val="-2"/>
        </w:rPr>
        <w:t xml:space="preserve"> </w:t>
      </w:r>
      <w:r>
        <w:t>fois</w:t>
      </w:r>
      <w:r w:rsidRPr="00F1166F">
        <w:rPr>
          <w:spacing w:val="-2"/>
        </w:rPr>
        <w:t xml:space="preserve"> </w:t>
      </w:r>
      <w:r>
        <w:t>confié à</w:t>
      </w:r>
      <w:r w:rsidRPr="00F1166F">
        <w:rPr>
          <w:spacing w:val="-5"/>
        </w:rPr>
        <w:t xml:space="preserve"> </w:t>
      </w:r>
      <w:r>
        <w:t>un milieu</w:t>
      </w:r>
      <w:r w:rsidRPr="00F1166F">
        <w:rPr>
          <w:spacing w:val="-4"/>
        </w:rPr>
        <w:t xml:space="preserve"> </w:t>
      </w:r>
      <w:r>
        <w:t>de</w:t>
      </w:r>
      <w:r w:rsidRPr="00F1166F">
        <w:rPr>
          <w:spacing w:val="-2"/>
        </w:rPr>
        <w:t xml:space="preserve"> </w:t>
      </w:r>
      <w:r>
        <w:t>vie substitut jusqu’à la majorité. Excluant les décisions où l’enfant n’a plus de parent vivant,</w:t>
      </w:r>
      <w:r w:rsidR="00F1166F">
        <w:t xml:space="preserve"> </w:t>
      </w:r>
      <w:r>
        <w:t>l’autorité</w:t>
      </w:r>
      <w:r w:rsidRPr="00F1166F">
        <w:rPr>
          <w:spacing w:val="-7"/>
        </w:rPr>
        <w:t xml:space="preserve"> </w:t>
      </w:r>
      <w:r>
        <w:t>parentale</w:t>
      </w:r>
      <w:r w:rsidRPr="00F1166F">
        <w:rPr>
          <w:spacing w:val="-5"/>
        </w:rPr>
        <w:t xml:space="preserve"> </w:t>
      </w:r>
      <w:r>
        <w:t>est</w:t>
      </w:r>
      <w:r w:rsidRPr="00F1166F">
        <w:rPr>
          <w:spacing w:val="-6"/>
        </w:rPr>
        <w:t xml:space="preserve"> </w:t>
      </w:r>
      <w:r>
        <w:t>déléguée</w:t>
      </w:r>
      <w:r w:rsidRPr="00F1166F">
        <w:rPr>
          <w:spacing w:val="-3"/>
        </w:rPr>
        <w:t xml:space="preserve"> </w:t>
      </w:r>
      <w:r>
        <w:t>au</w:t>
      </w:r>
      <w:r w:rsidRPr="00F1166F">
        <w:rPr>
          <w:spacing w:val="-5"/>
        </w:rPr>
        <w:t xml:space="preserve"> </w:t>
      </w:r>
      <w:r>
        <w:t>milieu</w:t>
      </w:r>
      <w:r w:rsidRPr="00F1166F">
        <w:rPr>
          <w:spacing w:val="-7"/>
        </w:rPr>
        <w:t xml:space="preserve"> </w:t>
      </w:r>
      <w:r>
        <w:t>de</w:t>
      </w:r>
      <w:r w:rsidRPr="00F1166F">
        <w:rPr>
          <w:spacing w:val="-5"/>
        </w:rPr>
        <w:t xml:space="preserve"> </w:t>
      </w:r>
      <w:r>
        <w:t>vie</w:t>
      </w:r>
      <w:r w:rsidRPr="00F1166F">
        <w:rPr>
          <w:spacing w:val="-2"/>
        </w:rPr>
        <w:t xml:space="preserve"> </w:t>
      </w:r>
      <w:r>
        <w:t>substitut</w:t>
      </w:r>
      <w:r w:rsidRPr="00F1166F">
        <w:rPr>
          <w:spacing w:val="-6"/>
        </w:rPr>
        <w:t xml:space="preserve"> </w:t>
      </w:r>
      <w:r>
        <w:t>ou</w:t>
      </w:r>
      <w:r w:rsidRPr="00F1166F">
        <w:rPr>
          <w:spacing w:val="-4"/>
        </w:rPr>
        <w:t xml:space="preserve"> </w:t>
      </w:r>
      <w:r>
        <w:t>au</w:t>
      </w:r>
      <w:r w:rsidRPr="00F1166F">
        <w:rPr>
          <w:spacing w:val="-6"/>
        </w:rPr>
        <w:t xml:space="preserve"> </w:t>
      </w:r>
      <w:r>
        <w:t>DPJ</w:t>
      </w:r>
      <w:r w:rsidRPr="00F1166F">
        <w:rPr>
          <w:spacing w:val="-4"/>
        </w:rPr>
        <w:t xml:space="preserve"> </w:t>
      </w:r>
      <w:r>
        <w:t>dans</w:t>
      </w:r>
      <w:r w:rsidRPr="00F1166F">
        <w:rPr>
          <w:spacing w:val="-3"/>
        </w:rPr>
        <w:t xml:space="preserve"> </w:t>
      </w:r>
      <w:r>
        <w:t>une</w:t>
      </w:r>
      <w:r w:rsidRPr="00F1166F">
        <w:rPr>
          <w:spacing w:val="-5"/>
        </w:rPr>
        <w:t xml:space="preserve"> </w:t>
      </w:r>
      <w:r>
        <w:t>décision</w:t>
      </w:r>
      <w:r w:rsidRPr="00F1166F">
        <w:rPr>
          <w:spacing w:val="-6"/>
        </w:rPr>
        <w:t xml:space="preserve"> </w:t>
      </w:r>
      <w:r>
        <w:t>sur</w:t>
      </w:r>
      <w:r w:rsidRPr="00F1166F">
        <w:rPr>
          <w:spacing w:val="-4"/>
        </w:rPr>
        <w:t xml:space="preserve"> </w:t>
      </w:r>
      <w:r w:rsidRPr="00F1166F">
        <w:rPr>
          <w:spacing w:val="-2"/>
        </w:rPr>
        <w:t>trois</w:t>
      </w:r>
      <w:r w:rsidR="00F1166F" w:rsidRPr="00F1166F">
        <w:rPr>
          <w:spacing w:val="-2"/>
        </w:rPr>
        <w:t xml:space="preserve"> </w:t>
      </w:r>
      <w:r>
        <w:t>(32</w:t>
      </w:r>
      <w:r w:rsidR="000E416F">
        <w:rPr>
          <w:spacing w:val="-2"/>
        </w:rPr>
        <w:t> </w:t>
      </w:r>
      <w:r w:rsidRPr="00F1166F">
        <w:rPr>
          <w:spacing w:val="-5"/>
        </w:rPr>
        <w:t>%).</w:t>
      </w:r>
    </w:p>
    <w:p w14:paraId="38D643F7" w14:textId="77777777" w:rsidR="00286C4F" w:rsidRDefault="00286C4F" w:rsidP="00286C4F">
      <w:pPr>
        <w:pStyle w:val="Paragraphe"/>
      </w:pPr>
    </w:p>
    <w:p w14:paraId="5EE33C20" w14:textId="77777777" w:rsidR="00286C4F" w:rsidRDefault="00286C4F" w:rsidP="00286C4F">
      <w:pPr>
        <w:pStyle w:val="Paragraphe"/>
        <w:sectPr w:rsidR="00286C4F" w:rsidSect="0098162B">
          <w:pgSz w:w="12240" w:h="15840" w:code="1"/>
          <w:pgMar w:top="1985" w:right="1134" w:bottom="1418" w:left="1134" w:header="709" w:footer="709" w:gutter="0"/>
          <w:cols w:space="708"/>
          <w:docGrid w:linePitch="360"/>
        </w:sectPr>
      </w:pPr>
    </w:p>
    <w:p w14:paraId="3F14CB9D" w14:textId="552AA59D" w:rsidR="004028AD" w:rsidRDefault="0005050E" w:rsidP="00C6059C">
      <w:pPr>
        <w:pStyle w:val="Titre1"/>
      </w:pPr>
      <w:bookmarkStart w:id="89" w:name="_Toc201330527"/>
      <w:r w:rsidRPr="0005050E">
        <w:lastRenderedPageBreak/>
        <w:t xml:space="preserve">Les actions à entreprendre pour améliorer la mise en œuvre des dispositions de la LPJ relatives à la stabilité des liens et des conditions de vie de l’enfant </w:t>
      </w:r>
      <w:r w:rsidR="00860B36">
        <w:t>confié à</w:t>
      </w:r>
      <w:r w:rsidRPr="0005050E">
        <w:t xml:space="preserve"> un milieu de vie substitut jusqu’à la majorité</w:t>
      </w:r>
      <w:bookmarkEnd w:id="89"/>
    </w:p>
    <w:p w14:paraId="597D1B83" w14:textId="4FD17507" w:rsidR="00CB7A49" w:rsidRDefault="00CB7A49" w:rsidP="003A1427">
      <w:pPr>
        <w:pStyle w:val="Paragraphe"/>
      </w:pPr>
      <w:r>
        <w:t xml:space="preserve">Un peu plus de trois ans après l’entrée en vigueur des nouvelles dispositions de la LPJ relatives à la stabilité des liens et des conditions de vie de l’enfant, la Commission des droits établit </w:t>
      </w:r>
      <w:r w:rsidR="00677DFC" w:rsidRPr="00536009">
        <w:t>un premier portrait</w:t>
      </w:r>
      <w:r w:rsidR="006D4CC6" w:rsidRPr="00536009">
        <w:t xml:space="preserve"> de </w:t>
      </w:r>
      <w:r w:rsidR="00221DDF" w:rsidRPr="00536009">
        <w:t>leur application</w:t>
      </w:r>
      <w:r>
        <w:t>.</w:t>
      </w:r>
    </w:p>
    <w:p w14:paraId="2F9551C6" w14:textId="0A9BC44A" w:rsidR="00CB7A49" w:rsidRDefault="00CB7A49" w:rsidP="003A1427">
      <w:pPr>
        <w:pStyle w:val="Paragraphe"/>
      </w:pPr>
      <w:r>
        <w:t>Bien que les décisions judiciaires ne reflètent pas forcément l’ensemble des dimensions sociales et cliniques prises en compte par les DPJ et par les juges, leur analyse a permis de dégager certaines tendances. Celles-ci montrent que des objectifs de la réforme commencent à se concrétiser</w:t>
      </w:r>
      <w:r w:rsidR="0082202C">
        <w:t xml:space="preserve">, </w:t>
      </w:r>
      <w:r>
        <w:t xml:space="preserve">d’autres tardent à l’être </w:t>
      </w:r>
      <w:r w:rsidR="00121B73">
        <w:t xml:space="preserve">ou encore, </w:t>
      </w:r>
      <w:r w:rsidR="008357FF">
        <w:t>s</w:t>
      </w:r>
      <w:r w:rsidR="00121B73">
        <w:t xml:space="preserve">ont </w:t>
      </w:r>
      <w:r>
        <w:t>plus difficile</w:t>
      </w:r>
      <w:r w:rsidR="00121B73">
        <w:t>s</w:t>
      </w:r>
      <w:r>
        <w:t xml:space="preserve"> à évaluer uniquement à partir des décisions analysées.</w:t>
      </w:r>
    </w:p>
    <w:p w14:paraId="0E6EE2F6" w14:textId="52A6D818" w:rsidR="00CB7A49" w:rsidRDefault="00CB7A49" w:rsidP="003A1427">
      <w:pPr>
        <w:pStyle w:val="Paragraphe"/>
      </w:pPr>
      <w:r>
        <w:t xml:space="preserve">Il serait </w:t>
      </w:r>
      <w:r w:rsidR="0063019F">
        <w:t xml:space="preserve">ainsi </w:t>
      </w:r>
      <w:r>
        <w:t>utile de réaliser un suivi des dispositions modifiées ou introduites par la réforme après une période d’application plus longue. En effet, les décisions judiciaires analysées porte</w:t>
      </w:r>
      <w:r w:rsidR="000D0086">
        <w:t>nt pour</w:t>
      </w:r>
      <w:r w:rsidR="00B71EB6">
        <w:t xml:space="preserve"> certaines d’entre </w:t>
      </w:r>
      <w:r w:rsidR="00900C02">
        <w:t>elles</w:t>
      </w:r>
      <w:r>
        <w:t xml:space="preserve"> sur des situations qui se sont amorcées avant la réforme. </w:t>
      </w:r>
      <w:r w:rsidR="002137EF">
        <w:t>Ses effets</w:t>
      </w:r>
      <w:r>
        <w:t xml:space="preserve"> </w:t>
      </w:r>
      <w:r w:rsidR="003808BD">
        <w:t>se feront vraisemblablement pleinement sentir dans q</w:t>
      </w:r>
      <w:r>
        <w:t>uelques années.</w:t>
      </w:r>
    </w:p>
    <w:p w14:paraId="350B3836" w14:textId="04CA02AB" w:rsidR="004028AD" w:rsidRDefault="00CB7A49" w:rsidP="003A1427">
      <w:pPr>
        <w:pStyle w:val="Paragraphe"/>
      </w:pPr>
      <w:r>
        <w:t>À la lumière de ces constats et afin d’assurer le plein respect des droits et de l’intérêt des enfants qui sont confiés à un milieu de vie substitut jusqu’à la majorité, la Commission des droits souhaite mettre de l’avant un certain nombre d’actions, dont certaines requièrent une attention plus immédiate</w:t>
      </w:r>
      <w:r w:rsidR="00D543DA" w:rsidRPr="00D543DA">
        <w:t xml:space="preserve">. Pour les formuler, elle s’appuie sur les constats les plus probants de l’analyse de décisions judiciaires, les réponses au </w:t>
      </w:r>
      <w:r w:rsidR="00FD2C49">
        <w:t>sondage</w:t>
      </w:r>
      <w:r w:rsidR="00D543DA" w:rsidRPr="00D543DA">
        <w:t xml:space="preserve"> administré aux procureures et procureurs des enfants, ses propres enquêtes, ses analyses et positions déjà publiées, ainsi que sur les recherches scientifiques dans le domaine. Parmi ces dernières, il convient de souligner l’étude sur la trajectoire sociojudiciaire des enfants dont la situation est prise en charge sous la </w:t>
      </w:r>
      <w:r w:rsidR="00D543DA" w:rsidRPr="00D543DA">
        <w:rPr>
          <w:i/>
          <w:iCs/>
        </w:rPr>
        <w:t>Loi sur la protection de la jeunesse</w:t>
      </w:r>
      <w:r w:rsidR="00D543DA" w:rsidRPr="00D543DA">
        <w:t xml:space="preserve"> (TRAJUD)</w:t>
      </w:r>
      <w:bookmarkStart w:id="90" w:name="_Ref201155908"/>
      <w:r w:rsidR="0085330E">
        <w:rPr>
          <w:rFonts w:ascii="ZWAdobeF" w:hAnsi="ZWAdobeF" w:cs="ZWAdobeF"/>
          <w:sz w:val="2"/>
          <w:szCs w:val="2"/>
        </w:rPr>
        <w:t>127F</w:t>
      </w:r>
      <w:r w:rsidR="00D543DA">
        <w:rPr>
          <w:rStyle w:val="Appelnotedebasdep"/>
        </w:rPr>
        <w:footnoteReference w:id="129"/>
      </w:r>
      <w:bookmarkEnd w:id="90"/>
      <w:r w:rsidR="00D543DA" w:rsidRPr="00D543DA">
        <w:t xml:space="preserve"> et l’ouvrage Placement en famille d’accueil et protection de la jeunesse</w:t>
      </w:r>
      <w:bookmarkStart w:id="91" w:name="_Ref201136782"/>
      <w:r w:rsidR="0085330E">
        <w:rPr>
          <w:rFonts w:ascii="ZWAdobeF" w:hAnsi="ZWAdobeF" w:cs="ZWAdobeF"/>
          <w:sz w:val="2"/>
          <w:szCs w:val="2"/>
        </w:rPr>
        <w:t>128F</w:t>
      </w:r>
      <w:r w:rsidR="00D543DA">
        <w:rPr>
          <w:rStyle w:val="Appelnotedebasdep"/>
        </w:rPr>
        <w:footnoteReference w:id="130"/>
      </w:r>
      <w:bookmarkEnd w:id="91"/>
      <w:r w:rsidR="00D543DA" w:rsidRPr="00D543DA">
        <w:t xml:space="preserve">, deux contributions majeures parues dans les </w:t>
      </w:r>
      <w:r w:rsidR="00AA15E1">
        <w:t>mois</w:t>
      </w:r>
      <w:r w:rsidR="00D543DA" w:rsidRPr="00D543DA">
        <w:t xml:space="preserve"> précédant la publication du présent rapport.</w:t>
      </w:r>
    </w:p>
    <w:p w14:paraId="29BDB929" w14:textId="2F35A85E" w:rsidR="00DB0145" w:rsidRDefault="00DB0145" w:rsidP="003A1427">
      <w:pPr>
        <w:pStyle w:val="Paragraphe"/>
      </w:pPr>
      <w:r>
        <w:t>L</w:t>
      </w:r>
      <w:r w:rsidR="007816D4">
        <w:t xml:space="preserve">es </w:t>
      </w:r>
      <w:r>
        <w:t xml:space="preserve">actions </w:t>
      </w:r>
      <w:r w:rsidR="00827510">
        <w:t>identifiées</w:t>
      </w:r>
      <w:r w:rsidR="00186863">
        <w:t xml:space="preserve"> </w:t>
      </w:r>
      <w:r>
        <w:t xml:space="preserve">doivent être comprises comme se renforçant les unes </w:t>
      </w:r>
      <w:r w:rsidR="001C5AE7">
        <w:t xml:space="preserve">avec </w:t>
      </w:r>
      <w:r>
        <w:t>les autres</w:t>
      </w:r>
      <w:r w:rsidR="0014589C">
        <w:t xml:space="preserve"> et être lues conjointement avec les autres recherches portant plus largement sur la protection de la jeunesse. </w:t>
      </w:r>
      <w:r>
        <w:t>Leur somme équivaut à ce que la Commission des droits estime nécessaire de mettre en œuvre pour parvenir à l’atteinte de la stabilité des liens et des conditions de vie de l’enfant, visée par la réforme de la LPJ.</w:t>
      </w:r>
    </w:p>
    <w:p w14:paraId="2446C85D" w14:textId="5E5E95DD" w:rsidR="00DB0145" w:rsidRDefault="00F0643B" w:rsidP="00F93AC5">
      <w:pPr>
        <w:pStyle w:val="Titre2"/>
      </w:pPr>
      <w:bookmarkStart w:id="92" w:name="_Toc201330528"/>
      <w:r w:rsidRPr="00F0643B">
        <w:lastRenderedPageBreak/>
        <w:t>4.1</w:t>
      </w:r>
      <w:r w:rsidRPr="00F0643B">
        <w:tab/>
      </w:r>
      <w:r w:rsidR="00B53534">
        <w:t xml:space="preserve">Harmoniser </w:t>
      </w:r>
      <w:r w:rsidRPr="00F0643B">
        <w:t xml:space="preserve">et actualiser les pratiques cliniques aux dispositions de la LPJ à travers </w:t>
      </w:r>
      <w:r w:rsidR="00F36884">
        <w:t>d</w:t>
      </w:r>
      <w:r w:rsidRPr="00F0643B">
        <w:t>es outils et des lieux d’échanges</w:t>
      </w:r>
      <w:bookmarkEnd w:id="92"/>
    </w:p>
    <w:p w14:paraId="5EE0A595" w14:textId="0DB0CA29" w:rsidR="00A15CC4" w:rsidRDefault="00A15CC4" w:rsidP="003A1427">
      <w:pPr>
        <w:pStyle w:val="Paragraphe"/>
      </w:pPr>
      <w:r>
        <w:t>La CSDEPJ a été très claire sur l’importance d’assurer une meilleure planification et application des projets de vie</w:t>
      </w:r>
      <w:r w:rsidR="000338E4">
        <w:t xml:space="preserve"> de l’enfant</w:t>
      </w:r>
      <w:r w:rsidR="0085330E">
        <w:rPr>
          <w:rFonts w:ascii="ZWAdobeF" w:hAnsi="ZWAdobeF" w:cs="ZWAdobeF"/>
          <w:sz w:val="2"/>
          <w:szCs w:val="2"/>
        </w:rPr>
        <w:t>129F</w:t>
      </w:r>
      <w:r>
        <w:rPr>
          <w:rStyle w:val="Appelnotedebasdep"/>
        </w:rPr>
        <w:footnoteReference w:id="131"/>
      </w:r>
      <w:r>
        <w:t>. L’encadrement des pratiques dans le système de protection de la jeunesse est un enjeu d’envergure dont la Commission des droits se préoccupe de façon continue depuis des décennies</w:t>
      </w:r>
      <w:r w:rsidR="0085330E">
        <w:rPr>
          <w:rFonts w:ascii="ZWAdobeF" w:hAnsi="ZWAdobeF" w:cs="ZWAdobeF"/>
          <w:sz w:val="2"/>
          <w:szCs w:val="2"/>
        </w:rPr>
        <w:t>130F</w:t>
      </w:r>
      <w:r>
        <w:rPr>
          <w:rStyle w:val="Appelnotedebasdep"/>
        </w:rPr>
        <w:footnoteReference w:id="132"/>
      </w:r>
      <w:r>
        <w:t>.</w:t>
      </w:r>
      <w:r w:rsidR="001D5BE4">
        <w:t xml:space="preserve"> </w:t>
      </w:r>
    </w:p>
    <w:p w14:paraId="609533F4" w14:textId="03EE3DAD" w:rsidR="00DB0145" w:rsidRDefault="00A15CC4" w:rsidP="003A1427">
      <w:pPr>
        <w:pStyle w:val="Paragraphe"/>
      </w:pPr>
      <w:r>
        <w:t>Les décisions analysées pour ce rapport indiquent que l’application de certains éléments des dispositions de la LPJ relatives à la stabilité des liens de l’enfant est moins bien prise en compte. Cela</w:t>
      </w:r>
      <w:r w:rsidR="00970E42">
        <w:t xml:space="preserve"> </w:t>
      </w:r>
      <w:r w:rsidR="00970E42" w:rsidRPr="00970E42">
        <w:t>peut s’expliquer par l’inadéquation entre les pratiques cliniques prévues au cadre de référence et les objectifs de la réforme ou encore par la faiblesse même des pratiques cliniques en place pour les appliquer. Plusieurs réponses fournies par les procureures et procureurs montrent qu’ils perçoivent peu ou pas de changements significatifs dans la pratique quant à l’application de ces dispositions de la LPJ.</w:t>
      </w:r>
    </w:p>
    <w:p w14:paraId="550DB30E" w14:textId="34E5731C" w:rsidR="003E75D7" w:rsidRDefault="003E75D7" w:rsidP="003A1427">
      <w:pPr>
        <w:pStyle w:val="Paragraphe"/>
      </w:pPr>
      <w:r>
        <w:t xml:space="preserve">De plus, les données révèlent que le volume d’ordonnances confiant l’enfant </w:t>
      </w:r>
      <w:r w:rsidR="001718F2">
        <w:t>à un</w:t>
      </w:r>
      <w:r>
        <w:t xml:space="preserve"> milieu de vie substitut jusqu’à la majorité varie grandement selon les districts judiciaires. Cela laisse croire que des pratiques cliniques divergentes existent d’une région à l’autre en ce qui a trait aux placements </w:t>
      </w:r>
      <w:r w:rsidR="001718F2">
        <w:t>à un</w:t>
      </w:r>
      <w:r>
        <w:t xml:space="preserve"> milieu de vie</w:t>
      </w:r>
      <w:r w:rsidR="00613976">
        <w:t xml:space="preserve"> </w:t>
      </w:r>
      <w:r>
        <w:t>substitut jusqu’à la majorité. De manière plus globale, cette diversité dans l’application des pratiques est également soulignée dans le cadre de l’étude TRAJUD.</w:t>
      </w:r>
    </w:p>
    <w:p w14:paraId="72BABC93" w14:textId="52484516" w:rsidR="00180510" w:rsidRDefault="00180510" w:rsidP="003A1427">
      <w:pPr>
        <w:pStyle w:val="Paragraphe"/>
      </w:pPr>
      <w:r>
        <w:t>Dans son dernier rapport sur la mise en œuvre de la LPJ (2020), la Commission des droits a constaté que les instances de concertation mises en place après les fusions dans le milieu de la santé et des services sociaux, notamment les tables DPJ/Directeurs provinciaux, ne suffisaient pas pour assurer une même application des pratiques</w:t>
      </w:r>
      <w:r w:rsidR="0085330E">
        <w:rPr>
          <w:rFonts w:ascii="ZWAdobeF" w:hAnsi="ZWAdobeF" w:cs="ZWAdobeF"/>
          <w:sz w:val="2"/>
          <w:szCs w:val="2"/>
        </w:rPr>
        <w:t>131F</w:t>
      </w:r>
      <w:r>
        <w:rPr>
          <w:rStyle w:val="Appelnotedebasdep"/>
        </w:rPr>
        <w:footnoteReference w:id="133"/>
      </w:r>
      <w:r>
        <w:t>.</w:t>
      </w:r>
    </w:p>
    <w:p w14:paraId="446716D7" w14:textId="37AF5FBD" w:rsidR="00010109" w:rsidRDefault="003E75D7" w:rsidP="003A1427">
      <w:pPr>
        <w:pStyle w:val="Paragraphe"/>
      </w:pPr>
      <w:r>
        <w:t xml:space="preserve">Sans minimiser l’importance de la prise en compte des particularités régionales dans l’organisation et la prestation des services, une </w:t>
      </w:r>
      <w:r w:rsidR="0065233E">
        <w:t xml:space="preserve">harmonisation </w:t>
      </w:r>
      <w:r>
        <w:t xml:space="preserve">des pratiques </w:t>
      </w:r>
      <w:r w:rsidR="00820D59">
        <w:t>au</w:t>
      </w:r>
      <w:r w:rsidR="00DB79EC">
        <w:t>x</w:t>
      </w:r>
      <w:r w:rsidR="00820D59">
        <w:t xml:space="preserve"> prescription</w:t>
      </w:r>
      <w:r w:rsidR="00DB79EC">
        <w:t>s</w:t>
      </w:r>
      <w:r w:rsidR="00820D59">
        <w:t xml:space="preserve"> de la LPJ </w:t>
      </w:r>
      <w:r>
        <w:t xml:space="preserve">menant au placement </w:t>
      </w:r>
      <w:r w:rsidR="001718F2">
        <w:t>à un</w:t>
      </w:r>
      <w:r>
        <w:t xml:space="preserve"> milieu de vie substitut jusqu’à la majorité est nécessaire pour éviter des écarts d’application au détriment de l’intérêt et des droits des enfants ainsi que des droits de leurs parents.</w:t>
      </w:r>
      <w:r w:rsidR="000E377A">
        <w:t xml:space="preserve"> </w:t>
      </w:r>
    </w:p>
    <w:p w14:paraId="5DBFA925" w14:textId="44D8AAD4" w:rsidR="00DB0145" w:rsidRDefault="003A38D0" w:rsidP="003A1427">
      <w:pPr>
        <w:pStyle w:val="Paragraphe"/>
      </w:pPr>
      <w:r>
        <w:t>Entre autres, i</w:t>
      </w:r>
      <w:r w:rsidR="00946246">
        <w:t>l importe que</w:t>
      </w:r>
      <w:r w:rsidR="003E75D7">
        <w:t xml:space="preserve"> l’ensemble des DPJ opèrent selon des paramètres communs lorsqu’ils prennent en considération différentes caractéristiques des enfants dans l’évaluation de leur intérêt, dont leur appartenance ethnoculturelle</w:t>
      </w:r>
      <w:r w:rsidR="0085330E">
        <w:rPr>
          <w:rFonts w:ascii="ZWAdobeF" w:hAnsi="ZWAdobeF" w:cs="ZWAdobeF"/>
          <w:sz w:val="2"/>
          <w:szCs w:val="2"/>
        </w:rPr>
        <w:t>132F</w:t>
      </w:r>
      <w:r w:rsidR="00F963C2">
        <w:rPr>
          <w:rStyle w:val="Appelnotedebasdep"/>
        </w:rPr>
        <w:footnoteReference w:id="134"/>
      </w:r>
      <w:r w:rsidR="001A0EAC">
        <w:t xml:space="preserve"> </w:t>
      </w:r>
      <w:r w:rsidR="005B7335">
        <w:t xml:space="preserve">ou </w:t>
      </w:r>
      <w:r w:rsidR="003E75D7">
        <w:t>autochtone</w:t>
      </w:r>
      <w:bookmarkStart w:id="93" w:name="_Ref200618835"/>
      <w:r w:rsidR="0085330E">
        <w:rPr>
          <w:rFonts w:ascii="ZWAdobeF" w:hAnsi="ZWAdobeF" w:cs="ZWAdobeF"/>
          <w:sz w:val="2"/>
          <w:szCs w:val="2"/>
        </w:rPr>
        <w:t>133F</w:t>
      </w:r>
      <w:r w:rsidR="001A0EAC">
        <w:rPr>
          <w:rStyle w:val="Appelnotedebasdep"/>
        </w:rPr>
        <w:footnoteReference w:id="135"/>
      </w:r>
      <w:bookmarkEnd w:id="93"/>
      <w:r w:rsidR="001A0EAC">
        <w:t xml:space="preserve">. </w:t>
      </w:r>
    </w:p>
    <w:p w14:paraId="4AF1BB64" w14:textId="20F421E0" w:rsidR="00B401D9" w:rsidRDefault="00E32A1B" w:rsidP="003A1427">
      <w:pPr>
        <w:pStyle w:val="Paragraphe"/>
      </w:pPr>
      <w:r>
        <w:lastRenderedPageBreak/>
        <w:t>De plus, des</w:t>
      </w:r>
      <w:r w:rsidR="007524FA">
        <w:t xml:space="preserve"> pratiques </w:t>
      </w:r>
      <w:r w:rsidR="00FF1DC8">
        <w:t xml:space="preserve">cliniques </w:t>
      </w:r>
      <w:r w:rsidR="00A230D3">
        <w:t xml:space="preserve">entourant le projet de vie de l’enfant </w:t>
      </w:r>
      <w:r w:rsidR="00544E43">
        <w:t xml:space="preserve">apparaissent </w:t>
      </w:r>
      <w:r w:rsidR="00035D4D">
        <w:t>nécessaires</w:t>
      </w:r>
      <w:r w:rsidR="00011311">
        <w:t xml:space="preserve"> à </w:t>
      </w:r>
      <w:r w:rsidR="0065058E">
        <w:t xml:space="preserve">actualiser </w:t>
      </w:r>
      <w:r w:rsidR="001F5FB1">
        <w:t xml:space="preserve">en fonction </w:t>
      </w:r>
      <w:r w:rsidR="003A5948">
        <w:t>des prescriptions</w:t>
      </w:r>
      <w:r w:rsidR="008657AB">
        <w:t xml:space="preserve"> de</w:t>
      </w:r>
      <w:r w:rsidR="007947BC">
        <w:t xml:space="preserve"> la LPJ</w:t>
      </w:r>
      <w:r w:rsidR="00C43CBC">
        <w:t>.</w:t>
      </w:r>
      <w:r w:rsidR="00A94FC7">
        <w:t xml:space="preserve"> </w:t>
      </w:r>
      <w:r w:rsidR="00254164">
        <w:t xml:space="preserve">Celles </w:t>
      </w:r>
      <w:r w:rsidR="00FF0C36">
        <w:t xml:space="preserve">jugées </w:t>
      </w:r>
      <w:r w:rsidR="00254164">
        <w:t xml:space="preserve">incontournables </w:t>
      </w:r>
      <w:r w:rsidR="00FF0C36">
        <w:t xml:space="preserve">sont </w:t>
      </w:r>
      <w:r w:rsidR="004328AF">
        <w:t>ici détaillées.</w:t>
      </w:r>
    </w:p>
    <w:p w14:paraId="4CEDF8A7" w14:textId="472E8BEF" w:rsidR="00D42A61" w:rsidRDefault="00D42A61" w:rsidP="00F93AC5">
      <w:pPr>
        <w:pStyle w:val="Titre3"/>
      </w:pPr>
      <w:bookmarkStart w:id="94" w:name="_Toc201330529"/>
      <w:r>
        <w:t>4.1.1</w:t>
      </w:r>
      <w:r>
        <w:tab/>
      </w:r>
      <w:r>
        <w:tab/>
      </w:r>
      <w:r w:rsidR="007A09B1">
        <w:t>D</w:t>
      </w:r>
      <w:r>
        <w:t xml:space="preserve">es pratiques </w:t>
      </w:r>
      <w:r w:rsidR="00EB2C60">
        <w:t xml:space="preserve">cliniques </w:t>
      </w:r>
      <w:r w:rsidR="00773F8C">
        <w:t>fondamentales</w:t>
      </w:r>
      <w:r w:rsidR="00EB2C60">
        <w:t xml:space="preserve"> à actualiser</w:t>
      </w:r>
      <w:bookmarkEnd w:id="94"/>
      <w:r w:rsidR="00773F8C">
        <w:t xml:space="preserve"> </w:t>
      </w:r>
      <w:r w:rsidR="00A54F2E">
        <w:t xml:space="preserve"> </w:t>
      </w:r>
    </w:p>
    <w:p w14:paraId="5D80C3C7" w14:textId="3DE4F5CF" w:rsidR="00DB0145" w:rsidRDefault="00D42A61" w:rsidP="00151BC7">
      <w:pPr>
        <w:pStyle w:val="Titre5"/>
        <w:numPr>
          <w:ilvl w:val="0"/>
          <w:numId w:val="11"/>
        </w:numPr>
        <w:ind w:left="426" w:hanging="426"/>
      </w:pPr>
      <w:bookmarkStart w:id="95" w:name="_Toc201330530"/>
      <w:r>
        <w:t>La planification du projet de vie alternatif</w:t>
      </w:r>
      <w:bookmarkEnd w:id="95"/>
    </w:p>
    <w:p w14:paraId="0E58C593" w14:textId="74007D05" w:rsidR="003468B4" w:rsidRDefault="008F12B7" w:rsidP="003A1427">
      <w:pPr>
        <w:pStyle w:val="Paragraphe"/>
      </w:pPr>
      <w:r>
        <w:t>Le milieu de la recherche souligne la complexité du processus décisionnel dans la pratique clinique entourant le choix d’un projet de vie alternatif dans un milieu de vie substitut, lequel entraine des effets à long terme pour les enfants et leur famille</w:t>
      </w:r>
      <w:r w:rsidR="0085330E">
        <w:rPr>
          <w:rFonts w:ascii="ZWAdobeF" w:hAnsi="ZWAdobeF" w:cs="ZWAdobeF"/>
          <w:sz w:val="2"/>
          <w:szCs w:val="2"/>
        </w:rPr>
        <w:t>134F</w:t>
      </w:r>
      <w:r>
        <w:rPr>
          <w:rStyle w:val="Appelnotedebasdep"/>
        </w:rPr>
        <w:footnoteReference w:id="136"/>
      </w:r>
      <w:r>
        <w:t>. Les études permettent d’affirmer que le placement à majorité est un projet de vie alternatif qui peut répondre aux besoins et à l’intérêt de certains enfants, dont les enfants plus âgés. Or, pour d’autres, il représente la solution par défaut</w:t>
      </w:r>
      <w:r w:rsidR="0085330E">
        <w:rPr>
          <w:rFonts w:ascii="ZWAdobeF" w:hAnsi="ZWAdobeF" w:cs="ZWAdobeF"/>
          <w:sz w:val="2"/>
          <w:szCs w:val="2"/>
        </w:rPr>
        <w:t>135F</w:t>
      </w:r>
      <w:r>
        <w:rPr>
          <w:rStyle w:val="Appelnotedebasdep"/>
        </w:rPr>
        <w:footnoteReference w:id="137"/>
      </w:r>
      <w:r>
        <w:t>.</w:t>
      </w:r>
      <w:r w:rsidR="003468B4" w:rsidRPr="003468B4">
        <w:t xml:space="preserve"> </w:t>
      </w:r>
    </w:p>
    <w:p w14:paraId="5FB785D6" w14:textId="4141A682" w:rsidR="00592F83" w:rsidRDefault="005A530D" w:rsidP="003A1427">
      <w:pPr>
        <w:pStyle w:val="Paragraphe"/>
      </w:pPr>
      <w:r>
        <w:t>Depuis la réforme de 2022</w:t>
      </w:r>
      <w:r w:rsidR="00B41DEB" w:rsidRPr="00B41DEB">
        <w:t xml:space="preserve"> selon les procureures et procureurs</w:t>
      </w:r>
      <w:r>
        <w:t xml:space="preserve">, des changements semblent commencer à </w:t>
      </w:r>
      <w:r w:rsidR="00B41DEB" w:rsidRPr="00B41DEB">
        <w:t xml:space="preserve">être observés </w:t>
      </w:r>
      <w:r>
        <w:t>sur le terrain quant à la planification du projet de vie alternatif</w:t>
      </w:r>
      <w:r w:rsidR="00B41DEB" w:rsidRPr="00B41DEB">
        <w:t>.</w:t>
      </w:r>
      <w:r w:rsidR="008C0CE3">
        <w:t xml:space="preserve"> </w:t>
      </w:r>
      <w:r w:rsidR="00C643D0">
        <w:t>C</w:t>
      </w:r>
      <w:r w:rsidR="00500A51">
        <w:t>ette donnée est encourageante</w:t>
      </w:r>
      <w:r w:rsidR="009863DD">
        <w:t xml:space="preserve"> et </w:t>
      </w:r>
      <w:r w:rsidR="00CE53B2">
        <w:t>appuie la nécessité</w:t>
      </w:r>
      <w:r w:rsidR="00841A8F">
        <w:t xml:space="preserve"> d’effectuer la planification</w:t>
      </w:r>
      <w:r w:rsidR="008F12B7">
        <w:t xml:space="preserve"> à partir de balises clairement définies</w:t>
      </w:r>
      <w:r w:rsidR="004D38DB">
        <w:t xml:space="preserve"> d</w:t>
      </w:r>
      <w:r w:rsidR="00D277F6">
        <w:t>estinées aux</w:t>
      </w:r>
      <w:r w:rsidR="008F12B7">
        <w:t xml:space="preserve"> personnes intervenantes. </w:t>
      </w:r>
    </w:p>
    <w:p w14:paraId="01AE01AB" w14:textId="51C92293" w:rsidR="003102E5" w:rsidRDefault="00A7034D" w:rsidP="003A1427">
      <w:pPr>
        <w:pStyle w:val="Paragraphe"/>
      </w:pPr>
      <w:r>
        <w:t xml:space="preserve">La Commission des droits </w:t>
      </w:r>
      <w:r w:rsidR="00FB773B">
        <w:t>souligne</w:t>
      </w:r>
      <w:r w:rsidR="00592F83">
        <w:t xml:space="preserve"> à ce sujet</w:t>
      </w:r>
      <w:r w:rsidR="00FB773B">
        <w:t xml:space="preserve"> qu’un</w:t>
      </w:r>
      <w:r w:rsidR="008F12B7">
        <w:t>e mauvaise planification du projet de vie alternatif peut mener à des atteintes aux droits de l’enfant et être contraire à son intérêt, par exemple si la réunification familiale est envisagée trop tôt ou, à l’inverse, trop tard.</w:t>
      </w:r>
      <w:r w:rsidR="003102E5" w:rsidRPr="003102E5">
        <w:t xml:space="preserve"> </w:t>
      </w:r>
      <w:r w:rsidR="003102E5">
        <w:t xml:space="preserve">Soulignons à ce propos que </w:t>
      </w:r>
      <w:r w:rsidR="003102E5" w:rsidRPr="009E39C7">
        <w:t>récemment, dans une enquête systémique qu’elle a menée en Mauricie</w:t>
      </w:r>
      <w:r w:rsidR="00D84EA7">
        <w:t>–</w:t>
      </w:r>
      <w:r w:rsidR="003102E5" w:rsidRPr="009E39C7">
        <w:t>Centre-du-Québec,</w:t>
      </w:r>
      <w:r w:rsidR="003102E5">
        <w:t xml:space="preserve"> </w:t>
      </w:r>
      <w:r w:rsidR="003E1D71">
        <w:t>elle</w:t>
      </w:r>
      <w:r w:rsidR="003102E5" w:rsidRPr="009E39C7">
        <w:t xml:space="preserve"> a mis en évidence le besoin de disposer de balises cliniques pour soutenir les décisions lors de la planification du projet de vie alternatif de l’enfant</w:t>
      </w:r>
      <w:r w:rsidR="0085330E">
        <w:rPr>
          <w:rFonts w:ascii="ZWAdobeF" w:hAnsi="ZWAdobeF" w:cs="ZWAdobeF"/>
          <w:sz w:val="2"/>
          <w:szCs w:val="2"/>
        </w:rPr>
        <w:t>136F</w:t>
      </w:r>
      <w:r w:rsidR="003102E5">
        <w:rPr>
          <w:rStyle w:val="Appelnotedebasdep"/>
        </w:rPr>
        <w:footnoteReference w:id="138"/>
      </w:r>
      <w:r w:rsidR="003102E5">
        <w:t>.</w:t>
      </w:r>
    </w:p>
    <w:p w14:paraId="3A5C13F7" w14:textId="700167F5" w:rsidR="00DB0145" w:rsidRDefault="003320F0" w:rsidP="00151BC7">
      <w:pPr>
        <w:pStyle w:val="Titre5"/>
        <w:numPr>
          <w:ilvl w:val="0"/>
          <w:numId w:val="11"/>
        </w:numPr>
        <w:ind w:left="426" w:hanging="426"/>
      </w:pPr>
      <w:bookmarkStart w:id="96" w:name="_Toc201330531"/>
      <w:r w:rsidRPr="003320F0">
        <w:t>Le choix du milieu de vie substitut</w:t>
      </w:r>
      <w:bookmarkEnd w:id="96"/>
    </w:p>
    <w:p w14:paraId="5C03EAD9" w14:textId="3438A18B" w:rsidR="00DB0145" w:rsidRDefault="00C70691" w:rsidP="003A1427">
      <w:pPr>
        <w:pStyle w:val="Paragraphe"/>
      </w:pPr>
      <w:r w:rsidRPr="00C70691">
        <w:t>La planification du projet de vie alternatif doit s’effectuer en tenant compte de plusieurs aspects. Le choix du milieu de vie substitut constitue l’un des aspects centraux de cette décision.</w:t>
      </w:r>
    </w:p>
    <w:p w14:paraId="71E2DBB4" w14:textId="726F1C6A" w:rsidR="00DB0145" w:rsidRDefault="006B4845" w:rsidP="00151BC7">
      <w:pPr>
        <w:pStyle w:val="Titre5"/>
        <w:numPr>
          <w:ilvl w:val="0"/>
          <w:numId w:val="11"/>
        </w:numPr>
        <w:ind w:left="426" w:hanging="426"/>
      </w:pPr>
      <w:bookmarkStart w:id="97" w:name="_Toc201330532"/>
      <w:r w:rsidRPr="006B4845">
        <w:t>La famille d’accueil de proximité</w:t>
      </w:r>
      <w:bookmarkEnd w:id="97"/>
    </w:p>
    <w:p w14:paraId="2FB76BA5" w14:textId="74E96926" w:rsidR="00DB0145" w:rsidRDefault="00CF4D2B" w:rsidP="003A1427">
      <w:pPr>
        <w:pStyle w:val="Paragraphe"/>
      </w:pPr>
      <w:r w:rsidRPr="00CF4D2B">
        <w:t>Les études sont nombreuses à démontrer que les familles d’accueil de proximité offrent une plus grande stabilité aux enfants placés</w:t>
      </w:r>
      <w:r w:rsidR="0085330E">
        <w:rPr>
          <w:rFonts w:ascii="ZWAdobeF" w:hAnsi="ZWAdobeF" w:cs="ZWAdobeF"/>
          <w:sz w:val="2"/>
          <w:szCs w:val="2"/>
        </w:rPr>
        <w:t>137F</w:t>
      </w:r>
      <w:r>
        <w:rPr>
          <w:rStyle w:val="Appelnotedebasdep"/>
        </w:rPr>
        <w:footnoteReference w:id="139"/>
      </w:r>
      <w:r w:rsidRPr="00CF4D2B">
        <w:t xml:space="preserve">. Elles ont souvent un lien significatif avec l’enfant et font partie de sa </w:t>
      </w:r>
      <w:r w:rsidRPr="00CF4D2B">
        <w:lastRenderedPageBreak/>
        <w:t>famille élargie</w:t>
      </w:r>
      <w:r w:rsidR="0085330E">
        <w:rPr>
          <w:rFonts w:ascii="ZWAdobeF" w:hAnsi="ZWAdobeF" w:cs="ZWAdobeF"/>
          <w:sz w:val="2"/>
          <w:szCs w:val="2"/>
        </w:rPr>
        <w:t>138F</w:t>
      </w:r>
      <w:r>
        <w:rPr>
          <w:rStyle w:val="Appelnotedebasdep"/>
        </w:rPr>
        <w:footnoteReference w:id="140"/>
      </w:r>
      <w:r w:rsidRPr="00CF4D2B">
        <w:t>. Le préambule de la LPJ, introduit par la réforme de 2022, illustre la prise de conscience des effets positifs que les personnes proches de l’enfant peuvent avoir sur son bien-être et sa protection. Faisant écho à la vision mise de l’avant par la CSDEPJ, le législateur a retenu que la protection des enfants est une responsabilité collective qui exige la mobilisation et la collaboration de l’ensemble des ressources du milieu. La Cour suprême du Canada l’a confirmé dans une décision rendue en 2024</w:t>
      </w:r>
      <w:r w:rsidR="0085330E">
        <w:rPr>
          <w:rFonts w:ascii="ZWAdobeF" w:hAnsi="ZWAdobeF" w:cs="ZWAdobeF"/>
          <w:sz w:val="2"/>
          <w:szCs w:val="2"/>
        </w:rPr>
        <w:t>139F</w:t>
      </w:r>
      <w:r>
        <w:rPr>
          <w:rStyle w:val="Appelnotedebasdep"/>
        </w:rPr>
        <w:footnoteReference w:id="141"/>
      </w:r>
      <w:r w:rsidRPr="00CF4D2B">
        <w:t>.</w:t>
      </w:r>
    </w:p>
    <w:p w14:paraId="2D7D7E14" w14:textId="5C203D1F" w:rsidR="00295697" w:rsidRDefault="00295697" w:rsidP="003A1427">
      <w:pPr>
        <w:pStyle w:val="Paragraphe"/>
      </w:pPr>
      <w:r>
        <w:t xml:space="preserve">Malgré le consensus qui se dégage de cette orientation et la précision apportée dans la LPJ sur l’ordre de priorité de placement en faveur des personnes significatives de l’enfant, les décisions analysées montrent que la proportion d’enfants placés en famille d’accueil régulière est plus élevée, soit un peu plus </w:t>
      </w:r>
      <w:r w:rsidR="00BD2FFD">
        <w:t xml:space="preserve">de </w:t>
      </w:r>
      <w:r>
        <w:t>deux fois qu’en famille d’accueil de proximité.</w:t>
      </w:r>
    </w:p>
    <w:p w14:paraId="1C4598E8" w14:textId="77777777" w:rsidR="002B1E9B" w:rsidRDefault="00295697" w:rsidP="003A1427">
      <w:pPr>
        <w:pStyle w:val="Paragraphe"/>
      </w:pPr>
      <w:r>
        <w:t xml:space="preserve">Dans ce contexte, </w:t>
      </w:r>
      <w:r w:rsidR="002611B3">
        <w:t xml:space="preserve">insistons </w:t>
      </w:r>
      <w:r w:rsidR="00A050BF">
        <w:t>sur le fait que l</w:t>
      </w:r>
      <w:r w:rsidR="0074008A">
        <w:t xml:space="preserve">a priorité de placement à accorder à la famille d’accueil de proximité est une obligation légale à laquelle les DPJ sont tenus en vertu de LPJ. Le non-respect de celle-ci peut constituer une violation des droits de l’enfant et être jugé contraire à son intérêt. </w:t>
      </w:r>
      <w:r w:rsidR="002B1E9B">
        <w:t xml:space="preserve">Le choix du milieu de vie substitut a une incidence majeure, voire irréversible, sur le projet de vie de l’enfant. </w:t>
      </w:r>
    </w:p>
    <w:p w14:paraId="3F74AD8C" w14:textId="3973C540" w:rsidR="00DB0145" w:rsidRDefault="002B1E9B" w:rsidP="003A1427">
      <w:pPr>
        <w:pStyle w:val="Paragraphe"/>
      </w:pPr>
      <w:r>
        <w:t xml:space="preserve">Une </w:t>
      </w:r>
      <w:r w:rsidR="00295697">
        <w:t xml:space="preserve">évaluation rigoureuse des membres de la famille élargie </w:t>
      </w:r>
      <w:r w:rsidR="00D06791">
        <w:t xml:space="preserve">à qui l’enfant pourrait être confié </w:t>
      </w:r>
      <w:r w:rsidR="006B5587">
        <w:t xml:space="preserve">ou d’autres personnes qui </w:t>
      </w:r>
      <w:r w:rsidR="00A057F2">
        <w:t xml:space="preserve">lui </w:t>
      </w:r>
      <w:r w:rsidR="006B5587">
        <w:t xml:space="preserve">sont significatives </w:t>
      </w:r>
      <w:r w:rsidR="00A057F2">
        <w:t xml:space="preserve">doit être effectuée </w:t>
      </w:r>
      <w:r w:rsidR="00295697">
        <w:t xml:space="preserve">à ce moment charnière du processus de prise en charge de l’enfant retiré de son milieu familial. </w:t>
      </w:r>
      <w:r w:rsidR="00A057F2">
        <w:t>Celle-ci doit reposer sur d</w:t>
      </w:r>
      <w:r w:rsidR="001C121E">
        <w:t>e</w:t>
      </w:r>
      <w:r w:rsidR="00F4675B">
        <w:t>s</w:t>
      </w:r>
      <w:r w:rsidR="00295697">
        <w:t xml:space="preserve"> balises cliniques</w:t>
      </w:r>
      <w:r w:rsidR="00D57B2C">
        <w:t xml:space="preserve"> </w:t>
      </w:r>
      <w:r w:rsidR="00F25A99">
        <w:t>définies e</w:t>
      </w:r>
      <w:r w:rsidR="00C110C6">
        <w:t>t</w:t>
      </w:r>
      <w:r w:rsidR="00295697">
        <w:t xml:space="preserve"> adaptées aux réalités des situations dans lesquelles les enfants évoluent</w:t>
      </w:r>
      <w:r w:rsidR="00A76335">
        <w:t>, dont leur trajectoire de placement. À ce titre</w:t>
      </w:r>
      <w:r w:rsidR="005E7D6A">
        <w:t>,</w:t>
      </w:r>
      <w:r w:rsidR="00295697">
        <w:t xml:space="preserve"> les études exposent qu’une vaste majorité d’enfants expérimente peu de milieux de placement avant d’être placés à la majorité</w:t>
      </w:r>
      <w:r w:rsidR="0085330E">
        <w:rPr>
          <w:rFonts w:ascii="ZWAdobeF" w:hAnsi="ZWAdobeF" w:cs="ZWAdobeF"/>
          <w:sz w:val="2"/>
          <w:szCs w:val="2"/>
        </w:rPr>
        <w:t>140F</w:t>
      </w:r>
      <w:r w:rsidR="0080097A">
        <w:rPr>
          <w:rStyle w:val="Appelnotedebasdep"/>
        </w:rPr>
        <w:footnoteReference w:id="142"/>
      </w:r>
      <w:r w:rsidR="005E7D6A">
        <w:t>, ce qui est confirmé dans l</w:t>
      </w:r>
      <w:r w:rsidR="00295697">
        <w:t>es décisions analysées.</w:t>
      </w:r>
    </w:p>
    <w:p w14:paraId="04DFA1F9" w14:textId="52722FFB" w:rsidR="00DB0145" w:rsidRDefault="007524E7" w:rsidP="00151BC7">
      <w:pPr>
        <w:pStyle w:val="Titre5"/>
        <w:numPr>
          <w:ilvl w:val="0"/>
          <w:numId w:val="11"/>
        </w:numPr>
        <w:ind w:left="426" w:hanging="426"/>
      </w:pPr>
      <w:bookmarkStart w:id="99" w:name="_Toc201330533"/>
      <w:r w:rsidRPr="007524E7">
        <w:t>Le placement avec la fratrie</w:t>
      </w:r>
      <w:bookmarkEnd w:id="99"/>
    </w:p>
    <w:p w14:paraId="3BE81FEA" w14:textId="77777777" w:rsidR="00711CE1" w:rsidRDefault="00711CE1" w:rsidP="003A1427">
      <w:pPr>
        <w:pStyle w:val="Paragraphe"/>
      </w:pPr>
      <w:r>
        <w:t>Un autre des aspects à prendre en considération dans le choix du milieu de vie substitut est celui du placement avec la fratrie.</w:t>
      </w:r>
    </w:p>
    <w:p w14:paraId="72940146" w14:textId="2962F833" w:rsidR="00DB0145" w:rsidRDefault="00711CE1" w:rsidP="003A1427">
      <w:pPr>
        <w:pStyle w:val="Paragraphe"/>
      </w:pPr>
      <w:r>
        <w:t>L’outil de soutien à l’analyse de l’intérêt de l’enfant et les fiches cliniques identifient des facteurs à considérer pour soutenir la décision de maintenir ou non la fratrie dans un même milieu de vie</w:t>
      </w:r>
      <w:r w:rsidR="0085330E">
        <w:rPr>
          <w:rFonts w:ascii="ZWAdobeF" w:hAnsi="ZWAdobeF" w:cs="ZWAdobeF"/>
          <w:sz w:val="2"/>
          <w:szCs w:val="2"/>
        </w:rPr>
        <w:t>141F</w:t>
      </w:r>
      <w:r w:rsidR="004A1C26">
        <w:rPr>
          <w:rStyle w:val="Appelnotedebasdep"/>
        </w:rPr>
        <w:footnoteReference w:id="143"/>
      </w:r>
      <w:r>
        <w:t xml:space="preserve">. </w:t>
      </w:r>
      <w:r w:rsidR="000E0E1A">
        <w:t>De plus,</w:t>
      </w:r>
      <w:r>
        <w:t xml:space="preserve"> </w:t>
      </w:r>
      <w:r w:rsidR="000E0E1A">
        <w:t>il</w:t>
      </w:r>
      <w:r>
        <w:t xml:space="preserve"> expose la démarche clinique qui doit être suivie pour la décision du maintien ou non avec la fratrie. Il s’agit d’un exercice complexe qui doit être effectué avec sérieux et avec la mise à contribution d’expertises complémentaires des personnes intervenantes.</w:t>
      </w:r>
    </w:p>
    <w:p w14:paraId="5C2BD007" w14:textId="1859E349" w:rsidR="00633950" w:rsidRDefault="00633950" w:rsidP="003A1427">
      <w:pPr>
        <w:pStyle w:val="Paragraphe"/>
      </w:pPr>
      <w:r>
        <w:t xml:space="preserve">Les études menées font unanimement ressortir la nécessité de considérer le contexte familial de chaque enfant pour déterminer ce qui est dans son intérêt avant de prendre la décision de le confier à un milieu </w:t>
      </w:r>
      <w:r>
        <w:lastRenderedPageBreak/>
        <w:t>de vie substitut jusqu’à la majorité</w:t>
      </w:r>
      <w:r w:rsidR="0085330E">
        <w:rPr>
          <w:rFonts w:ascii="ZWAdobeF" w:hAnsi="ZWAdobeF" w:cs="ZWAdobeF"/>
          <w:sz w:val="2"/>
          <w:szCs w:val="2"/>
        </w:rPr>
        <w:t>142F</w:t>
      </w:r>
      <w:r w:rsidR="001F7DB3">
        <w:rPr>
          <w:rStyle w:val="Appelnotedebasdep"/>
        </w:rPr>
        <w:footnoteReference w:id="144"/>
      </w:r>
      <w:r>
        <w:t>. Elles tendent également à montrer que le placement dans la famille élargie avec un membre de la fratrie est un facteur de protection au déplacement</w:t>
      </w:r>
      <w:r w:rsidR="0085330E">
        <w:rPr>
          <w:rFonts w:ascii="ZWAdobeF" w:hAnsi="ZWAdobeF" w:cs="ZWAdobeF"/>
          <w:sz w:val="2"/>
          <w:szCs w:val="2"/>
        </w:rPr>
        <w:t>143F</w:t>
      </w:r>
      <w:r w:rsidR="001F7DB3">
        <w:rPr>
          <w:rStyle w:val="Appelnotedebasdep"/>
        </w:rPr>
        <w:footnoteReference w:id="145"/>
      </w:r>
      <w:r>
        <w:t>. Pourtant, les études ne révèlent pas une pratique clinique qui consiste à toujours placer les frères et les sœurs dans un même milieu</w:t>
      </w:r>
      <w:r w:rsidR="0085330E">
        <w:rPr>
          <w:rFonts w:ascii="ZWAdobeF" w:hAnsi="ZWAdobeF" w:cs="ZWAdobeF"/>
          <w:sz w:val="2"/>
          <w:szCs w:val="2"/>
        </w:rPr>
        <w:t>144F</w:t>
      </w:r>
      <w:r w:rsidR="001F7DB3">
        <w:rPr>
          <w:rStyle w:val="Appelnotedebasdep"/>
        </w:rPr>
        <w:footnoteReference w:id="146"/>
      </w:r>
      <w:r>
        <w:t xml:space="preserve">. </w:t>
      </w:r>
    </w:p>
    <w:p w14:paraId="17D8879E" w14:textId="4B7137C4" w:rsidR="00633950" w:rsidRDefault="00633950" w:rsidP="003A1427">
      <w:pPr>
        <w:pStyle w:val="Paragraphe"/>
      </w:pPr>
      <w:r>
        <w:t>À ce sujet, la CSDEPJ a invité les différents acteurs en protection de la jeunesse à être sensibles aux liens de l’enfant avec sa fratrie dans la prise de décision concernant le maintien ou non des contacts entre eux, surtout lorsqu’il est confié à un milieu de vie substitut</w:t>
      </w:r>
      <w:r w:rsidR="0085330E">
        <w:rPr>
          <w:rFonts w:ascii="ZWAdobeF" w:hAnsi="ZWAdobeF" w:cs="ZWAdobeF"/>
          <w:sz w:val="2"/>
          <w:szCs w:val="2"/>
        </w:rPr>
        <w:t>145F</w:t>
      </w:r>
      <w:r w:rsidR="001F7DB3">
        <w:rPr>
          <w:rStyle w:val="Appelnotedebasdep"/>
        </w:rPr>
        <w:footnoteReference w:id="147"/>
      </w:r>
      <w:r>
        <w:t xml:space="preserve">. </w:t>
      </w:r>
      <w:r w:rsidR="00D509E7">
        <w:t>Soulignons que la première étude réalisée, en 2011, en vertu de l’article</w:t>
      </w:r>
      <w:r w:rsidR="00104A0F">
        <w:t> </w:t>
      </w:r>
      <w:r w:rsidR="00D509E7">
        <w:t>156.2 de la LPJ sur la stabilité et les conditions de vie des enfants</w:t>
      </w:r>
      <w:r w:rsidR="00D509E7" w:rsidRPr="00733595">
        <w:t>, avait recommandé de mieux guider les intervenants lors de l’évaluation des personnes significatives comme milieu d’accueil de l’enfant</w:t>
      </w:r>
      <w:r w:rsidR="00D509E7">
        <w:t>.</w:t>
      </w:r>
    </w:p>
    <w:p w14:paraId="68D78187" w14:textId="77777777" w:rsidR="00633950" w:rsidRDefault="00633950" w:rsidP="003A1427">
      <w:pPr>
        <w:pStyle w:val="Paragraphe"/>
      </w:pPr>
      <w:r>
        <w:t xml:space="preserve">Depuis l’entrée en vigueur de la réforme, les procureures et des procureurs de l’enfant ne perçoivent pas de changement quant à la prise en compte du placement ou de la possibilité d’un placement de l’enfant dans le même milieu de vie substitut que les membres de sa fratrie. </w:t>
      </w:r>
    </w:p>
    <w:p w14:paraId="2E90FCAC" w14:textId="3E5B015D" w:rsidR="00633950" w:rsidRDefault="00633950" w:rsidP="003A1427">
      <w:pPr>
        <w:pStyle w:val="Paragraphe"/>
      </w:pPr>
      <w:r>
        <w:t xml:space="preserve">À partir de l’analyse jurisprudentielle réalisée aux fins du présent rapport, il est impossible de déterminer quels facteurs sont pris en compte pour déterminer s’il est dans l’intérêt de l’enfant d’être ou non confié avec sa fratrie. Elle révèle toutefois que la proportion </w:t>
      </w:r>
      <w:r w:rsidR="00B36A65">
        <w:t>de maintien avec la fratrie</w:t>
      </w:r>
      <w:r>
        <w:t xml:space="preserve"> est plus grande lorsque l’enfant est confié en famille d’accueil de proximité (66</w:t>
      </w:r>
      <w:r w:rsidR="000E416F">
        <w:t> </w:t>
      </w:r>
      <w:r>
        <w:t>%) comparativement à la famille d’accueil «</w:t>
      </w:r>
      <w:r>
        <w:rPr>
          <w:rFonts w:ascii="Arial" w:hAnsi="Arial" w:cs="Arial"/>
        </w:rPr>
        <w:t> </w:t>
      </w:r>
      <w:r>
        <w:t>r</w:t>
      </w:r>
      <w:r>
        <w:rPr>
          <w:rFonts w:cs="Aptos"/>
        </w:rPr>
        <w:t>é</w:t>
      </w:r>
      <w:r>
        <w:t>guli</w:t>
      </w:r>
      <w:r>
        <w:rPr>
          <w:rFonts w:cs="Aptos"/>
        </w:rPr>
        <w:t>è</w:t>
      </w:r>
      <w:r>
        <w:t>re</w:t>
      </w:r>
      <w:r>
        <w:rPr>
          <w:rFonts w:ascii="Arial" w:hAnsi="Arial" w:cs="Arial"/>
        </w:rPr>
        <w:t> </w:t>
      </w:r>
      <w:r>
        <w:rPr>
          <w:rFonts w:cs="Aptos"/>
        </w:rPr>
        <w:t>»</w:t>
      </w:r>
      <w:r>
        <w:t xml:space="preserve"> (42</w:t>
      </w:r>
      <w:r w:rsidR="000E416F">
        <w:t> </w:t>
      </w:r>
      <w:r>
        <w:t>%). Cette r</w:t>
      </w:r>
      <w:r>
        <w:rPr>
          <w:rFonts w:cs="Aptos"/>
        </w:rPr>
        <w:t>é</w:t>
      </w:r>
      <w:r>
        <w:t xml:space="preserve">partition est similaire </w:t>
      </w:r>
      <w:r>
        <w:rPr>
          <w:rFonts w:cs="Aptos"/>
        </w:rPr>
        <w:t>à</w:t>
      </w:r>
      <w:r>
        <w:t xml:space="preserve"> travers les diff</w:t>
      </w:r>
      <w:r>
        <w:rPr>
          <w:rFonts w:cs="Aptos"/>
        </w:rPr>
        <w:t>é</w:t>
      </w:r>
      <w:r>
        <w:t>rents groupes d</w:t>
      </w:r>
      <w:r>
        <w:rPr>
          <w:rFonts w:cs="Aptos"/>
        </w:rPr>
        <w:t>’â</w:t>
      </w:r>
      <w:r>
        <w:t xml:space="preserve">ge. </w:t>
      </w:r>
    </w:p>
    <w:p w14:paraId="669DE815" w14:textId="19DEE010" w:rsidR="00DB0145" w:rsidRDefault="00633950" w:rsidP="003A1427">
      <w:pPr>
        <w:pStyle w:val="Paragraphe"/>
      </w:pPr>
      <w:r>
        <w:t>Cette donnée appuie à sa face même la nécessité de procéder dans chaque cas à une analyse exhaustive des facteurs qui peuvent contribuer à la stabilité de l’enfant lors du choix de son milieu de vie substitut. Le maintien des liens avec la fratrie en fait partie. Il s’agit d’une obligation légale à laquelle les DPJ sont tenus en vertu de LPJ. Son non-respect constitue une violation des droits de l’enfant et est contraire à son intérêt.</w:t>
      </w:r>
    </w:p>
    <w:p w14:paraId="11DA0C6D" w14:textId="00FEA8C7" w:rsidR="00DB0145" w:rsidRDefault="00055FC5" w:rsidP="00151BC7">
      <w:pPr>
        <w:pStyle w:val="Titre5"/>
        <w:numPr>
          <w:ilvl w:val="0"/>
          <w:numId w:val="11"/>
        </w:numPr>
        <w:ind w:left="426" w:hanging="426"/>
      </w:pPr>
      <w:bookmarkStart w:id="100" w:name="_Toc201330534"/>
      <w:r w:rsidRPr="00055FC5">
        <w:t>La durée totale de la période durant laquelle un enfant est confié à un milieu de vie substitut</w:t>
      </w:r>
      <w:bookmarkEnd w:id="100"/>
    </w:p>
    <w:p w14:paraId="6E0DED37" w14:textId="517548A6" w:rsidR="00802454" w:rsidRDefault="00802454" w:rsidP="003A1427">
      <w:pPr>
        <w:pStyle w:val="Paragraphe"/>
      </w:pPr>
      <w:r>
        <w:t xml:space="preserve">Un consensus se dégage du milieu de la recherche quant à l’importance de respecter la durée </w:t>
      </w:r>
      <w:r w:rsidR="00483549">
        <w:t>maximale</w:t>
      </w:r>
      <w:r>
        <w:t xml:space="preserve"> durant laquelle un enfant est confié à un milieu de vie substitut, à moins de circonstances exceptionnelles. Il est entre autres admis que les risques que l’enfant développe des troubles </w:t>
      </w:r>
      <w:r>
        <w:lastRenderedPageBreak/>
        <w:t>d’attachement sont plus élevés lorsqu’il y a des changements de milieux de vie et que cela affecte négativement le lien affectif que l’enfant peut créer avec des figures parentales</w:t>
      </w:r>
      <w:r w:rsidR="0085330E">
        <w:rPr>
          <w:rFonts w:ascii="ZWAdobeF" w:hAnsi="ZWAdobeF" w:cs="ZWAdobeF"/>
          <w:sz w:val="2"/>
          <w:szCs w:val="2"/>
        </w:rPr>
        <w:t>146F</w:t>
      </w:r>
      <w:r w:rsidR="006F75FD">
        <w:rPr>
          <w:rStyle w:val="Appelnotedebasdep"/>
        </w:rPr>
        <w:footnoteReference w:id="148"/>
      </w:r>
      <w:r>
        <w:t>.</w:t>
      </w:r>
    </w:p>
    <w:p w14:paraId="275255B9" w14:textId="1B70D81B" w:rsidR="00802454" w:rsidRDefault="00802454" w:rsidP="003A1427">
      <w:pPr>
        <w:pStyle w:val="Paragraphe"/>
      </w:pPr>
      <w:r>
        <w:t>Pour sa part, la CSDEPJ a affirmé que le dépassement des durées maximales de placement nie le droit de l’enfant à ce que son intérêt soit la considération primordiale dans les décisions prises à son égard</w:t>
      </w:r>
      <w:r w:rsidR="0085330E">
        <w:rPr>
          <w:rFonts w:ascii="ZWAdobeF" w:hAnsi="ZWAdobeF" w:cs="ZWAdobeF"/>
          <w:sz w:val="2"/>
          <w:szCs w:val="2"/>
        </w:rPr>
        <w:t>147F</w:t>
      </w:r>
      <w:r w:rsidR="006F75FD">
        <w:rPr>
          <w:rStyle w:val="Appelnotedebasdep"/>
        </w:rPr>
        <w:footnoteReference w:id="149"/>
      </w:r>
      <w:r>
        <w:t xml:space="preserve">. </w:t>
      </w:r>
    </w:p>
    <w:p w14:paraId="1CAF6A4F" w14:textId="722AFF93" w:rsidR="00802454" w:rsidRDefault="00802454" w:rsidP="003A1427">
      <w:pPr>
        <w:pStyle w:val="Paragraphe"/>
      </w:pPr>
      <w:r>
        <w:t>Les études font également ressortir que l’application des délais maximaux de placement pose des défis majeurs, tant pour les personnes qui œuvrent dans le volet social que dans le volet juridique</w:t>
      </w:r>
      <w:r w:rsidR="0085330E">
        <w:rPr>
          <w:rFonts w:ascii="ZWAdobeF" w:hAnsi="ZWAdobeF" w:cs="ZWAdobeF"/>
          <w:sz w:val="2"/>
          <w:szCs w:val="2"/>
        </w:rPr>
        <w:t>148F</w:t>
      </w:r>
      <w:r w:rsidR="00DC1618">
        <w:rPr>
          <w:rStyle w:val="Appelnotedebasdep"/>
        </w:rPr>
        <w:footnoteReference w:id="150"/>
      </w:r>
      <w:r>
        <w:t>. La dernière étude réalisée, en 2020, en vertu de l’article</w:t>
      </w:r>
      <w:r w:rsidR="00104A0F">
        <w:t> </w:t>
      </w:r>
      <w:r>
        <w:t xml:space="preserve">156.2 de la LPJ sur la stabilité et les conditions de vie des enfants, permet d’en saisir l’ampleur. Depuis 2007, pour tous les groupes d’âge et tous les projets de vie, les dépassements des durées maximales d’hébergement </w:t>
      </w:r>
      <w:r w:rsidR="001718F2">
        <w:t>à un</w:t>
      </w:r>
      <w:r>
        <w:t xml:space="preserve"> milieu de vie substitut sont fréquents</w:t>
      </w:r>
      <w:r w:rsidR="0085330E">
        <w:rPr>
          <w:rFonts w:ascii="ZWAdobeF" w:hAnsi="ZWAdobeF" w:cs="ZWAdobeF"/>
          <w:sz w:val="2"/>
          <w:szCs w:val="2"/>
        </w:rPr>
        <w:t>149F</w:t>
      </w:r>
      <w:r w:rsidR="00E329D8">
        <w:rPr>
          <w:rStyle w:val="Appelnotedebasdep"/>
        </w:rPr>
        <w:footnoteReference w:id="151"/>
      </w:r>
      <w:r>
        <w:t>. Il ressortait qu’ils le sont davantage pour les enfants âgés de 0-5</w:t>
      </w:r>
      <w:r w:rsidR="00322ADA">
        <w:t> </w:t>
      </w:r>
      <w:r>
        <w:t>ans (entre 74</w:t>
      </w:r>
      <w:r w:rsidR="000E416F">
        <w:t> </w:t>
      </w:r>
      <w:r>
        <w:t>% à 87</w:t>
      </w:r>
      <w:r w:rsidR="000E416F">
        <w:t> </w:t>
      </w:r>
      <w:r>
        <w:t xml:space="preserve">% des cas). Les données des décisions analysées pour ce rapport indiquent des proportions un peu moins élevées, mais elles demeurent préoccupantes. La durée maximale est atteinte au moment de se prononcer sur la décision de le confier </w:t>
      </w:r>
      <w:r w:rsidR="00397A09">
        <w:t>à un</w:t>
      </w:r>
      <w:r>
        <w:t xml:space="preserve"> milieu de vie substitut dans 59</w:t>
      </w:r>
      <w:r w:rsidR="000E416F">
        <w:t> </w:t>
      </w:r>
      <w:r>
        <w:t xml:space="preserve">% des cas. </w:t>
      </w:r>
    </w:p>
    <w:p w14:paraId="108E12D9" w14:textId="77777777" w:rsidR="00802454" w:rsidRDefault="00802454" w:rsidP="003A1427">
      <w:pPr>
        <w:pStyle w:val="Paragraphe"/>
      </w:pPr>
      <w:r>
        <w:t xml:space="preserve">Cette situation est d’autant plus préoccupante sachant que parmi les décisions analysées pour lesquelles la durée maximale est atteinte, celle-ci l’est depuis au moins un an dans trois cas sur dix. Cette proportion passe à près d’un cas sur deux lorsque l’on ne retient que les décisions pour lesquelles la durée excédentaire est connue. </w:t>
      </w:r>
    </w:p>
    <w:p w14:paraId="3A4B95AF" w14:textId="4969169C" w:rsidR="00DB0145" w:rsidRDefault="00802454" w:rsidP="003A1427">
      <w:pPr>
        <w:pStyle w:val="Paragraphe"/>
      </w:pPr>
      <w:r>
        <w:t>À ce propos, la CSDEPJ a exprimé le besoin de surveiller ces durées et de prendre les mesures nécessaires lorsqu’elles sont à risque d’être dépassées</w:t>
      </w:r>
      <w:r w:rsidR="0085330E">
        <w:rPr>
          <w:rFonts w:ascii="ZWAdobeF" w:hAnsi="ZWAdobeF" w:cs="ZWAdobeF"/>
          <w:sz w:val="2"/>
          <w:szCs w:val="2"/>
        </w:rPr>
        <w:t>150F</w:t>
      </w:r>
      <w:r w:rsidR="004E1FC5">
        <w:rPr>
          <w:rStyle w:val="Appelnotedebasdep"/>
        </w:rPr>
        <w:footnoteReference w:id="152"/>
      </w:r>
      <w:r>
        <w:t>. La Commission des droits avalise cette dernière proposition, qui rejoint celle du milieu de la recherche</w:t>
      </w:r>
      <w:r w:rsidR="0085330E">
        <w:rPr>
          <w:rFonts w:ascii="ZWAdobeF" w:hAnsi="ZWAdobeF" w:cs="ZWAdobeF"/>
          <w:sz w:val="2"/>
          <w:szCs w:val="2"/>
        </w:rPr>
        <w:t>151F</w:t>
      </w:r>
      <w:r w:rsidR="003B7147">
        <w:rPr>
          <w:rStyle w:val="Appelnotedebasdep"/>
        </w:rPr>
        <w:footnoteReference w:id="153"/>
      </w:r>
      <w:r>
        <w:t>. Elle estime néanmoins que la priorité demeure celle de soutenir les personnes intervenantes dans le processus menant au projet de vie de l’enfant en définissant des balises cliniques claires à chacune des étapes pour permettre de respecter la durée maximale du placement dans un milieu de vie substitut.</w:t>
      </w:r>
    </w:p>
    <w:p w14:paraId="7FB0B840" w14:textId="72EAE72A" w:rsidR="00DB0145" w:rsidRDefault="00EA40C1" w:rsidP="00F93AC5">
      <w:pPr>
        <w:pStyle w:val="Titre3"/>
      </w:pPr>
      <w:bookmarkStart w:id="101" w:name="_Toc201330535"/>
      <w:r w:rsidRPr="00EA40C1">
        <w:lastRenderedPageBreak/>
        <w:t>4.1.2</w:t>
      </w:r>
      <w:r w:rsidR="00F84204">
        <w:tab/>
      </w:r>
      <w:r w:rsidRPr="00EA40C1">
        <w:tab/>
        <w:t xml:space="preserve">La mise à jour du cadre de référence </w:t>
      </w:r>
      <w:r w:rsidRPr="00D34DD7">
        <w:rPr>
          <w:i/>
        </w:rPr>
        <w:t>Un projet de vie, des racines pour la vie</w:t>
      </w:r>
      <w:bookmarkEnd w:id="101"/>
    </w:p>
    <w:p w14:paraId="53D2633B" w14:textId="1A26AC0B" w:rsidR="00037F54" w:rsidRPr="00037F54" w:rsidRDefault="00037F54" w:rsidP="003A1427">
      <w:pPr>
        <w:pStyle w:val="Paragraphe"/>
        <w:rPr>
          <w:lang w:val="fr-FR"/>
        </w:rPr>
      </w:pPr>
      <w:r w:rsidRPr="00037F54">
        <w:rPr>
          <w:lang w:val="fr-FR"/>
        </w:rPr>
        <w:t>Pour mieux répondre aux besoins des enfants, la CSDEPJ recommandait notamment d’actualiser le cadre</w:t>
      </w:r>
      <w:r w:rsidRPr="00037F54">
        <w:rPr>
          <w:spacing w:val="-12"/>
          <w:lang w:val="fr-FR"/>
        </w:rPr>
        <w:t xml:space="preserve"> </w:t>
      </w:r>
      <w:r w:rsidRPr="00037F54">
        <w:rPr>
          <w:lang w:val="fr-FR"/>
        </w:rPr>
        <w:t>de</w:t>
      </w:r>
      <w:r w:rsidRPr="00037F54">
        <w:rPr>
          <w:spacing w:val="-11"/>
          <w:lang w:val="fr-FR"/>
        </w:rPr>
        <w:t xml:space="preserve"> </w:t>
      </w:r>
      <w:r w:rsidRPr="00037F54">
        <w:rPr>
          <w:lang w:val="fr-FR"/>
        </w:rPr>
        <w:t>référence</w:t>
      </w:r>
      <w:r w:rsidRPr="00037F54">
        <w:rPr>
          <w:spacing w:val="-9"/>
          <w:lang w:val="fr-FR"/>
        </w:rPr>
        <w:t xml:space="preserve"> </w:t>
      </w:r>
      <w:r w:rsidRPr="00037F54">
        <w:rPr>
          <w:i/>
          <w:sz w:val="23"/>
          <w:lang w:val="fr-FR"/>
        </w:rPr>
        <w:t>Un</w:t>
      </w:r>
      <w:r w:rsidRPr="00037F54">
        <w:rPr>
          <w:i/>
          <w:spacing w:val="-11"/>
          <w:sz w:val="23"/>
          <w:lang w:val="fr-FR"/>
        </w:rPr>
        <w:t xml:space="preserve"> </w:t>
      </w:r>
      <w:r w:rsidRPr="00037F54">
        <w:rPr>
          <w:i/>
          <w:sz w:val="23"/>
          <w:lang w:val="fr-FR"/>
        </w:rPr>
        <w:t>projet</w:t>
      </w:r>
      <w:r w:rsidRPr="00037F54">
        <w:rPr>
          <w:i/>
          <w:spacing w:val="-12"/>
          <w:sz w:val="23"/>
          <w:lang w:val="fr-FR"/>
        </w:rPr>
        <w:t xml:space="preserve"> </w:t>
      </w:r>
      <w:r w:rsidRPr="00037F54">
        <w:rPr>
          <w:i/>
          <w:sz w:val="23"/>
          <w:lang w:val="fr-FR"/>
        </w:rPr>
        <w:t>de</w:t>
      </w:r>
      <w:r w:rsidRPr="00037F54">
        <w:rPr>
          <w:i/>
          <w:spacing w:val="-12"/>
          <w:sz w:val="23"/>
          <w:lang w:val="fr-FR"/>
        </w:rPr>
        <w:t xml:space="preserve"> </w:t>
      </w:r>
      <w:r w:rsidRPr="00037F54">
        <w:rPr>
          <w:i/>
          <w:sz w:val="23"/>
          <w:lang w:val="fr-FR"/>
        </w:rPr>
        <w:t>vie,</w:t>
      </w:r>
      <w:r w:rsidRPr="00037F54">
        <w:rPr>
          <w:i/>
          <w:spacing w:val="-12"/>
          <w:sz w:val="23"/>
          <w:lang w:val="fr-FR"/>
        </w:rPr>
        <w:t xml:space="preserve"> </w:t>
      </w:r>
      <w:r w:rsidRPr="00037F54">
        <w:rPr>
          <w:i/>
          <w:sz w:val="23"/>
          <w:lang w:val="fr-FR"/>
        </w:rPr>
        <w:t>des</w:t>
      </w:r>
      <w:r w:rsidRPr="00037F54">
        <w:rPr>
          <w:i/>
          <w:spacing w:val="-11"/>
          <w:sz w:val="23"/>
          <w:lang w:val="fr-FR"/>
        </w:rPr>
        <w:t xml:space="preserve"> </w:t>
      </w:r>
      <w:r w:rsidRPr="00037F54">
        <w:rPr>
          <w:i/>
          <w:sz w:val="23"/>
          <w:lang w:val="fr-FR"/>
        </w:rPr>
        <w:t>racines</w:t>
      </w:r>
      <w:r w:rsidRPr="00037F54">
        <w:rPr>
          <w:i/>
          <w:spacing w:val="-12"/>
          <w:sz w:val="23"/>
          <w:lang w:val="fr-FR"/>
        </w:rPr>
        <w:t xml:space="preserve"> </w:t>
      </w:r>
      <w:r w:rsidRPr="00037F54">
        <w:rPr>
          <w:i/>
          <w:sz w:val="23"/>
          <w:lang w:val="fr-FR"/>
        </w:rPr>
        <w:t>pour</w:t>
      </w:r>
      <w:r w:rsidRPr="00037F54">
        <w:rPr>
          <w:i/>
          <w:spacing w:val="-10"/>
          <w:sz w:val="23"/>
          <w:lang w:val="fr-FR"/>
        </w:rPr>
        <w:t xml:space="preserve"> </w:t>
      </w:r>
      <w:r w:rsidRPr="00037F54">
        <w:rPr>
          <w:i/>
          <w:sz w:val="23"/>
          <w:lang w:val="fr-FR"/>
        </w:rPr>
        <w:t>la</w:t>
      </w:r>
      <w:r w:rsidRPr="00037F54">
        <w:rPr>
          <w:i/>
          <w:spacing w:val="-12"/>
          <w:sz w:val="23"/>
          <w:lang w:val="fr-FR"/>
        </w:rPr>
        <w:t xml:space="preserve"> </w:t>
      </w:r>
      <w:r w:rsidRPr="00037F54">
        <w:rPr>
          <w:i/>
          <w:sz w:val="23"/>
          <w:lang w:val="fr-FR"/>
        </w:rPr>
        <w:t>vie</w:t>
      </w:r>
      <w:r w:rsidR="0085330E">
        <w:rPr>
          <w:rFonts w:ascii="ZWAdobeF" w:hAnsi="ZWAdobeF" w:cs="ZWAdobeF"/>
          <w:sz w:val="2"/>
          <w:szCs w:val="2"/>
          <w:lang w:val="fr-FR"/>
        </w:rPr>
        <w:t>152F</w:t>
      </w:r>
      <w:r>
        <w:rPr>
          <w:rStyle w:val="Appelnotedebasdep"/>
          <w:i/>
          <w:sz w:val="23"/>
          <w:lang w:val="fr-FR"/>
        </w:rPr>
        <w:footnoteReference w:id="154"/>
      </w:r>
      <w:r w:rsidRPr="00037F54">
        <w:rPr>
          <w:spacing w:val="10"/>
          <w:position w:val="8"/>
          <w:sz w:val="13"/>
          <w:lang w:val="fr-FR"/>
        </w:rPr>
        <w:t xml:space="preserve"> </w:t>
      </w:r>
      <w:r w:rsidRPr="00037F54">
        <w:rPr>
          <w:lang w:val="fr-FR"/>
        </w:rPr>
        <w:t>et</w:t>
      </w:r>
      <w:r w:rsidRPr="00037F54">
        <w:rPr>
          <w:spacing w:val="-10"/>
          <w:lang w:val="fr-FR"/>
        </w:rPr>
        <w:t xml:space="preserve"> </w:t>
      </w:r>
      <w:r w:rsidRPr="00037F54">
        <w:rPr>
          <w:lang w:val="fr-FR"/>
        </w:rPr>
        <w:t>de</w:t>
      </w:r>
      <w:r w:rsidRPr="00037F54">
        <w:rPr>
          <w:spacing w:val="-10"/>
          <w:lang w:val="fr-FR"/>
        </w:rPr>
        <w:t xml:space="preserve"> </w:t>
      </w:r>
      <w:r w:rsidRPr="00037F54">
        <w:rPr>
          <w:lang w:val="fr-FR"/>
        </w:rPr>
        <w:t>réactiver</w:t>
      </w:r>
      <w:r w:rsidRPr="00037F54">
        <w:rPr>
          <w:spacing w:val="-10"/>
          <w:lang w:val="fr-FR"/>
        </w:rPr>
        <w:t xml:space="preserve"> </w:t>
      </w:r>
      <w:r w:rsidRPr="00037F54">
        <w:rPr>
          <w:lang w:val="fr-FR"/>
        </w:rPr>
        <w:t>la</w:t>
      </w:r>
      <w:r w:rsidRPr="00037F54">
        <w:rPr>
          <w:spacing w:val="-11"/>
          <w:lang w:val="fr-FR"/>
        </w:rPr>
        <w:t xml:space="preserve"> </w:t>
      </w:r>
      <w:r w:rsidRPr="00037F54">
        <w:rPr>
          <w:lang w:val="fr-FR"/>
        </w:rPr>
        <w:t>formation</w:t>
      </w:r>
      <w:r w:rsidRPr="00037F54">
        <w:rPr>
          <w:spacing w:val="-10"/>
          <w:lang w:val="fr-FR"/>
        </w:rPr>
        <w:t xml:space="preserve"> </w:t>
      </w:r>
      <w:r w:rsidRPr="00037F54">
        <w:rPr>
          <w:lang w:val="fr-FR"/>
        </w:rPr>
        <w:t>sur</w:t>
      </w:r>
      <w:r w:rsidRPr="00037F54">
        <w:rPr>
          <w:spacing w:val="-11"/>
          <w:lang w:val="fr-FR"/>
        </w:rPr>
        <w:t xml:space="preserve"> </w:t>
      </w:r>
      <w:r w:rsidRPr="00037F54">
        <w:rPr>
          <w:lang w:val="fr-FR"/>
        </w:rPr>
        <w:t>celui-ci</w:t>
      </w:r>
      <w:r w:rsidRPr="00037F54">
        <w:rPr>
          <w:spacing w:val="-11"/>
          <w:lang w:val="fr-FR"/>
        </w:rPr>
        <w:t xml:space="preserve"> </w:t>
      </w:r>
      <w:r w:rsidRPr="00037F54">
        <w:rPr>
          <w:lang w:val="fr-FR"/>
        </w:rPr>
        <w:t>à</w:t>
      </w:r>
      <w:r>
        <w:rPr>
          <w:lang w:val="fr-FR"/>
        </w:rPr>
        <w:t xml:space="preserve"> </w:t>
      </w:r>
      <w:r w:rsidRPr="00037F54">
        <w:rPr>
          <w:lang w:val="fr-FR"/>
        </w:rPr>
        <w:t>l’ensemble</w:t>
      </w:r>
      <w:r w:rsidRPr="00037F54">
        <w:rPr>
          <w:spacing w:val="-3"/>
          <w:lang w:val="fr-FR"/>
        </w:rPr>
        <w:t xml:space="preserve"> </w:t>
      </w:r>
      <w:r w:rsidRPr="00037F54">
        <w:rPr>
          <w:lang w:val="fr-FR"/>
        </w:rPr>
        <w:t>du</w:t>
      </w:r>
      <w:r w:rsidRPr="00037F54">
        <w:rPr>
          <w:spacing w:val="-3"/>
          <w:lang w:val="fr-FR"/>
        </w:rPr>
        <w:t xml:space="preserve"> </w:t>
      </w:r>
      <w:r w:rsidRPr="00037F54">
        <w:rPr>
          <w:lang w:val="fr-FR"/>
        </w:rPr>
        <w:t>Québec</w:t>
      </w:r>
      <w:r w:rsidR="0085330E">
        <w:rPr>
          <w:rFonts w:ascii="ZWAdobeF" w:hAnsi="ZWAdobeF" w:cs="ZWAdobeF"/>
          <w:sz w:val="2"/>
          <w:szCs w:val="2"/>
          <w:lang w:val="fr-FR"/>
        </w:rPr>
        <w:t>153F</w:t>
      </w:r>
      <w:r>
        <w:rPr>
          <w:rStyle w:val="Appelnotedebasdep"/>
          <w:lang w:val="fr-FR"/>
        </w:rPr>
        <w:footnoteReference w:id="155"/>
      </w:r>
      <w:r w:rsidRPr="00037F54">
        <w:rPr>
          <w:lang w:val="fr-FR"/>
        </w:rPr>
        <w:t>.</w:t>
      </w:r>
      <w:r w:rsidRPr="00037F54">
        <w:rPr>
          <w:spacing w:val="-3"/>
          <w:lang w:val="fr-FR"/>
        </w:rPr>
        <w:t xml:space="preserve"> </w:t>
      </w:r>
      <w:r w:rsidRPr="00037F54">
        <w:rPr>
          <w:lang w:val="fr-FR"/>
        </w:rPr>
        <w:t>Cette</w:t>
      </w:r>
      <w:r w:rsidRPr="00037F54">
        <w:rPr>
          <w:spacing w:val="-3"/>
          <w:lang w:val="fr-FR"/>
        </w:rPr>
        <w:t xml:space="preserve"> </w:t>
      </w:r>
      <w:r w:rsidRPr="00037F54">
        <w:rPr>
          <w:lang w:val="fr-FR"/>
        </w:rPr>
        <w:t>recommandation</w:t>
      </w:r>
      <w:r w:rsidRPr="00037F54">
        <w:rPr>
          <w:spacing w:val="-2"/>
          <w:lang w:val="fr-FR"/>
        </w:rPr>
        <w:t xml:space="preserve"> </w:t>
      </w:r>
      <w:r w:rsidRPr="00037F54">
        <w:rPr>
          <w:lang w:val="fr-FR"/>
        </w:rPr>
        <w:t>n’a</w:t>
      </w:r>
      <w:r w:rsidRPr="00037F54">
        <w:rPr>
          <w:spacing w:val="-4"/>
          <w:lang w:val="fr-FR"/>
        </w:rPr>
        <w:t xml:space="preserve"> </w:t>
      </w:r>
      <w:r w:rsidRPr="00037F54">
        <w:rPr>
          <w:lang w:val="fr-FR"/>
        </w:rPr>
        <w:t>pas</w:t>
      </w:r>
      <w:r w:rsidRPr="00037F54">
        <w:rPr>
          <w:spacing w:val="-3"/>
          <w:lang w:val="fr-FR"/>
        </w:rPr>
        <w:t xml:space="preserve"> </w:t>
      </w:r>
      <w:r w:rsidRPr="00037F54">
        <w:rPr>
          <w:lang w:val="fr-FR"/>
        </w:rPr>
        <w:t>été</w:t>
      </w:r>
      <w:r w:rsidRPr="00037F54">
        <w:rPr>
          <w:spacing w:val="-3"/>
          <w:lang w:val="fr-FR"/>
        </w:rPr>
        <w:t xml:space="preserve"> </w:t>
      </w:r>
      <w:r w:rsidRPr="00037F54">
        <w:rPr>
          <w:lang w:val="fr-FR"/>
        </w:rPr>
        <w:t>pleinement</w:t>
      </w:r>
      <w:r w:rsidRPr="00037F54">
        <w:rPr>
          <w:spacing w:val="-3"/>
          <w:lang w:val="fr-FR"/>
        </w:rPr>
        <w:t xml:space="preserve"> </w:t>
      </w:r>
      <w:r w:rsidRPr="00037F54">
        <w:rPr>
          <w:lang w:val="fr-FR"/>
        </w:rPr>
        <w:t>mise</w:t>
      </w:r>
      <w:r w:rsidRPr="00037F54">
        <w:rPr>
          <w:spacing w:val="-5"/>
          <w:lang w:val="fr-FR"/>
        </w:rPr>
        <w:t xml:space="preserve"> </w:t>
      </w:r>
      <w:r w:rsidRPr="00037F54">
        <w:rPr>
          <w:lang w:val="fr-FR"/>
        </w:rPr>
        <w:t>en</w:t>
      </w:r>
      <w:r w:rsidRPr="00037F54">
        <w:rPr>
          <w:spacing w:val="-3"/>
          <w:lang w:val="fr-FR"/>
        </w:rPr>
        <w:t xml:space="preserve"> </w:t>
      </w:r>
      <w:r w:rsidRPr="00037F54">
        <w:rPr>
          <w:lang w:val="fr-FR"/>
        </w:rPr>
        <w:t>œuvre</w:t>
      </w:r>
      <w:r w:rsidRPr="00037F54">
        <w:rPr>
          <w:spacing w:val="-3"/>
          <w:lang w:val="fr-FR"/>
        </w:rPr>
        <w:t xml:space="preserve"> </w:t>
      </w:r>
      <w:r w:rsidRPr="00037F54">
        <w:rPr>
          <w:lang w:val="fr-FR"/>
        </w:rPr>
        <w:t>puisqu’aucune révision n’a permis de le mettre à jour, notamment pour tenir compte des modifications apportées à la LPJ par la réforme</w:t>
      </w:r>
      <w:r w:rsidR="0085330E">
        <w:rPr>
          <w:rFonts w:ascii="ZWAdobeF" w:hAnsi="ZWAdobeF" w:cs="ZWAdobeF"/>
          <w:sz w:val="2"/>
          <w:szCs w:val="2"/>
          <w:lang w:val="fr-FR"/>
        </w:rPr>
        <w:t>154F</w:t>
      </w:r>
      <w:r>
        <w:rPr>
          <w:rStyle w:val="Appelnotedebasdep"/>
          <w:lang w:val="fr-FR"/>
        </w:rPr>
        <w:footnoteReference w:id="156"/>
      </w:r>
      <w:r w:rsidRPr="00037F54">
        <w:rPr>
          <w:lang w:val="fr-FR"/>
        </w:rPr>
        <w:t>.</w:t>
      </w:r>
    </w:p>
    <w:p w14:paraId="4935AE7E" w14:textId="58A2EBCD" w:rsidR="00037F54" w:rsidRPr="00037F54" w:rsidRDefault="00037F54" w:rsidP="003A1427">
      <w:pPr>
        <w:pStyle w:val="Paragraphe"/>
        <w:rPr>
          <w:lang w:val="fr-FR"/>
        </w:rPr>
      </w:pPr>
      <w:r w:rsidRPr="00037F54">
        <w:rPr>
          <w:lang w:val="fr-FR"/>
        </w:rPr>
        <w:t>L’outil</w:t>
      </w:r>
      <w:r w:rsidRPr="00037F54">
        <w:rPr>
          <w:spacing w:val="-4"/>
          <w:lang w:val="fr-FR"/>
        </w:rPr>
        <w:t xml:space="preserve"> </w:t>
      </w:r>
      <w:r w:rsidRPr="00037F54">
        <w:rPr>
          <w:lang w:val="fr-FR"/>
        </w:rPr>
        <w:t>de</w:t>
      </w:r>
      <w:r w:rsidRPr="00037F54">
        <w:rPr>
          <w:spacing w:val="-3"/>
          <w:lang w:val="fr-FR"/>
        </w:rPr>
        <w:t xml:space="preserve"> </w:t>
      </w:r>
      <w:r w:rsidRPr="00037F54">
        <w:rPr>
          <w:lang w:val="fr-FR"/>
        </w:rPr>
        <w:t>soutien</w:t>
      </w:r>
      <w:r w:rsidRPr="00037F54">
        <w:rPr>
          <w:spacing w:val="-1"/>
          <w:lang w:val="fr-FR"/>
        </w:rPr>
        <w:t xml:space="preserve"> </w:t>
      </w:r>
      <w:r w:rsidRPr="00037F54">
        <w:rPr>
          <w:lang w:val="fr-FR"/>
        </w:rPr>
        <w:t>à</w:t>
      </w:r>
      <w:r w:rsidRPr="00037F54">
        <w:rPr>
          <w:spacing w:val="-4"/>
          <w:lang w:val="fr-FR"/>
        </w:rPr>
        <w:t xml:space="preserve"> </w:t>
      </w:r>
      <w:r w:rsidRPr="00037F54">
        <w:rPr>
          <w:lang w:val="fr-FR"/>
        </w:rPr>
        <w:t>l’analyse</w:t>
      </w:r>
      <w:r w:rsidRPr="00037F54">
        <w:rPr>
          <w:spacing w:val="-3"/>
          <w:lang w:val="fr-FR"/>
        </w:rPr>
        <w:t xml:space="preserve"> </w:t>
      </w:r>
      <w:r w:rsidRPr="00037F54">
        <w:rPr>
          <w:lang w:val="fr-FR"/>
        </w:rPr>
        <w:t>de</w:t>
      </w:r>
      <w:r w:rsidRPr="00037F54">
        <w:rPr>
          <w:spacing w:val="-3"/>
          <w:lang w:val="fr-FR"/>
        </w:rPr>
        <w:t xml:space="preserve"> </w:t>
      </w:r>
      <w:r w:rsidRPr="00037F54">
        <w:rPr>
          <w:lang w:val="fr-FR"/>
        </w:rPr>
        <w:t>l’intérêt</w:t>
      </w:r>
      <w:r w:rsidRPr="00037F54">
        <w:rPr>
          <w:spacing w:val="-4"/>
          <w:lang w:val="fr-FR"/>
        </w:rPr>
        <w:t xml:space="preserve"> </w:t>
      </w:r>
      <w:r w:rsidRPr="00037F54">
        <w:rPr>
          <w:lang w:val="fr-FR"/>
        </w:rPr>
        <w:t>de</w:t>
      </w:r>
      <w:r w:rsidRPr="00037F54">
        <w:rPr>
          <w:spacing w:val="-1"/>
          <w:lang w:val="fr-FR"/>
        </w:rPr>
        <w:t xml:space="preserve"> </w:t>
      </w:r>
      <w:r w:rsidRPr="00037F54">
        <w:rPr>
          <w:lang w:val="fr-FR"/>
        </w:rPr>
        <w:t>l’enfant et</w:t>
      </w:r>
      <w:r w:rsidRPr="00037F54">
        <w:rPr>
          <w:spacing w:val="-4"/>
          <w:lang w:val="fr-FR"/>
        </w:rPr>
        <w:t xml:space="preserve"> </w:t>
      </w:r>
      <w:r w:rsidRPr="00037F54">
        <w:rPr>
          <w:lang w:val="fr-FR"/>
        </w:rPr>
        <w:t>les</w:t>
      </w:r>
      <w:r w:rsidRPr="00037F54">
        <w:rPr>
          <w:spacing w:val="-3"/>
          <w:lang w:val="fr-FR"/>
        </w:rPr>
        <w:t xml:space="preserve"> </w:t>
      </w:r>
      <w:r w:rsidRPr="00037F54">
        <w:rPr>
          <w:lang w:val="fr-FR"/>
        </w:rPr>
        <w:t>fiches</w:t>
      </w:r>
      <w:r w:rsidRPr="00037F54">
        <w:rPr>
          <w:spacing w:val="-1"/>
          <w:lang w:val="fr-FR"/>
        </w:rPr>
        <w:t xml:space="preserve"> </w:t>
      </w:r>
      <w:r w:rsidRPr="00037F54">
        <w:rPr>
          <w:lang w:val="fr-FR"/>
        </w:rPr>
        <w:t>cliniques</w:t>
      </w:r>
      <w:r w:rsidRPr="00037F54">
        <w:rPr>
          <w:spacing w:val="-1"/>
          <w:lang w:val="fr-FR"/>
        </w:rPr>
        <w:t xml:space="preserve"> </w:t>
      </w:r>
      <w:r w:rsidRPr="00037F54">
        <w:rPr>
          <w:lang w:val="fr-FR"/>
        </w:rPr>
        <w:t>rendues</w:t>
      </w:r>
      <w:r w:rsidRPr="00037F54">
        <w:rPr>
          <w:spacing w:val="-3"/>
          <w:lang w:val="fr-FR"/>
        </w:rPr>
        <w:t xml:space="preserve"> </w:t>
      </w:r>
      <w:r w:rsidRPr="00037F54">
        <w:rPr>
          <w:lang w:val="fr-FR"/>
        </w:rPr>
        <w:t>publiques</w:t>
      </w:r>
      <w:r w:rsidRPr="00037F54">
        <w:rPr>
          <w:spacing w:val="-3"/>
          <w:lang w:val="fr-FR"/>
        </w:rPr>
        <w:t xml:space="preserve"> </w:t>
      </w:r>
      <w:r w:rsidRPr="00037F54">
        <w:rPr>
          <w:lang w:val="fr-FR"/>
        </w:rPr>
        <w:t>en</w:t>
      </w:r>
      <w:r w:rsidRPr="00037F54">
        <w:rPr>
          <w:spacing w:val="-3"/>
          <w:lang w:val="fr-FR"/>
        </w:rPr>
        <w:t xml:space="preserve"> </w:t>
      </w:r>
      <w:r w:rsidRPr="00037F54">
        <w:rPr>
          <w:lang w:val="fr-FR"/>
        </w:rPr>
        <w:t>janvier 2025 offrent cependant des balises cliniques à jour guidant l’application de ce principe lors de la démarche du projet de vie et de l’évaluation des durées maximales d’hébergement</w:t>
      </w:r>
      <w:r w:rsidR="0085330E">
        <w:rPr>
          <w:rFonts w:ascii="ZWAdobeF" w:hAnsi="ZWAdobeF" w:cs="ZWAdobeF"/>
          <w:sz w:val="2"/>
          <w:szCs w:val="2"/>
          <w:lang w:val="fr-FR"/>
        </w:rPr>
        <w:t>155F</w:t>
      </w:r>
      <w:r>
        <w:rPr>
          <w:rStyle w:val="Appelnotedebasdep"/>
          <w:lang w:val="fr-FR"/>
        </w:rPr>
        <w:footnoteReference w:id="157"/>
      </w:r>
      <w:r w:rsidRPr="00037F54">
        <w:rPr>
          <w:lang w:val="fr-FR"/>
        </w:rPr>
        <w:t>.</w:t>
      </w:r>
    </w:p>
    <w:p w14:paraId="13B03735" w14:textId="6149DBFE" w:rsidR="00232AE4" w:rsidRPr="00232AE4" w:rsidRDefault="00232AE4" w:rsidP="003A1427">
      <w:pPr>
        <w:pStyle w:val="Paragraphe"/>
        <w:rPr>
          <w:lang w:val="fr-FR"/>
        </w:rPr>
      </w:pPr>
      <w:r w:rsidRPr="00232AE4">
        <w:rPr>
          <w:lang w:val="fr-FR"/>
        </w:rPr>
        <w:t xml:space="preserve">À la lumière des </w:t>
      </w:r>
      <w:r w:rsidR="0049731E">
        <w:rPr>
          <w:lang w:val="fr-FR"/>
        </w:rPr>
        <w:t xml:space="preserve">pratiques </w:t>
      </w:r>
      <w:r w:rsidR="001A551A">
        <w:rPr>
          <w:lang w:val="fr-FR"/>
        </w:rPr>
        <w:t xml:space="preserve">cliniques </w:t>
      </w:r>
      <w:r w:rsidR="00EB2C60">
        <w:rPr>
          <w:lang w:val="fr-FR"/>
        </w:rPr>
        <w:t>fondamentales à actualiser</w:t>
      </w:r>
      <w:r w:rsidRPr="00232AE4">
        <w:rPr>
          <w:lang w:val="fr-FR"/>
        </w:rPr>
        <w:t xml:space="preserve"> précédemment </w:t>
      </w:r>
      <w:r w:rsidR="001A551A">
        <w:rPr>
          <w:lang w:val="fr-FR"/>
        </w:rPr>
        <w:t xml:space="preserve">identifiées </w:t>
      </w:r>
      <w:r w:rsidRPr="00232AE4">
        <w:rPr>
          <w:lang w:val="fr-FR"/>
        </w:rPr>
        <w:t>et en complément à cet outil, la Commission estime que d</w:t>
      </w:r>
      <w:r w:rsidR="005B22C7">
        <w:rPr>
          <w:lang w:val="fr-FR"/>
        </w:rPr>
        <w:t>es</w:t>
      </w:r>
      <w:r w:rsidRPr="00232AE4">
        <w:rPr>
          <w:lang w:val="fr-FR"/>
        </w:rPr>
        <w:t xml:space="preserve"> balises cliniques visant l’ensemble de la démarche du projet de vie de l’enfant doivent être revues pour tenir compte des changements apportés au cadre légal qui découle de la réforme. De plus, celles-ci doivent être actualisées en fonction d’autres modifications législatives faites au cours de la dernière décennie aux différents types de projets de vie, dont ceux de la tutelle, de l’adoption et celui axé sur l’autonomie.</w:t>
      </w:r>
    </w:p>
    <w:p w14:paraId="36EF813B" w14:textId="237C2154" w:rsidR="0080097A" w:rsidRDefault="00232AE4" w:rsidP="003A1427">
      <w:pPr>
        <w:pStyle w:val="Paragraphe"/>
        <w:rPr>
          <w:lang w:val="fr-FR"/>
        </w:rPr>
      </w:pPr>
      <w:r w:rsidRPr="00232AE4">
        <w:rPr>
          <w:lang w:val="fr-FR"/>
        </w:rPr>
        <w:t xml:space="preserve">La Commission des droits est d’avis que la révision du cadre de référence </w:t>
      </w:r>
      <w:r w:rsidRPr="006D046C">
        <w:rPr>
          <w:i/>
          <w:iCs/>
          <w:lang w:val="fr-FR"/>
        </w:rPr>
        <w:t xml:space="preserve">Un projet de vie, des racines pour la vie </w:t>
      </w:r>
      <w:r w:rsidRPr="00232AE4">
        <w:rPr>
          <w:lang w:val="fr-FR"/>
        </w:rPr>
        <w:t>devrait se réaliser en tenant compte des objectifs de la réforme et des paramètres définis au préambule de la LPJ, dont</w:t>
      </w:r>
      <w:r w:rsidR="00914C42">
        <w:rPr>
          <w:lang w:val="fr-FR"/>
        </w:rPr>
        <w:t> </w:t>
      </w:r>
      <w:r w:rsidRPr="00232AE4">
        <w:rPr>
          <w:lang w:val="fr-FR"/>
        </w:rPr>
        <w:t>:</w:t>
      </w:r>
    </w:p>
    <w:p w14:paraId="69FED7D8" w14:textId="5B294635" w:rsidR="00B95D13" w:rsidRPr="00B95D13" w:rsidRDefault="00B95D13" w:rsidP="00BA3E6E">
      <w:pPr>
        <w:pStyle w:val="puces0"/>
      </w:pPr>
      <w:r w:rsidRPr="00B95D13">
        <w:t>L’intérêt</w:t>
      </w:r>
      <w:r w:rsidRPr="00B95D13">
        <w:rPr>
          <w:spacing w:val="-6"/>
        </w:rPr>
        <w:t xml:space="preserve"> </w:t>
      </w:r>
      <w:r w:rsidRPr="00B95D13">
        <w:t>de</w:t>
      </w:r>
      <w:r w:rsidRPr="00B95D13">
        <w:rPr>
          <w:spacing w:val="-5"/>
        </w:rPr>
        <w:t xml:space="preserve"> </w:t>
      </w:r>
      <w:r w:rsidRPr="00B95D13">
        <w:t>l’enfant</w:t>
      </w:r>
      <w:r w:rsidRPr="00B95D13">
        <w:rPr>
          <w:spacing w:val="-6"/>
        </w:rPr>
        <w:t xml:space="preserve"> </w:t>
      </w:r>
      <w:r w:rsidRPr="00B95D13">
        <w:t>est</w:t>
      </w:r>
      <w:r w:rsidRPr="00B95D13">
        <w:rPr>
          <w:spacing w:val="-3"/>
        </w:rPr>
        <w:t xml:space="preserve"> </w:t>
      </w:r>
      <w:r w:rsidRPr="00B95D13">
        <w:t>la</w:t>
      </w:r>
      <w:r w:rsidRPr="00B95D13">
        <w:rPr>
          <w:spacing w:val="-8"/>
        </w:rPr>
        <w:t xml:space="preserve"> </w:t>
      </w:r>
      <w:r w:rsidRPr="00B95D13">
        <w:t>considération</w:t>
      </w:r>
      <w:r w:rsidRPr="00B95D13">
        <w:rPr>
          <w:spacing w:val="-6"/>
        </w:rPr>
        <w:t xml:space="preserve"> </w:t>
      </w:r>
      <w:r w:rsidRPr="00B95D13">
        <w:t>primordiale</w:t>
      </w:r>
      <w:r w:rsidRPr="00B95D13">
        <w:rPr>
          <w:spacing w:val="-3"/>
        </w:rPr>
        <w:t xml:space="preserve"> </w:t>
      </w:r>
      <w:r w:rsidRPr="00B95D13">
        <w:t>dans</w:t>
      </w:r>
      <w:r w:rsidRPr="00B95D13">
        <w:rPr>
          <w:spacing w:val="-5"/>
        </w:rPr>
        <w:t xml:space="preserve"> </w:t>
      </w:r>
      <w:r w:rsidRPr="00B95D13">
        <w:t>toute</w:t>
      </w:r>
      <w:r w:rsidRPr="00B95D13">
        <w:rPr>
          <w:spacing w:val="-5"/>
        </w:rPr>
        <w:t xml:space="preserve"> </w:t>
      </w:r>
      <w:r w:rsidRPr="00B95D13">
        <w:t>décision</w:t>
      </w:r>
      <w:r w:rsidRPr="00B95D13">
        <w:rPr>
          <w:spacing w:val="-5"/>
        </w:rPr>
        <w:t xml:space="preserve"> </w:t>
      </w:r>
      <w:r w:rsidRPr="00B95D13">
        <w:t>prise</w:t>
      </w:r>
      <w:r w:rsidRPr="00B95D13">
        <w:rPr>
          <w:spacing w:val="-3"/>
        </w:rPr>
        <w:t xml:space="preserve"> </w:t>
      </w:r>
      <w:r w:rsidRPr="00B95D13">
        <w:t>à</w:t>
      </w:r>
      <w:r w:rsidRPr="00B95D13">
        <w:rPr>
          <w:spacing w:val="-6"/>
        </w:rPr>
        <w:t xml:space="preserve"> </w:t>
      </w:r>
      <w:r w:rsidRPr="00B95D13">
        <w:t>son</w:t>
      </w:r>
      <w:r w:rsidRPr="00B95D13">
        <w:rPr>
          <w:spacing w:val="-5"/>
        </w:rPr>
        <w:t xml:space="preserve"> </w:t>
      </w:r>
      <w:r w:rsidRPr="00B95D13">
        <w:rPr>
          <w:spacing w:val="-2"/>
        </w:rPr>
        <w:t>sujet</w:t>
      </w:r>
      <w:r w:rsidR="001A0FEE">
        <w:rPr>
          <w:rFonts w:ascii="Arial" w:hAnsi="Arial" w:cs="Arial"/>
          <w:spacing w:val="-2"/>
        </w:rPr>
        <w:t> </w:t>
      </w:r>
      <w:r w:rsidR="00763AEE">
        <w:rPr>
          <w:spacing w:val="-2"/>
        </w:rPr>
        <w:t>;</w:t>
      </w:r>
    </w:p>
    <w:p w14:paraId="7BBB406C" w14:textId="5977357F" w:rsidR="00B95D13" w:rsidRDefault="00B95D13" w:rsidP="00BA3E6E">
      <w:pPr>
        <w:pStyle w:val="puces0"/>
      </w:pPr>
      <w:r w:rsidRPr="00B95D13">
        <w:t>La</w:t>
      </w:r>
      <w:r w:rsidRPr="00B95D13">
        <w:rPr>
          <w:spacing w:val="-4"/>
        </w:rPr>
        <w:t xml:space="preserve"> </w:t>
      </w:r>
      <w:r w:rsidRPr="00B95D13">
        <w:t>protection</w:t>
      </w:r>
      <w:r w:rsidRPr="00B95D13">
        <w:rPr>
          <w:spacing w:val="-7"/>
        </w:rPr>
        <w:t xml:space="preserve"> </w:t>
      </w:r>
      <w:r w:rsidRPr="00B95D13">
        <w:t>des</w:t>
      </w:r>
      <w:r w:rsidRPr="00B95D13">
        <w:rPr>
          <w:spacing w:val="-5"/>
        </w:rPr>
        <w:t xml:space="preserve"> </w:t>
      </w:r>
      <w:r w:rsidRPr="00B95D13">
        <w:t>enfants</w:t>
      </w:r>
      <w:r w:rsidRPr="00B95D13">
        <w:rPr>
          <w:spacing w:val="-5"/>
        </w:rPr>
        <w:t xml:space="preserve"> </w:t>
      </w:r>
      <w:r w:rsidRPr="00B95D13">
        <w:t>est</w:t>
      </w:r>
      <w:r w:rsidRPr="00B95D13">
        <w:rPr>
          <w:spacing w:val="-4"/>
        </w:rPr>
        <w:t xml:space="preserve"> </w:t>
      </w:r>
      <w:r w:rsidRPr="00B95D13">
        <w:t>une</w:t>
      </w:r>
      <w:r w:rsidRPr="00B95D13">
        <w:rPr>
          <w:spacing w:val="-6"/>
        </w:rPr>
        <w:t xml:space="preserve"> </w:t>
      </w:r>
      <w:r w:rsidRPr="00B95D13">
        <w:t>responsabilité</w:t>
      </w:r>
      <w:r w:rsidRPr="00B95D13">
        <w:rPr>
          <w:spacing w:val="-5"/>
        </w:rPr>
        <w:t xml:space="preserve"> </w:t>
      </w:r>
      <w:r w:rsidRPr="00B95D13">
        <w:t>collective qui</w:t>
      </w:r>
      <w:r w:rsidRPr="00B95D13">
        <w:rPr>
          <w:spacing w:val="-6"/>
        </w:rPr>
        <w:t xml:space="preserve"> </w:t>
      </w:r>
      <w:r w:rsidRPr="00B95D13">
        <w:t>exige</w:t>
      </w:r>
      <w:r w:rsidRPr="00B95D13">
        <w:rPr>
          <w:spacing w:val="-5"/>
        </w:rPr>
        <w:t xml:space="preserve"> </w:t>
      </w:r>
      <w:r w:rsidRPr="00B95D13">
        <w:t>la</w:t>
      </w:r>
      <w:r w:rsidRPr="00B95D13">
        <w:rPr>
          <w:spacing w:val="-6"/>
        </w:rPr>
        <w:t xml:space="preserve"> </w:t>
      </w:r>
      <w:r w:rsidRPr="00B95D13">
        <w:t>mobilisation</w:t>
      </w:r>
      <w:r w:rsidRPr="00B95D13">
        <w:rPr>
          <w:spacing w:val="-6"/>
        </w:rPr>
        <w:t xml:space="preserve"> </w:t>
      </w:r>
      <w:r w:rsidRPr="00B95D13">
        <w:t>et</w:t>
      </w:r>
      <w:r w:rsidRPr="00B95D13">
        <w:rPr>
          <w:spacing w:val="-3"/>
        </w:rPr>
        <w:t xml:space="preserve"> </w:t>
      </w:r>
      <w:r w:rsidRPr="00B95D13">
        <w:rPr>
          <w:spacing w:val="-5"/>
        </w:rPr>
        <w:t xml:space="preserve">la </w:t>
      </w:r>
      <w:r>
        <w:t>collaboration</w:t>
      </w:r>
      <w:r w:rsidRPr="00B95D13">
        <w:rPr>
          <w:spacing w:val="-7"/>
        </w:rPr>
        <w:t xml:space="preserve"> </w:t>
      </w:r>
      <w:r>
        <w:t>de</w:t>
      </w:r>
      <w:r w:rsidRPr="00B95D13">
        <w:rPr>
          <w:spacing w:val="-3"/>
        </w:rPr>
        <w:t xml:space="preserve"> </w:t>
      </w:r>
      <w:r>
        <w:t>l’ensemble</w:t>
      </w:r>
      <w:r w:rsidRPr="00B95D13">
        <w:rPr>
          <w:spacing w:val="-6"/>
        </w:rPr>
        <w:t xml:space="preserve"> </w:t>
      </w:r>
      <w:r>
        <w:t>des</w:t>
      </w:r>
      <w:r w:rsidRPr="00B95D13">
        <w:rPr>
          <w:spacing w:val="-3"/>
        </w:rPr>
        <w:t xml:space="preserve"> </w:t>
      </w:r>
      <w:r>
        <w:t>ressources</w:t>
      </w:r>
      <w:r w:rsidRPr="00B95D13">
        <w:rPr>
          <w:spacing w:val="-5"/>
        </w:rPr>
        <w:t xml:space="preserve"> </w:t>
      </w:r>
      <w:r>
        <w:t>du</w:t>
      </w:r>
      <w:r w:rsidRPr="00B95D13">
        <w:rPr>
          <w:spacing w:val="-7"/>
        </w:rPr>
        <w:t xml:space="preserve"> </w:t>
      </w:r>
      <w:r w:rsidRPr="00B95D13">
        <w:rPr>
          <w:spacing w:val="-2"/>
        </w:rPr>
        <w:t>milieu</w:t>
      </w:r>
      <w:r w:rsidR="001A0FEE">
        <w:rPr>
          <w:rFonts w:ascii="Arial" w:hAnsi="Arial" w:cs="Arial"/>
          <w:spacing w:val="-2"/>
        </w:rPr>
        <w:t> </w:t>
      </w:r>
      <w:r w:rsidR="00763AEE">
        <w:rPr>
          <w:spacing w:val="-2"/>
        </w:rPr>
        <w:t>;</w:t>
      </w:r>
    </w:p>
    <w:p w14:paraId="59A36F49" w14:textId="4D4C2599" w:rsidR="00B95D13" w:rsidRPr="00B95D13" w:rsidRDefault="00B95D13" w:rsidP="00BA3E6E">
      <w:pPr>
        <w:pStyle w:val="puces0"/>
      </w:pPr>
      <w:r w:rsidRPr="00B95D13">
        <w:t>La</w:t>
      </w:r>
      <w:r w:rsidRPr="00B95D13">
        <w:rPr>
          <w:spacing w:val="-7"/>
        </w:rPr>
        <w:t xml:space="preserve"> </w:t>
      </w:r>
      <w:r w:rsidRPr="00B95D13">
        <w:t>notion</w:t>
      </w:r>
      <w:r w:rsidRPr="00B95D13">
        <w:rPr>
          <w:spacing w:val="-5"/>
        </w:rPr>
        <w:t xml:space="preserve"> </w:t>
      </w:r>
      <w:r w:rsidRPr="00B95D13">
        <w:t>de</w:t>
      </w:r>
      <w:r w:rsidRPr="00B95D13">
        <w:rPr>
          <w:spacing w:val="-5"/>
        </w:rPr>
        <w:t xml:space="preserve"> </w:t>
      </w:r>
      <w:r w:rsidRPr="00B95D13">
        <w:t>temps</w:t>
      </w:r>
      <w:r w:rsidRPr="00B95D13">
        <w:rPr>
          <w:spacing w:val="-3"/>
        </w:rPr>
        <w:t xml:space="preserve"> </w:t>
      </w:r>
      <w:r w:rsidRPr="00B95D13">
        <w:t>chez</w:t>
      </w:r>
      <w:r w:rsidRPr="00B95D13">
        <w:rPr>
          <w:spacing w:val="-2"/>
        </w:rPr>
        <w:t xml:space="preserve"> </w:t>
      </w:r>
      <w:r w:rsidRPr="00B95D13">
        <w:t>l’enfant</w:t>
      </w:r>
      <w:r w:rsidRPr="00B95D13">
        <w:rPr>
          <w:spacing w:val="-4"/>
        </w:rPr>
        <w:t xml:space="preserve"> </w:t>
      </w:r>
      <w:r w:rsidRPr="00B95D13">
        <w:t>est</w:t>
      </w:r>
      <w:r w:rsidRPr="00B95D13">
        <w:rPr>
          <w:spacing w:val="-6"/>
        </w:rPr>
        <w:t xml:space="preserve"> </w:t>
      </w:r>
      <w:r w:rsidRPr="00B95D13">
        <w:t>différente</w:t>
      </w:r>
      <w:r w:rsidRPr="00B95D13">
        <w:rPr>
          <w:spacing w:val="-5"/>
        </w:rPr>
        <w:t xml:space="preserve"> </w:t>
      </w:r>
      <w:r w:rsidRPr="00B95D13">
        <w:t>de</w:t>
      </w:r>
      <w:r w:rsidRPr="00B95D13">
        <w:rPr>
          <w:spacing w:val="-3"/>
        </w:rPr>
        <w:t xml:space="preserve"> </w:t>
      </w:r>
      <w:r w:rsidRPr="00B95D13">
        <w:t>celle</w:t>
      </w:r>
      <w:r w:rsidRPr="00B95D13">
        <w:rPr>
          <w:spacing w:val="-5"/>
        </w:rPr>
        <w:t xml:space="preserve"> </w:t>
      </w:r>
      <w:r w:rsidRPr="00B95D13">
        <w:t>de</w:t>
      </w:r>
      <w:r w:rsidRPr="00B95D13">
        <w:rPr>
          <w:spacing w:val="-5"/>
        </w:rPr>
        <w:t xml:space="preserve"> </w:t>
      </w:r>
      <w:r w:rsidRPr="00B95D13">
        <w:rPr>
          <w:spacing w:val="-2"/>
        </w:rPr>
        <w:t>l’adulte</w:t>
      </w:r>
      <w:r w:rsidR="001A0FEE">
        <w:rPr>
          <w:rFonts w:ascii="Arial" w:hAnsi="Arial" w:cs="Arial"/>
          <w:spacing w:val="-2"/>
        </w:rPr>
        <w:t> </w:t>
      </w:r>
      <w:r w:rsidR="00763AEE">
        <w:rPr>
          <w:spacing w:val="-2"/>
        </w:rPr>
        <w:t>;</w:t>
      </w:r>
    </w:p>
    <w:p w14:paraId="5872C7E6" w14:textId="7D4B3DF6" w:rsidR="00B95D13" w:rsidRDefault="00B95D13" w:rsidP="00BA3E6E">
      <w:pPr>
        <w:pStyle w:val="puces0"/>
      </w:pPr>
      <w:r w:rsidRPr="00B95D13">
        <w:t>La</w:t>
      </w:r>
      <w:r w:rsidRPr="00B95D13">
        <w:rPr>
          <w:spacing w:val="-7"/>
        </w:rPr>
        <w:t xml:space="preserve"> </w:t>
      </w:r>
      <w:r w:rsidRPr="00B95D13">
        <w:t>stabilité</w:t>
      </w:r>
      <w:r w:rsidRPr="00B95D13">
        <w:rPr>
          <w:spacing w:val="-5"/>
        </w:rPr>
        <w:t xml:space="preserve"> </w:t>
      </w:r>
      <w:r w:rsidRPr="00B95D13">
        <w:t>et</w:t>
      </w:r>
      <w:r w:rsidRPr="00B95D13">
        <w:rPr>
          <w:spacing w:val="-7"/>
        </w:rPr>
        <w:t xml:space="preserve"> </w:t>
      </w:r>
      <w:r w:rsidRPr="00B95D13">
        <w:t>la</w:t>
      </w:r>
      <w:r w:rsidRPr="00B95D13">
        <w:rPr>
          <w:spacing w:val="-6"/>
        </w:rPr>
        <w:t xml:space="preserve"> </w:t>
      </w:r>
      <w:r w:rsidRPr="00B95D13">
        <w:t>sécurité</w:t>
      </w:r>
      <w:r w:rsidRPr="00B95D13">
        <w:rPr>
          <w:spacing w:val="-5"/>
        </w:rPr>
        <w:t xml:space="preserve"> </w:t>
      </w:r>
      <w:r w:rsidRPr="00B95D13">
        <w:t>affective</w:t>
      </w:r>
      <w:r w:rsidRPr="00B95D13">
        <w:rPr>
          <w:spacing w:val="-6"/>
        </w:rPr>
        <w:t xml:space="preserve"> </w:t>
      </w:r>
      <w:r w:rsidRPr="00B95D13">
        <w:t>de</w:t>
      </w:r>
      <w:r w:rsidRPr="00B95D13">
        <w:rPr>
          <w:spacing w:val="-5"/>
        </w:rPr>
        <w:t xml:space="preserve"> </w:t>
      </w:r>
      <w:r w:rsidRPr="00B95D13">
        <w:t>l’enfant</w:t>
      </w:r>
      <w:r w:rsidRPr="00B95D13">
        <w:rPr>
          <w:spacing w:val="-3"/>
        </w:rPr>
        <w:t xml:space="preserve"> </w:t>
      </w:r>
      <w:r w:rsidRPr="00B95D13">
        <w:t>sont</w:t>
      </w:r>
      <w:r w:rsidRPr="00B95D13">
        <w:rPr>
          <w:spacing w:val="-7"/>
        </w:rPr>
        <w:t xml:space="preserve"> </w:t>
      </w:r>
      <w:r w:rsidRPr="00B95D13">
        <w:t>des</w:t>
      </w:r>
      <w:r w:rsidRPr="00B95D13">
        <w:rPr>
          <w:spacing w:val="-5"/>
        </w:rPr>
        <w:t xml:space="preserve"> </w:t>
      </w:r>
      <w:r w:rsidRPr="00B95D13">
        <w:t>déterminants</w:t>
      </w:r>
      <w:r w:rsidRPr="00B95D13">
        <w:rPr>
          <w:spacing w:val="-5"/>
        </w:rPr>
        <w:t xml:space="preserve"> </w:t>
      </w:r>
      <w:r w:rsidRPr="00B95D13">
        <w:t>majeurs</w:t>
      </w:r>
      <w:r w:rsidRPr="00B95D13">
        <w:rPr>
          <w:spacing w:val="-4"/>
        </w:rPr>
        <w:t xml:space="preserve"> </w:t>
      </w:r>
      <w:r w:rsidRPr="00B95D13">
        <w:t>pour</w:t>
      </w:r>
      <w:r w:rsidRPr="00B95D13">
        <w:rPr>
          <w:spacing w:val="-6"/>
        </w:rPr>
        <w:t xml:space="preserve"> </w:t>
      </w:r>
      <w:r w:rsidRPr="00B95D13">
        <w:t>assurer</w:t>
      </w:r>
      <w:r w:rsidRPr="00B95D13">
        <w:rPr>
          <w:spacing w:val="-6"/>
        </w:rPr>
        <w:t xml:space="preserve"> </w:t>
      </w:r>
      <w:r w:rsidRPr="00B95D13">
        <w:rPr>
          <w:spacing w:val="-5"/>
        </w:rPr>
        <w:t xml:space="preserve">son </w:t>
      </w:r>
      <w:r>
        <w:t>sain</w:t>
      </w:r>
      <w:r w:rsidRPr="00B95D13">
        <w:rPr>
          <w:spacing w:val="-3"/>
        </w:rPr>
        <w:t xml:space="preserve"> </w:t>
      </w:r>
      <w:r w:rsidRPr="00B95D13">
        <w:rPr>
          <w:spacing w:val="-2"/>
        </w:rPr>
        <w:t>développement</w:t>
      </w:r>
      <w:r w:rsidR="001A0FEE">
        <w:rPr>
          <w:rFonts w:ascii="Arial" w:hAnsi="Arial" w:cs="Arial"/>
          <w:spacing w:val="-2"/>
        </w:rPr>
        <w:t> </w:t>
      </w:r>
      <w:r w:rsidR="00763AEE">
        <w:rPr>
          <w:spacing w:val="-2"/>
        </w:rPr>
        <w:t>;</w:t>
      </w:r>
    </w:p>
    <w:p w14:paraId="466BB246" w14:textId="4A950F56" w:rsidR="00B95D13" w:rsidRPr="00B95D13" w:rsidRDefault="00B95D13" w:rsidP="00BA3E6E">
      <w:pPr>
        <w:pStyle w:val="puces0"/>
      </w:pPr>
      <w:r w:rsidRPr="00B95D13">
        <w:t>L’enfant</w:t>
      </w:r>
      <w:r w:rsidRPr="00B95D13">
        <w:rPr>
          <w:spacing w:val="-4"/>
        </w:rPr>
        <w:t xml:space="preserve"> </w:t>
      </w:r>
      <w:r w:rsidRPr="00B95D13">
        <w:t>et</w:t>
      </w:r>
      <w:r w:rsidRPr="00B95D13">
        <w:rPr>
          <w:spacing w:val="-1"/>
        </w:rPr>
        <w:t xml:space="preserve"> </w:t>
      </w:r>
      <w:r w:rsidRPr="00B95D13">
        <w:t>ses</w:t>
      </w:r>
      <w:r w:rsidRPr="00B95D13">
        <w:rPr>
          <w:spacing w:val="-3"/>
        </w:rPr>
        <w:t xml:space="preserve"> </w:t>
      </w:r>
      <w:r w:rsidRPr="00B95D13">
        <w:t>parents</w:t>
      </w:r>
      <w:r w:rsidRPr="00B95D13">
        <w:rPr>
          <w:spacing w:val="-3"/>
        </w:rPr>
        <w:t xml:space="preserve"> </w:t>
      </w:r>
      <w:r w:rsidRPr="00B95D13">
        <w:t>ont</w:t>
      </w:r>
      <w:r w:rsidRPr="00B95D13">
        <w:rPr>
          <w:spacing w:val="-1"/>
        </w:rPr>
        <w:t xml:space="preserve"> </w:t>
      </w:r>
      <w:r w:rsidRPr="00B95D13">
        <w:t>le</w:t>
      </w:r>
      <w:r w:rsidRPr="00B95D13">
        <w:rPr>
          <w:spacing w:val="-3"/>
        </w:rPr>
        <w:t xml:space="preserve"> </w:t>
      </w:r>
      <w:r w:rsidRPr="00B95D13">
        <w:t>droit</w:t>
      </w:r>
      <w:r w:rsidRPr="00B95D13">
        <w:rPr>
          <w:spacing w:val="-4"/>
        </w:rPr>
        <w:t xml:space="preserve"> </w:t>
      </w:r>
      <w:r w:rsidRPr="00B95D13">
        <w:t>de</w:t>
      </w:r>
      <w:r w:rsidRPr="00B95D13">
        <w:rPr>
          <w:spacing w:val="-1"/>
        </w:rPr>
        <w:t xml:space="preserve"> </w:t>
      </w:r>
      <w:r w:rsidRPr="00B95D13">
        <w:t>faire</w:t>
      </w:r>
      <w:r w:rsidRPr="00B95D13">
        <w:rPr>
          <w:spacing w:val="-3"/>
        </w:rPr>
        <w:t xml:space="preserve"> </w:t>
      </w:r>
      <w:r w:rsidRPr="00B95D13">
        <w:t>entendre</w:t>
      </w:r>
      <w:r w:rsidRPr="00B95D13">
        <w:rPr>
          <w:spacing w:val="-2"/>
        </w:rPr>
        <w:t xml:space="preserve"> </w:t>
      </w:r>
      <w:r w:rsidRPr="00B95D13">
        <w:t>leur</w:t>
      </w:r>
      <w:r w:rsidRPr="00B95D13">
        <w:rPr>
          <w:spacing w:val="-4"/>
        </w:rPr>
        <w:t xml:space="preserve"> </w:t>
      </w:r>
      <w:r w:rsidRPr="00B95D13">
        <w:t>voix</w:t>
      </w:r>
      <w:r w:rsidRPr="00B95D13">
        <w:rPr>
          <w:spacing w:val="-3"/>
        </w:rPr>
        <w:t xml:space="preserve"> </w:t>
      </w:r>
      <w:r w:rsidRPr="00B95D13">
        <w:t>et de</w:t>
      </w:r>
      <w:r w:rsidRPr="00B95D13">
        <w:rPr>
          <w:spacing w:val="-3"/>
        </w:rPr>
        <w:t xml:space="preserve"> </w:t>
      </w:r>
      <w:r w:rsidRPr="00B95D13">
        <w:t>participer</w:t>
      </w:r>
      <w:r w:rsidRPr="00B95D13">
        <w:rPr>
          <w:spacing w:val="-3"/>
        </w:rPr>
        <w:t xml:space="preserve"> </w:t>
      </w:r>
      <w:r w:rsidRPr="00B95D13">
        <w:t>aux</w:t>
      </w:r>
      <w:r w:rsidRPr="00B95D13">
        <w:rPr>
          <w:spacing w:val="-3"/>
        </w:rPr>
        <w:t xml:space="preserve"> </w:t>
      </w:r>
      <w:r w:rsidRPr="00B95D13">
        <w:t>décisions</w:t>
      </w:r>
      <w:r w:rsidRPr="00B95D13">
        <w:rPr>
          <w:spacing w:val="-3"/>
        </w:rPr>
        <w:t xml:space="preserve"> </w:t>
      </w:r>
      <w:r w:rsidRPr="00B95D13">
        <w:t>qui les concernent</w:t>
      </w:r>
      <w:r w:rsidR="001A0FEE">
        <w:rPr>
          <w:rFonts w:ascii="Arial" w:hAnsi="Arial" w:cs="Arial"/>
        </w:rPr>
        <w:t> </w:t>
      </w:r>
      <w:r w:rsidR="00763AEE">
        <w:t>;</w:t>
      </w:r>
    </w:p>
    <w:p w14:paraId="2CA2FA9A" w14:textId="77777777" w:rsidR="00B95D13" w:rsidRPr="00B95D13" w:rsidRDefault="00B95D13" w:rsidP="00BA3E6E">
      <w:pPr>
        <w:pStyle w:val="puces0"/>
      </w:pPr>
      <w:r w:rsidRPr="00B95D13">
        <w:lastRenderedPageBreak/>
        <w:t>Le</w:t>
      </w:r>
      <w:r w:rsidRPr="00B95D13">
        <w:rPr>
          <w:spacing w:val="-5"/>
        </w:rPr>
        <w:t xml:space="preserve"> </w:t>
      </w:r>
      <w:r w:rsidRPr="00B95D13">
        <w:t>passage</w:t>
      </w:r>
      <w:r w:rsidRPr="00B95D13">
        <w:rPr>
          <w:spacing w:val="-4"/>
        </w:rPr>
        <w:t xml:space="preserve"> </w:t>
      </w:r>
      <w:r w:rsidRPr="00B95D13">
        <w:t>d’un</w:t>
      </w:r>
      <w:r w:rsidRPr="00B95D13">
        <w:rPr>
          <w:spacing w:val="-5"/>
        </w:rPr>
        <w:t xml:space="preserve"> </w:t>
      </w:r>
      <w:r w:rsidRPr="00B95D13">
        <w:t>enfant</w:t>
      </w:r>
      <w:r w:rsidRPr="00B95D13">
        <w:rPr>
          <w:spacing w:val="-5"/>
        </w:rPr>
        <w:t xml:space="preserve"> </w:t>
      </w:r>
      <w:r w:rsidRPr="00B95D13">
        <w:t>à</w:t>
      </w:r>
      <w:r w:rsidRPr="00B95D13">
        <w:rPr>
          <w:spacing w:val="-5"/>
        </w:rPr>
        <w:t xml:space="preserve"> </w:t>
      </w:r>
      <w:r w:rsidRPr="00B95D13">
        <w:t>la</w:t>
      </w:r>
      <w:r w:rsidRPr="00B95D13">
        <w:rPr>
          <w:spacing w:val="-2"/>
        </w:rPr>
        <w:t xml:space="preserve"> </w:t>
      </w:r>
      <w:r w:rsidRPr="00B95D13">
        <w:t>vie</w:t>
      </w:r>
      <w:r w:rsidRPr="00B95D13">
        <w:rPr>
          <w:spacing w:val="-4"/>
        </w:rPr>
        <w:t xml:space="preserve"> </w:t>
      </w:r>
      <w:r w:rsidRPr="00B95D13">
        <w:t>adulte doit</w:t>
      </w:r>
      <w:r w:rsidRPr="00B95D13">
        <w:rPr>
          <w:spacing w:val="-4"/>
        </w:rPr>
        <w:t xml:space="preserve"> </w:t>
      </w:r>
      <w:r w:rsidRPr="00B95D13">
        <w:t>être</w:t>
      </w:r>
      <w:r w:rsidRPr="00B95D13">
        <w:rPr>
          <w:spacing w:val="-4"/>
        </w:rPr>
        <w:t xml:space="preserve"> </w:t>
      </w:r>
      <w:r w:rsidRPr="00B95D13">
        <w:rPr>
          <w:spacing w:val="-2"/>
        </w:rPr>
        <w:t>facilité.</w:t>
      </w:r>
    </w:p>
    <w:p w14:paraId="26F44465" w14:textId="53372090" w:rsidR="000B28B4" w:rsidRDefault="000B28B4" w:rsidP="003A1427">
      <w:pPr>
        <w:pStyle w:val="Paragraphe"/>
      </w:pPr>
      <w:r>
        <w:t>La Commission estime que le respect de ces paramètres implique entre autres de mettre en place un processus de révision qui s’appuie sur une diversité de perspectives cliniques et juridiques, exprimées par les personnes qui ont à prendre des décisions ou qui sont visées par celles-ci, incluant les enfants et leurs parents.</w:t>
      </w:r>
    </w:p>
    <w:p w14:paraId="03F0A945" w14:textId="2586C14C" w:rsidR="000B28B4" w:rsidRDefault="000B28B4" w:rsidP="003A1427">
      <w:pPr>
        <w:pStyle w:val="Paragraphe"/>
      </w:pPr>
      <w:r>
        <w:t xml:space="preserve">Afin de donner plein effet aux objectifs de la réforme, et ce, dans le respect des droits et de l’intérêt de l’enfant, la Commission des droits juge que l’actualisation du cadre de référence </w:t>
      </w:r>
      <w:r w:rsidRPr="00E62E08">
        <w:rPr>
          <w:i/>
          <w:iCs/>
        </w:rPr>
        <w:t>Un projet de vie, des racines pour la vie</w:t>
      </w:r>
      <w:r>
        <w:t xml:space="preserve"> est une action immédiate à entreprendre par le </w:t>
      </w:r>
      <w:r w:rsidR="00920B74">
        <w:t>ministre de la Santé et des Services sociaux</w:t>
      </w:r>
      <w:r>
        <w:t xml:space="preserve"> et la directrice nationale de la protection de la jeunesse. Il incombe à cette dernière la responsabilité de déterminer les orientations et les normes de pratique clinique et de gestion applicables à la protection de la jeunesse</w:t>
      </w:r>
      <w:r w:rsidR="0085330E">
        <w:rPr>
          <w:rFonts w:ascii="ZWAdobeF" w:hAnsi="ZWAdobeF" w:cs="ZWAdobeF"/>
          <w:sz w:val="2"/>
          <w:szCs w:val="2"/>
        </w:rPr>
        <w:t>156F</w:t>
      </w:r>
      <w:r>
        <w:rPr>
          <w:rStyle w:val="Appelnotedebasdep"/>
        </w:rPr>
        <w:footnoteReference w:id="158"/>
      </w:r>
      <w:r>
        <w:t>. De plus, la Table des directeurs, composée de la directrice nationale de la protection de la jeunesse et de chacun des directeurs de la protection de la jeunesse du Québec, devrait être mise à contribution pour s’assurer de la prise en compte de la diversité des pratiques dans la recherche de leur harmonisation</w:t>
      </w:r>
      <w:r w:rsidR="0085330E">
        <w:rPr>
          <w:rFonts w:ascii="ZWAdobeF" w:hAnsi="ZWAdobeF" w:cs="ZWAdobeF"/>
          <w:sz w:val="2"/>
          <w:szCs w:val="2"/>
        </w:rPr>
        <w:t>157F</w:t>
      </w:r>
      <w:r>
        <w:rPr>
          <w:rStyle w:val="Appelnotedebasdep"/>
        </w:rPr>
        <w:footnoteReference w:id="159"/>
      </w:r>
      <w:r>
        <w:t>.</w:t>
      </w:r>
    </w:p>
    <w:p w14:paraId="5982827D" w14:textId="3DB24B77" w:rsidR="00F84204" w:rsidRDefault="000B28B4" w:rsidP="003A1427">
      <w:pPr>
        <w:pStyle w:val="Paragraphe"/>
      </w:pPr>
      <w:r>
        <w:t>Plus largement, la révision du cadre de référence devrait mener par ricochet à celle de la brochure produite par le MSSS expliquant les principes qui guident le choix d’un projet de vie ainsi que les étapes réalisées pour actualiser le projet de vie choisi. Celle-ci constitue un outil de sensibilisation efficace pour</w:t>
      </w:r>
      <w:r w:rsidR="004E547A">
        <w:t xml:space="preserve"> </w:t>
      </w:r>
      <w:r w:rsidR="004E547A" w:rsidRPr="004E547A">
        <w:t>communiquer les éléments essentiels aux jeunes, aux parents, aux familles d’accueil et à toutes les personnes concernées par le projet de vie d’un enfant dont la situation est prise en charge par le DPJ</w:t>
      </w:r>
      <w:r w:rsidR="0085330E">
        <w:rPr>
          <w:rFonts w:ascii="ZWAdobeF" w:hAnsi="ZWAdobeF" w:cs="ZWAdobeF"/>
          <w:sz w:val="2"/>
          <w:szCs w:val="2"/>
        </w:rPr>
        <w:t>158F</w:t>
      </w:r>
      <w:r w:rsidR="004E547A">
        <w:rPr>
          <w:rStyle w:val="Appelnotedebasdep"/>
        </w:rPr>
        <w:footnoteReference w:id="160"/>
      </w:r>
      <w:r w:rsidR="004E547A">
        <w:t>.</w:t>
      </w:r>
    </w:p>
    <w:tbl>
      <w:tblPr>
        <w:tblStyle w:val="Grilledutableau"/>
        <w:tblW w:w="5000" w:type="pct"/>
        <w:tblLook w:val="04A0" w:firstRow="1" w:lastRow="0" w:firstColumn="1" w:lastColumn="0" w:noHBand="0" w:noVBand="1"/>
      </w:tblPr>
      <w:tblGrid>
        <w:gridCol w:w="9972"/>
      </w:tblGrid>
      <w:tr w:rsidR="00C63E6D" w:rsidRPr="00323ABB" w14:paraId="0D20186D" w14:textId="77777777" w:rsidTr="00CC5A23">
        <w:tc>
          <w:tcPr>
            <w:tcW w:w="5000" w:type="pct"/>
            <w:tcBorders>
              <w:top w:val="nil"/>
              <w:left w:val="nil"/>
              <w:bottom w:val="nil"/>
              <w:right w:val="nil"/>
            </w:tcBorders>
            <w:shd w:val="clear" w:color="auto" w:fill="E9F8FB"/>
          </w:tcPr>
          <w:p w14:paraId="0C034676" w14:textId="6BF194B0" w:rsidR="00C63E6D" w:rsidRPr="0010017A" w:rsidRDefault="00C63E6D" w:rsidP="006039D4">
            <w:pPr>
              <w:pStyle w:val="TitreRecommandation"/>
            </w:pPr>
            <w:r w:rsidRPr="0010017A">
              <w:t>Recommandation</w:t>
            </w:r>
            <w:r w:rsidR="00104A0F">
              <w:t> </w:t>
            </w:r>
            <w:r w:rsidR="00273411">
              <w:t>1</w:t>
            </w:r>
          </w:p>
          <w:p w14:paraId="38E257C8" w14:textId="13196026" w:rsidR="0037305A" w:rsidRDefault="000C6889" w:rsidP="00E33E5C">
            <w:pPr>
              <w:pStyle w:val="Texterecommandation"/>
            </w:pPr>
            <w:r w:rsidRPr="000C6889">
              <w:t xml:space="preserve">La Commission des droits recommande à la directrice nationale de la protection de la jeunesse et au ministre responsable des Services sociaux, avec la collaboration de la Table des DPJ et Santé Québec, d’entreprendre sans tarder des travaux pour actualiser le cadre de référence </w:t>
            </w:r>
            <w:r w:rsidRPr="004B11A0">
              <w:rPr>
                <w:i/>
                <w:iCs/>
              </w:rPr>
              <w:t>Un projet de vie, des racines pour la vie</w:t>
            </w:r>
            <w:r w:rsidRPr="000C6889">
              <w:t xml:space="preserve"> afin de l’arrimer au cadre légal en vigueur. Ceux-ci doivent prendre appui sur les objectifs de la réforme et les paramètres définis au préambule de la LPJ.</w:t>
            </w:r>
          </w:p>
          <w:p w14:paraId="74B2DEF3" w14:textId="77CB46E1" w:rsidR="000C6889" w:rsidRPr="000C6889" w:rsidRDefault="0037305A" w:rsidP="0037305A">
            <w:pPr>
              <w:pStyle w:val="Texterecommandation"/>
            </w:pPr>
            <w:r w:rsidRPr="0037305A">
              <w:t>De façon complémentaire, elle leur recommande de diffuser plus largement le cadre de référence révisé, de manière adaptée et accessible, aux jeunes, aux parents, aux familles d’accueil et à toutes les personnes concernées par le projet de vie d’un enfant</w:t>
            </w:r>
            <w:r w:rsidR="00852E96">
              <w:t>.</w:t>
            </w:r>
          </w:p>
        </w:tc>
      </w:tr>
    </w:tbl>
    <w:p w14:paraId="5033675A" w14:textId="340AE433" w:rsidR="00F11921" w:rsidRDefault="00B80190" w:rsidP="00F93AC5">
      <w:pPr>
        <w:pStyle w:val="Titre3"/>
      </w:pPr>
      <w:bookmarkStart w:id="102" w:name="_Toc201330536"/>
      <w:r w:rsidRPr="00B80190">
        <w:lastRenderedPageBreak/>
        <w:t>4.1.3</w:t>
      </w:r>
      <w:r>
        <w:tab/>
      </w:r>
      <w:r w:rsidRPr="00B80190">
        <w:tab/>
        <w:t>La mise sur pied d’un lieu d’échanges pour discuter des meilleures pratiques</w:t>
      </w:r>
      <w:bookmarkEnd w:id="102"/>
    </w:p>
    <w:p w14:paraId="5D91F584" w14:textId="076EBE0A" w:rsidR="00115F53" w:rsidRDefault="00115F53" w:rsidP="003A1427">
      <w:pPr>
        <w:pStyle w:val="Paragraphe"/>
      </w:pPr>
      <w:r>
        <w:t xml:space="preserve">L’étude TRAJUD publiée en avril 2025 met en lumière les effets de l’interaction entre l’intervention sociale et </w:t>
      </w:r>
      <w:r w:rsidR="005722B8">
        <w:t>le</w:t>
      </w:r>
      <w:r>
        <w:t xml:space="preserve"> processus judiciaire sur le déroulement de la trajectoire des enfants pris en charge en protection de la jeunesse</w:t>
      </w:r>
      <w:r w:rsidR="0085330E">
        <w:rPr>
          <w:rFonts w:ascii="ZWAdobeF" w:hAnsi="ZWAdobeF" w:cs="ZWAdobeF"/>
          <w:sz w:val="2"/>
          <w:szCs w:val="2"/>
        </w:rPr>
        <w:t>159F</w:t>
      </w:r>
      <w:r>
        <w:rPr>
          <w:rStyle w:val="Appelnotedebasdep"/>
        </w:rPr>
        <w:footnoteReference w:id="161"/>
      </w:r>
      <w:r>
        <w:t>. Une des pistes d’action qui y est formulée mise sur le besoin d’augmenter les occasions d’échanges entre les acteurs des domaines social et juridique en vue de favoriser la qualité de la collaboration et des relations interprofessionnelles entre les acteurs des domaines social et juridique</w:t>
      </w:r>
      <w:bookmarkStart w:id="103" w:name="_Ref200545877"/>
      <w:r w:rsidR="0085330E">
        <w:rPr>
          <w:rFonts w:ascii="ZWAdobeF" w:hAnsi="ZWAdobeF" w:cs="ZWAdobeF"/>
          <w:sz w:val="2"/>
          <w:szCs w:val="2"/>
        </w:rPr>
        <w:t>160F</w:t>
      </w:r>
      <w:r>
        <w:rPr>
          <w:rStyle w:val="Appelnotedebasdep"/>
        </w:rPr>
        <w:footnoteReference w:id="162"/>
      </w:r>
      <w:bookmarkEnd w:id="103"/>
      <w:r>
        <w:t>.</w:t>
      </w:r>
      <w:r w:rsidR="003773EC">
        <w:t xml:space="preserve"> Soulignons </w:t>
      </w:r>
      <w:r w:rsidR="00CC6417">
        <w:t xml:space="preserve">que le besoin de créer des espaces d’échange entre </w:t>
      </w:r>
      <w:r w:rsidR="00015A03">
        <w:t xml:space="preserve">les </w:t>
      </w:r>
      <w:r w:rsidR="00CC6417">
        <w:t xml:space="preserve">personnes intervenantes, les juges et les avocats sur des thèmes névralgiques </w:t>
      </w:r>
      <w:r w:rsidR="0059742D">
        <w:t>avait été</w:t>
      </w:r>
      <w:r w:rsidR="00CC6417">
        <w:t xml:space="preserve"> identifié</w:t>
      </w:r>
      <w:r w:rsidR="007E526C">
        <w:t xml:space="preserve"> </w:t>
      </w:r>
      <w:r w:rsidR="00BD7B6E">
        <w:t xml:space="preserve">depuis 2011, </w:t>
      </w:r>
      <w:r w:rsidR="007E526C">
        <w:t>dans la première étude réalisée en vertu de l’article</w:t>
      </w:r>
      <w:r w:rsidR="00104A0F">
        <w:t> </w:t>
      </w:r>
      <w:r w:rsidR="007E526C">
        <w:t>156.2 de la LPJ.</w:t>
      </w:r>
    </w:p>
    <w:p w14:paraId="4384AE55" w14:textId="3E7D2F5E" w:rsidR="00115F53" w:rsidRDefault="00115F53" w:rsidP="003A1427">
      <w:pPr>
        <w:pStyle w:val="Paragraphe"/>
      </w:pPr>
      <w:r>
        <w:t>Ce constat interpelle particulièrement la Commission dans le cadre du présent rapport dont l’analyse porte sur l’évaluation de la mise en œuvre des dispositions de la LPJ relatives à la stabilité des liens et des conditions de vie à travers le traitement judiciaire. Les défis de collaboration et de communication entre les personnes œuvrant dans ces deux systèmes étaient déjà bien connus</w:t>
      </w:r>
      <w:r w:rsidR="0085330E">
        <w:rPr>
          <w:rFonts w:ascii="ZWAdobeF" w:hAnsi="ZWAdobeF" w:cs="ZWAdobeF"/>
          <w:sz w:val="2"/>
          <w:szCs w:val="2"/>
        </w:rPr>
        <w:t>161F</w:t>
      </w:r>
      <w:r>
        <w:rPr>
          <w:rStyle w:val="Appelnotedebasdep"/>
        </w:rPr>
        <w:footnoteReference w:id="163"/>
      </w:r>
      <w:r>
        <w:t xml:space="preserve">. </w:t>
      </w:r>
    </w:p>
    <w:p w14:paraId="72FB126F" w14:textId="638F09A7" w:rsidR="00101F66" w:rsidRPr="000C6889" w:rsidRDefault="00115F53" w:rsidP="003A1427">
      <w:pPr>
        <w:pStyle w:val="Paragraphe"/>
      </w:pPr>
      <w:r>
        <w:t xml:space="preserve">L’étude TRAJUD constate </w:t>
      </w:r>
      <w:r w:rsidR="008E5144">
        <w:t xml:space="preserve">par ailleurs </w:t>
      </w:r>
      <w:r>
        <w:t>que la collaboration interprofessionnelle est essentielle, mais qu’elle est malheureusement peu fréquente au Québec. Cela est déplorable puisque, étant issus de domaines professionnels distincts, les acteurs des systèmes judiciaire et social ont «</w:t>
      </w:r>
      <w:r>
        <w:rPr>
          <w:rFonts w:ascii="Arial" w:hAnsi="Arial" w:cs="Arial"/>
        </w:rPr>
        <w:t> </w:t>
      </w:r>
      <w:r>
        <w:t>des valeurs, des fa</w:t>
      </w:r>
      <w:r>
        <w:rPr>
          <w:rFonts w:cs="Aptos"/>
        </w:rPr>
        <w:t>ç</w:t>
      </w:r>
      <w:r>
        <w:t>ons de faire, des r</w:t>
      </w:r>
      <w:r>
        <w:rPr>
          <w:rFonts w:cs="Aptos"/>
        </w:rPr>
        <w:t>ô</w:t>
      </w:r>
      <w:r>
        <w:t>les et des formations diff</w:t>
      </w:r>
      <w:r>
        <w:rPr>
          <w:rFonts w:cs="Aptos"/>
        </w:rPr>
        <w:t>é</w:t>
      </w:r>
      <w:r>
        <w:t>rentes</w:t>
      </w:r>
      <w:r>
        <w:rPr>
          <w:rFonts w:ascii="Arial" w:hAnsi="Arial" w:cs="Arial"/>
        </w:rPr>
        <w:t> </w:t>
      </w:r>
      <w:r>
        <w:rPr>
          <w:rFonts w:cs="Aptos"/>
        </w:rPr>
        <w:t>»</w:t>
      </w:r>
      <w:r>
        <w:t xml:space="preserve"> qui m</w:t>
      </w:r>
      <w:r>
        <w:rPr>
          <w:rFonts w:cs="Aptos"/>
        </w:rPr>
        <w:t>é</w:t>
      </w:r>
      <w:r>
        <w:t>riteraient d</w:t>
      </w:r>
      <w:r>
        <w:rPr>
          <w:rFonts w:cs="Aptos"/>
        </w:rPr>
        <w:t>’ê</w:t>
      </w:r>
      <w:r>
        <w:t xml:space="preserve">tre mis </w:t>
      </w:r>
      <w:r>
        <w:rPr>
          <w:rFonts w:cs="Aptos"/>
        </w:rPr>
        <w:t>à</w:t>
      </w:r>
      <w:r>
        <w:t xml:space="preserve"> profit de fa</w:t>
      </w:r>
      <w:r>
        <w:rPr>
          <w:rFonts w:cs="Aptos"/>
        </w:rPr>
        <w:t>ç</w:t>
      </w:r>
      <w:r>
        <w:t>on compl</w:t>
      </w:r>
      <w:r>
        <w:rPr>
          <w:rFonts w:cs="Aptos"/>
        </w:rPr>
        <w:t>é</w:t>
      </w:r>
      <w:r>
        <w:t>mentaire</w:t>
      </w:r>
      <w:r w:rsidR="0085330E">
        <w:rPr>
          <w:rFonts w:ascii="ZWAdobeF" w:hAnsi="ZWAdobeF" w:cs="ZWAdobeF"/>
          <w:sz w:val="2"/>
          <w:szCs w:val="2"/>
        </w:rPr>
        <w:t>162F</w:t>
      </w:r>
      <w:r>
        <w:rPr>
          <w:rStyle w:val="Appelnotedebasdep"/>
        </w:rPr>
        <w:footnoteReference w:id="164"/>
      </w:r>
      <w:r>
        <w:t>.</w:t>
      </w:r>
    </w:p>
    <w:p w14:paraId="6D1B6055" w14:textId="77777777" w:rsidR="00A87F2D" w:rsidRDefault="00A87F2D" w:rsidP="003A1427">
      <w:pPr>
        <w:pStyle w:val="Paragraphe"/>
      </w:pPr>
      <w:r>
        <w:t>Transposée au présent rapport, cette situation peut participer, voire mener, à des écarts d’interprétation des dispositions de la LPJ relatives à la stabilité des liens et des conditions de vie de l’enfant de la part de ces acteurs.</w:t>
      </w:r>
    </w:p>
    <w:p w14:paraId="5805A3F4" w14:textId="549DE959" w:rsidR="00A15EC5" w:rsidRPr="000C6889" w:rsidRDefault="00A87F2D" w:rsidP="003A1427">
      <w:pPr>
        <w:pStyle w:val="Paragraphe"/>
      </w:pPr>
      <w:r>
        <w:t>La Commission des droits vient à nouveau de faire la démonstration, dans l’enquête systémique qu’elle a menée en Mauricie–Centre-du-Québec, de la nécessité d’arrimer les interventions sociales et judiciaires en protection de la jeunesse en vue de permettre aux tribunaux d’avoir un portrait complet de la situation leur permettant de prendre des décisions éclairées et dans l’intérêt des enfants. Elle a ainsi recommandé au ministre de la Justice et au ministre responsable des Services sociaux</w:t>
      </w:r>
      <w:r w:rsidR="00914C42">
        <w:t> </w:t>
      </w:r>
      <w:r>
        <w:t>:</w:t>
      </w:r>
    </w:p>
    <w:p w14:paraId="633A486B" w14:textId="01724A13" w:rsidR="005A46D4" w:rsidRPr="005A46D4" w:rsidRDefault="005A46D4" w:rsidP="00BA3E6E">
      <w:pPr>
        <w:pStyle w:val="puces0"/>
        <w:rPr>
          <w:noProof/>
        </w:rPr>
      </w:pPr>
      <w:r w:rsidRPr="005A46D4">
        <w:rPr>
          <w:noProof/>
        </w:rPr>
        <w:t xml:space="preserve">De s’assurer de la mise en place d’une table de concertation sociojudiciaire nationale, ainsi que de tables régionales dans chacune des régions du Québec, permettant de promouvoir une application harmonisée des pratiques en protection de la jeunesse ainsi qu’une meilleure </w:t>
      </w:r>
      <w:r w:rsidRPr="005A46D4">
        <w:rPr>
          <w:noProof/>
        </w:rPr>
        <w:lastRenderedPageBreak/>
        <w:t>compréhension des droits des enfants et des responsabilités des différents acteurs sociojudiciaires dans l’ensemble des régions du Québec</w:t>
      </w:r>
      <w:bookmarkStart w:id="105" w:name="_Ref200549359"/>
      <w:r w:rsidR="0085330E">
        <w:rPr>
          <w:rFonts w:ascii="ZWAdobeF" w:hAnsi="ZWAdobeF" w:cs="ZWAdobeF"/>
          <w:noProof/>
          <w:color w:val="auto"/>
          <w:sz w:val="2"/>
          <w:szCs w:val="2"/>
        </w:rPr>
        <w:t>163F</w:t>
      </w:r>
      <w:r w:rsidRPr="005A46D4">
        <w:rPr>
          <w:noProof/>
          <w:vertAlign w:val="superscript"/>
        </w:rPr>
        <w:footnoteReference w:id="165"/>
      </w:r>
      <w:bookmarkEnd w:id="105"/>
      <w:r w:rsidRPr="005A46D4">
        <w:rPr>
          <w:noProof/>
        </w:rPr>
        <w:t>.</w:t>
      </w:r>
    </w:p>
    <w:p w14:paraId="5ECCCE73" w14:textId="77777777" w:rsidR="006E4AB0" w:rsidRPr="006E4AB0" w:rsidRDefault="006E4AB0" w:rsidP="003A1427">
      <w:pPr>
        <w:pStyle w:val="Paragraphe"/>
      </w:pPr>
      <w:r w:rsidRPr="006E4AB0">
        <w:t xml:space="preserve">La Commission des droits juge qu’une telle mesure participerait à lever certains obstacles rencontrés par les personnes intervenantes, lesquels freinent la pleine mise en œuvre des dispositions de la LPJ relatives à la stabilité des liens et des conditions de vie des enfants, dont ceux liés aux délais de traitement. Des échanges dans un cadre formel entre une diversité d’acteurs, choisis pour leurs expertises complémentaires et provenant de différentes régions, favoriseraient très certainement une application plus harmonisée de ces dispositions à l’échelle du Québec. </w:t>
      </w:r>
    </w:p>
    <w:p w14:paraId="721902C4" w14:textId="77777777" w:rsidR="006E4AB0" w:rsidRPr="006E4AB0" w:rsidRDefault="006E4AB0" w:rsidP="003A1427">
      <w:pPr>
        <w:pStyle w:val="Paragraphe"/>
      </w:pPr>
      <w:r w:rsidRPr="006E4AB0">
        <w:t>Cela constituerait par ailleurs une occasion d’engager un dialogue sur de la portée que les tribunaux accordent à ces mêmes dispositions de la LPJ et de l’application qui devrait en découler sur le terrain. Cette façon de faire constituerait un meilleur gage d’une mise en œuvre de la LPJ respectueuse des droits et de l’intérêt des enfants. La Commission des droits ne peut qu’encourager les mesures qui visent à faciliter l’accès à la justice, laquelle passe notamment par la vulgarisation des concepts et l’accompagnement personnalisé de l’enfant et de ses parents aux différentes étapes cliniques et judiciaires du processus de projet de vie.</w:t>
      </w:r>
    </w:p>
    <w:p w14:paraId="3395C8BD" w14:textId="70325706" w:rsidR="00A15EC5" w:rsidRPr="006E4AB0" w:rsidRDefault="006E4AB0" w:rsidP="003A1427">
      <w:pPr>
        <w:pStyle w:val="Paragraphe"/>
      </w:pPr>
      <w:r w:rsidRPr="006E4AB0">
        <w:t xml:space="preserve">Pour ces raisons, la Commission estime que les pratiques liées au processus entourant les projets de vie, incluant les placements </w:t>
      </w:r>
      <w:r w:rsidR="001718F2">
        <w:t>à un</w:t>
      </w:r>
      <w:r w:rsidRPr="006E4AB0">
        <w:t xml:space="preserve"> milieu de vie substitut jusqu’à la majorité, devraient être un sujet sur lequel la Table </w:t>
      </w:r>
      <w:r w:rsidR="00B50241">
        <w:t>telle que proposée</w:t>
      </w:r>
      <w:r w:rsidRPr="006E4AB0">
        <w:t xml:space="preserve"> devrait se pencher.</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2"/>
      </w:tblGrid>
      <w:tr w:rsidR="002C71EE" w14:paraId="56DADC2D" w14:textId="77777777" w:rsidTr="00CC5A23">
        <w:tc>
          <w:tcPr>
            <w:tcW w:w="5000" w:type="pct"/>
            <w:shd w:val="clear" w:color="auto" w:fill="E9F8FB"/>
          </w:tcPr>
          <w:p w14:paraId="71FAAED4" w14:textId="77777777" w:rsidR="002C71EE" w:rsidRPr="0096753E" w:rsidRDefault="002C71EE" w:rsidP="006039D4">
            <w:pPr>
              <w:pStyle w:val="TitreRecommandation"/>
            </w:pPr>
            <w:r w:rsidRPr="0096753E">
              <w:t>Recommandation </w:t>
            </w:r>
            <w:r>
              <w:t>2</w:t>
            </w:r>
          </w:p>
          <w:p w14:paraId="3911F2AD" w14:textId="77777777" w:rsidR="002C71EE" w:rsidRDefault="002C71EE">
            <w:pPr>
              <w:pStyle w:val="Texterecommandation"/>
            </w:pPr>
            <w:r w:rsidRPr="00640E95">
              <w:t xml:space="preserve">La </w:t>
            </w:r>
            <w:r>
              <w:t>Commission des droits</w:t>
            </w:r>
            <w:r w:rsidRPr="00640E95">
              <w:t xml:space="preserve"> réitère la recommandation </w:t>
            </w:r>
            <w:r>
              <w:t xml:space="preserve">faite en avril 2025 </w:t>
            </w:r>
            <w:r w:rsidRPr="00640E95">
              <w:t>au ministre de la Justice et au ministre responsable des Services sociaux de s’assurer de la mise en place d’une table de concertation sociojudiciaire nationale, ainsi que de tables régionales dans chacune des régions du Québec.</w:t>
            </w:r>
          </w:p>
          <w:p w14:paraId="0097B3D6" w14:textId="6D18409D" w:rsidR="002C71EE" w:rsidRPr="00640E95" w:rsidRDefault="002C71EE">
            <w:pPr>
              <w:pStyle w:val="Texterecommandation"/>
              <w:tabs>
                <w:tab w:val="clear" w:pos="113"/>
              </w:tabs>
            </w:pPr>
            <w:r w:rsidRPr="00D76791">
              <w:t xml:space="preserve">Celles-ci doivent promouvoir une application harmonisée des pratiques en protection de la jeunesse ainsi qu’une meilleure compréhension des droits des enfants et des responsabilités des différents acteurs sociojudiciaires dans l’ensemble des régions du Québec. Les pratiques liées au processus entourant les projets de vie, incluant les placements </w:t>
            </w:r>
            <w:r w:rsidR="001718F2">
              <w:t>à un</w:t>
            </w:r>
            <w:r w:rsidRPr="00D76791">
              <w:t xml:space="preserve"> milieu de vie substitut jusqu’à la majorité, devraient faire partie des sujets prioritaires à traiter.</w:t>
            </w:r>
          </w:p>
        </w:tc>
      </w:tr>
    </w:tbl>
    <w:p w14:paraId="5FAEA8E6" w14:textId="25FADF4A" w:rsidR="00A15EC5" w:rsidRPr="000C6889" w:rsidRDefault="003872EA" w:rsidP="00F93AC5">
      <w:pPr>
        <w:pStyle w:val="Titre2"/>
      </w:pPr>
      <w:bookmarkStart w:id="106" w:name="_Toc201330537"/>
      <w:r w:rsidRPr="003872EA">
        <w:lastRenderedPageBreak/>
        <w:t>4.2</w:t>
      </w:r>
      <w:r w:rsidRPr="003872EA">
        <w:tab/>
        <w:t xml:space="preserve">Recentrer les pratiques autour de la participation des enfants dans toutes les décisions menant au placement </w:t>
      </w:r>
      <w:r w:rsidR="00667BAF">
        <w:t>jusqu’</w:t>
      </w:r>
      <w:r w:rsidRPr="003872EA">
        <w:t>à la majorité</w:t>
      </w:r>
      <w:bookmarkEnd w:id="106"/>
    </w:p>
    <w:p w14:paraId="44E9DE11" w14:textId="01300417" w:rsidR="00104A02" w:rsidRDefault="00104A02" w:rsidP="003A1427">
      <w:pPr>
        <w:pStyle w:val="Paragraphe"/>
      </w:pPr>
      <w:r>
        <w:t>La CSDEPJ a recommandé d’écouter ce que l’enfant exprime, verbalement ou autrement, et d’en tenir compte dans son projet de vie, quel que soit son âge</w:t>
      </w:r>
      <w:r w:rsidR="0085330E">
        <w:rPr>
          <w:rFonts w:ascii="ZWAdobeF" w:hAnsi="ZWAdobeF" w:cs="ZWAdobeF"/>
          <w:sz w:val="2"/>
          <w:szCs w:val="2"/>
        </w:rPr>
        <w:t>164F</w:t>
      </w:r>
      <w:r w:rsidR="00985F54">
        <w:rPr>
          <w:rStyle w:val="Appelnotedebasdep"/>
        </w:rPr>
        <w:footnoteReference w:id="166"/>
      </w:r>
      <w:r>
        <w:t xml:space="preserve">. Ses travaux </w:t>
      </w:r>
      <w:r w:rsidR="00837C71">
        <w:t>mettent</w:t>
      </w:r>
      <w:r>
        <w:t xml:space="preserve"> en lumière le fait que les textes de loi sont clairs sur le droit à la participation de l’enfant et que les enjeux se situent plutôt dans l’application de ce droit</w:t>
      </w:r>
      <w:r w:rsidR="0085330E">
        <w:rPr>
          <w:rFonts w:ascii="ZWAdobeF" w:hAnsi="ZWAdobeF" w:cs="ZWAdobeF"/>
          <w:sz w:val="2"/>
          <w:szCs w:val="2"/>
        </w:rPr>
        <w:t>165F</w:t>
      </w:r>
      <w:r w:rsidR="00985F54">
        <w:rPr>
          <w:rStyle w:val="Appelnotedebasdep"/>
        </w:rPr>
        <w:footnoteReference w:id="167"/>
      </w:r>
      <w:r>
        <w:t>. Ils s’observent encore plus chez les jeunes enfants. Le manque de formation pour interpréter leurs comportements expliquerait en partie cette situation</w:t>
      </w:r>
      <w:r w:rsidR="0085330E">
        <w:rPr>
          <w:rFonts w:ascii="ZWAdobeF" w:hAnsi="ZWAdobeF" w:cs="ZWAdobeF"/>
          <w:sz w:val="2"/>
          <w:szCs w:val="2"/>
        </w:rPr>
        <w:t>166F</w:t>
      </w:r>
      <w:r w:rsidR="00985F54">
        <w:rPr>
          <w:rStyle w:val="Appelnotedebasdep"/>
        </w:rPr>
        <w:footnoteReference w:id="168"/>
      </w:r>
      <w:r>
        <w:t>. La mise en œuvre de moyens pour accroître le pouvoir d’agir de l’enfant, notamment dans le processus judiciaire, était ain</w:t>
      </w:r>
      <w:r w:rsidR="00E66026">
        <w:t>si</w:t>
      </w:r>
      <w:r>
        <w:t xml:space="preserve"> proposée</w:t>
      </w:r>
      <w:r w:rsidR="0085330E">
        <w:rPr>
          <w:rFonts w:ascii="ZWAdobeF" w:hAnsi="ZWAdobeF" w:cs="ZWAdobeF"/>
          <w:sz w:val="2"/>
          <w:szCs w:val="2"/>
        </w:rPr>
        <w:t>167F</w:t>
      </w:r>
      <w:r w:rsidR="00985F54">
        <w:rPr>
          <w:rStyle w:val="Appelnotedebasdep"/>
        </w:rPr>
        <w:footnoteReference w:id="169"/>
      </w:r>
      <w:r>
        <w:t>.</w:t>
      </w:r>
    </w:p>
    <w:p w14:paraId="5AF8FDED" w14:textId="1870EB09" w:rsidR="00104A02" w:rsidRDefault="00104A02" w:rsidP="003A1427">
      <w:pPr>
        <w:pStyle w:val="Paragraphe"/>
      </w:pPr>
      <w:r>
        <w:t>Les données recueillies dans les décisions analysées mettent en lumière que la participation de l’enfant et la prise en compte de son opinion concernant le choix de son projet de vie et l’établissement des contacts avec les personnes qui lui sont significatives varient significativement selon son âge. L’opinion des enfants de 13</w:t>
      </w:r>
      <w:r w:rsidR="00322ADA">
        <w:t> </w:t>
      </w:r>
      <w:r>
        <w:t>ans et plus dans la décision de le confier à un milieu de vie substitut jusqu’à la majorité est prise en compte dans une grande proportion comparativement aux enfants âgés entre 6 et 12</w:t>
      </w:r>
      <w:r w:rsidR="00322ADA">
        <w:t> </w:t>
      </w:r>
      <w:r>
        <w:t xml:space="preserve">ans. La participation à l’audience de l’enfant sous forme de témoignage est marginale selon ce qui est noté dans les décisions. </w:t>
      </w:r>
    </w:p>
    <w:p w14:paraId="1D325F71" w14:textId="34A52A56" w:rsidR="00104A02" w:rsidRDefault="00104A02" w:rsidP="003A1427">
      <w:pPr>
        <w:pStyle w:val="Paragraphe"/>
      </w:pPr>
      <w:r>
        <w:t>Peu de procureur</w:t>
      </w:r>
      <w:r w:rsidR="00E161AD">
        <w:t>e</w:t>
      </w:r>
      <w:r>
        <w:t>s et procureurs de l’enfant qui ont répondu au sondage administré dans le cadre du présent rapport considèrent que les changements apportés à la LPJ lors de la réforme ont eu un effet important sur la place accordée à l’enfant, dont la prise en compte de son opinion et sa participation à l’audience.</w:t>
      </w:r>
    </w:p>
    <w:p w14:paraId="30842C92" w14:textId="4E1CDE7E" w:rsidR="00104A02" w:rsidRDefault="00104A02" w:rsidP="003A1427">
      <w:pPr>
        <w:pStyle w:val="Paragraphe"/>
      </w:pPr>
      <w:r>
        <w:t>Ces données préoccupent la Commission des droits, laquelle accorde une grande importance à la prise en compte de la voix des enfants en matière de protection de la jeunesse. Elle prend appui sur les observations générales du Comité des droits de l’enfant de l’ONU</w:t>
      </w:r>
      <w:bookmarkStart w:id="107" w:name="_Ref201323046"/>
      <w:r w:rsidR="0085330E">
        <w:rPr>
          <w:rFonts w:ascii="ZWAdobeF" w:hAnsi="ZWAdobeF" w:cs="ZWAdobeF"/>
          <w:sz w:val="2"/>
          <w:szCs w:val="2"/>
        </w:rPr>
        <w:t>168F</w:t>
      </w:r>
      <w:r w:rsidR="00985F54">
        <w:rPr>
          <w:rStyle w:val="Appelnotedebasdep"/>
        </w:rPr>
        <w:footnoteReference w:id="170"/>
      </w:r>
      <w:bookmarkEnd w:id="107"/>
      <w:r>
        <w:t>, lequel interprète le droit de l’enfant d’être entendu comme comprenant l’obligation de mettre en place des mécanismes adaptés à celui-ci selon le contexte</w:t>
      </w:r>
      <w:bookmarkStart w:id="108" w:name="_Ref200548792"/>
      <w:r w:rsidR="0085330E">
        <w:rPr>
          <w:rFonts w:ascii="ZWAdobeF" w:hAnsi="ZWAdobeF" w:cs="ZWAdobeF"/>
          <w:sz w:val="2"/>
          <w:szCs w:val="2"/>
        </w:rPr>
        <w:t>169F</w:t>
      </w:r>
      <w:r w:rsidR="00985F54">
        <w:rPr>
          <w:rStyle w:val="Appelnotedebasdep"/>
        </w:rPr>
        <w:footnoteReference w:id="171"/>
      </w:r>
      <w:bookmarkEnd w:id="108"/>
      <w:r>
        <w:t>. Il insiste particulièrement sur l’obligation de ne pas limiter ce droit en fonction de l’âge de l’enfant et de pleinement le respecter dès son plus jeune âge</w:t>
      </w:r>
      <w:r w:rsidR="0085330E">
        <w:rPr>
          <w:rFonts w:ascii="ZWAdobeF" w:hAnsi="ZWAdobeF" w:cs="ZWAdobeF"/>
          <w:sz w:val="2"/>
          <w:szCs w:val="2"/>
        </w:rPr>
        <w:t>170F</w:t>
      </w:r>
      <w:r w:rsidR="00985F54">
        <w:rPr>
          <w:rStyle w:val="Appelnotedebasdep"/>
        </w:rPr>
        <w:footnoteReference w:id="172"/>
      </w:r>
      <w:r>
        <w:t xml:space="preserve">. À ce titre, le temps et les ressources à consacrer pour bien préparer les enfants et leur donner la confiance et les possibilités </w:t>
      </w:r>
      <w:r>
        <w:lastRenderedPageBreak/>
        <w:t>voulues pour exposer leur</w:t>
      </w:r>
      <w:r w:rsidR="00F26254">
        <w:t>s</w:t>
      </w:r>
      <w:r>
        <w:t xml:space="preserve"> opinion</w:t>
      </w:r>
      <w:r w:rsidR="00F26254">
        <w:t>s</w:t>
      </w:r>
      <w:r>
        <w:t xml:space="preserve"> sont des conditions essentielles à respecter. Cela étant, les modalités de leur participation ne doivent pas être uniformes, elles doivent plutôt être modulées en fonction de leur âge et de l’évolution de leurs capacités</w:t>
      </w:r>
      <w:r w:rsidR="0085330E">
        <w:rPr>
          <w:rFonts w:ascii="ZWAdobeF" w:hAnsi="ZWAdobeF" w:cs="ZWAdobeF"/>
          <w:sz w:val="2"/>
          <w:szCs w:val="2"/>
        </w:rPr>
        <w:t>171F</w:t>
      </w:r>
      <w:r w:rsidR="009F53F3">
        <w:rPr>
          <w:rStyle w:val="Appelnotedebasdep"/>
        </w:rPr>
        <w:footnoteReference w:id="173"/>
      </w:r>
      <w:r>
        <w:t xml:space="preserve">. </w:t>
      </w:r>
    </w:p>
    <w:p w14:paraId="59AEB18F" w14:textId="5B331594" w:rsidR="00104A02" w:rsidRDefault="00104A02" w:rsidP="003A1427">
      <w:pPr>
        <w:pStyle w:val="Paragraphe"/>
      </w:pPr>
      <w:r>
        <w:t xml:space="preserve">Les enseignements du Comité des droits de l’enfant prennent tout leur sens dans le contexte du présent rapport. La décision relative au projet de vie de l’enfant est cruciale dans son parcours et tous les moyens doivent être explorés et déployés pour l’entendre sur le choix du projet de vie ainsi que sur celui du milieu de vie substitut. Son opinion sur les contacts qu’il veut maintenir ou non avec ses parents, sa fratrie ou toute autre personne qui lui </w:t>
      </w:r>
      <w:r w:rsidR="007867A0">
        <w:t>son</w:t>
      </w:r>
      <w:r>
        <w:t xml:space="preserve">t </w:t>
      </w:r>
      <w:r w:rsidR="00CE6134">
        <w:t>significatifs</w:t>
      </w:r>
      <w:r>
        <w:t xml:space="preserve"> une fois confié</w:t>
      </w:r>
      <w:r w:rsidR="007867A0">
        <w:t>s</w:t>
      </w:r>
      <w:r>
        <w:t xml:space="preserve"> à un milieu de vie jusqu’à la majorité</w:t>
      </w:r>
      <w:r w:rsidR="00BB6971">
        <w:t>,</w:t>
      </w:r>
      <w:r>
        <w:t xml:space="preserve"> est également très importante à connaître. </w:t>
      </w:r>
    </w:p>
    <w:p w14:paraId="76510D43" w14:textId="44907488" w:rsidR="009F53F3" w:rsidRDefault="00104A02" w:rsidP="003A1427">
      <w:pPr>
        <w:pStyle w:val="Paragraphe"/>
      </w:pPr>
      <w:r>
        <w:t xml:space="preserve">Afin de donner plein effet au droit de l’enfant de participer et d’exprimer son opinion sur les décisions qui le concernent, la Commission croit qu’il est pressant d’élaborer des balises claires sur </w:t>
      </w:r>
      <w:r w:rsidR="00E66A61">
        <w:t>les sujets destinés</w:t>
      </w:r>
      <w:r>
        <w:t xml:space="preserve"> aux personnes appelées à intervenir dans le processus. Soulignons qu’en 2020, l’étude réalisée en vertu de l’article</w:t>
      </w:r>
      <w:r w:rsidR="00104A0F">
        <w:t> </w:t>
      </w:r>
      <w:r>
        <w:t>156.2 de la LPJ sur la stabilité et les conditions de vie des enfants recommandait «</w:t>
      </w:r>
      <w:r w:rsidR="00D96428">
        <w:rPr>
          <w:rFonts w:ascii="Arial" w:hAnsi="Arial" w:cs="Arial"/>
        </w:rPr>
        <w:t> </w:t>
      </w:r>
      <w:r>
        <w:t>de consolider l’expertise des équipes d’intervention en identifiant, développant et faisant la promotion des bonnes pratiques en matière de participation des enfants</w:t>
      </w:r>
      <w:r w:rsidR="00D96428">
        <w:rPr>
          <w:rFonts w:ascii="Arial" w:hAnsi="Arial" w:cs="Arial"/>
        </w:rPr>
        <w:t> </w:t>
      </w:r>
      <w:r>
        <w:t>»</w:t>
      </w:r>
      <w:r w:rsidR="0085330E">
        <w:rPr>
          <w:rFonts w:ascii="ZWAdobeF" w:hAnsi="ZWAdobeF" w:cs="ZWAdobeF"/>
          <w:sz w:val="2"/>
          <w:szCs w:val="2"/>
        </w:rPr>
        <w:t>172F</w:t>
      </w:r>
      <w:r w:rsidR="009F53F3">
        <w:rPr>
          <w:rStyle w:val="Appelnotedebasdep"/>
        </w:rPr>
        <w:footnoteReference w:id="174"/>
      </w:r>
      <w:r>
        <w:t>.</w:t>
      </w:r>
    </w:p>
    <w:p w14:paraId="7E5DE24B" w14:textId="492AF465" w:rsidR="00104A02" w:rsidRDefault="00D52026" w:rsidP="003A1427">
      <w:pPr>
        <w:pStyle w:val="Paragraphe"/>
      </w:pPr>
      <w:r>
        <w:t>Les balises</w:t>
      </w:r>
      <w:r w:rsidR="00104A02">
        <w:t xml:space="preserve"> doivent identifier des moyens concrets pour recueillir l’opinion de tous les enfants, incluant ceux en bas âge. Elles devraient être définies avec des personnes provenant de différentes disciplines et qui ont une fine connaissance du fonctionnement en protection de la jeunesse. De plus, la prise en compte du point de vue des enfants sur les besoins qu’ils identifient apparait incontournable.</w:t>
      </w:r>
    </w:p>
    <w:p w14:paraId="72BF5798" w14:textId="74D36503" w:rsidR="00104A02" w:rsidRDefault="00104A02" w:rsidP="003A1427">
      <w:pPr>
        <w:pStyle w:val="Paragraphe"/>
      </w:pPr>
      <w:r>
        <w:t xml:space="preserve">Des moyens devraient entre autres cibler la participation de l’enfant dans le processus judiciaire, incluant </w:t>
      </w:r>
      <w:r w:rsidR="00B22243">
        <w:t>lors de</w:t>
      </w:r>
      <w:r>
        <w:t xml:space="preserve"> l’audience. Certaines initiatives pour humaniser les lieux et les pratiques dans les palais de justice ont été citées dans le rapport de la CSDEPJ, tel que le programme de préparation des témoins</w:t>
      </w:r>
      <w:r w:rsidR="0085330E">
        <w:rPr>
          <w:rFonts w:ascii="ZWAdobeF" w:hAnsi="ZWAdobeF" w:cs="ZWAdobeF"/>
          <w:sz w:val="2"/>
          <w:szCs w:val="2"/>
        </w:rPr>
        <w:t>173F</w:t>
      </w:r>
      <w:r w:rsidR="00E922D9">
        <w:rPr>
          <w:rStyle w:val="Appelnotedebasdep"/>
        </w:rPr>
        <w:footnoteReference w:id="175"/>
      </w:r>
      <w:r>
        <w:t xml:space="preserve">. La Commission des droits invite à s’en inspirer. </w:t>
      </w:r>
    </w:p>
    <w:p w14:paraId="6E566883" w14:textId="31906844" w:rsidR="00A15EC5" w:rsidRDefault="00104A02" w:rsidP="003A1427">
      <w:pPr>
        <w:pStyle w:val="Paragraphe"/>
      </w:pPr>
      <w:r>
        <w:t>De telles balises pourraient être incluses dans le cadre de référence sur les projets de vie que la Commission recommande de mettre à jour sans tarder ou être traitées dans un outil distinct, similaire à celui qui porte sur le soutien à l’analyse de l’intérêt de l’enfant dont il a été question précédemment.</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2"/>
      </w:tblGrid>
      <w:tr w:rsidR="00045CA7" w14:paraId="1155D132" w14:textId="77777777" w:rsidTr="00CC5A23">
        <w:tc>
          <w:tcPr>
            <w:tcW w:w="5000" w:type="pct"/>
            <w:shd w:val="clear" w:color="auto" w:fill="E9F8FB"/>
          </w:tcPr>
          <w:p w14:paraId="3F336D64" w14:textId="70CC91F6" w:rsidR="00045CA7" w:rsidRDefault="00045CA7" w:rsidP="006039D4">
            <w:pPr>
              <w:pStyle w:val="TitreRecommandation"/>
            </w:pPr>
            <w:r>
              <w:t>Recommandation</w:t>
            </w:r>
            <w:r w:rsidR="00104A0F">
              <w:t> </w:t>
            </w:r>
            <w:r>
              <w:t>3</w:t>
            </w:r>
          </w:p>
          <w:p w14:paraId="32F86115" w14:textId="45EA1E2F" w:rsidR="00045CA7" w:rsidRDefault="00045CA7">
            <w:pPr>
              <w:pStyle w:val="Texterecommandation"/>
            </w:pPr>
            <w:r>
              <w:t xml:space="preserve">La Commission des droits recommande à </w:t>
            </w:r>
            <w:r w:rsidRPr="00C62229">
              <w:rPr>
                <w:noProof/>
              </w:rPr>
              <w:t xml:space="preserve">la </w:t>
            </w:r>
            <w:r>
              <w:t>directrice nationale de la protection de la jeunesse et au</w:t>
            </w:r>
            <w:r w:rsidRPr="00366322">
              <w:rPr>
                <w:noProof/>
              </w:rPr>
              <w:t xml:space="preserve"> ministre responsable des Services sociaux</w:t>
            </w:r>
            <w:r w:rsidRPr="00C62229">
              <w:rPr>
                <w:noProof/>
              </w:rPr>
              <w:t xml:space="preserve">, avec </w:t>
            </w:r>
            <w:r>
              <w:rPr>
                <w:noProof/>
              </w:rPr>
              <w:t xml:space="preserve">la collaboration de la Table des DPJ et de </w:t>
            </w:r>
            <w:r w:rsidRPr="00C62229">
              <w:rPr>
                <w:noProof/>
              </w:rPr>
              <w:t>Santé Québec</w:t>
            </w:r>
            <w:r>
              <w:t xml:space="preserve">, en collaboration avec le ministre de la Justice, d’élaborer des balises </w:t>
            </w:r>
            <w:r w:rsidR="00DD6BF7">
              <w:t>favorisant</w:t>
            </w:r>
            <w:r>
              <w:t xml:space="preserve"> la </w:t>
            </w:r>
            <w:r>
              <w:lastRenderedPageBreak/>
              <w:t xml:space="preserve">participation de l’enfant dans le processus menant à son projet de vie, incluant le volet judiciaire, destinées aux personnes appelées à intervenir dans le processus. </w:t>
            </w:r>
          </w:p>
          <w:p w14:paraId="7DB12E9A" w14:textId="77777777" w:rsidR="00045CA7" w:rsidRPr="00640E95" w:rsidRDefault="00045CA7">
            <w:pPr>
              <w:pStyle w:val="Texterecommandation"/>
            </w:pPr>
            <w:r>
              <w:t>Ces balises doivent identifier des moyens concrets et adaptés pour recueillir l’opinion des enfants, en portant une attention particulière à ceux en bas âge.</w:t>
            </w:r>
          </w:p>
        </w:tc>
      </w:tr>
    </w:tbl>
    <w:p w14:paraId="504B7681" w14:textId="0B2C9724" w:rsidR="00C5658C" w:rsidRDefault="00C5658C" w:rsidP="003A1427">
      <w:pPr>
        <w:pStyle w:val="Paragraphe"/>
      </w:pPr>
      <w:r>
        <w:lastRenderedPageBreak/>
        <w:t xml:space="preserve">La Commission souligne la forte adhésion des enfants au projet de vie qui consiste à le confier </w:t>
      </w:r>
      <w:r w:rsidR="00397A09">
        <w:t>à un</w:t>
      </w:r>
      <w:r>
        <w:t xml:space="preserve"> milieu de vie substitut dans les décisions analysées. Cette donnée n’a toutefois pas été recueillie de façon à savoir combien de ce nombre ont exprimé eux-mêmes leur accord. Pour un grand nombre d’entre eux, leur position sur leur projet de vie a été exprimée par leur procureure ou procureur. Il s’agit d’une forme reconnue de la participation de l’enfant.</w:t>
      </w:r>
    </w:p>
    <w:p w14:paraId="50D67626" w14:textId="68417B4E" w:rsidR="00A15EC5" w:rsidRPr="000C6889" w:rsidRDefault="00C5658C" w:rsidP="003A1427">
      <w:pPr>
        <w:pStyle w:val="Paragraphe"/>
      </w:pPr>
      <w:r>
        <w:t>Pour cela, les procureures et procureurs doivent avoir une connaissance et une compréhension suffisantes des différents aspects du processus décisionnel et avoir l’expérience du travail avec les enfants</w:t>
      </w:r>
      <w:bookmarkStart w:id="109" w:name="_Ref200548955"/>
      <w:r w:rsidR="0085330E">
        <w:rPr>
          <w:rFonts w:ascii="ZWAdobeF" w:hAnsi="ZWAdobeF" w:cs="ZWAdobeF"/>
          <w:sz w:val="2"/>
          <w:szCs w:val="2"/>
        </w:rPr>
        <w:t>174F</w:t>
      </w:r>
      <w:r>
        <w:rPr>
          <w:rStyle w:val="Appelnotedebasdep"/>
        </w:rPr>
        <w:footnoteReference w:id="176"/>
      </w:r>
      <w:bookmarkEnd w:id="109"/>
      <w:r>
        <w:t xml:space="preserve"> ainsi que des connaissances particulières relatives aux droits de l’enfant</w:t>
      </w:r>
      <w:r w:rsidR="0085330E">
        <w:rPr>
          <w:rFonts w:ascii="ZWAdobeF" w:hAnsi="ZWAdobeF" w:cs="ZWAdobeF"/>
          <w:sz w:val="2"/>
          <w:szCs w:val="2"/>
        </w:rPr>
        <w:t>175F</w:t>
      </w:r>
      <w:r w:rsidR="00E922D9">
        <w:rPr>
          <w:rStyle w:val="Appelnotedebasdep"/>
        </w:rPr>
        <w:footnoteReference w:id="177"/>
      </w:r>
      <w:r>
        <w:t xml:space="preserve">. La CSDEPJ a toutefois fait </w:t>
      </w:r>
      <w:r w:rsidR="00DB4197">
        <w:t>valoir</w:t>
      </w:r>
      <w:r w:rsidR="00AF6012">
        <w:t xml:space="preserve"> </w:t>
      </w:r>
      <w:r>
        <w:t>des lacunes à cet égard, concluant que la représentation des enfants est variable et peu encadrée au Québec</w:t>
      </w:r>
      <w:r w:rsidR="0085330E">
        <w:rPr>
          <w:rFonts w:ascii="ZWAdobeF" w:hAnsi="ZWAdobeF" w:cs="ZWAdobeF"/>
          <w:sz w:val="2"/>
          <w:szCs w:val="2"/>
        </w:rPr>
        <w:t>176F</w:t>
      </w:r>
      <w:r>
        <w:rPr>
          <w:rStyle w:val="Appelnotedebasdep"/>
        </w:rPr>
        <w:footnoteReference w:id="178"/>
      </w:r>
      <w:r>
        <w:t>. Soulig</w:t>
      </w:r>
      <w:r w:rsidR="00FC10AD">
        <w:t>n</w:t>
      </w:r>
      <w:r>
        <w:t>ant du même souffle que la complexité du travail de représentation et l’insuffisance des règles pour l’encadrer,</w:t>
      </w:r>
      <w:r w:rsidR="00E93EAA">
        <w:t xml:space="preserve"> </w:t>
      </w:r>
      <w:r>
        <w:t>elle a recommandé de favoriser et de promouvoir le rôle de conseil et d’accompagnement de l’avocat et de l’enfant à toutes les étapes décisionnelles, et pas seulement au tribunal</w:t>
      </w:r>
      <w:r w:rsidR="0085330E">
        <w:rPr>
          <w:rFonts w:ascii="ZWAdobeF" w:hAnsi="ZWAdobeF" w:cs="ZWAdobeF"/>
          <w:sz w:val="2"/>
          <w:szCs w:val="2"/>
        </w:rPr>
        <w:t>177F</w:t>
      </w:r>
      <w:r>
        <w:rPr>
          <w:rStyle w:val="Appelnotedebasdep"/>
        </w:rPr>
        <w:footnoteReference w:id="179"/>
      </w:r>
      <w:r>
        <w:t>.</w:t>
      </w:r>
    </w:p>
    <w:p w14:paraId="75C1DE19" w14:textId="77777777" w:rsidR="00B265B6" w:rsidRDefault="00B64555" w:rsidP="003A1427">
      <w:pPr>
        <w:pStyle w:val="Paragraphe"/>
      </w:pPr>
      <w:r>
        <w:t xml:space="preserve">Cette situation est inquiétante compte tenu de l’importance du mandat qui leur est confié de défendre les droits et l’intérêt des enfants en regard de décisions qui </w:t>
      </w:r>
      <w:r w:rsidR="00284631">
        <w:t>entraîneront</w:t>
      </w:r>
      <w:r>
        <w:t xml:space="preserve"> des répercussions à court, moyen et long terme sur leur parcours de vie. </w:t>
      </w:r>
    </w:p>
    <w:p w14:paraId="4E324F7D" w14:textId="13EAC59D" w:rsidR="00B64555" w:rsidRDefault="00B64555" w:rsidP="003A1427">
      <w:pPr>
        <w:pStyle w:val="Paragraphe"/>
      </w:pPr>
      <w:r>
        <w:t xml:space="preserve">Le présent rapport n’avait pas pour objet de mesurer les besoins en termes de représentation de l’enfant par les avocates et les avocats ou à identifier les problématiques à ce sujet. Considérant le regard qu’elle vient de poser sur le traitement judiciaire des situations d’enfants qui sont confiés </w:t>
      </w:r>
      <w:r w:rsidR="001718F2">
        <w:t>à un</w:t>
      </w:r>
      <w:r>
        <w:t xml:space="preserve"> milieu de vie jusqu’à la majorité, la Commission </w:t>
      </w:r>
      <w:r w:rsidR="00CA1597">
        <w:t xml:space="preserve">des droits </w:t>
      </w:r>
      <w:r>
        <w:t xml:space="preserve">estime néanmoins nécessaire d’insister sur le besoin d’agir pour que les enfants puissent bien comprendre l’ensemble du processus judiciaire et être informés de leurs droits concernant les décisions qui doivent être prises à leur égard. </w:t>
      </w:r>
      <w:r w:rsidR="00080B2A">
        <w:t xml:space="preserve">Le langage juridique utilisé est peu accessible pour les enfants. </w:t>
      </w:r>
      <w:r>
        <w:t xml:space="preserve">Il est </w:t>
      </w:r>
      <w:r w:rsidR="00AE04B4">
        <w:t xml:space="preserve">pourtant </w:t>
      </w:r>
      <w:r>
        <w:t xml:space="preserve">fondamental que ceux-ci comprennent pleinement le sens de la décision ordonnant qu’ils soient confiés à un milieu de vie substitut jusqu’à la majorité et les effets que cela entraine pour eux, à court, moyen et long </w:t>
      </w:r>
      <w:r w:rsidR="00322514">
        <w:t>terme</w:t>
      </w:r>
      <w:r>
        <w:t>.</w:t>
      </w:r>
      <w:r w:rsidR="003961F9">
        <w:t xml:space="preserve"> </w:t>
      </w:r>
    </w:p>
    <w:p w14:paraId="7B204B3E" w14:textId="10C078DE" w:rsidR="00B64555" w:rsidRDefault="00B64555" w:rsidP="003A1427">
      <w:pPr>
        <w:pStyle w:val="Paragraphe"/>
      </w:pPr>
      <w:r>
        <w:lastRenderedPageBreak/>
        <w:t xml:space="preserve">Les travaux de la CSDEPJ ont à ce propos </w:t>
      </w:r>
      <w:r w:rsidR="00EC184B">
        <w:t>mis en évidence</w:t>
      </w:r>
      <w:r w:rsidR="00B92C27">
        <w:t xml:space="preserve"> </w:t>
      </w:r>
      <w:r>
        <w:t>que les procureures ou procureurs des enfants ne disposaient pas d’outils destinés à leur expliquer le processus judiciaire et qu’il y avait un manque de règles pour encadrer le travail complexe de représentation des enfants</w:t>
      </w:r>
      <w:r w:rsidR="0085330E">
        <w:rPr>
          <w:rFonts w:ascii="ZWAdobeF" w:hAnsi="ZWAdobeF" w:cs="ZWAdobeF"/>
          <w:sz w:val="2"/>
          <w:szCs w:val="2"/>
        </w:rPr>
        <w:t>178F</w:t>
      </w:r>
      <w:r w:rsidR="000B00B0">
        <w:rPr>
          <w:rStyle w:val="Appelnotedebasdep"/>
        </w:rPr>
        <w:footnoteReference w:id="180"/>
      </w:r>
      <w:r>
        <w:t xml:space="preserve">. La représentation des enfants en bas âge était </w:t>
      </w:r>
      <w:r w:rsidR="002565BC">
        <w:t>identifiée</w:t>
      </w:r>
      <w:r>
        <w:t xml:space="preserve"> comme posant des défis particuliers. Le besoin de balises juridiques pour guider les avocates et les avocats dans l’évaluation de la capacité de l’enfant à lui donner des directives ressortait </w:t>
      </w:r>
      <w:r w:rsidR="002565BC">
        <w:t>parmi</w:t>
      </w:r>
      <w:r>
        <w:t xml:space="preserve"> d’autres</w:t>
      </w:r>
      <w:r w:rsidR="0085330E">
        <w:rPr>
          <w:rFonts w:ascii="ZWAdobeF" w:hAnsi="ZWAdobeF" w:cs="ZWAdobeF"/>
          <w:sz w:val="2"/>
          <w:szCs w:val="2"/>
        </w:rPr>
        <w:t>179F</w:t>
      </w:r>
      <w:r w:rsidR="000B00B0">
        <w:rPr>
          <w:rStyle w:val="Appelnotedebasdep"/>
        </w:rPr>
        <w:footnoteReference w:id="181"/>
      </w:r>
      <w:r>
        <w:t>.</w:t>
      </w:r>
    </w:p>
    <w:p w14:paraId="20F38BC0" w14:textId="42E98BEE" w:rsidR="00B64555" w:rsidRDefault="00B64555" w:rsidP="003A1427">
      <w:pPr>
        <w:pStyle w:val="Paragraphe"/>
      </w:pPr>
      <w:r>
        <w:t xml:space="preserve">De la même façon, l’étude TRAJUD est éclairante sur cette question. </w:t>
      </w:r>
      <w:r w:rsidR="005E14E8">
        <w:t>L’étude souligne</w:t>
      </w:r>
      <w:r>
        <w:t xml:space="preserve"> que les juristes, notamment ceux chargés de représenter les enfants, font appel aux intervenantes psychosociales pour faciliter la prise de contact initial avec l’enfant ou pour lui expliquer un jugement qui ne va pas dans le sens du mandat donné par l’enfant</w:t>
      </w:r>
      <w:r w:rsidR="0085330E">
        <w:rPr>
          <w:rFonts w:ascii="ZWAdobeF" w:hAnsi="ZWAdobeF" w:cs="ZWAdobeF"/>
          <w:sz w:val="2"/>
          <w:szCs w:val="2"/>
        </w:rPr>
        <w:t>180F</w:t>
      </w:r>
      <w:r w:rsidR="00D22938">
        <w:rPr>
          <w:rStyle w:val="Appelnotedebasdep"/>
        </w:rPr>
        <w:footnoteReference w:id="182"/>
      </w:r>
      <w:r>
        <w:t>. Les juristes expliquent que les acteurs psychosociaux connaissent souvent mieux ce dernier, ont pu développer un lien de confiance particulier avec l’enfant et ont une expertise en relation d’aide qu’ils ne possèdent pas.</w:t>
      </w:r>
    </w:p>
    <w:p w14:paraId="3A4512E7" w14:textId="0C83020B" w:rsidR="00B64555" w:rsidRDefault="00B64555" w:rsidP="003A1427">
      <w:pPr>
        <w:pStyle w:val="Paragraphe"/>
      </w:pPr>
      <w:r>
        <w:t xml:space="preserve">Étant consciente que certaines mesures proposées par la CSDEPJ ne peuvent se déployer dans un court laps de temps, la Commission invite dans un premier temps le ministre de la Justice à répertorier </w:t>
      </w:r>
      <w:r w:rsidR="005E14E8">
        <w:t xml:space="preserve">les </w:t>
      </w:r>
      <w:r>
        <w:t>pratiques en place dans les différentes régions du Québe</w:t>
      </w:r>
      <w:r w:rsidR="00D22938">
        <w:t>c</w:t>
      </w:r>
      <w:r>
        <w:t xml:space="preserve"> qui pourraient se réaliser dans un plus court horizon et qui pourraient avoir des effets immédiats sur le terrain. La Commission des services juridiques et le Barreau du Québec devraient notamment être associés à cet exercice.</w:t>
      </w:r>
    </w:p>
    <w:p w14:paraId="0BE1AFA3" w14:textId="571F5A08" w:rsidR="00A15EC5" w:rsidRPr="000C6889" w:rsidRDefault="00B8466F" w:rsidP="003A1427">
      <w:pPr>
        <w:pStyle w:val="Paragraphe"/>
      </w:pPr>
      <w:r>
        <w:t>Dans un deuxième temps</w:t>
      </w:r>
      <w:r w:rsidR="00B05738">
        <w:t xml:space="preserve">, </w:t>
      </w:r>
      <w:r w:rsidR="00B01077">
        <w:t xml:space="preserve">cette démarche devrait mener à </w:t>
      </w:r>
      <w:r w:rsidR="00BA113A">
        <w:t>l’</w:t>
      </w:r>
      <w:r w:rsidR="00B64555">
        <w:t>élabor</w:t>
      </w:r>
      <w:r w:rsidR="00BA113A">
        <w:t>ation</w:t>
      </w:r>
      <w:r w:rsidR="00B64555">
        <w:t xml:space="preserve"> </w:t>
      </w:r>
      <w:r w:rsidR="00E55DD8">
        <w:t>d’</w:t>
      </w:r>
      <w:r w:rsidR="00B64555">
        <w:t>un guide de pratiques destiné aux avocates et avocats qui représentent des enfants, en vertu d’un mandat légal ou d’un mandat conventionnel.</w:t>
      </w:r>
      <w:r w:rsidR="00D22938">
        <w:t xml:space="preserve"> </w:t>
      </w:r>
      <w:r w:rsidR="00B64555">
        <w:t>Des pratiques visant à recueillir l’opinion des enfants, dont ceux en bas âge, devrai</w:t>
      </w:r>
      <w:r w:rsidR="00352759">
        <w:t>en</w:t>
      </w:r>
      <w:r w:rsidR="00B64555">
        <w:t>t y être incluses. Sa diffusion devrait être largement assurée tant dans le réseau de la protection de la jeunesse que dans d’autres réseaux, publics ou privés.</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2"/>
      </w:tblGrid>
      <w:tr w:rsidR="00725740" w14:paraId="421EBFBB" w14:textId="77777777" w:rsidTr="00CC5A23">
        <w:tc>
          <w:tcPr>
            <w:tcW w:w="5000" w:type="pct"/>
            <w:shd w:val="clear" w:color="auto" w:fill="E9F8FB"/>
          </w:tcPr>
          <w:p w14:paraId="6DF1447C" w14:textId="27600FE4" w:rsidR="00725740" w:rsidRDefault="00725740" w:rsidP="006039D4">
            <w:pPr>
              <w:pStyle w:val="TitreRecommandation"/>
            </w:pPr>
            <w:r>
              <w:t>Recommandation</w:t>
            </w:r>
            <w:r w:rsidR="00104A0F">
              <w:t> </w:t>
            </w:r>
            <w:r>
              <w:t>4</w:t>
            </w:r>
          </w:p>
          <w:p w14:paraId="5BDD4B6C" w14:textId="0E897F22" w:rsidR="00725740" w:rsidRDefault="00725740">
            <w:pPr>
              <w:pStyle w:val="Texterecommandation"/>
            </w:pPr>
            <w:r w:rsidRPr="00640E95">
              <w:t xml:space="preserve">La Commission </w:t>
            </w:r>
            <w:r>
              <w:t>des droits</w:t>
            </w:r>
            <w:r w:rsidRPr="00640E95">
              <w:t xml:space="preserve"> recommande au ministre de la Justice de répertorier les</w:t>
            </w:r>
            <w:r>
              <w:t xml:space="preserve"> pratiques en place </w:t>
            </w:r>
            <w:r w:rsidRPr="00640E95">
              <w:t>dans les différentes régions du Québec</w:t>
            </w:r>
            <w:r>
              <w:t xml:space="preserve"> </w:t>
            </w:r>
            <w:r w:rsidRPr="00336DD0">
              <w:t>entourant</w:t>
            </w:r>
            <w:r>
              <w:t xml:space="preserve"> la représentation des </w:t>
            </w:r>
            <w:r w:rsidRPr="00640E95">
              <w:t>enfant</w:t>
            </w:r>
            <w:r>
              <w:t xml:space="preserve">s </w:t>
            </w:r>
            <w:r w:rsidRPr="00640E95">
              <w:t xml:space="preserve">dans les procédures judiciaires, notamment celles </w:t>
            </w:r>
            <w:r>
              <w:t>qui touchent</w:t>
            </w:r>
            <w:r w:rsidRPr="00640E95">
              <w:t xml:space="preserve"> le placement </w:t>
            </w:r>
            <w:r w:rsidR="001718F2">
              <w:t>à un</w:t>
            </w:r>
            <w:r w:rsidRPr="00640E95">
              <w:t xml:space="preserve"> milieu de vie substitut jusqu’à la majorité. </w:t>
            </w:r>
          </w:p>
          <w:p w14:paraId="3A614EF4" w14:textId="26BDD6FB" w:rsidR="00725740" w:rsidRPr="00640E95" w:rsidRDefault="00725740" w:rsidP="00725740">
            <w:pPr>
              <w:pStyle w:val="Texterecommandation"/>
            </w:pPr>
            <w:r>
              <w:t xml:space="preserve">Les pratiques identifiées devraient mener à l’élaboration d’un guide de pratiques destiné notamment aux avocates et avocats qui représentent des enfants, incluant celles visant à recueillir l’opinion des enfants, dont ceux en bas âge. Celui-ci devrait être largement diffusé.  </w:t>
            </w:r>
          </w:p>
        </w:tc>
      </w:tr>
    </w:tbl>
    <w:p w14:paraId="01361788" w14:textId="0C12049C" w:rsidR="00A15EC5" w:rsidRPr="000C6889" w:rsidRDefault="00423F5B" w:rsidP="00F93AC5">
      <w:pPr>
        <w:pStyle w:val="Titre2"/>
      </w:pPr>
      <w:bookmarkStart w:id="110" w:name="_Toc201330538"/>
      <w:r w:rsidRPr="00423F5B">
        <w:lastRenderedPageBreak/>
        <w:t>4.3</w:t>
      </w:r>
      <w:r w:rsidRPr="00423F5B">
        <w:tab/>
        <w:t>Soutenir les interventions cliniques par la formation de toutes les personnes concernées</w:t>
      </w:r>
      <w:bookmarkEnd w:id="110"/>
    </w:p>
    <w:p w14:paraId="7B4C8CE8" w14:textId="77777777" w:rsidR="000A0072" w:rsidRPr="000A0072" w:rsidRDefault="000A0072" w:rsidP="000A0072">
      <w:pPr>
        <w:tabs>
          <w:tab w:val="left" w:pos="284"/>
        </w:tabs>
        <w:spacing w:before="240" w:after="240" w:line="276" w:lineRule="auto"/>
        <w:jc w:val="left"/>
        <w:rPr>
          <w:rFonts w:asciiTheme="minorHAnsi" w:eastAsia="Calibri" w:hAnsiTheme="minorHAnsi" w:cs="Arial"/>
          <w:bCs/>
          <w:noProof/>
          <w:szCs w:val="18"/>
          <w:lang w:eastAsia="fr-CA"/>
        </w:rPr>
      </w:pPr>
      <w:r w:rsidRPr="000A0072">
        <w:rPr>
          <w:rFonts w:asciiTheme="minorHAnsi" w:eastAsia="Calibri" w:hAnsiTheme="minorHAnsi" w:cs="Arial"/>
          <w:bCs/>
          <w:noProof/>
          <w:szCs w:val="18"/>
          <w:lang w:eastAsia="fr-CA"/>
        </w:rPr>
        <w:t>En complément des outils encadrant les pratiques cliniques lors de l’élaboration du projet de vie de l’enfant, il est nécessaire de mettre en place des mesures visant à renforcer la compréhension des objectifs de la réforme de la LPJ et de l’état du droit applicable, notamment en ce qui concerne la stabilité des liens de l’enfant. L’ensemble des personnes susceptibles de les appliquer, d’offrir des conseils ou de superviser les personnes qui les appliquent devrait être ciblé.</w:t>
      </w:r>
    </w:p>
    <w:p w14:paraId="42C6A055" w14:textId="14A9F48B" w:rsidR="000A0072" w:rsidRPr="000A0072" w:rsidRDefault="000A0072" w:rsidP="000A0072">
      <w:pPr>
        <w:tabs>
          <w:tab w:val="left" w:pos="284"/>
        </w:tabs>
        <w:spacing w:before="240" w:after="240" w:line="276" w:lineRule="auto"/>
        <w:jc w:val="left"/>
        <w:rPr>
          <w:rFonts w:asciiTheme="minorHAnsi" w:eastAsia="Calibri" w:hAnsiTheme="minorHAnsi" w:cs="Arial"/>
          <w:bCs/>
          <w:noProof/>
          <w:szCs w:val="18"/>
          <w:lang w:eastAsia="fr-CA"/>
        </w:rPr>
      </w:pPr>
      <w:r w:rsidRPr="000A0072">
        <w:rPr>
          <w:rFonts w:asciiTheme="minorHAnsi" w:eastAsia="Calibri" w:hAnsiTheme="minorHAnsi" w:cs="Arial"/>
          <w:bCs/>
          <w:noProof/>
          <w:szCs w:val="18"/>
          <w:lang w:eastAsia="fr-CA"/>
        </w:rPr>
        <w:t>La CSDEPJ constatait que depuis plus d’une décennie les projets de vie n’étaient pas appliqués intégralement sur le terrain. Une des explications fournies pointait vers le manque criant de formation sur le sujet</w:t>
      </w:r>
      <w:r w:rsidR="0085330E">
        <w:rPr>
          <w:rFonts w:ascii="ZWAdobeF" w:eastAsia="Calibri" w:hAnsi="ZWAdobeF" w:cs="ZWAdobeF"/>
          <w:bCs/>
          <w:noProof/>
          <w:sz w:val="2"/>
          <w:szCs w:val="2"/>
          <w:lang w:eastAsia="fr-CA"/>
        </w:rPr>
        <w:t>181F</w:t>
      </w:r>
      <w:r w:rsidRPr="000A0072">
        <w:rPr>
          <w:rFonts w:asciiTheme="minorHAnsi" w:eastAsia="Calibri" w:hAnsiTheme="minorHAnsi" w:cs="Arial"/>
          <w:bCs/>
          <w:noProof/>
          <w:szCs w:val="18"/>
          <w:vertAlign w:val="superscript"/>
          <w:lang w:eastAsia="fr-CA"/>
        </w:rPr>
        <w:footnoteReference w:id="183"/>
      </w:r>
      <w:r w:rsidRPr="000A0072">
        <w:rPr>
          <w:rFonts w:asciiTheme="minorHAnsi" w:eastAsia="Calibri" w:hAnsiTheme="minorHAnsi" w:cs="Arial"/>
          <w:bCs/>
          <w:noProof/>
          <w:szCs w:val="18"/>
          <w:lang w:eastAsia="fr-CA"/>
        </w:rPr>
        <w:t>.</w:t>
      </w:r>
    </w:p>
    <w:p w14:paraId="5901C70D" w14:textId="2F0480DF" w:rsidR="000A0072" w:rsidRPr="000A0072" w:rsidRDefault="000A0072" w:rsidP="000A0072">
      <w:pPr>
        <w:tabs>
          <w:tab w:val="left" w:pos="284"/>
        </w:tabs>
        <w:spacing w:before="240" w:after="240" w:line="276" w:lineRule="auto"/>
        <w:jc w:val="left"/>
        <w:rPr>
          <w:rFonts w:asciiTheme="minorHAnsi" w:eastAsia="Calibri" w:hAnsiTheme="minorHAnsi" w:cs="Arial"/>
          <w:bCs/>
          <w:noProof/>
          <w:szCs w:val="18"/>
          <w:lang w:eastAsia="fr-CA"/>
        </w:rPr>
      </w:pPr>
      <w:r w:rsidRPr="000A0072">
        <w:rPr>
          <w:rFonts w:asciiTheme="minorHAnsi" w:eastAsia="Calibri" w:hAnsiTheme="minorHAnsi" w:cs="Arial"/>
          <w:bCs/>
          <w:noProof/>
          <w:szCs w:val="18"/>
          <w:lang w:eastAsia="fr-CA"/>
        </w:rPr>
        <w:t>Ces constats rejoignent celui auquel la Commission des droits est récemment arrivée dans l’enquête systémique qu’elle a menée en Mauricie–Centre-du-Québec</w:t>
      </w:r>
      <w:r w:rsidR="0085330E">
        <w:rPr>
          <w:rFonts w:ascii="ZWAdobeF" w:eastAsia="Calibri" w:hAnsi="ZWAdobeF" w:cs="ZWAdobeF"/>
          <w:bCs/>
          <w:noProof/>
          <w:sz w:val="2"/>
          <w:szCs w:val="2"/>
          <w:lang w:eastAsia="fr-CA"/>
        </w:rPr>
        <w:t>182F</w:t>
      </w:r>
      <w:r w:rsidRPr="000A0072">
        <w:rPr>
          <w:rFonts w:asciiTheme="minorHAnsi" w:eastAsia="Calibri" w:hAnsiTheme="minorHAnsi" w:cs="Arial"/>
          <w:bCs/>
          <w:noProof/>
          <w:szCs w:val="18"/>
          <w:vertAlign w:val="superscript"/>
          <w:lang w:eastAsia="fr-CA"/>
        </w:rPr>
        <w:footnoteReference w:id="184"/>
      </w:r>
      <w:r w:rsidRPr="000A0072">
        <w:rPr>
          <w:rFonts w:asciiTheme="minorHAnsi" w:eastAsia="Calibri" w:hAnsiTheme="minorHAnsi" w:cs="Arial"/>
          <w:bCs/>
          <w:noProof/>
          <w:szCs w:val="18"/>
          <w:lang w:eastAsia="fr-CA"/>
        </w:rPr>
        <w:t xml:space="preserve">. Dans une lettre transmise au ministre responsable des </w:t>
      </w:r>
      <w:r w:rsidR="00C865D5">
        <w:rPr>
          <w:rFonts w:asciiTheme="minorHAnsi" w:eastAsia="Calibri" w:hAnsiTheme="minorHAnsi" w:cs="Arial"/>
          <w:bCs/>
          <w:noProof/>
          <w:szCs w:val="18"/>
          <w:lang w:eastAsia="fr-CA"/>
        </w:rPr>
        <w:t>S</w:t>
      </w:r>
      <w:r w:rsidRPr="000A0072">
        <w:rPr>
          <w:rFonts w:asciiTheme="minorHAnsi" w:eastAsia="Calibri" w:hAnsiTheme="minorHAnsi" w:cs="Arial"/>
          <w:bCs/>
          <w:noProof/>
          <w:szCs w:val="18"/>
          <w:lang w:eastAsia="fr-CA"/>
        </w:rPr>
        <w:t>ervices sociaux et au ministre de la Justice, la Commission a exposé que depuis la fusion des établissements dans le réseau de la santé et des services sociaux, il y a une augmentation du nombre d’enquêtes se concluant par l’émission de recommandations liées à la formation continue du personnel de la DPJ</w:t>
      </w:r>
      <w:r w:rsidR="0085330E">
        <w:rPr>
          <w:rFonts w:ascii="ZWAdobeF" w:eastAsia="Calibri" w:hAnsi="ZWAdobeF" w:cs="ZWAdobeF"/>
          <w:bCs/>
          <w:noProof/>
          <w:sz w:val="2"/>
          <w:szCs w:val="2"/>
          <w:lang w:eastAsia="fr-CA"/>
        </w:rPr>
        <w:t>183F</w:t>
      </w:r>
      <w:r w:rsidRPr="000A0072">
        <w:rPr>
          <w:rFonts w:asciiTheme="minorHAnsi" w:eastAsia="Calibri" w:hAnsiTheme="minorHAnsi" w:cs="Arial"/>
          <w:bCs/>
          <w:noProof/>
          <w:szCs w:val="18"/>
          <w:vertAlign w:val="superscript"/>
          <w:lang w:eastAsia="fr-CA"/>
        </w:rPr>
        <w:footnoteReference w:id="185"/>
      </w:r>
      <w:r w:rsidRPr="000A0072">
        <w:rPr>
          <w:rFonts w:asciiTheme="minorHAnsi" w:eastAsia="Calibri" w:hAnsiTheme="minorHAnsi" w:cs="Arial"/>
          <w:bCs/>
          <w:noProof/>
          <w:szCs w:val="18"/>
          <w:lang w:eastAsia="fr-CA"/>
        </w:rPr>
        <w:t xml:space="preserve">. Elle précisait qu’en 2024-2025, près de 30 % des recommandations avaient été émises concernant spécifiquement la mise à niveau des connaissances du personnel des DPJ. </w:t>
      </w:r>
    </w:p>
    <w:p w14:paraId="343E2653" w14:textId="77777777" w:rsidR="000A0072" w:rsidRPr="000A0072" w:rsidRDefault="000A0072" w:rsidP="000A0072">
      <w:pPr>
        <w:tabs>
          <w:tab w:val="left" w:pos="284"/>
        </w:tabs>
        <w:spacing w:before="240" w:after="240" w:line="276" w:lineRule="auto"/>
        <w:jc w:val="left"/>
        <w:rPr>
          <w:rFonts w:asciiTheme="minorHAnsi" w:eastAsia="Calibri" w:hAnsiTheme="minorHAnsi" w:cs="Arial"/>
          <w:bCs/>
          <w:noProof/>
          <w:szCs w:val="18"/>
          <w:lang w:eastAsia="fr-CA"/>
        </w:rPr>
      </w:pPr>
      <w:r w:rsidRPr="000A0072">
        <w:rPr>
          <w:rFonts w:asciiTheme="minorHAnsi" w:eastAsia="Calibri" w:hAnsiTheme="minorHAnsi" w:cs="Arial"/>
          <w:bCs/>
          <w:noProof/>
          <w:szCs w:val="18"/>
          <w:lang w:eastAsia="fr-CA"/>
        </w:rPr>
        <w:t xml:space="preserve">Toujours dans le cadre de cette enquête, la Commission des droits a mis de l’avant les impacts majeurs causés par la disparition en 2015 de l’Association des centres jeunesse du Québec sur la capacité d’améliorer et d’harmoniser les pratiques en protection de la jeunesse. </w:t>
      </w:r>
    </w:p>
    <w:p w14:paraId="29AB8519" w14:textId="5AD0BC28" w:rsidR="001F4FFD" w:rsidRPr="000A0072" w:rsidRDefault="000A0072" w:rsidP="001F4FFD">
      <w:pPr>
        <w:tabs>
          <w:tab w:val="left" w:pos="284"/>
        </w:tabs>
        <w:spacing w:before="240" w:after="240" w:line="276" w:lineRule="auto"/>
        <w:jc w:val="left"/>
        <w:rPr>
          <w:rFonts w:asciiTheme="minorHAnsi" w:eastAsia="Calibri" w:hAnsiTheme="minorHAnsi" w:cs="Arial"/>
          <w:bCs/>
          <w:noProof/>
          <w:szCs w:val="18"/>
          <w:lang w:eastAsia="fr-CA"/>
        </w:rPr>
      </w:pPr>
      <w:r w:rsidRPr="000A0072">
        <w:rPr>
          <w:rFonts w:asciiTheme="minorHAnsi" w:eastAsia="Calibri" w:hAnsiTheme="minorHAnsi" w:cs="Arial"/>
          <w:bCs/>
          <w:noProof/>
          <w:szCs w:val="18"/>
          <w:lang w:eastAsia="fr-CA"/>
        </w:rPr>
        <w:t xml:space="preserve">Une des recommandations formulées par la Commission dans cette enquête trouve pleinement son sens dans le contexte des placements </w:t>
      </w:r>
      <w:r w:rsidR="001718F2">
        <w:rPr>
          <w:rFonts w:asciiTheme="minorHAnsi" w:eastAsia="Calibri" w:hAnsiTheme="minorHAnsi" w:cs="Arial"/>
          <w:bCs/>
          <w:noProof/>
          <w:szCs w:val="18"/>
          <w:lang w:eastAsia="fr-CA"/>
        </w:rPr>
        <w:t>à un</w:t>
      </w:r>
      <w:r w:rsidRPr="000A0072">
        <w:rPr>
          <w:rFonts w:asciiTheme="minorHAnsi" w:eastAsia="Calibri" w:hAnsiTheme="minorHAnsi" w:cs="Arial"/>
          <w:bCs/>
          <w:noProof/>
          <w:szCs w:val="18"/>
          <w:lang w:eastAsia="fr-CA"/>
        </w:rPr>
        <w:t xml:space="preserve"> milieu de vie substitut jusqu’à la majorité</w:t>
      </w:r>
      <w:r w:rsidR="001F4FFD">
        <w:rPr>
          <w:rFonts w:asciiTheme="minorHAnsi" w:eastAsia="Calibri" w:hAnsiTheme="minorHAnsi" w:cs="Arial"/>
          <w:bCs/>
          <w:noProof/>
          <w:szCs w:val="18"/>
          <w:lang w:eastAsia="fr-CA"/>
        </w:rPr>
        <w:t xml:space="preserve">. Elle recommandait </w:t>
      </w:r>
      <w:r w:rsidR="002C0629">
        <w:rPr>
          <w:rFonts w:asciiTheme="minorHAnsi" w:eastAsia="Calibri" w:hAnsiTheme="minorHAnsi" w:cs="Arial"/>
          <w:bCs/>
          <w:noProof/>
          <w:szCs w:val="18"/>
          <w:lang w:eastAsia="fr-CA"/>
        </w:rPr>
        <w:t>a</w:t>
      </w:r>
      <w:r w:rsidRPr="000A0072">
        <w:t xml:space="preserve">u </w:t>
      </w:r>
      <w:r w:rsidRPr="000A0072">
        <w:rPr>
          <w:rFonts w:asciiTheme="minorHAnsi" w:eastAsia="Times New Roman" w:hAnsiTheme="minorHAnsi" w:cs="Arial"/>
          <w:bCs/>
          <w:noProof/>
          <w:szCs w:val="24"/>
          <w:lang w:eastAsia="fr-CA"/>
        </w:rPr>
        <w:t>ministre responsable des Services sociaux et à la directrice nationale de la protection de la jeunesse</w:t>
      </w:r>
      <w:r w:rsidRPr="000A0072">
        <w:t xml:space="preserve"> de </w:t>
      </w:r>
      <w:r w:rsidRPr="000A0072">
        <w:rPr>
          <w:noProof/>
        </w:rPr>
        <w:t xml:space="preserve">s’assurer qu’un plan de formation continue soit défini et mis </w:t>
      </w:r>
      <w:r w:rsidRPr="00540905">
        <w:rPr>
          <w:noProof/>
        </w:rPr>
        <w:t>en place dans l’ensemble des DPJ du Québec, tant pour les gestionnaires que les membres du personnel</w:t>
      </w:r>
      <w:r w:rsidR="0085330E">
        <w:rPr>
          <w:rFonts w:ascii="ZWAdobeF" w:hAnsi="ZWAdobeF" w:cs="ZWAdobeF"/>
          <w:noProof/>
          <w:sz w:val="2"/>
          <w:szCs w:val="2"/>
        </w:rPr>
        <w:t>184F</w:t>
      </w:r>
      <w:r w:rsidR="00540905" w:rsidRPr="00540905">
        <w:rPr>
          <w:rFonts w:asciiTheme="minorHAnsi" w:eastAsia="Calibri" w:hAnsiTheme="minorHAnsi" w:cs="Arial"/>
          <w:bCs/>
          <w:noProof/>
          <w:szCs w:val="18"/>
          <w:vertAlign w:val="superscript"/>
          <w:lang w:eastAsia="fr-CA"/>
        </w:rPr>
        <w:footnoteReference w:id="186"/>
      </w:r>
      <w:r w:rsidRPr="00540905">
        <w:rPr>
          <w:noProof/>
        </w:rPr>
        <w:t>.</w:t>
      </w:r>
      <w:r w:rsidR="001F4FFD" w:rsidRPr="00540905">
        <w:rPr>
          <w:rFonts w:asciiTheme="minorHAnsi" w:eastAsia="Calibri" w:hAnsiTheme="minorHAnsi" w:cs="Arial"/>
          <w:bCs/>
          <w:noProof/>
          <w:szCs w:val="18"/>
          <w:lang w:eastAsia="fr-CA"/>
        </w:rPr>
        <w:t xml:space="preserve"> </w:t>
      </w:r>
      <w:r w:rsidR="00A36843" w:rsidRPr="00540905">
        <w:rPr>
          <w:rFonts w:asciiTheme="minorHAnsi" w:eastAsia="Calibri" w:hAnsiTheme="minorHAnsi" w:cs="Arial"/>
          <w:bCs/>
          <w:noProof/>
          <w:szCs w:val="18"/>
          <w:lang w:eastAsia="fr-CA"/>
        </w:rPr>
        <w:t xml:space="preserve">Cette formation doit inclure des contenus </w:t>
      </w:r>
      <w:r w:rsidR="001F4FFD" w:rsidRPr="00540905">
        <w:rPr>
          <w:rFonts w:asciiTheme="minorHAnsi" w:eastAsia="Calibri" w:hAnsiTheme="minorHAnsi" w:cs="Arial"/>
          <w:bCs/>
          <w:noProof/>
          <w:szCs w:val="18"/>
          <w:lang w:eastAsia="fr-CA"/>
        </w:rPr>
        <w:t>sur la mise en œuvre et l’application des directives, processus et outils cliniques ministériels, régionaux et internes énonçant les critères et les balises à suivre en lien avec la planification d’un projet de vie alternatif.</w:t>
      </w:r>
      <w:r w:rsidR="001F4FFD" w:rsidRPr="000A0072">
        <w:rPr>
          <w:rFonts w:asciiTheme="minorHAnsi" w:eastAsia="Calibri" w:hAnsiTheme="minorHAnsi" w:cs="Arial"/>
          <w:bCs/>
          <w:noProof/>
          <w:szCs w:val="18"/>
          <w:lang w:eastAsia="fr-CA"/>
        </w:rPr>
        <w:t xml:space="preserve"> </w:t>
      </w:r>
    </w:p>
    <w:p w14:paraId="1335E95C" w14:textId="6DD212B8" w:rsidR="000A0072" w:rsidRPr="000A0072" w:rsidRDefault="00DD263E" w:rsidP="000A0072">
      <w:pPr>
        <w:tabs>
          <w:tab w:val="left" w:pos="284"/>
        </w:tabs>
        <w:spacing w:before="240" w:after="240" w:line="276" w:lineRule="auto"/>
        <w:jc w:val="left"/>
        <w:rPr>
          <w:rFonts w:asciiTheme="minorHAnsi" w:eastAsia="Calibri" w:hAnsiTheme="minorHAnsi" w:cs="Arial"/>
          <w:bCs/>
          <w:noProof/>
          <w:szCs w:val="18"/>
          <w:lang w:eastAsia="fr-CA"/>
        </w:rPr>
      </w:pPr>
      <w:r>
        <w:rPr>
          <w:rFonts w:asciiTheme="minorHAnsi" w:eastAsia="Calibri" w:hAnsiTheme="minorHAnsi" w:cs="Arial"/>
          <w:bCs/>
          <w:noProof/>
          <w:szCs w:val="18"/>
          <w:lang w:eastAsia="fr-CA"/>
        </w:rPr>
        <w:t>Rappelons que l</w:t>
      </w:r>
      <w:r w:rsidR="000A0072" w:rsidRPr="000A0072">
        <w:rPr>
          <w:rFonts w:asciiTheme="minorHAnsi" w:eastAsia="Calibri" w:hAnsiTheme="minorHAnsi" w:cs="Arial"/>
          <w:bCs/>
          <w:noProof/>
          <w:szCs w:val="18"/>
          <w:lang w:eastAsia="fr-CA"/>
        </w:rPr>
        <w:t>a CSDEPJ a plus largement mis en lumière les failles qui existent dans le continuum de formation des personnes intervenantes œuvrant dans les services de protection de la jeunesse</w:t>
      </w:r>
      <w:r w:rsidR="0085330E">
        <w:rPr>
          <w:rFonts w:ascii="ZWAdobeF" w:eastAsia="Calibri" w:hAnsi="ZWAdobeF" w:cs="ZWAdobeF"/>
          <w:bCs/>
          <w:noProof/>
          <w:sz w:val="2"/>
          <w:szCs w:val="2"/>
          <w:lang w:eastAsia="fr-CA"/>
        </w:rPr>
        <w:t>185F</w:t>
      </w:r>
      <w:r w:rsidR="000A0072" w:rsidRPr="000A0072">
        <w:rPr>
          <w:rFonts w:asciiTheme="minorHAnsi" w:eastAsia="Calibri" w:hAnsiTheme="minorHAnsi" w:cs="Arial"/>
          <w:bCs/>
          <w:noProof/>
          <w:szCs w:val="18"/>
          <w:vertAlign w:val="superscript"/>
          <w:lang w:eastAsia="fr-CA"/>
        </w:rPr>
        <w:footnoteReference w:id="187"/>
      </w:r>
      <w:r w:rsidR="000A0072" w:rsidRPr="000A0072">
        <w:rPr>
          <w:rFonts w:asciiTheme="minorHAnsi" w:eastAsia="Calibri" w:hAnsiTheme="minorHAnsi" w:cs="Arial"/>
          <w:bCs/>
          <w:noProof/>
          <w:szCs w:val="18"/>
          <w:lang w:eastAsia="fr-CA"/>
        </w:rPr>
        <w:t xml:space="preserve">. Elle insistait ainsi sur le développement professionnel continu obligatoire et uniforme. L’accent était par </w:t>
      </w:r>
      <w:r w:rsidR="000A0072" w:rsidRPr="000A0072">
        <w:rPr>
          <w:rFonts w:asciiTheme="minorHAnsi" w:eastAsia="Calibri" w:hAnsiTheme="minorHAnsi" w:cs="Arial"/>
          <w:bCs/>
          <w:noProof/>
          <w:szCs w:val="18"/>
          <w:lang w:eastAsia="fr-CA"/>
        </w:rPr>
        <w:lastRenderedPageBreak/>
        <w:t>ailleurs mis sur la cohérence à atteindre entre la formation initiale, la formation spécialisée et la formation continue</w:t>
      </w:r>
      <w:r w:rsidR="0085330E">
        <w:rPr>
          <w:rFonts w:ascii="ZWAdobeF" w:eastAsia="Calibri" w:hAnsi="ZWAdobeF" w:cs="ZWAdobeF"/>
          <w:bCs/>
          <w:noProof/>
          <w:sz w:val="2"/>
          <w:szCs w:val="2"/>
          <w:lang w:eastAsia="fr-CA"/>
        </w:rPr>
        <w:t>186F</w:t>
      </w:r>
      <w:r w:rsidR="000A0072" w:rsidRPr="000A0072">
        <w:rPr>
          <w:rFonts w:asciiTheme="minorHAnsi" w:eastAsia="Calibri" w:hAnsiTheme="minorHAnsi" w:cs="Arial"/>
          <w:bCs/>
          <w:noProof/>
          <w:szCs w:val="18"/>
          <w:vertAlign w:val="superscript"/>
          <w:lang w:eastAsia="fr-CA"/>
        </w:rPr>
        <w:footnoteReference w:id="188"/>
      </w:r>
      <w:r w:rsidR="000A0072" w:rsidRPr="000A0072">
        <w:rPr>
          <w:rFonts w:asciiTheme="minorHAnsi" w:eastAsia="Calibri" w:hAnsiTheme="minorHAnsi" w:cs="Arial"/>
          <w:bCs/>
          <w:noProof/>
          <w:szCs w:val="18"/>
          <w:lang w:eastAsia="fr-CA"/>
        </w:rPr>
        <w:t>.</w:t>
      </w:r>
    </w:p>
    <w:p w14:paraId="16463708" w14:textId="3B5723DF" w:rsidR="000A0072" w:rsidRPr="000A0072" w:rsidRDefault="000A0072" w:rsidP="000A0072">
      <w:pPr>
        <w:tabs>
          <w:tab w:val="left" w:pos="284"/>
        </w:tabs>
        <w:spacing w:before="240" w:after="240" w:line="276" w:lineRule="auto"/>
        <w:jc w:val="left"/>
        <w:rPr>
          <w:rFonts w:asciiTheme="minorHAnsi" w:eastAsia="Calibri" w:hAnsiTheme="minorHAnsi" w:cs="Arial"/>
          <w:bCs/>
          <w:noProof/>
          <w:szCs w:val="18"/>
          <w:lang w:eastAsia="fr-CA"/>
        </w:rPr>
      </w:pPr>
      <w:r w:rsidRPr="000A0072">
        <w:rPr>
          <w:rFonts w:asciiTheme="minorHAnsi" w:eastAsia="Calibri" w:hAnsiTheme="minorHAnsi" w:cs="Arial"/>
          <w:bCs/>
          <w:noProof/>
          <w:szCs w:val="18"/>
          <w:lang w:eastAsia="fr-CA"/>
        </w:rPr>
        <w:t xml:space="preserve">Dans son précédent </w:t>
      </w:r>
      <w:r w:rsidR="000D6D57">
        <w:rPr>
          <w:rFonts w:asciiTheme="minorHAnsi" w:eastAsia="Calibri" w:hAnsiTheme="minorHAnsi" w:cs="Arial"/>
          <w:bCs/>
          <w:noProof/>
          <w:szCs w:val="18"/>
          <w:lang w:eastAsia="fr-CA"/>
        </w:rPr>
        <w:t xml:space="preserve">rapport </w:t>
      </w:r>
      <w:r w:rsidRPr="000A0072">
        <w:rPr>
          <w:rFonts w:asciiTheme="minorHAnsi" w:eastAsia="Calibri" w:hAnsiTheme="minorHAnsi" w:cs="Arial"/>
          <w:bCs/>
          <w:noProof/>
          <w:szCs w:val="18"/>
          <w:lang w:eastAsia="fr-CA"/>
        </w:rPr>
        <w:t>de mise en œuvre de la LPJ, la Commission</w:t>
      </w:r>
      <w:r w:rsidR="00DD263E">
        <w:rPr>
          <w:rFonts w:asciiTheme="minorHAnsi" w:eastAsia="Calibri" w:hAnsiTheme="minorHAnsi" w:cs="Arial"/>
          <w:bCs/>
          <w:noProof/>
          <w:szCs w:val="18"/>
          <w:lang w:eastAsia="fr-CA"/>
        </w:rPr>
        <w:t xml:space="preserve"> des droits</w:t>
      </w:r>
      <w:r w:rsidRPr="000A0072">
        <w:rPr>
          <w:rFonts w:asciiTheme="minorHAnsi" w:eastAsia="Calibri" w:hAnsiTheme="minorHAnsi" w:cs="Arial"/>
          <w:bCs/>
          <w:noProof/>
          <w:szCs w:val="18"/>
          <w:lang w:eastAsia="fr-CA"/>
        </w:rPr>
        <w:t xml:space="preserve"> a posé un constat en ce sens et déplorait le fait qu’il n’y avait pas de mise à jour et de développement de nouvelles formations en lien avec les meilleures pratiques par une instance centralisée</w:t>
      </w:r>
      <w:r w:rsidR="0085330E">
        <w:rPr>
          <w:rFonts w:ascii="ZWAdobeF" w:eastAsia="Calibri" w:hAnsi="ZWAdobeF" w:cs="ZWAdobeF"/>
          <w:bCs/>
          <w:noProof/>
          <w:sz w:val="2"/>
          <w:szCs w:val="2"/>
          <w:lang w:eastAsia="fr-CA"/>
        </w:rPr>
        <w:t>187F</w:t>
      </w:r>
      <w:r w:rsidRPr="000A0072">
        <w:rPr>
          <w:rFonts w:asciiTheme="minorHAnsi" w:eastAsia="Calibri" w:hAnsiTheme="minorHAnsi" w:cs="Arial"/>
          <w:bCs/>
          <w:noProof/>
          <w:szCs w:val="18"/>
          <w:vertAlign w:val="superscript"/>
          <w:lang w:eastAsia="fr-CA"/>
        </w:rPr>
        <w:footnoteReference w:id="189"/>
      </w:r>
      <w:r w:rsidRPr="000A0072">
        <w:rPr>
          <w:rFonts w:asciiTheme="minorHAnsi" w:eastAsia="Calibri" w:hAnsiTheme="minorHAnsi" w:cs="Arial"/>
          <w:bCs/>
          <w:noProof/>
          <w:szCs w:val="18"/>
          <w:lang w:eastAsia="fr-CA"/>
        </w:rPr>
        <w:t>. Elle recommandait ainsi qu’un plan de formation obligatoire soit mis en place pour tous les intervenants, le personnel de soutien clinique et d’encadrement</w:t>
      </w:r>
      <w:r w:rsidR="0085330E">
        <w:rPr>
          <w:rFonts w:ascii="ZWAdobeF" w:eastAsia="Calibri" w:hAnsi="ZWAdobeF" w:cs="ZWAdobeF"/>
          <w:bCs/>
          <w:noProof/>
          <w:sz w:val="2"/>
          <w:szCs w:val="2"/>
          <w:lang w:eastAsia="fr-CA"/>
        </w:rPr>
        <w:t>188F</w:t>
      </w:r>
      <w:r w:rsidRPr="000A0072">
        <w:rPr>
          <w:rFonts w:asciiTheme="minorHAnsi" w:eastAsia="Calibri" w:hAnsiTheme="minorHAnsi" w:cs="Arial"/>
          <w:bCs/>
          <w:noProof/>
          <w:szCs w:val="18"/>
          <w:vertAlign w:val="superscript"/>
          <w:lang w:eastAsia="fr-CA"/>
        </w:rPr>
        <w:footnoteReference w:id="190"/>
      </w:r>
      <w:r w:rsidRPr="000A0072">
        <w:rPr>
          <w:rFonts w:asciiTheme="minorHAnsi" w:eastAsia="Calibri" w:hAnsiTheme="minorHAnsi" w:cs="Arial"/>
          <w:bCs/>
          <w:noProof/>
          <w:szCs w:val="18"/>
          <w:lang w:eastAsia="fr-CA"/>
        </w:rPr>
        <w:t>.</w:t>
      </w:r>
    </w:p>
    <w:p w14:paraId="5C169DA0" w14:textId="1907F9AE" w:rsidR="000A0072" w:rsidRPr="000A0072" w:rsidRDefault="000A0072" w:rsidP="000A0072">
      <w:pPr>
        <w:tabs>
          <w:tab w:val="left" w:pos="284"/>
        </w:tabs>
        <w:spacing w:before="240" w:after="240" w:line="276" w:lineRule="auto"/>
        <w:jc w:val="left"/>
        <w:rPr>
          <w:rFonts w:asciiTheme="minorHAnsi" w:eastAsia="Calibri" w:hAnsiTheme="minorHAnsi" w:cs="Arial"/>
          <w:bCs/>
          <w:noProof/>
          <w:szCs w:val="18"/>
          <w:lang w:eastAsia="fr-CA"/>
        </w:rPr>
      </w:pPr>
      <w:r w:rsidRPr="000A0072">
        <w:rPr>
          <w:rFonts w:asciiTheme="minorHAnsi" w:eastAsia="Calibri" w:hAnsiTheme="minorHAnsi" w:cs="Arial"/>
          <w:bCs/>
          <w:noProof/>
          <w:szCs w:val="18"/>
          <w:lang w:eastAsia="fr-CA"/>
        </w:rPr>
        <w:t>Dans la récente étude TRAJUD, les personnes intervenantes sociales soulignent un manque de contenu juridique dans leur formation initiale alors que les personnes avocates mentionnent que la formation universitaire en droit contient très peu de contenu en lien avec la PJ</w:t>
      </w:r>
      <w:r w:rsidR="0085330E">
        <w:rPr>
          <w:rFonts w:ascii="ZWAdobeF" w:eastAsia="Calibri" w:hAnsi="ZWAdobeF" w:cs="ZWAdobeF"/>
          <w:bCs/>
          <w:noProof/>
          <w:sz w:val="2"/>
          <w:szCs w:val="2"/>
          <w:lang w:eastAsia="fr-CA"/>
        </w:rPr>
        <w:t>189F</w:t>
      </w:r>
      <w:r w:rsidRPr="000A0072">
        <w:rPr>
          <w:rFonts w:asciiTheme="minorHAnsi" w:eastAsia="Calibri" w:hAnsiTheme="minorHAnsi" w:cs="Arial"/>
          <w:bCs/>
          <w:noProof/>
          <w:szCs w:val="18"/>
          <w:vertAlign w:val="superscript"/>
          <w:lang w:eastAsia="fr-CA"/>
        </w:rPr>
        <w:footnoteReference w:id="191"/>
      </w:r>
      <w:r w:rsidRPr="000A0072">
        <w:rPr>
          <w:rFonts w:asciiTheme="minorHAnsi" w:eastAsia="Calibri" w:hAnsiTheme="minorHAnsi" w:cs="Arial"/>
          <w:bCs/>
          <w:noProof/>
          <w:szCs w:val="18"/>
          <w:lang w:eastAsia="fr-CA"/>
        </w:rPr>
        <w:t>.</w:t>
      </w:r>
    </w:p>
    <w:p w14:paraId="6AA9EE45" w14:textId="77777777" w:rsidR="000A0072" w:rsidRPr="000A0072" w:rsidRDefault="000A0072" w:rsidP="000A0072">
      <w:pPr>
        <w:tabs>
          <w:tab w:val="left" w:pos="284"/>
        </w:tabs>
        <w:spacing w:before="240" w:after="240" w:line="276" w:lineRule="auto"/>
        <w:jc w:val="left"/>
        <w:rPr>
          <w:rFonts w:asciiTheme="minorHAnsi" w:eastAsia="Calibri" w:hAnsiTheme="minorHAnsi" w:cs="Arial"/>
          <w:bCs/>
          <w:noProof/>
          <w:szCs w:val="18"/>
          <w:lang w:eastAsia="fr-CA"/>
        </w:rPr>
      </w:pPr>
      <w:r w:rsidRPr="000A0072">
        <w:rPr>
          <w:rFonts w:asciiTheme="minorHAnsi" w:eastAsia="Calibri" w:hAnsiTheme="minorHAnsi" w:cs="Arial"/>
          <w:bCs/>
          <w:noProof/>
          <w:szCs w:val="18"/>
          <w:lang w:eastAsia="fr-CA"/>
        </w:rPr>
        <w:t>Dans le cadre du présent rapport, la Commission estime pertinent de réitérer la recommandation de définir et de mettre en place un plan de formation continue dans l’ensemble des DPJ du Québec, tant pour les gestionnaires que les membres du personnel. Les besoins identifiés dans le présent rapport appuient la nécessité d’agir dès maintenant sur ce plan.</w:t>
      </w:r>
    </w:p>
    <w:p w14:paraId="2E0AFAE2" w14:textId="62024F9E" w:rsidR="0045186B" w:rsidRPr="000A0072" w:rsidRDefault="00CF0E68" w:rsidP="000A0072">
      <w:pPr>
        <w:tabs>
          <w:tab w:val="left" w:pos="284"/>
        </w:tabs>
        <w:spacing w:before="240" w:after="240" w:line="276" w:lineRule="auto"/>
        <w:jc w:val="left"/>
        <w:rPr>
          <w:rFonts w:asciiTheme="minorHAnsi" w:eastAsia="Calibri" w:hAnsiTheme="minorHAnsi" w:cs="Arial"/>
          <w:bCs/>
          <w:noProof/>
          <w:szCs w:val="18"/>
          <w:lang w:eastAsia="fr-CA"/>
        </w:rPr>
      </w:pPr>
      <w:r w:rsidRPr="000A0072">
        <w:rPr>
          <w:rFonts w:asciiTheme="minorHAnsi" w:eastAsia="Calibri" w:hAnsiTheme="minorHAnsi" w:cs="Arial"/>
          <w:bCs/>
          <w:noProof/>
          <w:szCs w:val="18"/>
          <w:lang w:eastAsia="fr-CA"/>
        </w:rPr>
        <w:t>Le plan d</w:t>
      </w:r>
      <w:r>
        <w:rPr>
          <w:rFonts w:asciiTheme="minorHAnsi" w:eastAsia="Calibri" w:hAnsiTheme="minorHAnsi" w:cs="Arial"/>
          <w:bCs/>
          <w:noProof/>
          <w:szCs w:val="18"/>
          <w:lang w:eastAsia="fr-CA"/>
        </w:rPr>
        <w:t>oit c</w:t>
      </w:r>
      <w:r w:rsidRPr="000A0072">
        <w:rPr>
          <w:rFonts w:asciiTheme="minorHAnsi" w:eastAsia="Calibri" w:hAnsiTheme="minorHAnsi" w:cs="Arial"/>
          <w:bCs/>
          <w:noProof/>
          <w:szCs w:val="18"/>
          <w:lang w:eastAsia="fr-CA"/>
        </w:rPr>
        <w:t xml:space="preserve">ontenir des objectifs de formation </w:t>
      </w:r>
      <w:r>
        <w:rPr>
          <w:rFonts w:asciiTheme="minorHAnsi" w:eastAsia="Calibri" w:hAnsiTheme="minorHAnsi" w:cs="Arial"/>
          <w:bCs/>
          <w:noProof/>
          <w:szCs w:val="18"/>
          <w:lang w:eastAsia="fr-CA"/>
        </w:rPr>
        <w:t>sur le</w:t>
      </w:r>
      <w:r w:rsidR="00F164F5">
        <w:rPr>
          <w:rFonts w:asciiTheme="minorHAnsi" w:eastAsia="Calibri" w:hAnsiTheme="minorHAnsi" w:cs="Arial"/>
          <w:bCs/>
          <w:noProof/>
          <w:szCs w:val="18"/>
          <w:lang w:eastAsia="fr-CA"/>
        </w:rPr>
        <w:t>s droits</w:t>
      </w:r>
      <w:r w:rsidR="006B0F01">
        <w:rPr>
          <w:rFonts w:asciiTheme="minorHAnsi" w:eastAsia="Calibri" w:hAnsiTheme="minorHAnsi" w:cs="Arial"/>
          <w:bCs/>
          <w:noProof/>
          <w:szCs w:val="18"/>
          <w:lang w:eastAsia="fr-CA"/>
        </w:rPr>
        <w:t xml:space="preserve"> </w:t>
      </w:r>
      <w:r w:rsidR="00EB1459" w:rsidRPr="000A0072">
        <w:rPr>
          <w:rFonts w:asciiTheme="minorHAnsi" w:eastAsia="Calibri" w:hAnsiTheme="minorHAnsi" w:cs="Arial"/>
          <w:bCs/>
          <w:noProof/>
          <w:szCs w:val="18"/>
          <w:lang w:eastAsia="fr-CA"/>
        </w:rPr>
        <w:t xml:space="preserve">reconnus aux </w:t>
      </w:r>
      <w:r w:rsidR="00EB1459">
        <w:rPr>
          <w:rFonts w:asciiTheme="minorHAnsi" w:eastAsia="Calibri" w:hAnsiTheme="minorHAnsi" w:cs="Arial"/>
          <w:bCs/>
          <w:noProof/>
          <w:szCs w:val="18"/>
          <w:lang w:eastAsia="fr-CA"/>
        </w:rPr>
        <w:t xml:space="preserve">enfants </w:t>
      </w:r>
      <w:r w:rsidR="00EB1459" w:rsidRPr="000A0072">
        <w:rPr>
          <w:rFonts w:asciiTheme="minorHAnsi" w:eastAsia="Calibri" w:hAnsiTheme="minorHAnsi" w:cs="Arial"/>
          <w:bCs/>
          <w:noProof/>
          <w:szCs w:val="18"/>
          <w:lang w:eastAsia="fr-CA"/>
        </w:rPr>
        <w:t xml:space="preserve">au Québec, </w:t>
      </w:r>
      <w:r w:rsidR="00EB1459">
        <w:rPr>
          <w:rFonts w:asciiTheme="minorHAnsi" w:eastAsia="Calibri" w:hAnsiTheme="minorHAnsi" w:cs="Arial"/>
          <w:bCs/>
          <w:noProof/>
          <w:szCs w:val="18"/>
          <w:lang w:eastAsia="fr-CA"/>
        </w:rPr>
        <w:t xml:space="preserve">par </w:t>
      </w:r>
      <w:r w:rsidR="00EB1459" w:rsidRPr="000A0072">
        <w:rPr>
          <w:rFonts w:asciiTheme="minorHAnsi" w:eastAsia="Calibri" w:hAnsiTheme="minorHAnsi" w:cs="Arial"/>
          <w:bCs/>
          <w:noProof/>
          <w:szCs w:val="18"/>
          <w:lang w:eastAsia="fr-CA"/>
        </w:rPr>
        <w:t xml:space="preserve">la Charte et la LPJ, </w:t>
      </w:r>
      <w:r w:rsidR="00EB1459">
        <w:rPr>
          <w:rFonts w:asciiTheme="minorHAnsi" w:eastAsia="Calibri" w:hAnsiTheme="minorHAnsi" w:cs="Arial"/>
          <w:bCs/>
          <w:noProof/>
          <w:szCs w:val="18"/>
          <w:lang w:eastAsia="fr-CA"/>
        </w:rPr>
        <w:t>et</w:t>
      </w:r>
      <w:r w:rsidR="00EB1459" w:rsidRPr="000A0072">
        <w:rPr>
          <w:rFonts w:asciiTheme="minorHAnsi" w:eastAsia="Calibri" w:hAnsiTheme="minorHAnsi" w:cs="Arial"/>
          <w:bCs/>
          <w:noProof/>
          <w:szCs w:val="18"/>
          <w:lang w:eastAsia="fr-CA"/>
        </w:rPr>
        <w:t xml:space="preserve"> par les instruments</w:t>
      </w:r>
      <w:r w:rsidR="00EB1459">
        <w:rPr>
          <w:rFonts w:asciiTheme="minorHAnsi" w:eastAsia="Calibri" w:hAnsiTheme="minorHAnsi" w:cs="Arial"/>
          <w:bCs/>
          <w:noProof/>
          <w:szCs w:val="18"/>
          <w:lang w:eastAsia="fr-CA"/>
        </w:rPr>
        <w:t xml:space="preserve"> internationaux, dont la CRDE</w:t>
      </w:r>
      <w:r w:rsidRPr="000A0072">
        <w:rPr>
          <w:rFonts w:asciiTheme="minorHAnsi" w:eastAsia="Calibri" w:hAnsiTheme="minorHAnsi" w:cs="Arial"/>
          <w:bCs/>
          <w:noProof/>
          <w:szCs w:val="18"/>
          <w:lang w:eastAsia="fr-CA"/>
        </w:rPr>
        <w:t xml:space="preserve">. </w:t>
      </w:r>
      <w:r w:rsidR="000A0072" w:rsidRPr="000A0072">
        <w:rPr>
          <w:rFonts w:asciiTheme="minorHAnsi" w:eastAsia="Calibri" w:hAnsiTheme="minorHAnsi" w:cs="Arial"/>
          <w:bCs/>
          <w:noProof/>
          <w:szCs w:val="18"/>
          <w:lang w:eastAsia="fr-CA"/>
        </w:rPr>
        <w:t>La Commission des droits ne pourrait trop insister sur la nécessité pour les personnes qui entourent les enfants, dont celles qui interviennent auprès d’eux</w:t>
      </w:r>
      <w:r w:rsidR="000724CE">
        <w:rPr>
          <w:rFonts w:asciiTheme="minorHAnsi" w:eastAsia="Calibri" w:hAnsiTheme="minorHAnsi" w:cs="Arial"/>
          <w:bCs/>
          <w:noProof/>
          <w:szCs w:val="18"/>
          <w:lang w:eastAsia="fr-CA"/>
        </w:rPr>
        <w:t xml:space="preserve">, </w:t>
      </w:r>
      <w:r w:rsidR="000A0072" w:rsidRPr="000A0072">
        <w:rPr>
          <w:rFonts w:asciiTheme="minorHAnsi" w:eastAsia="Calibri" w:hAnsiTheme="minorHAnsi" w:cs="Arial"/>
          <w:bCs/>
          <w:noProof/>
          <w:szCs w:val="18"/>
          <w:lang w:eastAsia="fr-CA"/>
        </w:rPr>
        <w:t xml:space="preserve">de </w:t>
      </w:r>
      <w:r w:rsidR="00352759">
        <w:rPr>
          <w:rFonts w:asciiTheme="minorHAnsi" w:eastAsia="Calibri" w:hAnsiTheme="minorHAnsi" w:cs="Arial"/>
          <w:bCs/>
          <w:noProof/>
          <w:szCs w:val="18"/>
          <w:lang w:eastAsia="fr-CA"/>
        </w:rPr>
        <w:t>connaître</w:t>
      </w:r>
      <w:r w:rsidR="000A0072" w:rsidRPr="000A0072">
        <w:rPr>
          <w:rFonts w:asciiTheme="minorHAnsi" w:eastAsia="Calibri" w:hAnsiTheme="minorHAnsi" w:cs="Arial"/>
          <w:bCs/>
          <w:noProof/>
          <w:szCs w:val="18"/>
          <w:lang w:eastAsia="fr-CA"/>
        </w:rPr>
        <w:t xml:space="preserve"> </w:t>
      </w:r>
      <w:r w:rsidR="00BF08E7">
        <w:rPr>
          <w:rFonts w:asciiTheme="minorHAnsi" w:eastAsia="Calibri" w:hAnsiTheme="minorHAnsi" w:cs="Arial"/>
          <w:bCs/>
          <w:noProof/>
          <w:szCs w:val="18"/>
          <w:lang w:eastAsia="fr-CA"/>
        </w:rPr>
        <w:t>c</w:t>
      </w:r>
      <w:r w:rsidR="000A0072" w:rsidRPr="000A0072">
        <w:rPr>
          <w:rFonts w:asciiTheme="minorHAnsi" w:eastAsia="Calibri" w:hAnsiTheme="minorHAnsi" w:cs="Arial"/>
          <w:bCs/>
          <w:noProof/>
          <w:szCs w:val="18"/>
          <w:lang w:eastAsia="fr-CA"/>
        </w:rPr>
        <w:t xml:space="preserve">es droits </w:t>
      </w:r>
      <w:r w:rsidR="003064E7">
        <w:rPr>
          <w:rFonts w:asciiTheme="minorHAnsi" w:eastAsia="Calibri" w:hAnsiTheme="minorHAnsi" w:cs="Arial"/>
          <w:bCs/>
          <w:noProof/>
          <w:szCs w:val="18"/>
          <w:lang w:eastAsia="fr-CA"/>
        </w:rPr>
        <w:t xml:space="preserve">et </w:t>
      </w:r>
      <w:r w:rsidR="00B66BDD">
        <w:rPr>
          <w:rFonts w:asciiTheme="minorHAnsi" w:eastAsia="Calibri" w:hAnsiTheme="minorHAnsi" w:cs="Arial"/>
          <w:bCs/>
          <w:noProof/>
          <w:szCs w:val="18"/>
          <w:lang w:eastAsia="fr-CA"/>
        </w:rPr>
        <w:t>de comprendre</w:t>
      </w:r>
      <w:r w:rsidR="00E3735C">
        <w:rPr>
          <w:rFonts w:asciiTheme="minorHAnsi" w:eastAsia="Calibri" w:hAnsiTheme="minorHAnsi" w:cs="Arial"/>
          <w:bCs/>
          <w:noProof/>
          <w:szCs w:val="18"/>
          <w:lang w:eastAsia="fr-CA"/>
        </w:rPr>
        <w:t xml:space="preserve"> ce</w:t>
      </w:r>
      <w:r w:rsidR="00D54062">
        <w:rPr>
          <w:rFonts w:asciiTheme="minorHAnsi" w:eastAsia="Calibri" w:hAnsiTheme="minorHAnsi" w:cs="Arial"/>
          <w:bCs/>
          <w:noProof/>
          <w:szCs w:val="18"/>
          <w:lang w:eastAsia="fr-CA"/>
        </w:rPr>
        <w:t xml:space="preserve"> qu’ils signifient concrètement</w:t>
      </w:r>
      <w:r w:rsidR="00B66BDD">
        <w:rPr>
          <w:rFonts w:asciiTheme="minorHAnsi" w:eastAsia="Calibri" w:hAnsiTheme="minorHAnsi" w:cs="Arial"/>
          <w:bCs/>
          <w:noProof/>
          <w:szCs w:val="18"/>
          <w:lang w:eastAsia="fr-CA"/>
        </w:rPr>
        <w:t xml:space="preserve"> </w:t>
      </w:r>
      <w:r w:rsidR="00232A49">
        <w:rPr>
          <w:rFonts w:asciiTheme="minorHAnsi" w:eastAsia="Calibri" w:hAnsiTheme="minorHAnsi" w:cs="Arial"/>
          <w:bCs/>
          <w:noProof/>
          <w:szCs w:val="18"/>
          <w:lang w:eastAsia="fr-CA"/>
        </w:rPr>
        <w:t xml:space="preserve">dans leur </w:t>
      </w:r>
      <w:r w:rsidR="00232A49" w:rsidRPr="000459C1">
        <w:rPr>
          <w:rFonts w:asciiTheme="minorHAnsi" w:eastAsia="Calibri" w:hAnsiTheme="minorHAnsi" w:cs="Arial"/>
          <w:bCs/>
          <w:noProof/>
          <w:szCs w:val="18"/>
          <w:lang w:eastAsia="fr-CA"/>
        </w:rPr>
        <w:t>travail</w:t>
      </w:r>
      <w:r w:rsidR="0085330E">
        <w:rPr>
          <w:rFonts w:ascii="ZWAdobeF" w:eastAsia="Calibri" w:hAnsi="ZWAdobeF" w:cs="ZWAdobeF"/>
          <w:bCs/>
          <w:noProof/>
          <w:sz w:val="2"/>
          <w:szCs w:val="2"/>
          <w:lang w:eastAsia="fr-CA"/>
        </w:rPr>
        <w:t>190F</w:t>
      </w:r>
      <w:r w:rsidR="000A0072" w:rsidRPr="000459C1">
        <w:rPr>
          <w:rFonts w:asciiTheme="minorHAnsi" w:eastAsia="Calibri" w:hAnsiTheme="minorHAnsi" w:cs="Arial"/>
          <w:bCs/>
          <w:noProof/>
          <w:szCs w:val="18"/>
          <w:vertAlign w:val="superscript"/>
          <w:lang w:eastAsia="fr-CA"/>
        </w:rPr>
        <w:footnoteReference w:id="192"/>
      </w:r>
      <w:r w:rsidR="000A0072" w:rsidRPr="000459C1">
        <w:rPr>
          <w:rFonts w:asciiTheme="minorHAnsi" w:eastAsia="Calibri" w:hAnsiTheme="minorHAnsi" w:cs="Arial"/>
          <w:bCs/>
          <w:noProof/>
          <w:szCs w:val="18"/>
          <w:lang w:eastAsia="fr-CA"/>
        </w:rPr>
        <w:t>.</w:t>
      </w:r>
      <w:r w:rsidR="00043F73" w:rsidRPr="000459C1">
        <w:rPr>
          <w:rFonts w:asciiTheme="minorHAnsi" w:eastAsia="Calibri" w:hAnsiTheme="minorHAnsi" w:cs="Arial"/>
          <w:bCs/>
          <w:noProof/>
          <w:szCs w:val="18"/>
          <w:lang w:eastAsia="fr-CA"/>
        </w:rPr>
        <w:t xml:space="preserve"> </w:t>
      </w:r>
      <w:r w:rsidR="004F20E7" w:rsidRPr="000459C1">
        <w:rPr>
          <w:rFonts w:asciiTheme="minorHAnsi" w:eastAsia="Calibri" w:hAnsiTheme="minorHAnsi" w:cs="Arial"/>
          <w:bCs/>
          <w:noProof/>
          <w:szCs w:val="18"/>
          <w:lang w:eastAsia="fr-CA"/>
        </w:rPr>
        <w:t>La formation doit</w:t>
      </w:r>
      <w:r w:rsidR="00602793" w:rsidRPr="000459C1">
        <w:rPr>
          <w:rFonts w:asciiTheme="minorHAnsi" w:eastAsia="Calibri" w:hAnsiTheme="minorHAnsi" w:cs="Arial"/>
          <w:bCs/>
          <w:noProof/>
          <w:szCs w:val="18"/>
          <w:lang w:eastAsia="fr-CA"/>
        </w:rPr>
        <w:t xml:space="preserve"> d</w:t>
      </w:r>
      <w:r w:rsidR="004F20E7" w:rsidRPr="000459C1">
        <w:rPr>
          <w:rFonts w:asciiTheme="minorHAnsi" w:eastAsia="Calibri" w:hAnsiTheme="minorHAnsi" w:cs="Arial"/>
          <w:bCs/>
          <w:noProof/>
          <w:szCs w:val="18"/>
          <w:lang w:eastAsia="fr-CA"/>
        </w:rPr>
        <w:t xml:space="preserve">ans ce même esprit </w:t>
      </w:r>
      <w:r w:rsidR="006C2EFB" w:rsidRPr="000459C1">
        <w:rPr>
          <w:rFonts w:asciiTheme="minorHAnsi" w:eastAsia="Calibri" w:hAnsiTheme="minorHAnsi" w:cs="Arial"/>
          <w:bCs/>
          <w:noProof/>
          <w:szCs w:val="18"/>
          <w:lang w:eastAsia="fr-CA"/>
        </w:rPr>
        <w:t>porter sur</w:t>
      </w:r>
      <w:r w:rsidR="009B0DA2" w:rsidRPr="000459C1">
        <w:rPr>
          <w:rFonts w:asciiTheme="minorHAnsi" w:eastAsia="Calibri" w:hAnsiTheme="minorHAnsi" w:cs="Arial"/>
          <w:bCs/>
          <w:noProof/>
          <w:szCs w:val="18"/>
          <w:lang w:eastAsia="fr-CA"/>
        </w:rPr>
        <w:t xml:space="preserve"> l</w:t>
      </w:r>
      <w:r w:rsidR="00602793" w:rsidRPr="000459C1">
        <w:rPr>
          <w:rFonts w:asciiTheme="minorHAnsi" w:eastAsia="Calibri" w:hAnsiTheme="minorHAnsi" w:cs="Arial"/>
          <w:bCs/>
          <w:noProof/>
          <w:szCs w:val="18"/>
          <w:lang w:eastAsia="fr-CA"/>
        </w:rPr>
        <w:t>es droits et responsabilités des parents</w:t>
      </w:r>
      <w:r w:rsidR="00E24B8A" w:rsidRPr="000459C1">
        <w:rPr>
          <w:rFonts w:asciiTheme="minorHAnsi" w:eastAsia="Calibri" w:hAnsiTheme="minorHAnsi" w:cs="Arial"/>
          <w:bCs/>
          <w:noProof/>
          <w:szCs w:val="18"/>
          <w:lang w:eastAsia="fr-CA"/>
        </w:rPr>
        <w:t xml:space="preserve"> prévus </w:t>
      </w:r>
      <w:r w:rsidR="00F70763" w:rsidRPr="000459C1">
        <w:rPr>
          <w:rFonts w:asciiTheme="minorHAnsi" w:eastAsia="Calibri" w:hAnsiTheme="minorHAnsi" w:cs="Arial"/>
          <w:bCs/>
          <w:noProof/>
          <w:szCs w:val="18"/>
          <w:lang w:eastAsia="fr-CA"/>
        </w:rPr>
        <w:t>à la LPJ.</w:t>
      </w:r>
      <w:r w:rsidR="00F70763">
        <w:rPr>
          <w:rFonts w:asciiTheme="minorHAnsi" w:eastAsia="Calibri" w:hAnsiTheme="minorHAnsi" w:cs="Arial"/>
          <w:bCs/>
          <w:noProof/>
          <w:szCs w:val="18"/>
          <w:lang w:eastAsia="fr-CA"/>
        </w:rPr>
        <w:t xml:space="preserve"> </w:t>
      </w:r>
    </w:p>
    <w:p w14:paraId="2E27F28D" w14:textId="0DB53E36" w:rsidR="000A0072" w:rsidRDefault="00C7092C" w:rsidP="000A0072">
      <w:pPr>
        <w:tabs>
          <w:tab w:val="left" w:pos="284"/>
        </w:tabs>
        <w:spacing w:before="240" w:after="240" w:line="276" w:lineRule="auto"/>
        <w:jc w:val="left"/>
        <w:rPr>
          <w:rFonts w:asciiTheme="minorHAnsi" w:eastAsia="Calibri" w:hAnsiTheme="minorHAnsi" w:cs="Arial"/>
          <w:bCs/>
          <w:noProof/>
          <w:szCs w:val="18"/>
          <w:lang w:eastAsia="fr-CA"/>
        </w:rPr>
      </w:pPr>
      <w:r>
        <w:rPr>
          <w:rFonts w:asciiTheme="minorHAnsi" w:eastAsia="Calibri" w:hAnsiTheme="minorHAnsi" w:cs="Arial"/>
          <w:bCs/>
          <w:noProof/>
          <w:szCs w:val="18"/>
          <w:lang w:eastAsia="fr-CA"/>
        </w:rPr>
        <w:t>Dans un au</w:t>
      </w:r>
      <w:r w:rsidR="00F2034C">
        <w:rPr>
          <w:rFonts w:asciiTheme="minorHAnsi" w:eastAsia="Calibri" w:hAnsiTheme="minorHAnsi" w:cs="Arial"/>
          <w:bCs/>
          <w:noProof/>
          <w:szCs w:val="18"/>
          <w:lang w:eastAsia="fr-CA"/>
        </w:rPr>
        <w:t xml:space="preserve">tre ordre d’idée, </w:t>
      </w:r>
      <w:r w:rsidR="000A0072" w:rsidRPr="000A0072">
        <w:rPr>
          <w:rFonts w:asciiTheme="minorHAnsi" w:eastAsia="Calibri" w:hAnsiTheme="minorHAnsi" w:cs="Arial"/>
          <w:bCs/>
          <w:noProof/>
          <w:szCs w:val="18"/>
          <w:lang w:eastAsia="fr-CA"/>
        </w:rPr>
        <w:t xml:space="preserve">les travaux de révision du cadre de référence </w:t>
      </w:r>
      <w:r w:rsidR="000A0072" w:rsidRPr="000A0072">
        <w:rPr>
          <w:rFonts w:asciiTheme="minorHAnsi" w:eastAsia="Calibri" w:hAnsiTheme="minorHAnsi" w:cs="Arial"/>
          <w:bCs/>
          <w:i/>
          <w:iCs/>
          <w:noProof/>
          <w:szCs w:val="18"/>
          <w:lang w:eastAsia="fr-CA"/>
        </w:rPr>
        <w:t>Un projet de vie, des racines pour la vie</w:t>
      </w:r>
      <w:r w:rsidR="000A0072" w:rsidRPr="000A0072">
        <w:rPr>
          <w:rFonts w:asciiTheme="minorHAnsi" w:eastAsia="Calibri" w:hAnsiTheme="minorHAnsi" w:cs="Arial"/>
          <w:bCs/>
          <w:noProof/>
          <w:szCs w:val="18"/>
          <w:lang w:eastAsia="fr-CA"/>
        </w:rPr>
        <w:t xml:space="preserve"> devraient être une occasion de réfléchir aux moyens à mettre en œuvre pour l’appropriation des contenus de ce document par les personnes qui seront appelées à l’appliquer. La CSDEPJ a recommandé </w:t>
      </w:r>
      <w:r w:rsidR="005650EC">
        <w:rPr>
          <w:rFonts w:asciiTheme="minorHAnsi" w:eastAsia="Calibri" w:hAnsiTheme="minorHAnsi" w:cs="Arial"/>
          <w:bCs/>
          <w:noProof/>
          <w:szCs w:val="18"/>
          <w:lang w:eastAsia="fr-CA"/>
        </w:rPr>
        <w:t xml:space="preserve">en ce sens </w:t>
      </w:r>
      <w:r w:rsidR="000A0072" w:rsidRPr="000A0072">
        <w:rPr>
          <w:rFonts w:asciiTheme="minorHAnsi" w:eastAsia="Calibri" w:hAnsiTheme="minorHAnsi" w:cs="Arial"/>
          <w:bCs/>
          <w:noProof/>
          <w:szCs w:val="18"/>
          <w:lang w:eastAsia="fr-CA"/>
        </w:rPr>
        <w:t>la coordination de son application au niveau national</w:t>
      </w:r>
      <w:r w:rsidR="0085330E">
        <w:rPr>
          <w:rFonts w:ascii="ZWAdobeF" w:eastAsia="Calibri" w:hAnsi="ZWAdobeF" w:cs="ZWAdobeF"/>
          <w:bCs/>
          <w:noProof/>
          <w:sz w:val="2"/>
          <w:szCs w:val="2"/>
          <w:lang w:eastAsia="fr-CA"/>
        </w:rPr>
        <w:t>191F</w:t>
      </w:r>
      <w:r w:rsidR="000A0072" w:rsidRPr="000A0072">
        <w:rPr>
          <w:rFonts w:asciiTheme="minorHAnsi" w:eastAsia="Calibri" w:hAnsiTheme="minorHAnsi" w:cs="Arial"/>
          <w:bCs/>
          <w:noProof/>
          <w:szCs w:val="18"/>
          <w:vertAlign w:val="superscript"/>
          <w:lang w:eastAsia="fr-CA"/>
        </w:rPr>
        <w:footnoteReference w:id="193"/>
      </w:r>
      <w:r w:rsidR="000A0072" w:rsidRPr="000A0072">
        <w:rPr>
          <w:rFonts w:asciiTheme="minorHAnsi" w:eastAsia="Calibri" w:hAnsiTheme="minorHAnsi" w:cs="Arial"/>
          <w:bCs/>
          <w:noProof/>
          <w:szCs w:val="18"/>
          <w:lang w:eastAsia="fr-CA"/>
        </w:rPr>
        <w:t>. Les contenus abordés dans ce cadre pourraient ainsi être inclus dans le plan national de formation.</w:t>
      </w:r>
    </w:p>
    <w:p w14:paraId="61A501F1" w14:textId="77777777" w:rsidR="00294BD2" w:rsidRPr="000A0072" w:rsidRDefault="00294BD2" w:rsidP="000A0072">
      <w:pPr>
        <w:tabs>
          <w:tab w:val="left" w:pos="284"/>
        </w:tabs>
        <w:spacing w:before="240" w:after="240" w:line="276" w:lineRule="auto"/>
        <w:jc w:val="left"/>
        <w:rPr>
          <w:rFonts w:asciiTheme="minorHAnsi" w:eastAsia="Calibri" w:hAnsiTheme="minorHAnsi" w:cs="Arial"/>
          <w:bCs/>
          <w:noProof/>
          <w:szCs w:val="18"/>
          <w:lang w:eastAsia="fr-CA"/>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2"/>
      </w:tblGrid>
      <w:tr w:rsidR="001964FA" w14:paraId="06ABFECE" w14:textId="77777777">
        <w:tc>
          <w:tcPr>
            <w:tcW w:w="5000" w:type="pct"/>
            <w:shd w:val="clear" w:color="auto" w:fill="E9F8FB"/>
          </w:tcPr>
          <w:p w14:paraId="651424DF" w14:textId="7B3239B9" w:rsidR="001964FA" w:rsidRDefault="001964FA" w:rsidP="006039D4">
            <w:pPr>
              <w:pStyle w:val="TitreRecommandation"/>
            </w:pPr>
            <w:r>
              <w:lastRenderedPageBreak/>
              <w:t>Recommandation</w:t>
            </w:r>
            <w:r w:rsidR="00104A0F">
              <w:t> </w:t>
            </w:r>
            <w:r>
              <w:t>5</w:t>
            </w:r>
          </w:p>
          <w:p w14:paraId="50D76298" w14:textId="0C8750BB" w:rsidR="001964FA" w:rsidRDefault="001964FA">
            <w:pPr>
              <w:pStyle w:val="Texterecommandation"/>
            </w:pPr>
            <w:r w:rsidRPr="00640E95">
              <w:t xml:space="preserve">La </w:t>
            </w:r>
            <w:r>
              <w:t>Commission des droits</w:t>
            </w:r>
            <w:r w:rsidRPr="00640E95">
              <w:t xml:space="preserve"> réitère la recommandation au ministre responsable des Services sociaux</w:t>
            </w:r>
            <w:r>
              <w:t xml:space="preserve"> </w:t>
            </w:r>
            <w:r w:rsidRPr="00640E95">
              <w:t>et à la directrice nationale de la protection de la jeunesse de concevoir et déployer un plan de formation continue dans l’ensemble des DPJ du Québec, tant pour les gestionnaires que les membres du personnel.</w:t>
            </w:r>
            <w:r>
              <w:t xml:space="preserve"> </w:t>
            </w:r>
            <w:r w:rsidRPr="005D60C6">
              <w:t xml:space="preserve">Ce plan devrait être élaboré et mis en œuvre avec la collaboration de la </w:t>
            </w:r>
            <w:r>
              <w:t>T</w:t>
            </w:r>
            <w:r w:rsidRPr="005D60C6">
              <w:t>able des DPJ et de Santé Québec</w:t>
            </w:r>
            <w:r>
              <w:t>.</w:t>
            </w:r>
          </w:p>
          <w:p w14:paraId="6BE7C5D6" w14:textId="69052E64" w:rsidR="00627BC0" w:rsidRDefault="001964FA" w:rsidP="001964FA">
            <w:pPr>
              <w:pStyle w:val="Texterecommandation"/>
            </w:pPr>
            <w:r w:rsidRPr="00640E95">
              <w:t xml:space="preserve">Des objectifs précis </w:t>
            </w:r>
            <w:r w:rsidR="00BC3947">
              <w:t>e</w:t>
            </w:r>
            <w:r w:rsidR="006470FA">
              <w:t>n lien avec les points suivants devraient s’y trouver :</w:t>
            </w:r>
          </w:p>
          <w:p w14:paraId="13714F20" w14:textId="537A3194" w:rsidR="009C523A" w:rsidRDefault="009C523A" w:rsidP="00BA3E6E">
            <w:pPr>
              <w:pStyle w:val="puces0"/>
            </w:pPr>
            <w:r>
              <w:t>L</w:t>
            </w:r>
            <w:r w:rsidR="001964FA" w:rsidRPr="00640E95">
              <w:t>a stabilité des liens et des conditions de vie de l’enfant confié à un milieu de vie jusqu’à la majorité</w:t>
            </w:r>
            <w:r w:rsidR="001A0FEE">
              <w:rPr>
                <w:rFonts w:ascii="Arial" w:hAnsi="Arial" w:cs="Arial"/>
              </w:rPr>
              <w:t> </w:t>
            </w:r>
            <w:r w:rsidR="00D239D7">
              <w:t>;</w:t>
            </w:r>
          </w:p>
          <w:p w14:paraId="343D66BC" w14:textId="7C6F142C" w:rsidR="009C523A" w:rsidRDefault="002F5182" w:rsidP="00BA3E6E">
            <w:pPr>
              <w:pStyle w:val="puces0"/>
            </w:pPr>
            <w:r>
              <w:t>L</w:t>
            </w:r>
            <w:r w:rsidR="001964FA">
              <w:t>’ensemble des droits qui sont reconnus</w:t>
            </w:r>
            <w:r w:rsidR="00D239D7">
              <w:t xml:space="preserve"> à l’enfant</w:t>
            </w:r>
            <w:r w:rsidR="001964FA">
              <w:t xml:space="preserve"> par la LPJ</w:t>
            </w:r>
            <w:r w:rsidR="008C2288">
              <w:t>,</w:t>
            </w:r>
            <w:r w:rsidR="001964FA">
              <w:t xml:space="preserve"> la </w:t>
            </w:r>
            <w:r w:rsidR="001964FA" w:rsidRPr="00E70ABE">
              <w:rPr>
                <w:i/>
                <w:iCs/>
              </w:rPr>
              <w:t>Charte des droits et libertés de la personne</w:t>
            </w:r>
            <w:r w:rsidR="008C2288">
              <w:t xml:space="preserve"> et les instruments internationaux, dont </w:t>
            </w:r>
            <w:r w:rsidR="00895519">
              <w:t xml:space="preserve">la </w:t>
            </w:r>
            <w:r w:rsidR="00895519" w:rsidRPr="00895519">
              <w:rPr>
                <w:i/>
                <w:iCs/>
              </w:rPr>
              <w:t>Convention relative aux droits de l’enfant</w:t>
            </w:r>
            <w:r w:rsidR="001A0FEE">
              <w:rPr>
                <w:rFonts w:ascii="Arial" w:hAnsi="Arial" w:cs="Arial"/>
                <w:i/>
                <w:iCs/>
              </w:rPr>
              <w:t> </w:t>
            </w:r>
            <w:r w:rsidR="00D239D7" w:rsidRPr="00D239D7">
              <w:t>;</w:t>
            </w:r>
          </w:p>
          <w:p w14:paraId="5B5C801F" w14:textId="38350E4D" w:rsidR="001964FA" w:rsidRPr="00640E95" w:rsidRDefault="002F5182" w:rsidP="00BA3E6E">
            <w:pPr>
              <w:pStyle w:val="puces0"/>
            </w:pPr>
            <w:r>
              <w:t>L</w:t>
            </w:r>
            <w:r w:rsidR="00192DA1">
              <w:t>es droits et responsabilités des p</w:t>
            </w:r>
            <w:r w:rsidR="00C546C8">
              <w:t>a</w:t>
            </w:r>
            <w:r w:rsidR="00192DA1">
              <w:t>rents</w:t>
            </w:r>
            <w:r w:rsidR="00C93BC9">
              <w:t xml:space="preserve"> inscrits à la LPJ</w:t>
            </w:r>
            <w:r w:rsidR="00622FE6">
              <w:t>.</w:t>
            </w:r>
          </w:p>
        </w:tc>
      </w:tr>
    </w:tbl>
    <w:p w14:paraId="6741797E" w14:textId="77777777" w:rsidR="009624A9" w:rsidRPr="009624A9" w:rsidRDefault="009624A9" w:rsidP="00F93AC5">
      <w:pPr>
        <w:pStyle w:val="Titre2"/>
      </w:pPr>
      <w:bookmarkStart w:id="112" w:name="_Toc199256862"/>
      <w:bookmarkStart w:id="113" w:name="_Toc201330539"/>
      <w:r w:rsidRPr="009624A9">
        <w:t>4.4</w:t>
      </w:r>
      <w:r w:rsidRPr="009624A9">
        <w:tab/>
        <w:t>Soutenir plus efficacement les parents dans l’exercice de leurs responsabilités parentales à toutes les étapes du projet de vie de leur enfant</w:t>
      </w:r>
      <w:bookmarkEnd w:id="112"/>
      <w:bookmarkEnd w:id="113"/>
      <w:r w:rsidRPr="009624A9">
        <w:t xml:space="preserve"> </w:t>
      </w:r>
    </w:p>
    <w:p w14:paraId="7920A88B" w14:textId="3B4AA1B0" w:rsidR="00BA7A52" w:rsidRPr="00BA7A52" w:rsidRDefault="00BA7A52" w:rsidP="003A1427">
      <w:pPr>
        <w:pStyle w:val="Paragraphe"/>
      </w:pPr>
      <w:r w:rsidRPr="00BA7A52">
        <w:t xml:space="preserve">La CSDEPJ a tiré une très nette </w:t>
      </w:r>
      <w:r w:rsidR="00504D85" w:rsidRPr="00BA7A52">
        <w:t>conclusion</w:t>
      </w:r>
      <w:r w:rsidR="00E0563A">
        <w:t> </w:t>
      </w:r>
      <w:r w:rsidR="00504D85" w:rsidRPr="00BA7A52">
        <w:t>:</w:t>
      </w:r>
      <w:r w:rsidRPr="00BA7A52">
        <w:t xml:space="preserve"> les parents ne reçoivent pas tout le soutien dont ils ont besoin</w:t>
      </w:r>
      <w:r w:rsidR="0085330E">
        <w:rPr>
          <w:rFonts w:ascii="ZWAdobeF" w:hAnsi="ZWAdobeF" w:cs="ZWAdobeF"/>
          <w:sz w:val="2"/>
          <w:szCs w:val="2"/>
        </w:rPr>
        <w:t>192F</w:t>
      </w:r>
      <w:r w:rsidRPr="00BA7A52">
        <w:rPr>
          <w:vertAlign w:val="superscript"/>
        </w:rPr>
        <w:footnoteReference w:id="194"/>
      </w:r>
      <w:r w:rsidRPr="00BA7A52">
        <w:t>. Ses travaux ont mis en évidence que les parents en détresse peinent à obtenir les services dont ils ont besoin, en raison d’une offre de soutien encore trop peu structurée et systémique</w:t>
      </w:r>
      <w:r w:rsidR="0085330E">
        <w:rPr>
          <w:rFonts w:ascii="ZWAdobeF" w:hAnsi="ZWAdobeF" w:cs="ZWAdobeF"/>
          <w:sz w:val="2"/>
          <w:szCs w:val="2"/>
        </w:rPr>
        <w:t>193F</w:t>
      </w:r>
      <w:r w:rsidRPr="00BA7A52">
        <w:rPr>
          <w:vertAlign w:val="superscript"/>
        </w:rPr>
        <w:footnoteReference w:id="195"/>
      </w:r>
      <w:r w:rsidRPr="00BA7A52">
        <w:t>. Entre autres, les programmes d’intervention en négligence sont déployés de façon inégale au Québec</w:t>
      </w:r>
      <w:r w:rsidR="0085330E">
        <w:rPr>
          <w:rFonts w:ascii="ZWAdobeF" w:hAnsi="ZWAdobeF" w:cs="ZWAdobeF"/>
          <w:sz w:val="2"/>
          <w:szCs w:val="2"/>
        </w:rPr>
        <w:t>194F</w:t>
      </w:r>
      <w:r w:rsidRPr="00BA7A52">
        <w:rPr>
          <w:vertAlign w:val="superscript"/>
        </w:rPr>
        <w:footnoteReference w:id="196"/>
      </w:r>
      <w:r w:rsidRPr="00BA7A52">
        <w:t>.</w:t>
      </w:r>
    </w:p>
    <w:p w14:paraId="74EECFF5" w14:textId="77777777" w:rsidR="00BA7A52" w:rsidRPr="00BA7A52" w:rsidRDefault="00BA7A52" w:rsidP="003A1427">
      <w:pPr>
        <w:pStyle w:val="Paragraphe"/>
      </w:pPr>
      <w:r w:rsidRPr="00BA7A52">
        <w:t xml:space="preserve">La Commission des droits dénonce depuis longtemps le manque de services offerts aux parents, s’appuyant sur les informations recueillies dans ses enquêtes et dans les différents jugements de la Chambre de la jeunesse qui lui ont été transmis, dans lesquels des juges déclarent des lésions de droits en raison d’une absence de service. </w:t>
      </w:r>
    </w:p>
    <w:p w14:paraId="08ACE6C3" w14:textId="3559BF64" w:rsidR="00BA7A52" w:rsidRPr="00BA7A52" w:rsidRDefault="00BA7A52" w:rsidP="003A1427">
      <w:pPr>
        <w:pStyle w:val="Paragraphe"/>
      </w:pPr>
      <w:r w:rsidRPr="00BA7A52">
        <w:t xml:space="preserve">Des indices laissant croire que cette situation perdure sont perceptibles dans les décisions analysées puisque moins de la moitié des jugements font mention des services rendus par le DPJ aux parents pour les aider ou les amener à exercer leurs responsabilités parentales depuis que leur enfant a été confié à un milieu de vie substitut. Cette tendance semble confirmée par la perception des procureures et procureurs de l’enfant ayant répondu au </w:t>
      </w:r>
      <w:r w:rsidR="00FD2C49">
        <w:t>sondage</w:t>
      </w:r>
      <w:r w:rsidRPr="00BA7A52">
        <w:t>, lesquels n’estiment pas que la réforme a occasionné des changements sur les services rendus aux parents.</w:t>
      </w:r>
    </w:p>
    <w:p w14:paraId="6C1D8AF3" w14:textId="4313FEE0" w:rsidR="00BA7A52" w:rsidRPr="00BA7A52" w:rsidRDefault="00BA7A52" w:rsidP="003A1427">
      <w:pPr>
        <w:pStyle w:val="Paragraphe"/>
      </w:pPr>
      <w:r w:rsidRPr="00BA7A52">
        <w:lastRenderedPageBreak/>
        <w:t>Pourtant, les décisions analysées révèlent qu’ils sont nombreux à faire face à des défis importants. D’ailleurs, les juges considèrent fréquemment les difficultés personnelles des parents au moment de prendre la décision de confier l’enfant jusqu’à la majorité (toxicomanie, problèmes de santé mentale), les dynamiques familiales (violence conjugale, monoparentalité) et</w:t>
      </w:r>
      <w:r w:rsidR="00B37AFA">
        <w:t>, dans une moindre mesure,</w:t>
      </w:r>
      <w:r w:rsidRPr="00BA7A52">
        <w:t xml:space="preserve"> leur situation socioéconomique (instabilité résidentielle et professionnelle). Il est toutefois impossible de déterminer </w:t>
      </w:r>
      <w:r w:rsidR="00B420A2">
        <w:t>la manière dont</w:t>
      </w:r>
      <w:r w:rsidRPr="00BA7A52">
        <w:t xml:space="preserve"> ces éléments influencent les décisions. </w:t>
      </w:r>
    </w:p>
    <w:p w14:paraId="44686A63" w14:textId="3929BBCC" w:rsidR="00BA7A52" w:rsidRPr="00BA7A52" w:rsidRDefault="00BA7A52" w:rsidP="003A1427">
      <w:pPr>
        <w:pStyle w:val="Paragraphe"/>
      </w:pPr>
      <w:r w:rsidRPr="00BA7A52">
        <w:t>Le manque de services pour les parents est préoccupant dans le contexte où il est largement documenté que leurs problèmes ont des répercussions sur leur enfant, notamment sur leur développement. Ces difficultés d’accès peuvent avoir de graves conséquences sur la situation des enfants et sur l’exercice de leurs droits. La Commission l’a maintes fois constaté dans le cadre de ses enquêtes individuelles ou systémiques</w:t>
      </w:r>
      <w:bookmarkStart w:id="114" w:name="_Ref40355594"/>
      <w:r w:rsidR="0085330E">
        <w:rPr>
          <w:rFonts w:ascii="ZWAdobeF" w:hAnsi="ZWAdobeF" w:cs="ZWAdobeF"/>
          <w:sz w:val="2"/>
          <w:szCs w:val="2"/>
        </w:rPr>
        <w:t>195F</w:t>
      </w:r>
      <w:r w:rsidRPr="00BA7A52">
        <w:rPr>
          <w:vertAlign w:val="superscript"/>
        </w:rPr>
        <w:footnoteReference w:id="197"/>
      </w:r>
      <w:bookmarkEnd w:id="114"/>
      <w:r w:rsidRPr="00BA7A52">
        <w:t>.</w:t>
      </w:r>
      <w:bookmarkStart w:id="115" w:name="_Hlk37942748"/>
    </w:p>
    <w:bookmarkEnd w:id="115"/>
    <w:p w14:paraId="6DC3C982" w14:textId="216CB0CC" w:rsidR="00084148" w:rsidRDefault="00BA7A52" w:rsidP="003A1427">
      <w:pPr>
        <w:pStyle w:val="Paragraphe"/>
      </w:pPr>
      <w:r w:rsidRPr="00BA7A52">
        <w:t>À cet égard, la Commission rappelle que la protection et la stabilité de l’enfant sont indissociables de l’assistance fournie à ses parents. Elle a démontré à de nombreuses occasions le lien étroit entre le droit de la famille à des mesures de soutien et le droit de l’enfant à la protection, à la sécurité et à l’attention que ses parents ou les personnes qui en tiennent lieu peuvent lui donner</w:t>
      </w:r>
      <w:r w:rsidR="0085330E">
        <w:rPr>
          <w:rFonts w:ascii="ZWAdobeF" w:hAnsi="ZWAdobeF" w:cs="ZWAdobeF"/>
          <w:sz w:val="2"/>
          <w:szCs w:val="2"/>
        </w:rPr>
        <w:t>196F</w:t>
      </w:r>
      <w:r w:rsidRPr="00BA7A52">
        <w:rPr>
          <w:vertAlign w:val="superscript"/>
        </w:rPr>
        <w:footnoteReference w:id="198"/>
      </w:r>
      <w:r w:rsidRPr="00BA7A52">
        <w:t>. L’intervention précoce auprès des jeunes en difficulté, ainsi que l’accès continu aux services jusqu’à leur majorité, apparaissent comme des mesures essentielles par lesquelles les services publics devraient concrétiser leur contribution au développement et à la sécurité des enfants, de même qu’au soutien aux familles</w:t>
      </w:r>
      <w:r w:rsidR="0085330E">
        <w:rPr>
          <w:rFonts w:ascii="ZWAdobeF" w:hAnsi="ZWAdobeF" w:cs="ZWAdobeF"/>
          <w:sz w:val="2"/>
          <w:szCs w:val="2"/>
        </w:rPr>
        <w:t>197F</w:t>
      </w:r>
      <w:r w:rsidRPr="00BA7A52">
        <w:rPr>
          <w:vertAlign w:val="superscript"/>
        </w:rPr>
        <w:footnoteReference w:id="199"/>
      </w:r>
      <w:r w:rsidRPr="00BA7A52">
        <w:t xml:space="preserve">. </w:t>
      </w:r>
    </w:p>
    <w:p w14:paraId="74C63732" w14:textId="79CB7FEF" w:rsidR="00BA7A52" w:rsidRPr="00BA7A52" w:rsidRDefault="00BA7A52" w:rsidP="003A1427">
      <w:pPr>
        <w:pStyle w:val="Paragraphe"/>
        <w:rPr>
          <w:b/>
          <w:i/>
        </w:rPr>
      </w:pPr>
      <w:r w:rsidRPr="00BA7A52">
        <w:t>Les données recueillies dans le présent rapport ne permettent pas d’évaluer l’application des programmes existants, mais elles montrent que la présence de négligence, particulièrement le risque sérieux de négligence et la négligence sur le plan éducatif, est une composante fréquente des situations analysées menant au placement jusqu’à la majorité</w:t>
      </w:r>
      <w:r w:rsidR="009F220C">
        <w:t xml:space="preserve">, et ce, </w:t>
      </w:r>
      <w:r w:rsidR="00831F38">
        <w:t>pour tous les groupes d’âge d’enfant</w:t>
      </w:r>
      <w:r w:rsidR="00940702">
        <w:t>s</w:t>
      </w:r>
      <w:r w:rsidRPr="00BA7A52">
        <w:t>.</w:t>
      </w:r>
      <w:r w:rsidR="00AC3A12">
        <w:t xml:space="preserve"> </w:t>
      </w:r>
      <w:r w:rsidR="00D8768A">
        <w:t xml:space="preserve">Il est </w:t>
      </w:r>
      <w:r w:rsidR="00A06D7D">
        <w:t xml:space="preserve">particulièrement </w:t>
      </w:r>
      <w:r w:rsidR="00D8768A">
        <w:t>pré</w:t>
      </w:r>
      <w:r w:rsidR="00C97C89">
        <w:t xml:space="preserve">occupant de constater </w:t>
      </w:r>
      <w:r w:rsidR="0040378A">
        <w:t>que</w:t>
      </w:r>
      <w:r w:rsidR="00EE40DE">
        <w:t xml:space="preserve"> </w:t>
      </w:r>
      <w:r w:rsidR="00084148" w:rsidRPr="006D05AA">
        <w:t>le risque sérieux de négligence est de loin le motif de compromission le plus fréquent</w:t>
      </w:r>
      <w:r w:rsidR="002114E2" w:rsidRPr="002114E2">
        <w:t xml:space="preserve"> </w:t>
      </w:r>
      <w:r w:rsidR="002114E2">
        <w:t xml:space="preserve">dans </w:t>
      </w:r>
      <w:r w:rsidR="002114E2" w:rsidRPr="006D05AA">
        <w:t>les décisions concernant des enfants de 0 à 23</w:t>
      </w:r>
      <w:r w:rsidR="00322ADA">
        <w:t> </w:t>
      </w:r>
      <w:r w:rsidR="002114E2" w:rsidRPr="006D05AA">
        <w:t>mois</w:t>
      </w:r>
      <w:r w:rsidR="002114E2">
        <w:t>.</w:t>
      </w:r>
    </w:p>
    <w:p w14:paraId="73407432" w14:textId="61C74312" w:rsidR="00BA7A52" w:rsidRPr="00BA7A52" w:rsidRDefault="00BA7A52" w:rsidP="003A1427">
      <w:pPr>
        <w:pStyle w:val="Paragraphe"/>
      </w:pPr>
      <w:r w:rsidRPr="00BA7A52">
        <w:t>La Commission continue de croire qu’il est impératif que l’obligation d’offrir des services ciblés aux parents, qui répondent à leurs besoins et contrecarrent les facteurs de risque de maltraitance, soit plus contraignante</w:t>
      </w:r>
      <w:r w:rsidR="0085330E">
        <w:rPr>
          <w:rFonts w:ascii="ZWAdobeF" w:hAnsi="ZWAdobeF" w:cs="ZWAdobeF"/>
          <w:sz w:val="2"/>
          <w:szCs w:val="2"/>
        </w:rPr>
        <w:t>198F</w:t>
      </w:r>
      <w:r w:rsidRPr="00BA7A52">
        <w:rPr>
          <w:vertAlign w:val="superscript"/>
        </w:rPr>
        <w:footnoteReference w:id="200"/>
      </w:r>
      <w:r w:rsidRPr="00BA7A52">
        <w:t>. Par exemple, la réforme de la LPJ de 2022 devait renforcer la prise en compte des facteurs socioéconomiques, comme élément déterminant de l’intérêt de l’enfant. Cet élément ne reçoit toutefois pas une attention marquée dans les décisions analysées.</w:t>
      </w:r>
    </w:p>
    <w:p w14:paraId="0AB685E6" w14:textId="035C29B3" w:rsidR="00BA7A52" w:rsidRPr="00BA7A52" w:rsidRDefault="00BA7A52" w:rsidP="003A1427">
      <w:pPr>
        <w:pStyle w:val="Paragraphe"/>
      </w:pPr>
      <w:r w:rsidRPr="00BA7A52">
        <w:lastRenderedPageBreak/>
        <w:t>La seule prescription d’impliquer les parents dans la perspective de les amener ou de les aider à exercer leurs responsabilités parentales est nettement insuffisante, particulièrement dans le contexte où il est envisagé de confier l’enfant à un milieu de vie substitut jusqu’à la majorité. Pour éviter que l’impossibilité des parents d’assurer la sécurité ou le développement de leur enfant ne résulte des carences des ressources étatiques ou communautaires, des mesures de plus large portée sont nécessaires.</w:t>
      </w:r>
    </w:p>
    <w:p w14:paraId="173B730B" w14:textId="515DD694" w:rsidR="00BA7A52" w:rsidRPr="00BA7A52" w:rsidRDefault="00BA7A52" w:rsidP="003A1427">
      <w:pPr>
        <w:pStyle w:val="Paragraphe"/>
      </w:pPr>
      <w:r w:rsidRPr="00BA7A52">
        <w:t>Dans son précédent rapport de mise en œuvre de la LPJ, la Commission a posé des constats majeurs quant à l’accès aux services</w:t>
      </w:r>
      <w:r w:rsidR="0085330E">
        <w:rPr>
          <w:rFonts w:ascii="ZWAdobeF" w:hAnsi="ZWAdobeF" w:cs="ZWAdobeF"/>
          <w:sz w:val="2"/>
          <w:szCs w:val="2"/>
        </w:rPr>
        <w:t>199F</w:t>
      </w:r>
      <w:r w:rsidRPr="00BA7A52">
        <w:rPr>
          <w:vertAlign w:val="superscript"/>
        </w:rPr>
        <w:footnoteReference w:id="201"/>
      </w:r>
      <w:r w:rsidRPr="00BA7A52">
        <w:t>. Après avoir expliqué qu’il revenait au gouvernement d’accorder l’aide appropriée dans l</w:t>
      </w:r>
      <w:r w:rsidR="006A114C">
        <w:t>’</w:t>
      </w:r>
      <w:r w:rsidRPr="00BA7A52">
        <w:t>exercice de leur responsabilité envers leur enfant, elle prescrivait qu’il doi</w:t>
      </w:r>
      <w:r w:rsidR="00C80116">
        <w:t>ve</w:t>
      </w:r>
      <w:r w:rsidRPr="00BA7A52">
        <w:t xml:space="preserve"> s’assurer que les mesures de protection doivent inclure des programmes sociaux</w:t>
      </w:r>
      <w:r w:rsidR="00B661EE">
        <w:t>,</w:t>
      </w:r>
      <w:r w:rsidRPr="00BA7A52">
        <w:t xml:space="preserve"> lesquels doivent fournir l</w:t>
      </w:r>
      <w:r w:rsidR="006A114C">
        <w:t>’</w:t>
      </w:r>
      <w:r w:rsidRPr="00BA7A52">
        <w:t>appui nécessaire à l</w:t>
      </w:r>
      <w:r w:rsidR="006A114C">
        <w:t>’</w:t>
      </w:r>
      <w:r w:rsidRPr="00BA7A52">
        <w:t>enfant et à ceux à qui il est confié</w:t>
      </w:r>
      <w:r w:rsidR="0085330E">
        <w:rPr>
          <w:rFonts w:ascii="ZWAdobeF" w:hAnsi="ZWAdobeF" w:cs="ZWAdobeF"/>
          <w:sz w:val="2"/>
          <w:szCs w:val="2"/>
        </w:rPr>
        <w:t>200F</w:t>
      </w:r>
      <w:r w:rsidRPr="00BA7A52">
        <w:rPr>
          <w:vertAlign w:val="superscript"/>
        </w:rPr>
        <w:footnoteReference w:id="202"/>
      </w:r>
      <w:r w:rsidRPr="00BA7A52">
        <w:t>.   En ce sens, la CSDEPJ a lancé un message fort sur la nécessité d’«</w:t>
      </w:r>
      <w:r w:rsidR="00D96428">
        <w:rPr>
          <w:rFonts w:ascii="Arial" w:hAnsi="Arial" w:cs="Arial"/>
        </w:rPr>
        <w:t> </w:t>
      </w:r>
      <w:r w:rsidRPr="00BA7A52">
        <w:t>investir pour offrir le bon service, au bon moment</w:t>
      </w:r>
      <w:r w:rsidR="00D96428">
        <w:rPr>
          <w:rFonts w:ascii="Arial" w:hAnsi="Arial" w:cs="Arial"/>
        </w:rPr>
        <w:t> </w:t>
      </w:r>
      <w:r w:rsidRPr="00BA7A52">
        <w:t>»</w:t>
      </w:r>
      <w:r w:rsidR="0085330E">
        <w:rPr>
          <w:rFonts w:ascii="ZWAdobeF" w:hAnsi="ZWAdobeF" w:cs="ZWAdobeF"/>
          <w:sz w:val="2"/>
          <w:szCs w:val="2"/>
        </w:rPr>
        <w:t>201F</w:t>
      </w:r>
      <w:r w:rsidRPr="00BA7A52">
        <w:rPr>
          <w:vertAlign w:val="superscript"/>
        </w:rPr>
        <w:footnoteReference w:id="203"/>
      </w:r>
      <w:r w:rsidRPr="00BA7A52">
        <w:t>. Ses recommandations, notamment celle d’investir massivement dans les services de prévention, rejoignent à différents niveaux celles formulées par la Commission</w:t>
      </w:r>
      <w:r w:rsidR="0085330E">
        <w:rPr>
          <w:rFonts w:ascii="ZWAdobeF" w:hAnsi="ZWAdobeF" w:cs="ZWAdobeF"/>
          <w:sz w:val="2"/>
          <w:szCs w:val="2"/>
        </w:rPr>
        <w:t>202F</w:t>
      </w:r>
      <w:r w:rsidRPr="00BA7A52">
        <w:rPr>
          <w:vertAlign w:val="superscript"/>
        </w:rPr>
        <w:footnoteReference w:id="204"/>
      </w:r>
      <w:r w:rsidRPr="00BA7A52">
        <w:t>.</w:t>
      </w:r>
    </w:p>
    <w:p w14:paraId="5EB92018" w14:textId="17FDC409" w:rsidR="00BA7A52" w:rsidRPr="00BA7A52" w:rsidRDefault="00BA7A52" w:rsidP="003A1427">
      <w:pPr>
        <w:pStyle w:val="Paragraphe"/>
      </w:pPr>
      <w:r w:rsidRPr="00BA7A52">
        <w:t>À ce propos, soulignons que la Cour d’appel du Québec a rendu une décision en avril 2025 où elle énonce pour la première fois que les ressources limitées, bien qu’elles puissent expliquer des délais, ne peuvent être utilisé</w:t>
      </w:r>
      <w:r w:rsidR="007B0EBD">
        <w:t>e</w:t>
      </w:r>
      <w:r w:rsidRPr="00BA7A52">
        <w:t>s comme argument pour justifier des atteintes aux droits de l’enfant</w:t>
      </w:r>
      <w:r w:rsidR="0085330E">
        <w:rPr>
          <w:rFonts w:ascii="ZWAdobeF" w:hAnsi="ZWAdobeF" w:cs="ZWAdobeF"/>
          <w:sz w:val="2"/>
          <w:szCs w:val="2"/>
        </w:rPr>
        <w:t>203F</w:t>
      </w:r>
      <w:r w:rsidRPr="00BA7A52">
        <w:rPr>
          <w:vertAlign w:val="superscript"/>
        </w:rPr>
        <w:footnoteReference w:id="205"/>
      </w:r>
      <w:r w:rsidRPr="00BA7A52">
        <w:t>. Il est permis de croire qu’il en est de même pour les services offerts aux parents. La décision souligne, comme l’avait plaidé la Commission des droits, que les droits à la protection et à la sécurité de l’enfant doivent primer sur toute considération administrative ou organisationnelle. Le jugement précise également que lorsque la situation de l’enfant est grave, tout délai excessif dans l’intervention est considéré comme déraisonnable et constitue une violation de ses droits.  </w:t>
      </w:r>
    </w:p>
    <w:p w14:paraId="7F113446" w14:textId="7D563FB1" w:rsidR="00BA7A52" w:rsidRPr="00BA7A52" w:rsidRDefault="00BA7A52" w:rsidP="003A1427">
      <w:pPr>
        <w:pStyle w:val="Paragraphe"/>
      </w:pPr>
      <w:r w:rsidRPr="00BA7A52">
        <w:t>De façon complémentaire aux ressources financières à injecter dans les services de protection, la LPJ doit constituer un levier pour renforcer l’obligation d’offrir les services destinés aux parents pour les soutenir dans leur rôle. Agir dans l’intérêt de l’enfant signifie qu’il fait partie de la responsabilité collective d’outiller les parents à leur offrir un environnement qui réponde à leurs besoins. À cette fin, la Commission estime nécessaire de réitérer sa recommandation de modifier la LPJ pour autoriser le tribunal à ordonner que les établissements et les organismes concernés fournissent les services requis aux parents pour leur permettre d’assumer pleinement, dans la mesure du possible, leurs responsabilités parentales</w:t>
      </w:r>
      <w:r w:rsidR="0085330E">
        <w:rPr>
          <w:rFonts w:ascii="ZWAdobeF" w:hAnsi="ZWAdobeF" w:cs="ZWAdobeF"/>
          <w:sz w:val="2"/>
          <w:szCs w:val="2"/>
        </w:rPr>
        <w:t>204F</w:t>
      </w:r>
      <w:r w:rsidRPr="00BA7A52">
        <w:rPr>
          <w:vertAlign w:val="superscript"/>
        </w:rPr>
        <w:footnoteReference w:id="206"/>
      </w:r>
      <w:r w:rsidRPr="00BA7A52">
        <w:t xml:space="preserve">. </w:t>
      </w:r>
    </w:p>
    <w:p w14:paraId="520F4F6C" w14:textId="6E019B5E" w:rsidR="00BA7A52" w:rsidRPr="00BA7A52" w:rsidRDefault="00BA7A52" w:rsidP="003A1427">
      <w:pPr>
        <w:pStyle w:val="Paragraphe"/>
      </w:pPr>
      <w:r w:rsidRPr="00BA7A52">
        <w:lastRenderedPageBreak/>
        <w:t>À ce propos, précisons que l’article</w:t>
      </w:r>
      <w:r w:rsidR="00104A0F">
        <w:t> </w:t>
      </w:r>
      <w:r w:rsidRPr="00BA7A52">
        <w:t xml:space="preserve">91 de la LPJ énumère les mesures que le tribunal peut ordonner. </w:t>
      </w:r>
      <w:r w:rsidRPr="00BA7A52">
        <w:rPr>
          <w:rFonts w:hint="eastAsia"/>
        </w:rPr>
        <w:t>À</w:t>
      </w:r>
      <w:r w:rsidRPr="00BA7A52">
        <w:t xml:space="preserve"> l’exception de l’alin</w:t>
      </w:r>
      <w:r w:rsidRPr="00BA7A52">
        <w:rPr>
          <w:rFonts w:hint="eastAsia"/>
        </w:rPr>
        <w:t>é</w:t>
      </w:r>
      <w:r w:rsidRPr="00BA7A52">
        <w:t>a</w:t>
      </w:r>
      <w:r w:rsidR="00104A0F">
        <w:t> </w:t>
      </w:r>
      <w:r w:rsidRPr="00BA7A52">
        <w:t>1f), la disposition ne vise pas explicitement la prestation de services sociaux aux parents. Cela étant, le tribunal ne peut qu’</w:t>
      </w:r>
      <w:r w:rsidRPr="00BA7A52">
        <w:rPr>
          <w:rFonts w:hint="eastAsia"/>
        </w:rPr>
        <w:t>é</w:t>
      </w:r>
      <w:r w:rsidRPr="00BA7A52">
        <w:t>mettre des recommandations à ce sujet</w:t>
      </w:r>
      <w:r w:rsidR="0085330E">
        <w:rPr>
          <w:rFonts w:ascii="ZWAdobeF" w:hAnsi="ZWAdobeF" w:cs="ZWAdobeF"/>
          <w:sz w:val="2"/>
          <w:szCs w:val="2"/>
        </w:rPr>
        <w:t>205F</w:t>
      </w:r>
      <w:r w:rsidRPr="00BA7A52">
        <w:rPr>
          <w:vertAlign w:val="superscript"/>
        </w:rPr>
        <w:footnoteReference w:id="207"/>
      </w:r>
      <w:r w:rsidRPr="00BA7A52">
        <w:t>. Cela est préoccupant sachant qu’il est démontré que le droit de recevoir des services est invoqué et reconnu essentiellement aux enfants mais pas aux parents</w:t>
      </w:r>
      <w:r w:rsidR="0085330E">
        <w:rPr>
          <w:rFonts w:ascii="ZWAdobeF" w:hAnsi="ZWAdobeF" w:cs="ZWAdobeF"/>
          <w:sz w:val="2"/>
          <w:szCs w:val="2"/>
        </w:rPr>
        <w:t>206F</w:t>
      </w:r>
      <w:r w:rsidRPr="00BA7A52">
        <w:rPr>
          <w:vertAlign w:val="superscript"/>
        </w:rPr>
        <w:footnoteReference w:id="208"/>
      </w:r>
      <w:r w:rsidRPr="00BA7A52">
        <w:t>.</w:t>
      </w:r>
    </w:p>
    <w:p w14:paraId="3066D4F3" w14:textId="2B957DAE" w:rsidR="00BA7A52" w:rsidRPr="00BA7A52" w:rsidRDefault="00BA7A52" w:rsidP="003A1427">
      <w:pPr>
        <w:pStyle w:val="Paragraphe"/>
      </w:pPr>
      <w:r w:rsidRPr="00BA7A52">
        <w:t xml:space="preserve">La Commission est d’avis que le soutien aux parents constitue un gage essentiel de la stabilité de l’enfant, participant de ce fait au respect de ses droits et de son intérêt. </w:t>
      </w:r>
      <w:r w:rsidR="000B53B5">
        <w:t xml:space="preserve">La </w:t>
      </w:r>
      <w:r w:rsidRPr="00BA7A52">
        <w:t xml:space="preserve">recommandation </w:t>
      </w:r>
      <w:r w:rsidR="000B53B5">
        <w:t xml:space="preserve">alors formulée </w:t>
      </w:r>
      <w:r w:rsidRPr="00BA7A52">
        <w:t>prend tout son sens dans le contexte des résultats de la présente analyse où les décisions analysées montrent qu’une majorité de parents continueront à prendre les décisions importantes pour leur enfant confié à un milieu de vie substitut jusqu’à la majorité, conservant des attributs de l’autorité parentale.</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2"/>
      </w:tblGrid>
      <w:tr w:rsidR="005418CD" w14:paraId="4D76F89B" w14:textId="77777777" w:rsidTr="00CC5A23">
        <w:tc>
          <w:tcPr>
            <w:tcW w:w="5000" w:type="pct"/>
            <w:shd w:val="clear" w:color="auto" w:fill="E9F8FB"/>
          </w:tcPr>
          <w:p w14:paraId="7F2ED268" w14:textId="0B4F0EA5" w:rsidR="005418CD" w:rsidRDefault="005418CD" w:rsidP="006039D4">
            <w:pPr>
              <w:pStyle w:val="TitreRecommandation"/>
            </w:pPr>
            <w:bookmarkStart w:id="116" w:name="_Hlk200550358"/>
            <w:r>
              <w:t>Recommandation</w:t>
            </w:r>
            <w:r w:rsidR="00104A0F">
              <w:t> </w:t>
            </w:r>
            <w:r>
              <w:t>6</w:t>
            </w:r>
          </w:p>
          <w:p w14:paraId="424ADFC2" w14:textId="37DAFF91" w:rsidR="005418CD" w:rsidRPr="00640E95" w:rsidRDefault="005418CD">
            <w:pPr>
              <w:tabs>
                <w:tab w:val="left" w:pos="113"/>
              </w:tabs>
              <w:suppressAutoHyphens w:val="0"/>
              <w:autoSpaceDE/>
              <w:autoSpaceDN/>
              <w:adjustRightInd/>
              <w:spacing w:before="120" w:after="240"/>
              <w:ind w:left="708" w:right="284"/>
              <w:jc w:val="left"/>
              <w:textAlignment w:val="auto"/>
              <w:rPr>
                <w:lang w:eastAsia="fr-CA"/>
              </w:rPr>
            </w:pPr>
            <w:r w:rsidRPr="3C7496CB">
              <w:rPr>
                <w:rFonts w:eastAsia="Calibri" w:cs="Times New Roman"/>
                <w:color w:val="000000" w:themeColor="text1"/>
                <w:shd w:val="clear" w:color="auto" w:fill="E9F8FB"/>
                <w:lang w:eastAsia="fr-CA"/>
              </w:rPr>
              <w:t>La Commission réitère sa recommandation de modifier l’article</w:t>
            </w:r>
            <w:r w:rsidR="00104A0F">
              <w:rPr>
                <w:rFonts w:eastAsia="Calibri" w:cs="Times New Roman"/>
                <w:color w:val="000000" w:themeColor="text1"/>
                <w:shd w:val="clear" w:color="auto" w:fill="E9F8FB"/>
                <w:lang w:eastAsia="fr-CA"/>
              </w:rPr>
              <w:t> </w:t>
            </w:r>
            <w:r w:rsidRPr="3C7496CB">
              <w:rPr>
                <w:rFonts w:eastAsia="Calibri" w:cs="Times New Roman"/>
                <w:color w:val="000000" w:themeColor="text1"/>
                <w:shd w:val="clear" w:color="auto" w:fill="E9F8FB"/>
                <w:lang w:eastAsia="fr-CA"/>
              </w:rPr>
              <w:t>91 de la LPJ afin d’autoriser le tribunal à ordonner que les établissements et organismes concernés fournissent les services requis aux parents pour leur permettre d’assumer pleinement, dans la mesure du possible, leurs responsabilités parentales</w:t>
            </w:r>
            <w:r w:rsidRPr="177C3471">
              <w:rPr>
                <w:rFonts w:eastAsia="Calibri" w:cs="Times New Roman"/>
                <w:color w:val="000000" w:themeColor="text1"/>
                <w:lang w:eastAsia="fr-CA"/>
              </w:rPr>
              <w:t xml:space="preserve"> dans </w:t>
            </w:r>
            <w:r>
              <w:rPr>
                <w:rFonts w:eastAsia="Calibri" w:cs="Times New Roman"/>
                <w:color w:val="000000" w:themeColor="text1"/>
                <w:lang w:eastAsia="fr-CA"/>
              </w:rPr>
              <w:t>l’</w:t>
            </w:r>
            <w:r w:rsidRPr="177C3471">
              <w:rPr>
                <w:rFonts w:eastAsia="Calibri" w:cs="Times New Roman"/>
                <w:color w:val="000000" w:themeColor="text1"/>
                <w:lang w:eastAsia="fr-CA"/>
              </w:rPr>
              <w:t>intérêt de l’enfant</w:t>
            </w:r>
            <w:r w:rsidRPr="3C7496CB">
              <w:rPr>
                <w:rFonts w:eastAsia="Calibri" w:cs="Times New Roman"/>
                <w:color w:val="000000" w:themeColor="text1"/>
                <w:shd w:val="clear" w:color="auto" w:fill="E9F8FB"/>
                <w:lang w:eastAsia="fr-CA"/>
              </w:rPr>
              <w:t>.</w:t>
            </w:r>
          </w:p>
        </w:tc>
      </w:tr>
    </w:tbl>
    <w:bookmarkEnd w:id="116"/>
    <w:p w14:paraId="6C094627" w14:textId="4EB25491" w:rsidR="00260BC3" w:rsidRPr="00260BC3" w:rsidRDefault="00260BC3" w:rsidP="003A1427">
      <w:pPr>
        <w:pStyle w:val="Paragraphe"/>
      </w:pPr>
      <w:r w:rsidRPr="00260BC3">
        <w:t xml:space="preserve">Comme cette recommandation doit aller de pair avec l’investissement dans les services destinés aux enfants et aux familles, la Commission réitère l’importance pour le gouvernement de s’assurer que les services requis pour protéger les enfants soient déployés lorsque nécessaires. </w:t>
      </w:r>
      <w:r w:rsidR="00B420A2">
        <w:t>Ceci</w:t>
      </w:r>
      <w:r w:rsidRPr="00260BC3">
        <w:t xml:space="preserve"> inclut incidemment les services à leur famille. Parmi les priorités de financement, nommons le </w:t>
      </w:r>
      <w:r w:rsidR="00146A7D">
        <w:t>P</w:t>
      </w:r>
      <w:r w:rsidRPr="00260BC3">
        <w:t>rogramme jeunesse qui englobe divers services et initiatives destinés aux jeunes, dont les services de proximité axés sur le soutien aux jeunes en difficulté (JED) et leurs familles</w:t>
      </w:r>
      <w:r w:rsidR="0085330E">
        <w:rPr>
          <w:rFonts w:ascii="ZWAdobeF" w:hAnsi="ZWAdobeF" w:cs="ZWAdobeF"/>
          <w:sz w:val="2"/>
          <w:szCs w:val="2"/>
        </w:rPr>
        <w:t>207F</w:t>
      </w:r>
      <w:r w:rsidRPr="00146A7D">
        <w:rPr>
          <w:vertAlign w:val="superscript"/>
        </w:rPr>
        <w:footnoteReference w:id="209"/>
      </w:r>
      <w:r w:rsidRPr="00260BC3">
        <w:t>, pour répondre aux problèmes liés au développement, à la violence et aux relations familiales.</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2"/>
      </w:tblGrid>
      <w:tr w:rsidR="00394811" w14:paraId="1DC3E481" w14:textId="77777777" w:rsidTr="00CC5A23">
        <w:tc>
          <w:tcPr>
            <w:tcW w:w="5000" w:type="pct"/>
            <w:shd w:val="clear" w:color="auto" w:fill="E9F8FB"/>
          </w:tcPr>
          <w:p w14:paraId="55EDD872" w14:textId="6333D0BE" w:rsidR="00394811" w:rsidRDefault="00394811" w:rsidP="006039D4">
            <w:pPr>
              <w:pStyle w:val="TitreRecommandation"/>
            </w:pPr>
            <w:bookmarkStart w:id="117" w:name="_Hlk201327518"/>
            <w:r>
              <w:t>Recommandation</w:t>
            </w:r>
            <w:r w:rsidR="00104A0F">
              <w:t> </w:t>
            </w:r>
            <w:r>
              <w:t>7</w:t>
            </w:r>
          </w:p>
          <w:p w14:paraId="20956156" w14:textId="549BCAF7" w:rsidR="00394811" w:rsidRPr="00640E95" w:rsidRDefault="007E3B0F">
            <w:pPr>
              <w:tabs>
                <w:tab w:val="left" w:pos="113"/>
              </w:tabs>
              <w:suppressAutoHyphens w:val="0"/>
              <w:autoSpaceDE/>
              <w:autoSpaceDN/>
              <w:adjustRightInd/>
              <w:spacing w:before="120" w:after="240"/>
              <w:ind w:left="708" w:right="284"/>
              <w:jc w:val="left"/>
              <w:textAlignment w:val="auto"/>
              <w:rPr>
                <w:lang w:eastAsia="fr-CA"/>
              </w:rPr>
            </w:pPr>
            <w:r w:rsidRPr="007E3B0F">
              <w:rPr>
                <w:rFonts w:eastAsia="Calibri" w:cs="Times New Roman"/>
                <w:color w:val="000000" w:themeColor="text1"/>
                <w:shd w:val="clear" w:color="auto" w:fill="E9F8FB"/>
                <w:lang w:eastAsia="fr-CA"/>
              </w:rPr>
              <w:t>La Commission recommande au gouvernement de s’assurer que les sommes nécessaires sont allouées pour que l’ensemble des enfants et familles bénéficient au Québec des services qui répondent à leurs besoins de protection, dont ceux prévus dans le programme jeunesse</w:t>
            </w:r>
            <w:r w:rsidR="00394811" w:rsidRPr="3C7496CB">
              <w:rPr>
                <w:rFonts w:eastAsia="Calibri" w:cs="Times New Roman"/>
                <w:color w:val="000000" w:themeColor="text1"/>
                <w:shd w:val="clear" w:color="auto" w:fill="E9F8FB"/>
                <w:lang w:eastAsia="fr-CA"/>
              </w:rPr>
              <w:t>.</w:t>
            </w:r>
          </w:p>
        </w:tc>
      </w:tr>
    </w:tbl>
    <w:bookmarkEnd w:id="117"/>
    <w:p w14:paraId="35EBDD45" w14:textId="3745CAE7" w:rsidR="00D51287" w:rsidRPr="00D51287" w:rsidRDefault="00D51287" w:rsidP="003A1427">
      <w:pPr>
        <w:pStyle w:val="Paragraphe"/>
      </w:pPr>
      <w:r w:rsidRPr="00D51287">
        <w:lastRenderedPageBreak/>
        <w:t>Un des constats importants de la CSDEPJ au sujet des services à offrir aux parents, dans une optique de prévention, est celui voulant que ces derniers aient besoin d’accompagnement pour naviguer entre les services</w:t>
      </w:r>
      <w:r w:rsidR="0085330E">
        <w:rPr>
          <w:rFonts w:ascii="ZWAdobeF" w:hAnsi="ZWAdobeF" w:cs="ZWAdobeF"/>
          <w:sz w:val="2"/>
          <w:szCs w:val="2"/>
        </w:rPr>
        <w:t>208F</w:t>
      </w:r>
      <w:r w:rsidRPr="00D51287">
        <w:rPr>
          <w:vertAlign w:val="superscript"/>
        </w:rPr>
        <w:footnoteReference w:id="210"/>
      </w:r>
      <w:r w:rsidRPr="00D51287">
        <w:t>. D’autres importants constats pointent vers un manque de soutien dans le processus d’intervention pour les familles en difficulté</w:t>
      </w:r>
      <w:r w:rsidR="0085330E">
        <w:rPr>
          <w:rFonts w:ascii="ZWAdobeF" w:hAnsi="ZWAdobeF" w:cs="ZWAdobeF"/>
          <w:sz w:val="2"/>
          <w:szCs w:val="2"/>
        </w:rPr>
        <w:t>209F</w:t>
      </w:r>
      <w:r w:rsidRPr="00D51287">
        <w:rPr>
          <w:vertAlign w:val="superscript"/>
        </w:rPr>
        <w:footnoteReference w:id="211"/>
      </w:r>
      <w:r w:rsidRPr="00D51287">
        <w:t xml:space="preserve">. </w:t>
      </w:r>
    </w:p>
    <w:p w14:paraId="31CDF455" w14:textId="259020B9" w:rsidR="004F7D23" w:rsidRPr="004F7D23" w:rsidRDefault="00D51287" w:rsidP="003A1427">
      <w:pPr>
        <w:pStyle w:val="Paragraphe"/>
      </w:pPr>
      <w:r w:rsidRPr="00D51287">
        <w:t>Mentionnons que déjà en 2011, l’étude réalisée en vertu de l’article</w:t>
      </w:r>
      <w:r w:rsidR="00104A0F">
        <w:t> </w:t>
      </w:r>
      <w:r w:rsidRPr="00D51287">
        <w:t>156.2 de la LPJ sur la stabilité et les conditions de vie des enfants recommandait de faire un examen approfondi de l’offre de services sociaux aux jeunes et aux familles en difficulté afin de proposer un plan d’action qui assure l’accès aux services et la continuité interorganisationnelle des actions</w:t>
      </w:r>
      <w:r w:rsidR="0085330E">
        <w:rPr>
          <w:rFonts w:ascii="ZWAdobeF" w:hAnsi="ZWAdobeF" w:cs="ZWAdobeF"/>
          <w:sz w:val="2"/>
          <w:szCs w:val="2"/>
        </w:rPr>
        <w:t>210F</w:t>
      </w:r>
      <w:r w:rsidRPr="00D51287">
        <w:rPr>
          <w:vertAlign w:val="superscript"/>
        </w:rPr>
        <w:footnoteReference w:id="212"/>
      </w:r>
      <w:r w:rsidRPr="00D51287">
        <w:t>.</w:t>
      </w:r>
      <w:r w:rsidR="004F7D23">
        <w:t xml:space="preserve"> </w:t>
      </w:r>
      <w:r w:rsidR="0038627C">
        <w:t xml:space="preserve">L’étude réalisée en 2015 </w:t>
      </w:r>
      <w:r w:rsidR="003050F6">
        <w:t>recommandait de p</w:t>
      </w:r>
      <w:r w:rsidR="004F7D23" w:rsidRPr="004F7D23">
        <w:t>oursuivre les efforts afin d’assurer l’intensité des services aux parents et aux enfants, notamment en octroyant les ressources nécessaires à la prestation de services</w:t>
      </w:r>
      <w:r w:rsidR="0085330E">
        <w:rPr>
          <w:rFonts w:ascii="ZWAdobeF" w:hAnsi="ZWAdobeF" w:cs="ZWAdobeF"/>
          <w:sz w:val="2"/>
          <w:szCs w:val="2"/>
        </w:rPr>
        <w:t>211F</w:t>
      </w:r>
      <w:r w:rsidR="003050F6">
        <w:rPr>
          <w:rStyle w:val="Appelnotedebasdep"/>
        </w:rPr>
        <w:footnoteReference w:id="213"/>
      </w:r>
      <w:r w:rsidR="004F7D23" w:rsidRPr="004F7D23">
        <w:t>.</w:t>
      </w:r>
    </w:p>
    <w:p w14:paraId="3E2CB56E" w14:textId="6AC835E6" w:rsidR="00D51287" w:rsidRPr="00D51287" w:rsidRDefault="00D51287" w:rsidP="003A1427">
      <w:pPr>
        <w:pStyle w:val="Paragraphe"/>
      </w:pPr>
      <w:r w:rsidRPr="00D51287">
        <w:t xml:space="preserve">L’inadéquation des services dispensés aux parents affecte leur capacité à agir et à sentir qu’ils ont un rôle important à jouer dans les décisions prises concernant leur enfant, dont celles relatives au processus décisionnel menant au projet de vie de leur enfant. La Commission remarque à cet égard que les parents sont, dans une très grande majorité, impliqués dans ce processus, mais près de la moitié d’entre eux contestent le projet de vie de confier leur enfant à un milieu de vie substitut jusqu’à la majorité. </w:t>
      </w:r>
    </w:p>
    <w:p w14:paraId="54390AE3" w14:textId="25442DA7" w:rsidR="00D51287" w:rsidRPr="00D51287" w:rsidRDefault="00D51287" w:rsidP="003A1427">
      <w:pPr>
        <w:pStyle w:val="Paragraphe"/>
      </w:pPr>
      <w:r w:rsidRPr="00D51287">
        <w:t>La récente enquête systémique menée par la Commission en Mauricie–Centre-du-Québec a mis en lumière que des parents avaient été laissés à eux-mêmes une fois la situation de leur enfant prise en charge. Plusieurs d’entre eux n’avaient bénéficié d’aucun soutien et d’aucune ressource, même dans le cas où eux-mêmes en ont fait la demande à la DPJ</w:t>
      </w:r>
      <w:r w:rsidR="0085330E">
        <w:rPr>
          <w:rFonts w:ascii="ZWAdobeF" w:hAnsi="ZWAdobeF" w:cs="ZWAdobeF"/>
          <w:sz w:val="2"/>
          <w:szCs w:val="2"/>
        </w:rPr>
        <w:t>212F</w:t>
      </w:r>
      <w:r w:rsidRPr="00D51287">
        <w:rPr>
          <w:vertAlign w:val="superscript"/>
        </w:rPr>
        <w:footnoteReference w:id="214"/>
      </w:r>
      <w:r w:rsidRPr="00D51287">
        <w:t>. Ce grave manquement à amener la Commission à recommander au DPJ de cette région d’élaborer une cartographie des services de soutien aux parents existants dans la région, notamment en lien avec le développement des compétences parentales, et d’en assurer la diffusion auprès des parents intéressés à l’obtenir, dans chacun des points de service sous sa responsabilité.</w:t>
      </w:r>
    </w:p>
    <w:p w14:paraId="2B637CB5" w14:textId="43982E58" w:rsidR="00D51287" w:rsidRPr="00D51287" w:rsidRDefault="00D51287" w:rsidP="003A1427">
      <w:pPr>
        <w:pStyle w:val="Paragraphe"/>
      </w:pPr>
      <w:r w:rsidRPr="00D51287">
        <w:t xml:space="preserve">Une mesure de même nature gagnerait à être étendue à l’échelle du Québec. Elle aurait pour objectif premier de faire connaître les services existants, incluant ceux spécialisés et ceux offerts par les ressources communautaires, et leurs missions aux personnes intervenantes afin que celles-ci puissent, par la suite, guider les parents et les enfants vers les services les plus adéquats. L’accent devrait être mis sur la facilité à repérer l’information et sa mise à jour. À titre d’exemple, nommons parmi d’autres le </w:t>
      </w:r>
      <w:r w:rsidRPr="00D51287">
        <w:lastRenderedPageBreak/>
        <w:t>portail gouvernemental qui permet de consulter les programmes, mesures et services pour les personnes handicapées, leur famille et le</w:t>
      </w:r>
      <w:r w:rsidR="007B0EBD">
        <w:t>u</w:t>
      </w:r>
      <w:r w:rsidRPr="00D51287">
        <w:t>rs proches</w:t>
      </w:r>
      <w:r w:rsidR="0085330E">
        <w:rPr>
          <w:rFonts w:ascii="ZWAdobeF" w:hAnsi="ZWAdobeF" w:cs="ZWAdobeF"/>
          <w:sz w:val="2"/>
          <w:szCs w:val="2"/>
        </w:rPr>
        <w:t>213F</w:t>
      </w:r>
      <w:r w:rsidRPr="00D51287">
        <w:rPr>
          <w:vertAlign w:val="superscript"/>
        </w:rPr>
        <w:footnoteReference w:id="215"/>
      </w:r>
      <w:r w:rsidRPr="00D51287">
        <w:t>.</w:t>
      </w:r>
    </w:p>
    <w:p w14:paraId="22B40838" w14:textId="77777777" w:rsidR="00D51287" w:rsidRPr="00D51287" w:rsidRDefault="00D51287" w:rsidP="003A1427">
      <w:pPr>
        <w:pStyle w:val="Paragraphe"/>
      </w:pPr>
      <w:r w:rsidRPr="00D51287">
        <w:t>Ce portrait évolutif permettrait de même de suivre l’évolution de la situation des services offerts, tant sur le plan régional que national.</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2"/>
      </w:tblGrid>
      <w:tr w:rsidR="00656055" w14:paraId="0C8724E8" w14:textId="77777777" w:rsidTr="00CC5A23">
        <w:tc>
          <w:tcPr>
            <w:tcW w:w="5000" w:type="pct"/>
            <w:shd w:val="clear" w:color="auto" w:fill="E9F8FB"/>
          </w:tcPr>
          <w:p w14:paraId="70BCBC30" w14:textId="31B7217A" w:rsidR="00656055" w:rsidRDefault="00656055" w:rsidP="006039D4">
            <w:pPr>
              <w:pStyle w:val="TitreRecommandation"/>
            </w:pPr>
            <w:bookmarkStart w:id="118" w:name="_Hlk201327540"/>
            <w:r>
              <w:t>Recommandation</w:t>
            </w:r>
            <w:r w:rsidR="00104A0F">
              <w:t> </w:t>
            </w:r>
            <w:r>
              <w:t>8</w:t>
            </w:r>
          </w:p>
          <w:p w14:paraId="138C7AB8" w14:textId="2805AB2D" w:rsidR="00656055" w:rsidRDefault="00656055">
            <w:pPr>
              <w:pStyle w:val="Texterecommandation"/>
            </w:pPr>
            <w:r>
              <w:t xml:space="preserve">La Commission recommande au ministre responsable des Services sociaux et à la directrice nationale de la protection de la jeunesse, </w:t>
            </w:r>
            <w:r w:rsidRPr="0042266D">
              <w:t>en collaboration avec Santé Québec</w:t>
            </w:r>
            <w:r>
              <w:t xml:space="preserve">, </w:t>
            </w:r>
            <w:r w:rsidRPr="005E5F52">
              <w:t xml:space="preserve">de mettre en place un </w:t>
            </w:r>
            <w:r>
              <w:t xml:space="preserve">outil évolutif répertoriant les services de soutien aux parents existants dans chacune des régions du Québec. Cet outil devrait inclure les services de proximité de prévention, ceux </w:t>
            </w:r>
            <w:r w:rsidRPr="007D7982">
              <w:t xml:space="preserve">spécialisés, </w:t>
            </w:r>
            <w:r w:rsidR="009035E5" w:rsidRPr="007D7982">
              <w:t>incluant</w:t>
            </w:r>
            <w:r w:rsidR="00B07A93" w:rsidRPr="007D7982">
              <w:t xml:space="preserve"> </w:t>
            </w:r>
            <w:r w:rsidR="006D3F58" w:rsidRPr="007D7982">
              <w:rPr>
                <w:noProof/>
              </w:rPr>
              <w:t xml:space="preserve">ceux offerts par les ressources communautaires, </w:t>
            </w:r>
            <w:r w:rsidRPr="007D7982">
              <w:t>ainsi</w:t>
            </w:r>
            <w:r>
              <w:t xml:space="preserve"> que ceux destinés au développement des compétences parentales. </w:t>
            </w:r>
          </w:p>
          <w:p w14:paraId="0F4CB34C" w14:textId="77777777" w:rsidR="00656055" w:rsidRPr="00640E95" w:rsidRDefault="00656055">
            <w:pPr>
              <w:pStyle w:val="Texterecommandation"/>
            </w:pPr>
            <w:r>
              <w:t>Cet outil devrait être facile d’accès pour les enfants, leurs parents et leurs représentants légaux l’ensemble des personnes œuvrant dans les services de santé et des services sociaux. Il devrait être mis à jour sur une base régulière et être facilement accessible pour le public.</w:t>
            </w:r>
          </w:p>
        </w:tc>
      </w:tr>
    </w:tbl>
    <w:p w14:paraId="6BEB73C5" w14:textId="64BAD101" w:rsidR="00A15EC5" w:rsidRPr="000C6889" w:rsidRDefault="00EA65F9" w:rsidP="00F93AC5">
      <w:pPr>
        <w:pStyle w:val="Titre2"/>
      </w:pPr>
      <w:bookmarkStart w:id="119" w:name="_Toc201330540"/>
      <w:bookmarkEnd w:id="118"/>
      <w:r w:rsidRPr="00EA65F9">
        <w:t>4.5</w:t>
      </w:r>
      <w:r w:rsidRPr="00EA65F9">
        <w:tab/>
        <w:t>Reconsidérer les pratiques menant à l’établissement des contacts entre l’enfant, ses parents, sa fratrie et autres personnes qui lui sont significatives</w:t>
      </w:r>
      <w:bookmarkEnd w:id="119"/>
    </w:p>
    <w:p w14:paraId="746E69B5" w14:textId="4036B52B" w:rsidR="00ED3D0E" w:rsidRPr="00ED3D0E" w:rsidRDefault="00ED3D0E" w:rsidP="003A1427">
      <w:pPr>
        <w:pStyle w:val="Paragraphe"/>
      </w:pPr>
      <w:r w:rsidRPr="00ED3D0E">
        <w:t>La CSDEPJ invitait les intervenantes et intervenants psychosociaux ainsi que les décideuses et décideurs à prendre en considération les difficultés rencontrées lors des contacts et les expériences négatives documentées par des études afin d’ajuster les modalités de contact en fonction de l’intérêt de l’enfant. L’état des connaissances actuelles ne permet cependant pas de dégager un consensus sur la conduite à adopter devant certaines difficultés liées aux contacts</w:t>
      </w:r>
      <w:r w:rsidR="0085330E">
        <w:rPr>
          <w:rFonts w:ascii="ZWAdobeF" w:hAnsi="ZWAdobeF" w:cs="ZWAdobeF"/>
          <w:sz w:val="2"/>
          <w:szCs w:val="2"/>
        </w:rPr>
        <w:t>214F</w:t>
      </w:r>
      <w:r w:rsidRPr="00ED3D0E">
        <w:rPr>
          <w:vertAlign w:val="superscript"/>
        </w:rPr>
        <w:footnoteReference w:id="216"/>
      </w:r>
      <w:r w:rsidRPr="00ED3D0E">
        <w:t>.</w:t>
      </w:r>
    </w:p>
    <w:p w14:paraId="4ADA4A47" w14:textId="27CF3CEE" w:rsidR="00ED3D0E" w:rsidRPr="00ED3D0E" w:rsidRDefault="00ED3D0E" w:rsidP="003A1427">
      <w:pPr>
        <w:pStyle w:val="Paragraphe"/>
      </w:pPr>
      <w:r w:rsidRPr="00ED3D0E">
        <w:t>L’établissement des contacts entre l’enfant et ses parents est un élément central de la stabilité des liens de l’enfant. Les études montrent d’ailleurs que la majorité d’enfants placés maintien</w:t>
      </w:r>
      <w:r w:rsidR="00157230">
        <w:t>nen</w:t>
      </w:r>
      <w:r w:rsidRPr="00ED3D0E">
        <w:t>t des contacts avec leurs parents, principalement avec leur mère</w:t>
      </w:r>
      <w:r w:rsidR="0085330E">
        <w:rPr>
          <w:rFonts w:ascii="ZWAdobeF" w:hAnsi="ZWAdobeF" w:cs="ZWAdobeF"/>
          <w:sz w:val="2"/>
          <w:szCs w:val="2"/>
        </w:rPr>
        <w:t>215F</w:t>
      </w:r>
      <w:r w:rsidRPr="00ED3D0E">
        <w:rPr>
          <w:vertAlign w:val="superscript"/>
        </w:rPr>
        <w:footnoteReference w:id="217"/>
      </w:r>
      <w:r w:rsidRPr="00ED3D0E">
        <w:t>. Dans le passé, la Commission a recommandé aux DPJ de prendre des actions concrètes afin que les communications et les visites entre l’enfant et les personnes concernées soient maintenues, en prenant le soin d’adapter les interventions aux enfants en bas âge et à ceux en situation de vulnérabilité qui ne peuvent s’exprimer</w:t>
      </w:r>
      <w:r w:rsidR="0085330E">
        <w:rPr>
          <w:rFonts w:ascii="ZWAdobeF" w:hAnsi="ZWAdobeF" w:cs="ZWAdobeF"/>
          <w:sz w:val="2"/>
          <w:szCs w:val="2"/>
        </w:rPr>
        <w:t>216F</w:t>
      </w:r>
      <w:r w:rsidRPr="00ED3D0E">
        <w:rPr>
          <w:vertAlign w:val="superscript"/>
        </w:rPr>
        <w:footnoteReference w:id="218"/>
      </w:r>
      <w:r w:rsidRPr="00ED3D0E">
        <w:t>.</w:t>
      </w:r>
    </w:p>
    <w:p w14:paraId="336053A5" w14:textId="0020BEF7" w:rsidR="00ED3D0E" w:rsidRPr="00ED3D0E" w:rsidRDefault="00ED3D0E" w:rsidP="003A1427">
      <w:pPr>
        <w:pStyle w:val="Paragraphe"/>
      </w:pPr>
      <w:r w:rsidRPr="00ED3D0E">
        <w:t>Les décisions analysées dans le présent rapport confirment ce fait. Elles font toutefois ressortir qu’un nombre significatif d’enfants ne maintient pas de contact avec ses parents ou l’un d’eux une fois qu’il est confié à un milieu de vie substitut jusqu’à la majorité. Dans presqu</w:t>
      </w:r>
      <w:r w:rsidR="00370325">
        <w:t xml:space="preserve">e </w:t>
      </w:r>
      <w:r w:rsidRPr="00ED3D0E">
        <w:t xml:space="preserve">un quart des situations, un interdit </w:t>
      </w:r>
      <w:r w:rsidRPr="00ED3D0E">
        <w:lastRenderedPageBreak/>
        <w:t>de contact est ordonné pour au moins un des parents, cela concerne davantage les enfants de moins de deux ans. À ce nombre s’ajoutent les cas où les contacts sont suspendus pour une période indéterminée.</w:t>
      </w:r>
    </w:p>
    <w:p w14:paraId="1175B038" w14:textId="77777777" w:rsidR="00ED3D0E" w:rsidRPr="00ED3D0E" w:rsidRDefault="00ED3D0E" w:rsidP="003A1427">
      <w:pPr>
        <w:pStyle w:val="Paragraphe"/>
      </w:pPr>
      <w:r w:rsidRPr="00ED3D0E">
        <w:t>Des résultats contradictoires se dégagent des études quant aux effets des contacts sur le fonctionnement de l’enfant placé. Retenons néanmoins que :</w:t>
      </w:r>
    </w:p>
    <w:p w14:paraId="00C40DD1" w14:textId="546135D9" w:rsidR="00B82F76" w:rsidRPr="00B82F76" w:rsidRDefault="00B82F76" w:rsidP="00BA3E6E">
      <w:pPr>
        <w:pStyle w:val="puces0"/>
      </w:pPr>
      <w:r w:rsidRPr="00B82F76">
        <w:t>Le maintien des contacts enfant-parent</w:t>
      </w:r>
      <w:r w:rsidR="00157230">
        <w:t>s</w:t>
      </w:r>
      <w:r w:rsidRPr="00B82F76">
        <w:t xml:space="preserve"> est une mesure favorable à l’amélioration de la relation parent-enfant et à la réunification familiale</w:t>
      </w:r>
      <w:r w:rsidR="0085330E">
        <w:rPr>
          <w:rFonts w:ascii="ZWAdobeF" w:hAnsi="ZWAdobeF" w:cs="ZWAdobeF"/>
          <w:color w:val="auto"/>
          <w:sz w:val="2"/>
          <w:szCs w:val="2"/>
        </w:rPr>
        <w:t>217F</w:t>
      </w:r>
      <w:r w:rsidRPr="00B82F76">
        <w:rPr>
          <w:vertAlign w:val="superscript"/>
        </w:rPr>
        <w:footnoteReference w:id="219"/>
      </w:r>
      <w:r w:rsidR="001A0FEE">
        <w:rPr>
          <w:rFonts w:ascii="Arial" w:hAnsi="Arial" w:cs="Arial"/>
        </w:rPr>
        <w:t> </w:t>
      </w:r>
      <w:r w:rsidR="002D3AEA">
        <w:t>;</w:t>
      </w:r>
    </w:p>
    <w:p w14:paraId="7C52AF90" w14:textId="305BB94C" w:rsidR="00B82F76" w:rsidRPr="00B82F76" w:rsidRDefault="00B82F76" w:rsidP="00BA3E6E">
      <w:pPr>
        <w:pStyle w:val="puces0"/>
      </w:pPr>
      <w:r w:rsidRPr="00B82F76">
        <w:t>Les contacts sont moins fréquents pour les enfants dont les parents d’origine présentent des difficultés plus sévères</w:t>
      </w:r>
      <w:r w:rsidR="0085330E">
        <w:rPr>
          <w:rFonts w:ascii="ZWAdobeF" w:hAnsi="ZWAdobeF" w:cs="ZWAdobeF"/>
          <w:color w:val="auto"/>
          <w:sz w:val="2"/>
          <w:szCs w:val="2"/>
        </w:rPr>
        <w:t>218F</w:t>
      </w:r>
      <w:r w:rsidRPr="00B82F76">
        <w:rPr>
          <w:vertAlign w:val="superscript"/>
        </w:rPr>
        <w:footnoteReference w:id="220"/>
      </w:r>
      <w:r w:rsidR="001A0FEE">
        <w:rPr>
          <w:rFonts w:ascii="Arial" w:hAnsi="Arial" w:cs="Arial"/>
        </w:rPr>
        <w:t> </w:t>
      </w:r>
      <w:r w:rsidR="002D3AEA">
        <w:t>;</w:t>
      </w:r>
    </w:p>
    <w:p w14:paraId="0B2620B3" w14:textId="0C0D1E94" w:rsidR="00B82F76" w:rsidRPr="00B82F76" w:rsidRDefault="00B82F76" w:rsidP="00BA3E6E">
      <w:pPr>
        <w:pStyle w:val="puces0"/>
      </w:pPr>
      <w:r w:rsidRPr="00B82F76">
        <w:t>La supervision des contacts est généralisée, bien que les motifs sous-jacents à cette décision semblent peu clairs</w:t>
      </w:r>
      <w:r w:rsidR="001A0FEE">
        <w:rPr>
          <w:rFonts w:ascii="Arial" w:hAnsi="Arial" w:cs="Arial"/>
        </w:rPr>
        <w:t> </w:t>
      </w:r>
      <w:r w:rsidR="002D3AEA">
        <w:t>;</w:t>
      </w:r>
    </w:p>
    <w:p w14:paraId="50C13BEF" w14:textId="49E06EED" w:rsidR="00B82F76" w:rsidRPr="00B82F76" w:rsidRDefault="00B82F76" w:rsidP="00BA3E6E">
      <w:pPr>
        <w:pStyle w:val="puces0"/>
      </w:pPr>
      <w:r w:rsidRPr="00B82F76">
        <w:t>Les liens entre les contacts et les perturbations comportementales sont plus incertains et requièrent une analyse des facteurs en cause, dont la sévérité de la maltraitance vécue avant le placement, la durée du placement, ainsi que l’âge de l’enfant au moment du placement</w:t>
      </w:r>
      <w:r w:rsidR="0085330E">
        <w:rPr>
          <w:rFonts w:ascii="ZWAdobeF" w:hAnsi="ZWAdobeF" w:cs="ZWAdobeF"/>
          <w:color w:val="auto"/>
          <w:sz w:val="2"/>
          <w:szCs w:val="2"/>
        </w:rPr>
        <w:t>219F</w:t>
      </w:r>
      <w:r w:rsidRPr="00B82F76">
        <w:rPr>
          <w:vertAlign w:val="superscript"/>
        </w:rPr>
        <w:footnoteReference w:id="221"/>
      </w:r>
      <w:r w:rsidRPr="00B82F76">
        <w:t>.</w:t>
      </w:r>
    </w:p>
    <w:p w14:paraId="39487679" w14:textId="6F6CDF4E" w:rsidR="00805216" w:rsidRDefault="00805216" w:rsidP="003A1427">
      <w:pPr>
        <w:pStyle w:val="Paragraphe"/>
      </w:pPr>
      <w:r>
        <w:t>En plus de l’importance de t</w:t>
      </w:r>
      <w:r w:rsidRPr="0075091D">
        <w:t>ravaill</w:t>
      </w:r>
      <w:r>
        <w:t xml:space="preserve">er </w:t>
      </w:r>
      <w:r w:rsidRPr="0075091D">
        <w:t>avec les parents de façon intensive et leur fournir les ressources pour les aider à résoudre leurs difficultés</w:t>
      </w:r>
      <w:r w:rsidR="0085330E">
        <w:rPr>
          <w:rFonts w:ascii="ZWAdobeF" w:hAnsi="ZWAdobeF" w:cs="ZWAdobeF"/>
          <w:sz w:val="2"/>
          <w:szCs w:val="2"/>
        </w:rPr>
        <w:t>220F</w:t>
      </w:r>
      <w:r>
        <w:rPr>
          <w:rStyle w:val="Appelnotedebasdep"/>
        </w:rPr>
        <w:footnoteReference w:id="222"/>
      </w:r>
      <w:r>
        <w:t>, il est essentiel de</w:t>
      </w:r>
      <w:r w:rsidRPr="003E403C">
        <w:t xml:space="preserve"> </w:t>
      </w:r>
      <w:r>
        <w:t>s’attarder à</w:t>
      </w:r>
      <w:r w:rsidRPr="003E403C">
        <w:t xml:space="preserve"> la qualité des contacts et </w:t>
      </w:r>
      <w:r>
        <w:t xml:space="preserve">de </w:t>
      </w:r>
      <w:r w:rsidRPr="003E403C">
        <w:t>mieux circonscrire l’intérêt de l’enfant</w:t>
      </w:r>
      <w:r>
        <w:t xml:space="preserve"> pour améliorer la situation qui prévaut dans la pratique</w:t>
      </w:r>
      <w:r w:rsidR="0085330E">
        <w:rPr>
          <w:rFonts w:ascii="ZWAdobeF" w:hAnsi="ZWAdobeF" w:cs="ZWAdobeF"/>
          <w:sz w:val="2"/>
          <w:szCs w:val="2"/>
        </w:rPr>
        <w:t>221F</w:t>
      </w:r>
      <w:r>
        <w:rPr>
          <w:rStyle w:val="Appelnotedebasdep"/>
        </w:rPr>
        <w:footnoteReference w:id="223"/>
      </w:r>
      <w:r w:rsidRPr="003E403C">
        <w:t xml:space="preserve">. </w:t>
      </w:r>
      <w:r>
        <w:t xml:space="preserve"> </w:t>
      </w:r>
    </w:p>
    <w:p w14:paraId="2BF5D633" w14:textId="77777777" w:rsidR="00805216" w:rsidRDefault="00805216" w:rsidP="003A1427">
      <w:pPr>
        <w:pStyle w:val="Paragraphe"/>
      </w:pPr>
      <w:r>
        <w:t>Ce besoin semble pertinent dans la mesure où les décisions analysées tendent à démontrer la prise en compte de ces deux dimensions. Dans une majorité de décisions, les juges tiennent compte de</w:t>
      </w:r>
      <w:r w:rsidRPr="0049594E">
        <w:t xml:space="preserve"> la qualité </w:t>
      </w:r>
      <w:r>
        <w:t xml:space="preserve">de la relation entre l’enfant et ses parents depuis la naissance </w:t>
      </w:r>
      <w:r w:rsidRPr="0049594E">
        <w:t>(64</w:t>
      </w:r>
      <w:r>
        <w:t> </w:t>
      </w:r>
      <w:r w:rsidRPr="0049594E">
        <w:t>%</w:t>
      </w:r>
      <w:r>
        <w:t xml:space="preserve"> des décisions analysées</w:t>
      </w:r>
      <w:r w:rsidRPr="0049594E">
        <w:t>)</w:t>
      </w:r>
      <w:r>
        <w:t xml:space="preserve"> ainsi que de s</w:t>
      </w:r>
      <w:r w:rsidRPr="0049594E">
        <w:t>a constance depuis sa naissance</w:t>
      </w:r>
      <w:r>
        <w:t xml:space="preserve"> </w:t>
      </w:r>
      <w:r w:rsidRPr="0049594E">
        <w:t>(57</w:t>
      </w:r>
      <w:r>
        <w:t> </w:t>
      </w:r>
      <w:r w:rsidRPr="0049594E">
        <w:t>%</w:t>
      </w:r>
      <w:r>
        <w:t xml:space="preserve">). Notons toutefois que le </w:t>
      </w:r>
      <w:r w:rsidRPr="009D70F8">
        <w:rPr>
          <w:rFonts w:cs="Times New Roman"/>
          <w:color w:val="000000"/>
        </w:rPr>
        <w:t>déroulement des contacts supervisés entre l’enfant et ses parents</w:t>
      </w:r>
      <w:r>
        <w:rPr>
          <w:rFonts w:cs="Times New Roman"/>
          <w:color w:val="000000"/>
        </w:rPr>
        <w:t xml:space="preserve"> (48 %) et l</w:t>
      </w:r>
      <w:r w:rsidRPr="009D70F8">
        <w:rPr>
          <w:rFonts w:cs="Times New Roman"/>
          <w:color w:val="000000"/>
        </w:rPr>
        <w:t>es réactions de l’enfant à la suite des contacts avec ses parents</w:t>
      </w:r>
      <w:r w:rsidRPr="0049594E">
        <w:t xml:space="preserve"> </w:t>
      </w:r>
      <w:r>
        <w:t>(</w:t>
      </w:r>
      <w:r w:rsidRPr="0049594E">
        <w:t>52</w:t>
      </w:r>
      <w:r>
        <w:t> </w:t>
      </w:r>
      <w:r w:rsidRPr="0049594E">
        <w:t>%)</w:t>
      </w:r>
      <w:r>
        <w:t xml:space="preserve"> sont pris en compte dans une moins grande proportion</w:t>
      </w:r>
      <w:r w:rsidRPr="0049594E">
        <w:t>.</w:t>
      </w:r>
    </w:p>
    <w:p w14:paraId="11273EFE" w14:textId="6E311C82" w:rsidR="00805216" w:rsidRDefault="00805216" w:rsidP="003A1427">
      <w:pPr>
        <w:pStyle w:val="Paragraphe"/>
      </w:pPr>
      <w:r>
        <w:t xml:space="preserve">Une attention particulière doit </w:t>
      </w:r>
      <w:r w:rsidR="00924106">
        <w:t>par conséquent</w:t>
      </w:r>
      <w:r>
        <w:t xml:space="preserve"> être accordée au maintien des contacts avec la fratrie, lorsque cela est dans l’intérêt de l’enfant. En effet, pour</w:t>
      </w:r>
      <w:r w:rsidRPr="00716903">
        <w:t xml:space="preserve"> 18</w:t>
      </w:r>
      <w:r>
        <w:t> </w:t>
      </w:r>
      <w:r w:rsidRPr="00716903">
        <w:t xml:space="preserve">% </w:t>
      </w:r>
      <w:r>
        <w:t xml:space="preserve">des </w:t>
      </w:r>
      <w:r w:rsidRPr="00716903">
        <w:t>enfant</w:t>
      </w:r>
      <w:r>
        <w:t xml:space="preserve">s touchés par les décisions analysées qui </w:t>
      </w:r>
      <w:r w:rsidRPr="00716903">
        <w:t>a</w:t>
      </w:r>
      <w:r>
        <w:t>vaient</w:t>
      </w:r>
      <w:r w:rsidRPr="00716903">
        <w:t xml:space="preserve"> des frères et sœurs</w:t>
      </w:r>
      <w:r>
        <w:t xml:space="preserve">, </w:t>
      </w:r>
      <w:r w:rsidRPr="00716903">
        <w:t>il</w:t>
      </w:r>
      <w:r>
        <w:t xml:space="preserve"> était</w:t>
      </w:r>
      <w:r w:rsidRPr="00716903">
        <w:t xml:space="preserve"> explicitement indiqué si des modalités de contacts sont établies entre eux</w:t>
      </w:r>
      <w:r>
        <w:t xml:space="preserve">. Cela variait de façon importante selon l’âge des enfants. Plus ils sont âgés et plus les décisions sont susceptibles de prévoir des modalités de contacts avec la fratrie. </w:t>
      </w:r>
    </w:p>
    <w:p w14:paraId="29A84F4C" w14:textId="3EBF9651" w:rsidR="00805216" w:rsidRDefault="00CA27F8" w:rsidP="003A1427">
      <w:pPr>
        <w:pStyle w:val="Paragraphe"/>
      </w:pPr>
      <w:r>
        <w:t>Compte tenu de ces résultats,</w:t>
      </w:r>
      <w:r w:rsidR="00AE52E7">
        <w:t xml:space="preserve"> </w:t>
      </w:r>
      <w:r w:rsidR="009713CD">
        <w:t xml:space="preserve">il </w:t>
      </w:r>
      <w:r w:rsidR="00C71137">
        <w:t xml:space="preserve">apparait </w:t>
      </w:r>
      <w:r w:rsidR="00673BA1">
        <w:t xml:space="preserve">essentiel </w:t>
      </w:r>
      <w:r w:rsidR="00C71137">
        <w:t xml:space="preserve">que </w:t>
      </w:r>
      <w:r w:rsidR="00BF1AB7">
        <w:t>l</w:t>
      </w:r>
      <w:r w:rsidR="00805216">
        <w:t>’évaluation de l’intérêt de l’enfant aux fins de la détermination des contacts avec ses parents et les autres personnes significative</w:t>
      </w:r>
      <w:r w:rsidR="006F7C5E">
        <w:t>s</w:t>
      </w:r>
      <w:r w:rsidR="00805216">
        <w:t xml:space="preserve">, dont sa fratrie, </w:t>
      </w:r>
      <w:r w:rsidR="00673BA1">
        <w:t xml:space="preserve">soit </w:t>
      </w:r>
      <w:r w:rsidR="00805216">
        <w:lastRenderedPageBreak/>
        <w:t xml:space="preserve">davantage encadrée par des balises cliniques, à l’instar de celles en place pour les contacts avec les </w:t>
      </w:r>
      <w:r w:rsidR="00805216" w:rsidRPr="00BE248D">
        <w:t>personnes significatives d’un enfant lors d’un placement dans un milieu de vie substitut</w:t>
      </w:r>
      <w:r w:rsidR="0085330E">
        <w:rPr>
          <w:rFonts w:ascii="ZWAdobeF" w:hAnsi="ZWAdobeF" w:cs="ZWAdobeF"/>
          <w:sz w:val="2"/>
          <w:szCs w:val="2"/>
        </w:rPr>
        <w:t>222F</w:t>
      </w:r>
      <w:r w:rsidR="00805216" w:rsidRPr="00BE248D">
        <w:rPr>
          <w:rStyle w:val="Appelnotedebasdep"/>
        </w:rPr>
        <w:footnoteReference w:id="224"/>
      </w:r>
      <w:r w:rsidR="00805216" w:rsidRPr="00BE248D">
        <w:t xml:space="preserve">. </w:t>
      </w:r>
      <w:r w:rsidR="00C44293" w:rsidRPr="00BE248D">
        <w:t>Tant d</w:t>
      </w:r>
      <w:r w:rsidR="00805216" w:rsidRPr="00BE248D">
        <w:t xml:space="preserve">es critères précis devraient être définis </w:t>
      </w:r>
      <w:r w:rsidR="00EE4E0C" w:rsidRPr="00BE248D">
        <w:t xml:space="preserve">à cet égard </w:t>
      </w:r>
      <w:r w:rsidR="00805216" w:rsidRPr="00BE248D">
        <w:t>que le processus à suivre</w:t>
      </w:r>
      <w:r w:rsidR="008B04AA" w:rsidRPr="00BE248D">
        <w:t xml:space="preserve"> </w:t>
      </w:r>
      <w:r w:rsidR="00992D9C" w:rsidRPr="00BE248D">
        <w:t>déterminé</w:t>
      </w:r>
      <w:r w:rsidR="00805216" w:rsidRPr="00BE248D">
        <w:t>.</w:t>
      </w:r>
      <w:r w:rsidR="00805216">
        <w:t xml:space="preserve"> </w:t>
      </w:r>
      <w:r w:rsidR="004D30B4">
        <w:t>Ce dernier</w:t>
      </w:r>
      <w:r w:rsidR="00805216">
        <w:t xml:space="preserve"> doit être clair sur la séquence dans laquelle les interventions doivent être réalisées. Par exemple, </w:t>
      </w:r>
      <w:r w:rsidR="00805216" w:rsidRPr="009A2214">
        <w:t>l</w:t>
      </w:r>
      <w:r w:rsidR="00805216">
        <w:t>es</w:t>
      </w:r>
      <w:r w:rsidR="00805216" w:rsidRPr="009A2214">
        <w:t xml:space="preserve"> modalités de contacts</w:t>
      </w:r>
      <w:r w:rsidR="00805216">
        <w:t xml:space="preserve"> avec les membres de la fratrie doivent être évaluées </w:t>
      </w:r>
      <w:r w:rsidR="00805216" w:rsidRPr="009A2214">
        <w:t>aussitôt que</w:t>
      </w:r>
      <w:r w:rsidR="00805216">
        <w:t xml:space="preserve"> la décision du placement dans </w:t>
      </w:r>
      <w:r w:rsidR="006F7C5E">
        <w:t xml:space="preserve">les </w:t>
      </w:r>
      <w:r w:rsidR="00805216">
        <w:t>milieux différents, et ce,</w:t>
      </w:r>
      <w:r w:rsidR="00805216" w:rsidRPr="009A2214">
        <w:t xml:space="preserve"> afin d</w:t>
      </w:r>
      <w:r w:rsidR="006A114C">
        <w:t>’</w:t>
      </w:r>
      <w:r w:rsidR="00805216" w:rsidRPr="009A2214">
        <w:t>éviter toute interruption de contact.</w:t>
      </w:r>
    </w:p>
    <w:p w14:paraId="38F6D2DA" w14:textId="69A11157" w:rsidR="00805216" w:rsidRPr="009A2214" w:rsidRDefault="00805216" w:rsidP="003A1427">
      <w:pPr>
        <w:pStyle w:val="Paragraphe"/>
      </w:pPr>
      <w:r>
        <w:t xml:space="preserve">Il est </w:t>
      </w:r>
      <w:r w:rsidR="005059AF">
        <w:t>donc</w:t>
      </w:r>
      <w:r>
        <w:t xml:space="preserve"> essentiel que l’obligation de prendre en considération les désirs des enfants soit inscrite dans cette séquence, incluant l’étape d’évaluation et à tout autre moment de la prise en charge.</w:t>
      </w:r>
    </w:p>
    <w:p w14:paraId="7003D088" w14:textId="07F9278C" w:rsidR="00805216" w:rsidRDefault="00805216" w:rsidP="003A1427">
      <w:pPr>
        <w:pStyle w:val="Paragraphe"/>
      </w:pPr>
      <w:r>
        <w:t xml:space="preserve">L’examen de la qualité de la relation entre l’enfant et ses parents ainsi que celle avec sa fratrie ou autres personnes significatives devrait </w:t>
      </w:r>
      <w:r w:rsidR="00975884">
        <w:t>aussi</w:t>
      </w:r>
      <w:r>
        <w:t xml:space="preserve"> être renforcé par différents moyens, dont ceux qui consistent à : </w:t>
      </w:r>
    </w:p>
    <w:p w14:paraId="397F6C32" w14:textId="56F67951" w:rsidR="00E95AD0" w:rsidRPr="00E95AD0" w:rsidRDefault="00E95AD0" w:rsidP="00BA3E6E">
      <w:pPr>
        <w:pStyle w:val="puces0"/>
      </w:pPr>
      <w:r w:rsidRPr="00E95AD0">
        <w:t>Former, accompagner et superviser plus adéquatement le personnel intervenant en protection de la jeunesse pour développer davantage son jugement clinique sur des aspects plus larges que la fréquence et de la durée des contacts</w:t>
      </w:r>
      <w:r w:rsidR="0085330E">
        <w:rPr>
          <w:rFonts w:ascii="ZWAdobeF" w:hAnsi="ZWAdobeF" w:cs="ZWAdobeF"/>
          <w:color w:val="auto"/>
          <w:sz w:val="2"/>
          <w:szCs w:val="2"/>
        </w:rPr>
        <w:t>223F</w:t>
      </w:r>
      <w:r w:rsidRPr="00E95AD0">
        <w:rPr>
          <w:vertAlign w:val="superscript"/>
        </w:rPr>
        <w:footnoteReference w:id="225"/>
      </w:r>
      <w:r w:rsidR="00D16B99">
        <w:rPr>
          <w:rFonts w:ascii="Arial" w:hAnsi="Arial" w:cs="Arial"/>
        </w:rPr>
        <w:t> </w:t>
      </w:r>
      <w:r w:rsidRPr="00E95AD0">
        <w:t xml:space="preserve">; </w:t>
      </w:r>
    </w:p>
    <w:p w14:paraId="686679ED" w14:textId="4898F4BD" w:rsidR="00E95AD0" w:rsidRPr="00E95AD0" w:rsidRDefault="00E95AD0" w:rsidP="00BA3E6E">
      <w:pPr>
        <w:pStyle w:val="puces0"/>
      </w:pPr>
      <w:r w:rsidRPr="00E95AD0">
        <w:t>Effectuer des recherches quant aux effets du maintien et de la suspension des contacts sur le fonctionnement de l’enfant placé, notamment pour mieux les comprendre du point de vue des enfants</w:t>
      </w:r>
      <w:r w:rsidR="0085330E">
        <w:rPr>
          <w:rFonts w:ascii="ZWAdobeF" w:hAnsi="ZWAdobeF" w:cs="ZWAdobeF"/>
          <w:color w:val="auto"/>
          <w:sz w:val="2"/>
          <w:szCs w:val="2"/>
        </w:rPr>
        <w:t>224F</w:t>
      </w:r>
      <w:r w:rsidRPr="00E95AD0">
        <w:rPr>
          <w:vertAlign w:val="superscript"/>
        </w:rPr>
        <w:footnoteReference w:id="226"/>
      </w:r>
      <w:r w:rsidRPr="00E95AD0">
        <w:t xml:space="preserve">. </w:t>
      </w:r>
    </w:p>
    <w:p w14:paraId="25208ECC" w14:textId="7B7F30B5" w:rsidR="00A15EC5" w:rsidRDefault="00786EE1" w:rsidP="003A1427">
      <w:pPr>
        <w:pStyle w:val="Paragraphe"/>
      </w:pPr>
      <w:r w:rsidRPr="00786EE1">
        <w:t xml:space="preserve">La Commission considère que ces moyens complémentaires seraient susceptibles de renforcer la mise en œuvre des droits de l’enfant confié </w:t>
      </w:r>
      <w:r w:rsidR="001718F2">
        <w:t>à un</w:t>
      </w:r>
      <w:r w:rsidRPr="00786EE1">
        <w:t xml:space="preserve"> milieu de vie substitut jusqu’à la majorité, conformément à son intérêt. Les liens que l’enfant peut maintenir ou non sont à son avis une composante fondamentale de sa stabilité. Il est donc nécessaire d’agir sous différents angles pour s’assurer que les contacts déterminés soient ceux qui offrent de meilleurs gages de stabilité à l’enfant.</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2"/>
      </w:tblGrid>
      <w:tr w:rsidR="003D00E2" w14:paraId="0B877767" w14:textId="77777777" w:rsidTr="00CC5A23">
        <w:tc>
          <w:tcPr>
            <w:tcW w:w="5000" w:type="pct"/>
            <w:shd w:val="clear" w:color="auto" w:fill="E9F8FB"/>
          </w:tcPr>
          <w:p w14:paraId="410C11AD" w14:textId="6E9A24D1" w:rsidR="003D00E2" w:rsidRDefault="003D00E2" w:rsidP="006039D4">
            <w:pPr>
              <w:pStyle w:val="TitreRecommandation"/>
            </w:pPr>
            <w:r>
              <w:t>Recommandation</w:t>
            </w:r>
            <w:r w:rsidR="00104A0F">
              <w:t> </w:t>
            </w:r>
            <w:r>
              <w:t>9</w:t>
            </w:r>
          </w:p>
          <w:p w14:paraId="070EFB55" w14:textId="77777777" w:rsidR="003D00E2" w:rsidRDefault="003D00E2">
            <w:pPr>
              <w:pStyle w:val="Texterecommandation"/>
            </w:pPr>
            <w:r w:rsidRPr="00597617">
              <w:t>La Commission recommande au</w:t>
            </w:r>
            <w:r>
              <w:t xml:space="preserve"> ministre responsable des Services sociaux et à la directrice nationale de la protection de la jeunesse, en collaboration avec la Table des DPJ et Santé Québec,</w:t>
            </w:r>
            <w:r w:rsidRPr="00597617">
              <w:t xml:space="preserve"> </w:t>
            </w:r>
            <w:r w:rsidRPr="00020587">
              <w:t>d’élaborer des orientations et des normes de pratique clinique claires </w:t>
            </w:r>
            <w:r>
              <w:t>pour favoriser l</w:t>
            </w:r>
            <w:r w:rsidRPr="00597617">
              <w:t xml:space="preserve">es contacts </w:t>
            </w:r>
            <w:r>
              <w:t xml:space="preserve">entre l’enfant confié à un milieu de vie substitut jusqu’à la majorité, ses </w:t>
            </w:r>
            <w:r w:rsidRPr="00597617">
              <w:t>parents</w:t>
            </w:r>
            <w:r>
              <w:t>, sa fratrie et les autres personnes qui lui sont significatives. Des moyens sont à prioriser, dont les suivants :</w:t>
            </w:r>
          </w:p>
          <w:p w14:paraId="64CCAB6B" w14:textId="66FE13E2" w:rsidR="003D00E2" w:rsidRDefault="003D00E2" w:rsidP="002233DF">
            <w:pPr>
              <w:pStyle w:val="Texterecommandation"/>
              <w:numPr>
                <w:ilvl w:val="0"/>
                <w:numId w:val="13"/>
              </w:numPr>
            </w:pPr>
            <w:r>
              <w:t>Élaborer et diffuser des balises pour encadrer les pratiques liées à l’évaluation de l’intérêt de l’enfant pour l’établissement des modalités des contacts, dont leur fréquence et leur durée</w:t>
            </w:r>
            <w:r>
              <w:rPr>
                <w:rFonts w:ascii="Arial" w:hAnsi="Arial" w:cs="Arial"/>
              </w:rPr>
              <w:t> </w:t>
            </w:r>
            <w:r>
              <w:t>;</w:t>
            </w:r>
          </w:p>
          <w:p w14:paraId="1AD902E9" w14:textId="77777777" w:rsidR="003D00E2" w:rsidRDefault="003D00E2" w:rsidP="002233DF">
            <w:pPr>
              <w:pStyle w:val="Texterecommandation"/>
              <w:numPr>
                <w:ilvl w:val="0"/>
                <w:numId w:val="13"/>
              </w:numPr>
            </w:pPr>
            <w:r>
              <w:lastRenderedPageBreak/>
              <w:t>Élaborer et déployer une formation pour développer davantage le jugement clinique sur des éléments liés à la relation entre l’enfant et ses parents</w:t>
            </w:r>
            <w:r>
              <w:rPr>
                <w:rFonts w:ascii="Arial" w:hAnsi="Arial" w:cs="Arial"/>
              </w:rPr>
              <w:t> </w:t>
            </w:r>
            <w:r>
              <w:t>;</w:t>
            </w:r>
          </w:p>
          <w:p w14:paraId="59AAE106" w14:textId="1C1B2EE7" w:rsidR="003D00E2" w:rsidRPr="00640E95" w:rsidRDefault="003D00E2" w:rsidP="002233DF">
            <w:pPr>
              <w:pStyle w:val="Texterecommandation"/>
              <w:numPr>
                <w:ilvl w:val="0"/>
                <w:numId w:val="13"/>
              </w:numPr>
            </w:pPr>
            <w:r>
              <w:t>Encourager les recherches quant aux effets du maintien, de la suspension des contacts et des interdits de contacts sur le fonctionnement de l’enfant placé, incluant la perspective des enfants placés.</w:t>
            </w:r>
          </w:p>
        </w:tc>
      </w:tr>
    </w:tbl>
    <w:p w14:paraId="6FCF4362" w14:textId="2EF1C81C" w:rsidR="00B84F0E" w:rsidRPr="00B84F0E" w:rsidRDefault="00B84F0E" w:rsidP="003A1427">
      <w:pPr>
        <w:pStyle w:val="Paragraphe"/>
      </w:pPr>
      <w:r w:rsidRPr="00B84F0E">
        <w:lastRenderedPageBreak/>
        <w:t>Dans un autre ordre d’idées, il y a de cela quelques années déjà, la Commission déplorait une pratique du tribunal qui consiste à déléguer au DPJ la détermination des modalités de contacts entre l’enfant et un parent ou un membre de sa famille, soit le degré de supervision, la fréquence et la durée</w:t>
      </w:r>
      <w:r w:rsidR="0085330E">
        <w:rPr>
          <w:rFonts w:ascii="ZWAdobeF" w:hAnsi="ZWAdobeF" w:cs="ZWAdobeF"/>
          <w:sz w:val="2"/>
          <w:szCs w:val="2"/>
        </w:rPr>
        <w:t>225F</w:t>
      </w:r>
      <w:r w:rsidRPr="00B84F0E">
        <w:rPr>
          <w:vertAlign w:val="superscript"/>
        </w:rPr>
        <w:footnoteReference w:id="227"/>
      </w:r>
      <w:r w:rsidRPr="00B84F0E">
        <w:t xml:space="preserve">. Cela laisse place à des applications divergentes par les différents DPJ. </w:t>
      </w:r>
    </w:p>
    <w:p w14:paraId="7D58FAD0" w14:textId="09516DA0" w:rsidR="00B84F0E" w:rsidRPr="00B84F0E" w:rsidRDefault="00B84F0E" w:rsidP="003A1427">
      <w:pPr>
        <w:pStyle w:val="Paragraphe"/>
      </w:pPr>
      <w:r w:rsidRPr="00B84F0E">
        <w:t xml:space="preserve">Dans ces circonstances, elle soutenait que la </w:t>
      </w:r>
      <w:r w:rsidRPr="00B84F0E">
        <w:rPr>
          <w:rFonts w:eastAsia="Cambria"/>
        </w:rPr>
        <w:t xml:space="preserve">LPJ </w:t>
      </w:r>
      <w:r w:rsidRPr="00B84F0E">
        <w:t>ne permet pas au tribunal de déléguer ce pouvoir au DPJ</w:t>
      </w:r>
      <w:r w:rsidR="0085330E">
        <w:rPr>
          <w:rFonts w:ascii="ZWAdobeF" w:hAnsi="ZWAdobeF" w:cs="ZWAdobeF"/>
          <w:sz w:val="2"/>
          <w:szCs w:val="2"/>
        </w:rPr>
        <w:t>226F</w:t>
      </w:r>
      <w:r w:rsidRPr="00B84F0E">
        <w:rPr>
          <w:vertAlign w:val="superscript"/>
        </w:rPr>
        <w:footnoteReference w:id="228"/>
      </w:r>
      <w:r w:rsidRPr="00B84F0E">
        <w:t>. La Commission expliquait qu’il revenait au tribunal de déterminer, à défaut d’entente entre les parties, les modalités de contacts de l’enfant. Elle a recommandé que les dispositions de la LPJ relatives au droit de l’enfant de communiquer soient clarifiées, notamment pour prévoir que toute décision visant une interdiction de contacts entre une personne et un enfant placé en famille d’accueil ou confié à une personne significative doit être soumise au tribunal</w:t>
      </w:r>
      <w:r w:rsidR="0085330E">
        <w:rPr>
          <w:rFonts w:ascii="ZWAdobeF" w:hAnsi="ZWAdobeF" w:cs="ZWAdobeF"/>
          <w:sz w:val="2"/>
          <w:szCs w:val="2"/>
        </w:rPr>
        <w:t>227F</w:t>
      </w:r>
      <w:r w:rsidRPr="00B84F0E">
        <w:rPr>
          <w:vertAlign w:val="superscript"/>
        </w:rPr>
        <w:footnoteReference w:id="229"/>
      </w:r>
      <w:r w:rsidRPr="00B84F0E">
        <w:t>.</w:t>
      </w:r>
    </w:p>
    <w:p w14:paraId="599AF346" w14:textId="2844CDDF" w:rsidR="00B84F0E" w:rsidRPr="00B84F0E" w:rsidRDefault="00B84F0E" w:rsidP="003A1427">
      <w:pPr>
        <w:pStyle w:val="Paragraphe"/>
      </w:pPr>
      <w:r w:rsidRPr="00B84F0E">
        <w:t>La CSDEPJ concluait dans le même sens, estimant que le tribunal devait toujours se prononcer sur les contacts</w:t>
      </w:r>
      <w:r w:rsidR="0085330E">
        <w:rPr>
          <w:rFonts w:ascii="ZWAdobeF" w:hAnsi="ZWAdobeF" w:cs="ZWAdobeF"/>
          <w:sz w:val="2"/>
          <w:szCs w:val="2"/>
        </w:rPr>
        <w:t>228F</w:t>
      </w:r>
      <w:r w:rsidRPr="00B84F0E">
        <w:rPr>
          <w:vertAlign w:val="superscript"/>
        </w:rPr>
        <w:footnoteReference w:id="230"/>
      </w:r>
      <w:r w:rsidRPr="00B84F0E">
        <w:t>. Elle faisait néanmoins valoir que les modalités de contacts doivent être souples et flexibles pour être facilement modifiables selon l’évolution de la situation. La CSDEPJ proposait ainsi de modifier l’article</w:t>
      </w:r>
      <w:r w:rsidR="00104A0F">
        <w:t> </w:t>
      </w:r>
      <w:r w:rsidRPr="00B84F0E">
        <w:t>91.1 de la LPJ pour que le tribunal statue obligatoirement sur les contacts avec les parents selon l’intérêt de l’enfant</w:t>
      </w:r>
      <w:r w:rsidR="0085330E">
        <w:rPr>
          <w:rFonts w:ascii="ZWAdobeF" w:hAnsi="ZWAdobeF" w:cs="ZWAdobeF"/>
          <w:sz w:val="2"/>
          <w:szCs w:val="2"/>
        </w:rPr>
        <w:t>229F</w:t>
      </w:r>
      <w:r w:rsidRPr="00B84F0E">
        <w:rPr>
          <w:vertAlign w:val="superscript"/>
        </w:rPr>
        <w:footnoteReference w:id="231"/>
      </w:r>
      <w:r w:rsidRPr="00B84F0E">
        <w:t>.</w:t>
      </w:r>
    </w:p>
    <w:p w14:paraId="16D96535" w14:textId="335B43B8" w:rsidR="00654946" w:rsidRDefault="00B84F0E" w:rsidP="003A1427">
      <w:pPr>
        <w:pStyle w:val="Paragraphe"/>
      </w:pPr>
      <w:r w:rsidRPr="00DC550E">
        <w:t>Il ressort des décisions analysées que cette pratique a toujours cours. Dans la majorité d’entre elles (67 %), les juges laissent aux parties l’établissement de la fréquence, des modalités et de la durée des contacts selon l’évaluation de la situation.</w:t>
      </w:r>
      <w:r w:rsidR="00654946" w:rsidRPr="00DC550E">
        <w:t xml:space="preserve"> </w:t>
      </w:r>
      <w:r w:rsidR="002D541B" w:rsidRPr="00DC550E">
        <w:t>Notons toutefois que le</w:t>
      </w:r>
      <w:r w:rsidR="00654946" w:rsidRPr="00DC550E">
        <w:t xml:space="preserve">s juges prennent </w:t>
      </w:r>
      <w:r w:rsidR="00787818" w:rsidRPr="00DC550E">
        <w:t>l</w:t>
      </w:r>
      <w:r w:rsidR="00654946" w:rsidRPr="00DC550E">
        <w:t xml:space="preserve">e soin de les </w:t>
      </w:r>
      <w:r w:rsidR="002D541B" w:rsidRPr="00DC550E">
        <w:t>déterminer</w:t>
      </w:r>
      <w:r w:rsidR="001B2307" w:rsidRPr="00DC550E">
        <w:t xml:space="preserve"> </w:t>
      </w:r>
      <w:r w:rsidR="00654946" w:rsidRPr="00DC550E">
        <w:t>advenant que les parties ne parviennent pas à s’entendre (63 % des décisions où les contacts sont à être déterminés par les parties).</w:t>
      </w:r>
    </w:p>
    <w:p w14:paraId="789C76F0" w14:textId="77777777" w:rsidR="00B84F0E" w:rsidRPr="00B84F0E" w:rsidRDefault="00B84F0E" w:rsidP="003A1427">
      <w:pPr>
        <w:pStyle w:val="Paragraphe"/>
      </w:pPr>
      <w:r w:rsidRPr="00B84F0E">
        <w:t xml:space="preserve">La Commission insiste à nouveau sur le droit de l’enfant confié à un milieu substitut en vertu de la </w:t>
      </w:r>
      <w:r w:rsidRPr="00B84F0E">
        <w:rPr>
          <w:rFonts w:eastAsia="Cambria"/>
        </w:rPr>
        <w:t xml:space="preserve">LPJ </w:t>
      </w:r>
      <w:r w:rsidRPr="00B84F0E">
        <w:t xml:space="preserve">de communiquer en toute confidentialité avec ses parents. Il s’agit d’un droit protégé à la fois par la </w:t>
      </w:r>
      <w:r w:rsidRPr="00B84F0E">
        <w:rPr>
          <w:rFonts w:eastAsia="Cambria"/>
        </w:rPr>
        <w:t xml:space="preserve">LPJ </w:t>
      </w:r>
      <w:r w:rsidRPr="00B84F0E">
        <w:t xml:space="preserve">et </w:t>
      </w:r>
      <w:r w:rsidRPr="00B84F0E">
        <w:lastRenderedPageBreak/>
        <w:t xml:space="preserve">différents instruments juridiques du droit international. En ordonnant des contacts entre un enfant et une personne, mais en laissant au DPJ le soin de décider d’une supervision ainsi que la fréquence et la durée, le tribunal permet à ce dernier de limiter, possiblement substantiellement, les contacts de l’enfant. La Commission le constate d’ailleurs encore fréquemment puisqu’elle continue de recevoir et de traiter des plaintes pour des lésions de droits alléguées concernant les contacts entre l’enfant et ses parents. Ses interventions mènent à des mesures correctrices telles que l’adoption de plan de reprise de contacts ou la levée de la supervision des contacts entre l’enfant et ses parents lorsque celle-ci n’est pas prévue à l’ordonnance. </w:t>
      </w:r>
    </w:p>
    <w:p w14:paraId="258BDDEF" w14:textId="729AB5FB" w:rsidR="00B84F0E" w:rsidRPr="00B84F0E" w:rsidRDefault="00B84F0E" w:rsidP="003A1427">
      <w:pPr>
        <w:pStyle w:val="Paragraphe"/>
      </w:pPr>
      <w:r w:rsidRPr="00B84F0E">
        <w:t>Deux pistes d’action identifiées par le milieu de la recherche apparaissent prometteuses pour obtenir l’adhésion des parties et plus adaptées à la situation de chaque enfant, soit l’écoute active de chacune des parties impliquées et la conclusion d’entente contractuelle sur les modalités de contacts</w:t>
      </w:r>
      <w:r w:rsidR="0085330E">
        <w:rPr>
          <w:rFonts w:ascii="ZWAdobeF" w:hAnsi="ZWAdobeF" w:cs="ZWAdobeF"/>
          <w:sz w:val="2"/>
          <w:szCs w:val="2"/>
        </w:rPr>
        <w:t>230F</w:t>
      </w:r>
      <w:r w:rsidRPr="00B84F0E">
        <w:rPr>
          <w:vertAlign w:val="superscript"/>
        </w:rPr>
        <w:footnoteReference w:id="232"/>
      </w:r>
      <w:r w:rsidRPr="00B84F0E">
        <w:t xml:space="preserve">.  </w:t>
      </w:r>
    </w:p>
    <w:p w14:paraId="01CDE056" w14:textId="175B81D4" w:rsidR="00B84F0E" w:rsidRPr="00B84F0E" w:rsidRDefault="00B84F0E" w:rsidP="003A1427">
      <w:pPr>
        <w:pStyle w:val="Paragraphe"/>
      </w:pPr>
      <w:r w:rsidRPr="00B84F0E">
        <w:t xml:space="preserve">La Commission estime que des travaux devraient être entrepris en ce sens pour réfléchir aux pratiques à mettre en place dans une même optique d’assurer la stabilité et la protection des droits de l’enfant qui est confié </w:t>
      </w:r>
      <w:r w:rsidR="001718F2">
        <w:t>à un</w:t>
      </w:r>
      <w:r w:rsidRPr="00B84F0E">
        <w:t xml:space="preserve"> milieu de vie substitut jusqu’à la majorité. Une attention particulière devrait être apportée à la prise en compte de l’opinion de l’enfant. Les éventuels travaux de la Table nationale sociojudiciaire constitueraient un lieu propice pour ce faire.</w:t>
      </w:r>
    </w:p>
    <w:p w14:paraId="5223F3CC" w14:textId="77777777" w:rsidR="00B84F0E" w:rsidRPr="00B84F0E" w:rsidRDefault="00B84F0E" w:rsidP="003A1427">
      <w:pPr>
        <w:pStyle w:val="Paragraphe"/>
      </w:pPr>
      <w:r w:rsidRPr="00B84F0E">
        <w:t>Cette reconsidération des pratiques pourrait par ailleurs contribuer à la diminution des délais judiciaires. L’analyse des décisions a permis de constater, sans toutefois que des données précises soient présentées à ce propos, que de nombreux parents adhèrent au projet de vie proposé, mais qu’ils contestent les modalités de contacts proposés. Dans ce cas, l’audience est nécessairement plus longue. Ce constat appuie la nécessité pour les DPJ de s’inscrire dans une approche consensuelle lors de la détermination des contacts entre l’enfant et ses parents lors de l’actualisation du projet de vie de l’enfant. Cette approche qui s’instaure progressivement en protection de la jeunesse a fait ses preuves dans le système de justice québécois, notamment en droit de la famille.</w:t>
      </w:r>
    </w:p>
    <w:p w14:paraId="484CA790" w14:textId="7CB80396" w:rsidR="00B84F0E" w:rsidRPr="00B84F0E" w:rsidRDefault="00B84F0E" w:rsidP="003A1427">
      <w:pPr>
        <w:pStyle w:val="Paragraphe"/>
      </w:pPr>
      <w:r w:rsidRPr="00B84F0E">
        <w:t>Pour résumer, la Commission encourage les pratiques des DPJ qui visent à consulter davantage les parties, tant les enfants et ses parents, en amont pour parvenir à une entente relative aux</w:t>
      </w:r>
      <w:r w:rsidR="00507107">
        <w:t xml:space="preserve"> </w:t>
      </w:r>
      <w:r w:rsidRPr="00B84F0E">
        <w:t>modalités de contacts qui pourrait ensuite être entérinée par le tribunal, plutôt que ce dernier se retrouve à devoir ordonner que les modalités soient déterminées ultérieurement.</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2"/>
      </w:tblGrid>
      <w:tr w:rsidR="008304F2" w14:paraId="769B3221" w14:textId="77777777" w:rsidTr="00CC5A23">
        <w:tc>
          <w:tcPr>
            <w:tcW w:w="5000" w:type="pct"/>
            <w:shd w:val="clear" w:color="auto" w:fill="E9F8FB"/>
          </w:tcPr>
          <w:p w14:paraId="4EB84A5D" w14:textId="03A100E3" w:rsidR="008304F2" w:rsidRDefault="008304F2" w:rsidP="006039D4">
            <w:pPr>
              <w:pStyle w:val="TitreRecommandation"/>
            </w:pPr>
            <w:r>
              <w:t>Recommandation</w:t>
            </w:r>
            <w:r w:rsidR="00104A0F">
              <w:t> </w:t>
            </w:r>
            <w:r>
              <w:t>10</w:t>
            </w:r>
          </w:p>
          <w:p w14:paraId="0F09BC09" w14:textId="3C120792" w:rsidR="008304F2" w:rsidRDefault="008304F2">
            <w:pPr>
              <w:pStyle w:val="Texterecommandation"/>
            </w:pPr>
            <w:r w:rsidRPr="00597617">
              <w:t>La Commission</w:t>
            </w:r>
            <w:r>
              <w:t xml:space="preserve"> recommande au ministre de la Justice et </w:t>
            </w:r>
            <w:r w:rsidRPr="00640E95">
              <w:t>au ministre responsable des Services sociaux</w:t>
            </w:r>
            <w:r>
              <w:t xml:space="preserve"> ainsi qu’à la directrice nationale de la protection de la jeunesse, avec la collaboration de la Table des DPJ et de Santé Québec, d’analyser les pratiques r</w:t>
            </w:r>
            <w:r w:rsidRPr="00B807FD">
              <w:t xml:space="preserve">égionales entourant </w:t>
            </w:r>
            <w:r w:rsidRPr="00B807FD">
              <w:lastRenderedPageBreak/>
              <w:t xml:space="preserve">l’établissement des modalités des contacts entre l’enfant, ses parents et autres personnes significatives en contexte de placement </w:t>
            </w:r>
            <w:r w:rsidR="001718F2">
              <w:t>à un</w:t>
            </w:r>
            <w:r w:rsidRPr="00B807FD">
              <w:t xml:space="preserve"> milieu de vie substitut jusqu’à la majorité. </w:t>
            </w:r>
          </w:p>
          <w:p w14:paraId="4ABE038E" w14:textId="1AD1CABC" w:rsidR="008304F2" w:rsidRPr="00640E95" w:rsidRDefault="008304F2" w:rsidP="008304F2">
            <w:pPr>
              <w:pStyle w:val="Texterecommandation"/>
            </w:pPr>
            <w:r w:rsidRPr="00B807FD">
              <w:t xml:space="preserve">Les mesures qui apparaissent les plus porteuses devraient mener à un déploiement à l’échelle du Québec. </w:t>
            </w:r>
          </w:p>
        </w:tc>
      </w:tr>
    </w:tbl>
    <w:p w14:paraId="77CF9D48" w14:textId="723C560C" w:rsidR="008C1425" w:rsidRPr="008C1425" w:rsidRDefault="00C62B2D" w:rsidP="00F93AC5">
      <w:pPr>
        <w:pStyle w:val="Titre2"/>
      </w:pPr>
      <w:bookmarkStart w:id="121" w:name="_Toc201330541"/>
      <w:r>
        <w:lastRenderedPageBreak/>
        <w:t>4.6</w:t>
      </w:r>
      <w:r>
        <w:tab/>
      </w:r>
      <w:r w:rsidRPr="00A62A5B">
        <w:t>Explorer la prise en compte des dispositions relatives</w:t>
      </w:r>
      <w:r>
        <w:t xml:space="preserve"> aux enfants autochtones et aux enfants appartenant à une communauté ethnoculturelle </w:t>
      </w:r>
      <w:r w:rsidR="008C1425" w:rsidRPr="008C1425">
        <w:t>appartenant à une communauté ethnoculturelle</w:t>
      </w:r>
      <w:bookmarkEnd w:id="121"/>
      <w:r w:rsidR="008C1425" w:rsidRPr="008C1425">
        <w:t xml:space="preserve">  </w:t>
      </w:r>
    </w:p>
    <w:p w14:paraId="72D1C26C" w14:textId="77777777" w:rsidR="008C1425" w:rsidRPr="008C1425" w:rsidRDefault="008C1425" w:rsidP="003A1427">
      <w:pPr>
        <w:pStyle w:val="Paragraphe"/>
      </w:pPr>
      <w:r w:rsidRPr="008C1425">
        <w:t>Parmi notre corpus, très peu de décisions mentionnent que l’enfant est autochtone ou appartient à une «</w:t>
      </w:r>
      <w:r w:rsidRPr="008C1425">
        <w:rPr>
          <w:rFonts w:ascii="Arial" w:hAnsi="Arial"/>
        </w:rPr>
        <w:t> </w:t>
      </w:r>
      <w:r w:rsidRPr="008C1425">
        <w:t>communauté ethnoculturelle</w:t>
      </w:r>
      <w:r w:rsidRPr="008C1425">
        <w:rPr>
          <w:rFonts w:ascii="Arial" w:hAnsi="Arial"/>
        </w:rPr>
        <w:t> </w:t>
      </w:r>
      <w:r w:rsidRPr="008C1425">
        <w:t xml:space="preserve">». La méthodologie retenue dans le présent rapport ne permet toutefois pas de savoir combien de décisions de l’échantillon concernent des enfants autochtones ou appartenant à une communauté ethnoculturelle. Retenons néanmoins que la possibilité que des décisions concernent des enfants de ces groupes sans toutefois mentionner ces caractéristiques. </w:t>
      </w:r>
    </w:p>
    <w:p w14:paraId="741C9F65" w14:textId="40DE9FBD" w:rsidR="008C1425" w:rsidRPr="008C1425" w:rsidRDefault="008C1425" w:rsidP="003A1427">
      <w:pPr>
        <w:pStyle w:val="Paragraphe"/>
      </w:pPr>
      <w:r w:rsidRPr="008C1425">
        <w:t>Les informations recueillies auprès des procureures et procureurs des enfants apportent un éclairage intéressant. Rappelons qu’ils sont partagés équitablement entre la perception que le tribunal prend davantage en compte les caractéristiques de la communauté culturelle de l’enfant dans le choix du milieu de vie substitut et la perception que le tribunal les traite de la même manière qu’a</w:t>
      </w:r>
      <w:r w:rsidR="00694005">
        <w:t>ntérieuremen</w:t>
      </w:r>
      <w:r w:rsidRPr="008C1425">
        <w:t xml:space="preserve">t. Il en va de même </w:t>
      </w:r>
      <w:r w:rsidR="00A57D6A">
        <w:t>de</w:t>
      </w:r>
      <w:r w:rsidRPr="008C1425">
        <w:t xml:space="preserve"> l’ordre de priorité établi lors du choix du milieu de vie substitut de l’enfant autochtone. Cependant, les procureur</w:t>
      </w:r>
      <w:r w:rsidR="00D76049">
        <w:t>e</w:t>
      </w:r>
      <w:r w:rsidRPr="008C1425">
        <w:t xml:space="preserve">s </w:t>
      </w:r>
      <w:r w:rsidR="00D76049">
        <w:t>et</w:t>
      </w:r>
      <w:r w:rsidRPr="008C1425">
        <w:t xml:space="preserve"> procureurs qui se sont prononcés concernant les mesures prises pour favoriser la continuité culturelle de l’enfant autochtone étaient d’avis que la réforme a</w:t>
      </w:r>
      <w:r w:rsidR="00B77543">
        <w:t>v</w:t>
      </w:r>
      <w:r w:rsidR="001858F0">
        <w:t>a</w:t>
      </w:r>
      <w:r w:rsidR="003850EA">
        <w:t>it</w:t>
      </w:r>
      <w:r w:rsidRPr="008C1425">
        <w:t xml:space="preserve"> donné lieu à des effets modérés ou importants.</w:t>
      </w:r>
    </w:p>
    <w:p w14:paraId="091BD0C5" w14:textId="77777777" w:rsidR="008C1425" w:rsidRPr="008C1425" w:rsidRDefault="008C1425" w:rsidP="003A1427">
      <w:pPr>
        <w:pStyle w:val="Paragraphe"/>
      </w:pPr>
      <w:r w:rsidRPr="008C1425">
        <w:t xml:space="preserve">Cela dit, la situation observée dans l’analyse de la jurisprudence est étonnante pour deux raisons. </w:t>
      </w:r>
    </w:p>
    <w:p w14:paraId="0B24B869" w14:textId="419A17D2" w:rsidR="008C1425" w:rsidRPr="008C1425" w:rsidRDefault="008C1425" w:rsidP="003A1427">
      <w:pPr>
        <w:pStyle w:val="Paragraphe"/>
      </w:pPr>
      <w:r w:rsidRPr="008C1425">
        <w:t>Premièrement, les enfants autochtones et ceux appartenant à une minorité racisée, particulièrement, la minorité noire, sont surreprésentés dans le système de protection de la jeunesse, ce qui est notamment attribuable à de nombreux facteurs socioéconomiques et historiques, à une offre inadéquate de services de prévention et à la présence de profilage racial</w:t>
      </w:r>
      <w:r w:rsidR="0085330E">
        <w:rPr>
          <w:rFonts w:ascii="ZWAdobeF" w:hAnsi="ZWAdobeF" w:cs="ZWAdobeF"/>
          <w:sz w:val="2"/>
          <w:szCs w:val="2"/>
        </w:rPr>
        <w:t>231F</w:t>
      </w:r>
      <w:r w:rsidRPr="008C1425">
        <w:rPr>
          <w:vertAlign w:val="superscript"/>
        </w:rPr>
        <w:footnoteReference w:id="233"/>
      </w:r>
      <w:r w:rsidRPr="008C1425">
        <w:t xml:space="preserve">. La CSDEPJ a posé des constats similaires en regard </w:t>
      </w:r>
      <w:r w:rsidRPr="008C1425">
        <w:lastRenderedPageBreak/>
        <w:t>des enfants autochtones</w:t>
      </w:r>
      <w:r w:rsidR="0085330E">
        <w:rPr>
          <w:rFonts w:ascii="ZWAdobeF" w:hAnsi="ZWAdobeF" w:cs="ZWAdobeF"/>
          <w:sz w:val="2"/>
          <w:szCs w:val="2"/>
        </w:rPr>
        <w:t>232F</w:t>
      </w:r>
      <w:r w:rsidRPr="008C1425">
        <w:rPr>
          <w:vertAlign w:val="superscript"/>
        </w:rPr>
        <w:footnoteReference w:id="234"/>
      </w:r>
      <w:r w:rsidRPr="008C1425">
        <w:t xml:space="preserve"> ainsi qu’à l’égard des enfants noirs</w:t>
      </w:r>
      <w:r w:rsidR="0085330E">
        <w:rPr>
          <w:rFonts w:ascii="ZWAdobeF" w:hAnsi="ZWAdobeF" w:cs="ZWAdobeF"/>
          <w:sz w:val="2"/>
          <w:szCs w:val="2"/>
        </w:rPr>
        <w:t>233F</w:t>
      </w:r>
      <w:r w:rsidRPr="008C1425">
        <w:rPr>
          <w:vertAlign w:val="superscript"/>
        </w:rPr>
        <w:footnoteReference w:id="235"/>
      </w:r>
      <w:r w:rsidRPr="008C1425">
        <w:t>. Encore très récemment, cette situation a été démontrée concernant ces derniers par l’Observatoire des communautés noires</w:t>
      </w:r>
      <w:r w:rsidR="0085330E">
        <w:rPr>
          <w:rFonts w:ascii="ZWAdobeF" w:hAnsi="ZWAdobeF" w:cs="ZWAdobeF"/>
          <w:sz w:val="2"/>
          <w:szCs w:val="2"/>
        </w:rPr>
        <w:t>234F</w:t>
      </w:r>
      <w:r w:rsidRPr="008C1425">
        <w:rPr>
          <w:vertAlign w:val="superscript"/>
        </w:rPr>
        <w:footnoteReference w:id="236"/>
      </w:r>
      <w:r w:rsidRPr="008C1425">
        <w:t>.</w:t>
      </w:r>
    </w:p>
    <w:p w14:paraId="1AC35962" w14:textId="4F140D6C" w:rsidR="008C1425" w:rsidRPr="008C1425" w:rsidRDefault="008C1425" w:rsidP="003A1427">
      <w:pPr>
        <w:pStyle w:val="Paragraphe"/>
      </w:pPr>
      <w:r w:rsidRPr="008C1425">
        <w:t xml:space="preserve">Il semble ainsi improbable que les enfants de ces groupes ne soient pas confiés dans une même proportion </w:t>
      </w:r>
      <w:r w:rsidR="001718F2">
        <w:t>à un</w:t>
      </w:r>
      <w:r w:rsidRPr="008C1425">
        <w:t xml:space="preserve"> milieu de vie substitut jusqu’à la majorité ou à tout le moins qu’il</w:t>
      </w:r>
      <w:r w:rsidR="00507107">
        <w:t>s</w:t>
      </w:r>
      <w:r w:rsidRPr="008C1425">
        <w:t xml:space="preserve"> ne soient pas aussi surreprésentés dans les placements jusqu’à la majorité.</w:t>
      </w:r>
    </w:p>
    <w:p w14:paraId="5348B1C8" w14:textId="4F90AEDA" w:rsidR="008C1425" w:rsidRPr="008C1425" w:rsidRDefault="008C1425" w:rsidP="003A1427">
      <w:pPr>
        <w:pStyle w:val="Paragraphe"/>
      </w:pPr>
      <w:r w:rsidRPr="008C1425">
        <w:t xml:space="preserve">Deuxièmement, la LPJ contient des dispositions qui spécifient que l’appartenance des enfants aux peuples autochtones ou à des groupes minoritaires sont des considérations importantes dont il faut tenir compte dans l’application de la LPJ, notamment pour évaluer l’intérêt de l’enfant et ses besoins de stabilité. </w:t>
      </w:r>
      <w:r w:rsidR="005C39D1">
        <w:t xml:space="preserve">Rappelons </w:t>
      </w:r>
      <w:r w:rsidR="00C63F4B">
        <w:t xml:space="preserve">que depuis la réforme, </w:t>
      </w:r>
      <w:r w:rsidR="00AA15E1">
        <w:t>le</w:t>
      </w:r>
      <w:r w:rsidR="005C39D1">
        <w:t xml:space="preserve"> chapitre </w:t>
      </w:r>
      <w:r w:rsidR="00AA15E1">
        <w:t xml:space="preserve">V.1 </w:t>
      </w:r>
      <w:r w:rsidR="005C39D1">
        <w:t xml:space="preserve">de la LPJ </w:t>
      </w:r>
      <w:r w:rsidR="00C63F4B">
        <w:t>regroupe</w:t>
      </w:r>
      <w:r w:rsidR="00055325">
        <w:t xml:space="preserve"> les dispositions particulières aux Autochtones</w:t>
      </w:r>
      <w:r w:rsidR="0085330E">
        <w:rPr>
          <w:rFonts w:ascii="ZWAdobeF" w:hAnsi="ZWAdobeF" w:cs="ZWAdobeF"/>
          <w:sz w:val="2"/>
          <w:szCs w:val="2"/>
        </w:rPr>
        <w:t>235F</w:t>
      </w:r>
      <w:r w:rsidR="00EF177F">
        <w:rPr>
          <w:rStyle w:val="Appelnotedebasdep"/>
        </w:rPr>
        <w:footnoteReference w:id="237"/>
      </w:r>
      <w:r w:rsidR="00E66AF8">
        <w:t>.</w:t>
      </w:r>
    </w:p>
    <w:p w14:paraId="26D933CD" w14:textId="5A34D3BB" w:rsidR="008C1425" w:rsidRPr="008C1425" w:rsidRDefault="008C1425" w:rsidP="003A1427">
      <w:pPr>
        <w:pStyle w:val="Paragraphe"/>
      </w:pPr>
      <w:r w:rsidRPr="008C1425">
        <w:t>En partant de la prémisse qu’il est improbable qu’un nombre très marginal de décisions analysées ne visent ces enfants, l’absence de mentions de leurs caractéristiques laisse croire que l’évaluation de leur situation ne s’est pas effectuée en tenant compte de leurs spécificités</w:t>
      </w:r>
      <w:r w:rsidR="0010710F">
        <w:t xml:space="preserve"> ou</w:t>
      </w:r>
      <w:r w:rsidR="00350BBA">
        <w:t xml:space="preserve"> du moins </w:t>
      </w:r>
      <w:r w:rsidR="00B65932">
        <w:t>au moment de prendre la décision de la confier à un milieu de vie substitut jusqu’à la majo</w:t>
      </w:r>
      <w:r w:rsidR="00C71F00">
        <w:t>rité</w:t>
      </w:r>
      <w:r w:rsidRPr="008C1425">
        <w:t>.</w:t>
      </w:r>
    </w:p>
    <w:p w14:paraId="75A519C2" w14:textId="77777777" w:rsidR="008C1425" w:rsidRPr="008C1425" w:rsidRDefault="008C1425" w:rsidP="003A1427">
      <w:pPr>
        <w:pStyle w:val="Paragraphe"/>
      </w:pPr>
      <w:r w:rsidRPr="008C1425">
        <w:t>Ce constat préoccupe particulièrement la Commission. Elle déplore qu’en dépit de l’ensemble des travaux d’envergure, incluant les siens, qui ont mis en lumière les enjeux d’application de la LPJ pour les enfants appartenant à ces groupes minoritaires, les résultats tardent toujours à se manifester sur le terrain.</w:t>
      </w:r>
    </w:p>
    <w:p w14:paraId="59DA22F5" w14:textId="38D51EDE" w:rsidR="008C1425" w:rsidRPr="008C1425" w:rsidRDefault="008C1425" w:rsidP="003A1427">
      <w:pPr>
        <w:pStyle w:val="Paragraphe"/>
      </w:pPr>
      <w:r w:rsidRPr="008C1425">
        <w:t>Rappelons que la CSDEPJ a appelé à passer à l’action pour les enfants autochtones et à adapter les services aux communautés culturelles. La Commission</w:t>
      </w:r>
      <w:r w:rsidR="00C71F00">
        <w:t xml:space="preserve"> des droits</w:t>
      </w:r>
      <w:r w:rsidRPr="008C1425">
        <w:t xml:space="preserve"> émet</w:t>
      </w:r>
      <w:r w:rsidR="00C71F00">
        <w:t xml:space="preserve"> pour sa part</w:t>
      </w:r>
      <w:r w:rsidRPr="008C1425">
        <w:t xml:space="preserve"> depuis des décennies des recommandations qui mise</w:t>
      </w:r>
      <w:r w:rsidR="00CD5F29">
        <w:t>nt</w:t>
      </w:r>
      <w:r w:rsidRPr="008C1425">
        <w:t xml:space="preserve"> sur l’urgence d’agir pour les enfants autochtones et qui </w:t>
      </w:r>
      <w:r w:rsidR="00C0419B" w:rsidRPr="008C1425">
        <w:t>enjoig</w:t>
      </w:r>
      <w:r w:rsidR="00C0419B">
        <w:t>nent</w:t>
      </w:r>
      <w:r w:rsidRPr="008C1425">
        <w:t xml:space="preserve"> à revoir les approches en faveur des groupes minoritaires, dont celles plus récentes :</w:t>
      </w:r>
    </w:p>
    <w:p w14:paraId="207BF808" w14:textId="7C90B9AF" w:rsidR="008C1425" w:rsidRPr="008C1425" w:rsidRDefault="008C1425" w:rsidP="00BA3E6E">
      <w:pPr>
        <w:pStyle w:val="puces0"/>
        <w:rPr>
          <w:lang w:val="fr-FR"/>
        </w:rPr>
      </w:pPr>
      <w:r w:rsidRPr="008C1425">
        <w:t xml:space="preserve">De mettre en œuvre </w:t>
      </w:r>
      <w:r w:rsidRPr="008C1425">
        <w:rPr>
          <w:lang w:val="fr-FR"/>
        </w:rPr>
        <w:t>les appels à l’action concernant spécifiquement la protection de la jeunesse formulés par la Commission Viens</w:t>
      </w:r>
      <w:r w:rsidR="0085330E">
        <w:rPr>
          <w:rFonts w:ascii="ZWAdobeF" w:hAnsi="ZWAdobeF" w:cs="ZWAdobeF"/>
          <w:color w:val="auto"/>
          <w:sz w:val="2"/>
          <w:szCs w:val="2"/>
          <w:lang w:val="fr-FR"/>
        </w:rPr>
        <w:t>236F</w:t>
      </w:r>
      <w:r w:rsidRPr="008C1425">
        <w:rPr>
          <w:vertAlign w:val="superscript"/>
          <w:lang w:val="fr-FR"/>
        </w:rPr>
        <w:footnoteReference w:id="238"/>
      </w:r>
      <w:r w:rsidRPr="008C1425">
        <w:rPr>
          <w:rFonts w:ascii="Arial" w:hAnsi="Arial" w:cs="Arial"/>
          <w:lang w:val="fr-FR"/>
        </w:rPr>
        <w:t> </w:t>
      </w:r>
      <w:r w:rsidRPr="008C1425">
        <w:rPr>
          <w:lang w:val="fr-FR"/>
        </w:rPr>
        <w:t>;</w:t>
      </w:r>
    </w:p>
    <w:p w14:paraId="4EE71B61" w14:textId="57305C45" w:rsidR="008C1425" w:rsidRPr="008C1425" w:rsidRDefault="008C1425" w:rsidP="00BA3E6E">
      <w:pPr>
        <w:pStyle w:val="puces0"/>
        <w:rPr>
          <w:lang w:val="fr-FR"/>
        </w:rPr>
      </w:pPr>
      <w:r w:rsidRPr="008C1425">
        <w:t xml:space="preserve">De procéder à une évaluation de l’ensemble de l’offre de services sociaux de prévention et de protection de la jeunesse, et ce, dans une approche fondée sur les besoins des Inuit et d’y apporter, le cas échéant, les changements nécessaires pour permettre la mise en place de </w:t>
      </w:r>
      <w:r w:rsidRPr="008C1425">
        <w:lastRenderedPageBreak/>
        <w:t>services développés spécifiquement pour eux et le déploiement de mesures et programmes autodéterminés</w:t>
      </w:r>
      <w:bookmarkStart w:id="122" w:name="_Ref200618745"/>
      <w:r w:rsidR="0085330E">
        <w:rPr>
          <w:rFonts w:ascii="ZWAdobeF" w:hAnsi="ZWAdobeF" w:cs="ZWAdobeF"/>
          <w:color w:val="auto"/>
          <w:sz w:val="2"/>
          <w:szCs w:val="2"/>
        </w:rPr>
        <w:t>237F</w:t>
      </w:r>
      <w:r w:rsidRPr="008C1425">
        <w:rPr>
          <w:vertAlign w:val="superscript"/>
        </w:rPr>
        <w:footnoteReference w:id="239"/>
      </w:r>
      <w:bookmarkEnd w:id="122"/>
      <w:r w:rsidR="00D16B99">
        <w:rPr>
          <w:rFonts w:ascii="Arial" w:hAnsi="Arial" w:cs="Arial"/>
        </w:rPr>
        <w:t> </w:t>
      </w:r>
      <w:r w:rsidRPr="008C1425">
        <w:t>;</w:t>
      </w:r>
    </w:p>
    <w:p w14:paraId="1312353A" w14:textId="755099E8" w:rsidR="008C1425" w:rsidRPr="008C1425" w:rsidRDefault="008C1425" w:rsidP="00BA3E6E">
      <w:pPr>
        <w:pStyle w:val="puces0"/>
      </w:pPr>
      <w:r w:rsidRPr="008C1425">
        <w:t>D’élaborer un cadre de référence à l’attention de tous les DPJ afin qu’ils intègrent l’approche interculturelle et antiraciste à leur processus d’évaluation</w:t>
      </w:r>
      <w:r w:rsidRPr="008C1425">
        <w:rPr>
          <w:rFonts w:ascii="Arial" w:hAnsi="Arial" w:cs="Arial"/>
        </w:rPr>
        <w:t> </w:t>
      </w:r>
      <w:r w:rsidR="0085330E">
        <w:rPr>
          <w:rFonts w:ascii="ZWAdobeF" w:hAnsi="ZWAdobeF" w:cs="ZWAdobeF"/>
          <w:color w:val="auto"/>
          <w:sz w:val="2"/>
          <w:szCs w:val="2"/>
        </w:rPr>
        <w:t>238F</w:t>
      </w:r>
      <w:r w:rsidRPr="008C1425">
        <w:rPr>
          <w:vertAlign w:val="superscript"/>
        </w:rPr>
        <w:footnoteReference w:id="240"/>
      </w:r>
      <w:r w:rsidRPr="008C1425">
        <w:rPr>
          <w:rFonts w:ascii="Arial" w:hAnsi="Arial" w:cs="Arial"/>
        </w:rPr>
        <w:t> </w:t>
      </w:r>
      <w:r w:rsidRPr="008C1425">
        <w:t>;</w:t>
      </w:r>
    </w:p>
    <w:p w14:paraId="3C90B582" w14:textId="302D4721" w:rsidR="008C1425" w:rsidRPr="008C1425" w:rsidRDefault="008C1425" w:rsidP="00BA3E6E">
      <w:pPr>
        <w:pStyle w:val="puces0"/>
      </w:pPr>
      <w:r w:rsidRPr="008C1425">
        <w:t>De modifier la LPJ afin de prévoir la prise en compte de l’identité culturelle des enfants des minorités racisées et des enfants des minorités ethniques aux facteurs à prendre en considération lorsque des décisions doivent être prises en vertu de cette loi</w:t>
      </w:r>
      <w:r w:rsidR="0085330E">
        <w:rPr>
          <w:rFonts w:ascii="ZWAdobeF" w:hAnsi="ZWAdobeF" w:cs="ZWAdobeF"/>
          <w:color w:val="auto"/>
          <w:sz w:val="2"/>
          <w:szCs w:val="2"/>
        </w:rPr>
        <w:t>239F</w:t>
      </w:r>
      <w:r w:rsidRPr="008C1425">
        <w:rPr>
          <w:vertAlign w:val="superscript"/>
        </w:rPr>
        <w:footnoteReference w:id="241"/>
      </w:r>
      <w:r w:rsidRPr="008C1425">
        <w:rPr>
          <w:rFonts w:ascii="Arial" w:hAnsi="Arial" w:cs="Arial"/>
        </w:rPr>
        <w:t> </w:t>
      </w:r>
      <w:r w:rsidRPr="008C1425">
        <w:t>;</w:t>
      </w:r>
    </w:p>
    <w:p w14:paraId="169001FD" w14:textId="540E7B8D" w:rsidR="008C1425" w:rsidRPr="008C1425" w:rsidRDefault="008C1425" w:rsidP="00BA3E6E">
      <w:pPr>
        <w:pStyle w:val="puces0"/>
      </w:pPr>
      <w:r w:rsidRPr="008C1425">
        <w:t>De reconnaître le droit à l’autodétermination des peuples autochtones en matière d’administration et de gouvernance des services à l’enfance et l’importance de la sécurisation culturelle</w:t>
      </w:r>
      <w:r w:rsidR="0085330E">
        <w:rPr>
          <w:rFonts w:ascii="ZWAdobeF" w:hAnsi="ZWAdobeF" w:cs="ZWAdobeF"/>
          <w:color w:val="auto"/>
          <w:sz w:val="2"/>
          <w:szCs w:val="2"/>
        </w:rPr>
        <w:t>240F</w:t>
      </w:r>
      <w:r w:rsidRPr="008C1425">
        <w:rPr>
          <w:vertAlign w:val="superscript"/>
        </w:rPr>
        <w:footnoteReference w:id="242"/>
      </w:r>
      <w:r w:rsidRPr="008C1425">
        <w:t>.</w:t>
      </w:r>
    </w:p>
    <w:p w14:paraId="2DA8FE82" w14:textId="7AB0ED1F" w:rsidR="008C1425" w:rsidRPr="008C1425" w:rsidRDefault="008C1425" w:rsidP="003A1427">
      <w:pPr>
        <w:pStyle w:val="Paragraphe"/>
      </w:pPr>
      <w:r w:rsidRPr="008C1425">
        <w:t xml:space="preserve">L’entrée en vigueur des dispositions de la LPJ et de la </w:t>
      </w:r>
      <w:r w:rsidRPr="008C1425">
        <w:rPr>
          <w:i/>
        </w:rPr>
        <w:t xml:space="preserve">Loi concernant les enfants, les jeunes et les familles des Premières Nations, des </w:t>
      </w:r>
      <w:r w:rsidR="00F02C33">
        <w:rPr>
          <w:i/>
        </w:rPr>
        <w:t>Inuit</w:t>
      </w:r>
      <w:r w:rsidR="007B58B1">
        <w:rPr>
          <w:i/>
        </w:rPr>
        <w:t>s</w:t>
      </w:r>
      <w:r w:rsidRPr="008C1425">
        <w:rPr>
          <w:i/>
        </w:rPr>
        <w:t xml:space="preserve"> et des Métis</w:t>
      </w:r>
      <w:r w:rsidR="0085330E">
        <w:rPr>
          <w:rFonts w:ascii="ZWAdobeF" w:hAnsi="ZWAdobeF" w:cs="ZWAdobeF"/>
          <w:sz w:val="2"/>
          <w:szCs w:val="2"/>
        </w:rPr>
        <w:t>241F</w:t>
      </w:r>
      <w:r w:rsidRPr="008C1425">
        <w:rPr>
          <w:i/>
          <w:vertAlign w:val="superscript"/>
        </w:rPr>
        <w:footnoteReference w:id="243"/>
      </w:r>
      <w:r w:rsidRPr="008C1425">
        <w:t xml:space="preserve"> concernant ces premiers devaient entrainer des changements majeurs, lesquels devraient maintenant pouvoir se mesurer dans la pratique. Si ceux-ci sont encore peu tangibles, la mise en application du guide de pratique clinique</w:t>
      </w:r>
      <w:r w:rsidR="0085330E">
        <w:rPr>
          <w:rFonts w:ascii="ZWAdobeF" w:hAnsi="ZWAdobeF" w:cs="ZWAdobeF"/>
          <w:sz w:val="2"/>
          <w:szCs w:val="2"/>
        </w:rPr>
        <w:t>242F</w:t>
      </w:r>
      <w:r w:rsidRPr="008C1425">
        <w:rPr>
          <w:vertAlign w:val="superscript"/>
        </w:rPr>
        <w:footnoteReference w:id="244"/>
      </w:r>
      <w:r w:rsidRPr="008C1425">
        <w:t xml:space="preserve">, élaboré sous la direction du MSSS à partir des travaux du Comité de travail sur l’intérêt de l’enfant des Premières Nations et </w:t>
      </w:r>
      <w:r w:rsidR="00F02C33">
        <w:t>Inuk</w:t>
      </w:r>
      <w:r w:rsidRPr="008C1425">
        <w:t xml:space="preserve"> et qui vient d’être publié, devrait mener à des résultats concrets dans un avenir rapproché.</w:t>
      </w:r>
    </w:p>
    <w:p w14:paraId="50588807" w14:textId="56BA8376" w:rsidR="00555D16" w:rsidRDefault="008C1425" w:rsidP="003A1427">
      <w:pPr>
        <w:pStyle w:val="Paragraphe"/>
      </w:pPr>
      <w:r w:rsidRPr="008C1425">
        <w:t>La Commission prend note de l’annonce du Protecteur du citoyen du Québec sur l’objet de son prochain rapport de suivi des appels par la Commission d’enquête sur les relations entre les Autochtones et certains services publics (Commission Viens)</w:t>
      </w:r>
      <w:r w:rsidR="0085330E">
        <w:rPr>
          <w:rFonts w:ascii="ZWAdobeF" w:hAnsi="ZWAdobeF" w:cs="ZWAdobeF"/>
          <w:sz w:val="2"/>
          <w:szCs w:val="2"/>
        </w:rPr>
        <w:t>243F</w:t>
      </w:r>
      <w:r w:rsidRPr="008C1425">
        <w:rPr>
          <w:vertAlign w:val="superscript"/>
        </w:rPr>
        <w:footnoteReference w:id="245"/>
      </w:r>
      <w:r w:rsidRPr="008C1425">
        <w:t xml:space="preserve">, </w:t>
      </w:r>
      <w:r w:rsidRPr="000D2660">
        <w:rPr>
          <w:i/>
          <w:iCs/>
        </w:rPr>
        <w:t>Écoute, réconciliation et progrès</w:t>
      </w:r>
      <w:r w:rsidRPr="008C1425">
        <w:t xml:space="preserve"> porteront sur les services de protection de la jeunesse</w:t>
      </w:r>
      <w:r w:rsidR="0085330E">
        <w:rPr>
          <w:rFonts w:ascii="ZWAdobeF" w:hAnsi="ZWAdobeF" w:cs="ZWAdobeF"/>
          <w:sz w:val="2"/>
          <w:szCs w:val="2"/>
        </w:rPr>
        <w:t>244F</w:t>
      </w:r>
      <w:r w:rsidRPr="008C1425">
        <w:rPr>
          <w:vertAlign w:val="superscript"/>
        </w:rPr>
        <w:footnoteReference w:id="246"/>
      </w:r>
      <w:r w:rsidRPr="008C1425">
        <w:t xml:space="preserve">. S’inscrivant dans cette même perspective d’améliorer la prestation et l’accès des services en protection de la jeunesse offerts aux Premières Nations et aux Inuit, </w:t>
      </w:r>
      <w:r w:rsidRPr="008C1425">
        <w:lastRenderedPageBreak/>
        <w:t xml:space="preserve">elle estime nécessaire que des travaux se penchent sur les trajectoires de placement </w:t>
      </w:r>
      <w:r w:rsidR="001718F2">
        <w:t>à un</w:t>
      </w:r>
      <w:r w:rsidRPr="008C1425">
        <w:t xml:space="preserve"> milieu de vie substitut des enfants autochtones. </w:t>
      </w:r>
    </w:p>
    <w:p w14:paraId="47389286" w14:textId="400F0FBE" w:rsidR="008C1425" w:rsidRPr="008C1425" w:rsidRDefault="00AD45F5" w:rsidP="003A1427">
      <w:pPr>
        <w:pStyle w:val="Paragraphe"/>
      </w:pPr>
      <w:r>
        <w:t>Conséquemment</w:t>
      </w:r>
      <w:r w:rsidR="008C1425" w:rsidRPr="008C1425">
        <w:t>, des travaux devraient porter sur les enfants racisés, et ce, en tenant compte des réalités des enfants de la minorité noire. Advenant le cas où des différences</w:t>
      </w:r>
      <w:r w:rsidR="0022188C">
        <w:t xml:space="preserve"> seraient observées </w:t>
      </w:r>
      <w:r w:rsidR="008C1425" w:rsidRPr="008C1425">
        <w:t>par rapport aux enfants de la majorité blanche, il serait nécessaire d’en identifier les facteurs explicatifs. Par exemple, il serait nécessaire de pouvoir connaître les trajectoires de placement des enfants selon ce qu’ils vivent dans une communauté des Premières Nations, un village nordique ou en milieu urbain.</w:t>
      </w:r>
    </w:p>
    <w:p w14:paraId="6059FB97" w14:textId="748DAA22" w:rsidR="008C1425" w:rsidRPr="008C1425" w:rsidRDefault="008C1425" w:rsidP="003A1427">
      <w:pPr>
        <w:pStyle w:val="Paragraphe"/>
      </w:pPr>
      <w:r w:rsidRPr="008C1425">
        <w:t>De telles recherches</w:t>
      </w:r>
      <w:r w:rsidRPr="008C1425">
        <w:rPr>
          <w:rFonts w:ascii="Arial" w:hAnsi="Arial"/>
          <w:kern w:val="2"/>
          <w:sz w:val="24"/>
          <w:szCs w:val="24"/>
          <w14:ligatures w14:val="standardContextual"/>
        </w:rPr>
        <w:t xml:space="preserve"> </w:t>
      </w:r>
      <w:r w:rsidRPr="008C1425">
        <w:rPr>
          <w:kern w:val="2"/>
          <w14:ligatures w14:val="standardContextual"/>
        </w:rPr>
        <w:t>sur leurs trajectoires</w:t>
      </w:r>
      <w:r w:rsidRPr="008C1425">
        <w:t xml:space="preserve"> de placement, préalable</w:t>
      </w:r>
      <w:r w:rsidR="00F90FC2">
        <w:t>s</w:t>
      </w:r>
      <w:r w:rsidRPr="008C1425">
        <w:t xml:space="preserve"> à l’évaluation de la mise en œuvre du droit à la stabilité des enfants autochtones et des enfants des groupes minoritaires, nécessiteraient toutefois que les paramètres des travaux soient définis en amont avec les organisations autochtones et les membres des minorités concernées. La Commission adhère au principe «</w:t>
      </w:r>
      <w:r w:rsidR="00D96428">
        <w:rPr>
          <w:rFonts w:ascii="Arial" w:hAnsi="Arial" w:cs="Arial"/>
        </w:rPr>
        <w:t> </w:t>
      </w:r>
      <w:r w:rsidRPr="008C1425">
        <w:t>rien pour nous sans nous</w:t>
      </w:r>
      <w:r w:rsidR="003961F9">
        <w:rPr>
          <w:rFonts w:ascii="Arial" w:hAnsi="Arial" w:cs="Arial"/>
        </w:rPr>
        <w:t> </w:t>
      </w:r>
      <w:r w:rsidR="003961F9">
        <w:t>»</w:t>
      </w:r>
      <w:r w:rsidRPr="008C1425">
        <w:t xml:space="preserve"> prôné par les Premières Nations et les Inuit</w:t>
      </w:r>
      <w:r w:rsidR="00EE4637">
        <w:t xml:space="preserve">, laquelle </w:t>
      </w:r>
      <w:r w:rsidRPr="008C1425">
        <w:t>sous-tend la mise en place de relations respectueuses, durables et réciproques avec les peuples autochtones et les organismes qui les représentent.</w:t>
      </w:r>
    </w:p>
    <w:p w14:paraId="7715B2AF" w14:textId="190CBA2C" w:rsidR="008C1425" w:rsidRPr="008C1425" w:rsidRDefault="008C1425" w:rsidP="003A1427">
      <w:pPr>
        <w:pStyle w:val="Paragraphe"/>
      </w:pPr>
      <w:r w:rsidRPr="008C1425">
        <w:t xml:space="preserve">En matière de recherche, la mise en commun des compréhensions de concepts et leurs significations en contexte de protection de la jeunesse </w:t>
      </w:r>
      <w:r w:rsidR="004B7F28">
        <w:t>son</w:t>
      </w:r>
      <w:r w:rsidRPr="008C1425">
        <w:t xml:space="preserve">t une condition essentielle qui a fait ses preuves dans d’autres contextes. </w:t>
      </w:r>
    </w:p>
    <w:p w14:paraId="1674D3D2" w14:textId="0671AA9A" w:rsidR="008C1425" w:rsidRPr="008C1425" w:rsidRDefault="008C1425" w:rsidP="003A1427">
      <w:pPr>
        <w:pStyle w:val="Paragraphe"/>
      </w:pPr>
      <w:r w:rsidRPr="008C1425">
        <w:t>À ce titre, des ini</w:t>
      </w:r>
      <w:r w:rsidR="004B7F28">
        <w:t>ti</w:t>
      </w:r>
      <w:r w:rsidRPr="008C1425">
        <w:t xml:space="preserve">atives mises en place pour ces communautés devraient servir de modèles. Parmi d’autres, nommons celles du Bureau de la communauté haïtienne de Montréal, qui ont donné lieu à un projet novateur de partenariat avec le CIUSSS du Centre-Sud-de-l’Ile-de-Montréal, le projet </w:t>
      </w:r>
      <w:r w:rsidRPr="006C42A7">
        <w:rPr>
          <w:i/>
          <w:iCs/>
        </w:rPr>
        <w:t>Option Protection</w:t>
      </w:r>
      <w:r w:rsidR="0085330E">
        <w:rPr>
          <w:rFonts w:ascii="ZWAdobeF" w:hAnsi="ZWAdobeF" w:cs="ZWAdobeF"/>
          <w:iCs/>
          <w:sz w:val="2"/>
          <w:szCs w:val="2"/>
        </w:rPr>
        <w:t>245F</w:t>
      </w:r>
      <w:r w:rsidRPr="008C1425">
        <w:rPr>
          <w:vertAlign w:val="superscript"/>
        </w:rPr>
        <w:footnoteReference w:id="247"/>
      </w:r>
      <w:r w:rsidR="00755C88">
        <w:t xml:space="preserve"> et celle de la Maison </w:t>
      </w:r>
      <w:r w:rsidR="000F5584" w:rsidRPr="000F5584">
        <w:t>internationale de la Rive-Sud en collaboration avec le MSSS et le CISSS de la Montérégie-Est, inspirée de celle du BCHM</w:t>
      </w:r>
      <w:r w:rsidR="0085330E">
        <w:rPr>
          <w:rFonts w:ascii="ZWAdobeF" w:hAnsi="ZWAdobeF" w:cs="ZWAdobeF"/>
          <w:sz w:val="2"/>
          <w:szCs w:val="2"/>
        </w:rPr>
        <w:t>246F</w:t>
      </w:r>
      <w:r w:rsidR="000F5584">
        <w:rPr>
          <w:rStyle w:val="Appelnotedebasdep"/>
        </w:rPr>
        <w:footnoteReference w:id="248"/>
      </w:r>
      <w:r w:rsidR="000F5584">
        <w:t>.</w:t>
      </w:r>
    </w:p>
    <w:p w14:paraId="1AEED6AA" w14:textId="77777777" w:rsidR="008C1425" w:rsidRPr="008C1425" w:rsidRDefault="008C1425" w:rsidP="003A1427">
      <w:pPr>
        <w:pStyle w:val="Paragraphe"/>
      </w:pPr>
      <w:r w:rsidRPr="008C1425">
        <w:t>En ce qui concerne plus spécifiquement les Premières Nations, outre l’adoption de leur propre système de protection, plusieurs communautés assument des responsabilités par le biais d’ententes avec les CISSS et CIUSSS et offrent des services préventifs de première ligne et de protection de la jeunesse.</w:t>
      </w:r>
    </w:p>
    <w:p w14:paraId="57ADF426" w14:textId="3A865B00" w:rsidR="008C1425" w:rsidRPr="008C1425" w:rsidRDefault="008C1425" w:rsidP="003A1427">
      <w:pPr>
        <w:pStyle w:val="Paragraphe"/>
      </w:pPr>
      <w:r w:rsidRPr="008C1425">
        <w:t xml:space="preserve">Insistons </w:t>
      </w:r>
      <w:r w:rsidR="00492B00">
        <w:t>également</w:t>
      </w:r>
      <w:r w:rsidRPr="008C1425">
        <w:t xml:space="preserve"> sur la nécessité que les recherches soient ancrées sur les expériences des enfants de ces groupes. L’analyse des trajectoires de placement ne peut être complète sans la prise en compte de leur</w:t>
      </w:r>
      <w:r w:rsidR="001879A0">
        <w:t>s</w:t>
      </w:r>
      <w:r w:rsidRPr="008C1425">
        <w:t xml:space="preserve"> point</w:t>
      </w:r>
      <w:r w:rsidR="001879A0">
        <w:t>s</w:t>
      </w:r>
      <w:r w:rsidRPr="008C1425">
        <w:t xml:space="preserve"> de vue. Des recherches-action</w:t>
      </w:r>
      <w:r w:rsidR="004B7F28">
        <w:t>s</w:t>
      </w:r>
      <w:r w:rsidRPr="008C1425">
        <w:t xml:space="preserve"> participatives d</w:t>
      </w:r>
      <w:r w:rsidR="005C4F33">
        <w:t>evrai</w:t>
      </w:r>
      <w:r w:rsidR="00C60B00">
        <w:t>en</w:t>
      </w:r>
      <w:r w:rsidRPr="008C1425">
        <w:t>t</w:t>
      </w:r>
      <w:r w:rsidR="00C60B00">
        <w:t xml:space="preserve"> ainsi</w:t>
      </w:r>
      <w:r w:rsidRPr="008C1425">
        <w:t xml:space="preserve"> être favorisées.</w:t>
      </w:r>
    </w:p>
    <w:p w14:paraId="477C3F14" w14:textId="1564118C" w:rsidR="008C1425" w:rsidRPr="008C1425" w:rsidRDefault="008C1425" w:rsidP="003A1427">
      <w:pPr>
        <w:pStyle w:val="Paragraphe"/>
      </w:pPr>
      <w:r w:rsidRPr="008C1425">
        <w:t xml:space="preserve">Plus largement, mentionnons que la Commission participe à améliorer la compréhension des acteurs du milieu en protection de la jeunesse sur l’application de la LPJ pour les enfants de ces groupes. Dans le </w:t>
      </w:r>
      <w:r w:rsidRPr="008C1425">
        <w:lastRenderedPageBreak/>
        <w:t>cadre de sa stratégie de lutte contre le racisme et la discrimination systémiques adoptée en 2024, elle s’est notamment engagée à «</w:t>
      </w:r>
      <w:r w:rsidRPr="008C1425">
        <w:rPr>
          <w:rFonts w:ascii="Arial" w:hAnsi="Arial"/>
        </w:rPr>
        <w:t> </w:t>
      </w:r>
      <w:r w:rsidRPr="008C1425">
        <w:t>sensibiliser les personnes intervenantes et les décideurs de la protection de la jeunesse à l’importance de prendre en compte les besoins et réalités des enfants et jeunes autochtones ou racisés dans l’évaluation de leur intérêt et dans leur prise de décisions</w:t>
      </w:r>
      <w:r w:rsidRPr="008C1425">
        <w:rPr>
          <w:rFonts w:ascii="Arial" w:hAnsi="Arial"/>
        </w:rPr>
        <w:t> </w:t>
      </w:r>
      <w:r w:rsidRPr="008C1425">
        <w:t>»</w:t>
      </w:r>
      <w:r w:rsidR="0085330E">
        <w:rPr>
          <w:rFonts w:ascii="ZWAdobeF" w:hAnsi="ZWAdobeF" w:cs="ZWAdobeF"/>
          <w:sz w:val="2"/>
          <w:szCs w:val="2"/>
        </w:rPr>
        <w:t>247F</w:t>
      </w:r>
      <w:r w:rsidRPr="008C1425">
        <w:rPr>
          <w:vertAlign w:val="superscript"/>
        </w:rPr>
        <w:footnoteReference w:id="249"/>
      </w:r>
      <w:r w:rsidRPr="008C1425">
        <w:t xml:space="preserve"> et à «</w:t>
      </w:r>
      <w:r w:rsidR="00D96428">
        <w:rPr>
          <w:rFonts w:ascii="Arial" w:hAnsi="Arial" w:cs="Arial"/>
        </w:rPr>
        <w:t> </w:t>
      </w:r>
      <w:r w:rsidRPr="008C1425">
        <w:t>élaborer des mesures adaptées aux enfants et jeunes autochtones et racisées dans le cadre de ses enquêtes en protection de la jeunesse</w:t>
      </w:r>
      <w:r w:rsidR="00D96428">
        <w:rPr>
          <w:rFonts w:ascii="Arial" w:hAnsi="Arial" w:cs="Arial"/>
        </w:rPr>
        <w:t> </w:t>
      </w:r>
      <w:r w:rsidRPr="008C1425">
        <w:t>»</w:t>
      </w:r>
      <w:r w:rsidR="0085330E">
        <w:rPr>
          <w:rFonts w:ascii="ZWAdobeF" w:hAnsi="ZWAdobeF" w:cs="ZWAdobeF"/>
          <w:sz w:val="2"/>
          <w:szCs w:val="2"/>
        </w:rPr>
        <w:t>248F</w:t>
      </w:r>
      <w:r w:rsidRPr="008C1425">
        <w:rPr>
          <w:vertAlign w:val="superscript"/>
        </w:rPr>
        <w:footnoteReference w:id="250"/>
      </w:r>
      <w:r w:rsidRPr="008C1425">
        <w:t xml:space="preserve">. </w:t>
      </w:r>
    </w:p>
    <w:p w14:paraId="5690A43E" w14:textId="3B01F483" w:rsidR="00C62B2D" w:rsidRPr="00C808AB" w:rsidRDefault="008C1425" w:rsidP="003A1427">
      <w:pPr>
        <w:pStyle w:val="Paragraphe"/>
      </w:pPr>
      <w:r w:rsidRPr="00C808AB">
        <w:t>En mars 2025, elle a adopté de nouvelles orientations institutionnelles concernant les droits des Premières Nations et des Inuit</w:t>
      </w:r>
      <w:r w:rsidR="0085330E">
        <w:rPr>
          <w:rFonts w:ascii="ZWAdobeF" w:hAnsi="ZWAdobeF" w:cs="ZWAdobeF"/>
          <w:sz w:val="2"/>
          <w:szCs w:val="2"/>
        </w:rPr>
        <w:t>249F</w:t>
      </w:r>
      <w:r w:rsidRPr="009F0444">
        <w:rPr>
          <w:vertAlign w:val="superscript"/>
        </w:rPr>
        <w:footnoteReference w:id="251"/>
      </w:r>
      <w:r w:rsidRPr="009F0444">
        <w:t>.</w:t>
      </w:r>
      <w:r w:rsidRPr="00C808AB">
        <w:t xml:space="preserve"> La Commission s’est engagée à améliorer l’accessibilité de ses services, notamment en favorisant la connaissance des droits relatifs à la Charte, à la LPJ, à la LSJPA et la </w:t>
      </w:r>
      <w:r w:rsidRPr="00CA4CCF">
        <w:rPr>
          <w:i/>
        </w:rPr>
        <w:t xml:space="preserve">Loi concernant les enfants, les jeunes et les familles des Premières Nations, des </w:t>
      </w:r>
      <w:r w:rsidR="00CA4CCF" w:rsidRPr="00CA4CCF">
        <w:rPr>
          <w:i/>
          <w:iCs/>
        </w:rPr>
        <w:t>Inuits</w:t>
      </w:r>
      <w:r w:rsidRPr="00CA4CCF">
        <w:rPr>
          <w:i/>
        </w:rPr>
        <w:t xml:space="preserve"> et des Métis</w:t>
      </w:r>
      <w:r w:rsidRPr="00C808AB">
        <w:t xml:space="preserve"> et en révisant et adaptant ses pratiques en collaboration avec des organismes autochtones</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2"/>
      </w:tblGrid>
      <w:tr w:rsidR="00DB710B" w14:paraId="1F4B54DD" w14:textId="77777777" w:rsidTr="00CC5A23">
        <w:tc>
          <w:tcPr>
            <w:tcW w:w="5000" w:type="pct"/>
            <w:shd w:val="clear" w:color="auto" w:fill="E9F8FB"/>
          </w:tcPr>
          <w:p w14:paraId="505116F2" w14:textId="207A4D33" w:rsidR="00DB710B" w:rsidRDefault="00DB710B" w:rsidP="006039D4">
            <w:pPr>
              <w:pStyle w:val="TitreRecommandation"/>
            </w:pPr>
            <w:r>
              <w:t>Recommandation</w:t>
            </w:r>
            <w:r w:rsidR="00104A0F">
              <w:t> </w:t>
            </w:r>
            <w:r>
              <w:t>11</w:t>
            </w:r>
          </w:p>
          <w:p w14:paraId="51EA299D" w14:textId="1B9B719F" w:rsidR="00DB710B" w:rsidRPr="00DB710B" w:rsidRDefault="00DB710B" w:rsidP="00DB710B">
            <w:pPr>
              <w:pStyle w:val="Texterecommandation"/>
            </w:pPr>
            <w:r w:rsidRPr="00DB710B">
              <w:t>La Commission recommande au ministre responsable des Services sociaux, en collaboration avec Santé Québec, de soutenir la recherche sur les trajectoires de placement des enfants autochtones et des enfants des minorités racisées, et ce, en tenant compte des réalités des enfants de la minorité noire, qui s’inscrit dans une approche participative avec les jeunes. Les paramètres de ces recherches devraient préalablement être définis avec les organismes et les personnes représentantes de ces populations.</w:t>
            </w:r>
          </w:p>
        </w:tc>
      </w:tr>
    </w:tbl>
    <w:p w14:paraId="5878D593" w14:textId="3768770F" w:rsidR="00C62B2D" w:rsidRDefault="00772BAA" w:rsidP="00F93AC5">
      <w:pPr>
        <w:pStyle w:val="Titre2"/>
      </w:pPr>
      <w:bookmarkStart w:id="123" w:name="_Toc201330542"/>
      <w:r>
        <w:t>4.7</w:t>
      </w:r>
      <w:r>
        <w:tab/>
      </w:r>
      <w:r w:rsidRPr="00772BAA">
        <w:t xml:space="preserve">Étudier les trajectoires des enfants placés </w:t>
      </w:r>
      <w:r w:rsidR="001718F2">
        <w:t>à un</w:t>
      </w:r>
      <w:r w:rsidRPr="00772BAA">
        <w:t xml:space="preserve"> milieu de vie substitut jusqu’à majorité afin d’améliorer la compréhension de ses effets sur le développement des enfants concernés</w:t>
      </w:r>
      <w:bookmarkEnd w:id="123"/>
    </w:p>
    <w:p w14:paraId="4F021BB5" w14:textId="149CF86A" w:rsidR="002F0F23" w:rsidRPr="002F0F23" w:rsidRDefault="002F0F23" w:rsidP="003A1427">
      <w:pPr>
        <w:pStyle w:val="Paragraphe"/>
      </w:pPr>
      <w:r w:rsidRPr="002F0F23">
        <w:t>Les trajectoires des enfants placés jusqu’à leur majorité demeurent peu documentées au Québec. Bien que ce type de placement soit largement utilisé, notamment pour les enfants de 2 à 11</w:t>
      </w:r>
      <w:r w:rsidR="00322ADA">
        <w:t> </w:t>
      </w:r>
      <w:r w:rsidRPr="002F0F23">
        <w:t>ans</w:t>
      </w:r>
      <w:r w:rsidR="0085330E">
        <w:rPr>
          <w:rFonts w:ascii="ZWAdobeF" w:hAnsi="ZWAdobeF" w:cs="ZWAdobeF"/>
          <w:sz w:val="2"/>
          <w:szCs w:val="2"/>
        </w:rPr>
        <w:t>250F</w:t>
      </w:r>
      <w:r w:rsidRPr="002F0F23">
        <w:rPr>
          <w:vertAlign w:val="superscript"/>
        </w:rPr>
        <w:footnoteReference w:id="252"/>
      </w:r>
      <w:r w:rsidRPr="002F0F23">
        <w:t>, l’expérience des enfants concernés et les effets à long terme de cette trajectoire sur leur développement sont mal connus</w:t>
      </w:r>
      <w:r w:rsidR="0085330E">
        <w:rPr>
          <w:rFonts w:ascii="ZWAdobeF" w:hAnsi="ZWAdobeF" w:cs="ZWAdobeF"/>
          <w:sz w:val="2"/>
          <w:szCs w:val="2"/>
        </w:rPr>
        <w:t>251F</w:t>
      </w:r>
      <w:r w:rsidRPr="002F0F23">
        <w:rPr>
          <w:vertAlign w:val="superscript"/>
        </w:rPr>
        <w:footnoteReference w:id="253"/>
      </w:r>
      <w:r w:rsidRPr="002F0F23">
        <w:t xml:space="preserve">. Il devient essentiel de mieux comprendre les contextes dans lesquels il est privilégié et </w:t>
      </w:r>
      <w:r w:rsidR="00C33DD4">
        <w:t>l</w:t>
      </w:r>
      <w:r w:rsidRPr="002F0F23">
        <w:t xml:space="preserve">es impacts potentiels </w:t>
      </w:r>
      <w:r w:rsidR="00FB1BA1">
        <w:t>qu’</w:t>
      </w:r>
      <w:r w:rsidR="00F50D5A">
        <w:t>elle peut entrainer</w:t>
      </w:r>
      <w:r w:rsidRPr="002F0F23">
        <w:t xml:space="preserve"> sur la réalisation des droits des enfants.</w:t>
      </w:r>
      <w:r w:rsidR="00CB582F">
        <w:t xml:space="preserve"> </w:t>
      </w:r>
      <w:r w:rsidRPr="002F0F23">
        <w:t xml:space="preserve">Parmi d’autres sujets importants à étudier, la Commission appuie le besoin de mener des recherches supplémentaires, </w:t>
      </w:r>
      <w:r w:rsidRPr="002F0F23">
        <w:lastRenderedPageBreak/>
        <w:t>pour déterminer dans quels contextes le placement des frères et des sœurs dans un même milieu présente un risque d’instabilité et dans lesquels il est susceptible de favoriser des résultats positifs</w:t>
      </w:r>
      <w:r w:rsidR="0085330E">
        <w:rPr>
          <w:rFonts w:ascii="ZWAdobeF" w:hAnsi="ZWAdobeF" w:cs="ZWAdobeF"/>
          <w:sz w:val="2"/>
          <w:szCs w:val="2"/>
        </w:rPr>
        <w:t>252F</w:t>
      </w:r>
      <w:r w:rsidRPr="002F0F23">
        <w:rPr>
          <w:vertAlign w:val="superscript"/>
        </w:rPr>
        <w:footnoteReference w:id="254"/>
      </w:r>
      <w:r w:rsidRPr="002F0F23">
        <w:t xml:space="preserve">. </w:t>
      </w:r>
    </w:p>
    <w:p w14:paraId="1EEDD808" w14:textId="4BD2FC2F" w:rsidR="002F0F23" w:rsidRPr="002F0F23" w:rsidRDefault="002F0F23" w:rsidP="003A1427">
      <w:pPr>
        <w:pStyle w:val="Paragraphe"/>
      </w:pPr>
      <w:r w:rsidRPr="002F0F23">
        <w:t>Comme la Commission l’a souligné dans son mémoire sur le projet de loi visant la création du Commissaire au bien-être et aux droits des enfants</w:t>
      </w:r>
      <w:r w:rsidR="0085330E">
        <w:rPr>
          <w:rFonts w:ascii="ZWAdobeF" w:hAnsi="ZWAdobeF" w:cs="ZWAdobeF"/>
          <w:sz w:val="2"/>
          <w:szCs w:val="2"/>
        </w:rPr>
        <w:t>253F</w:t>
      </w:r>
      <w:r w:rsidRPr="002F0F23">
        <w:rPr>
          <w:vertAlign w:val="superscript"/>
        </w:rPr>
        <w:footnoteReference w:id="255"/>
      </w:r>
      <w:r w:rsidRPr="002F0F23">
        <w:t>, des données et recherches sur la situation des enfants sont néces</w:t>
      </w:r>
      <w:r w:rsidR="00CE7AA2">
        <w:t>s</w:t>
      </w:r>
      <w:r w:rsidRPr="002F0F23">
        <w:t>aires pour connaître leurs besoins, mieux cibler les actions à leur égard et en évaluer l’efficacité. Elles permettent de documenter des dimensions clés, tant subjectives qu’objectives du bien-être des enfants. Plus généralement, de telles recherches permettent de rendre visible la situation des enfants qui ont autrement peu de façons de se faire entendre. Cela rend d’autant plus fondamental que de telles recherches s’inscrivent dans une approche participative avec les enfants. À cette fin, des méthodologies collaboratives, rigoureuses, culturellement pertinentes et sécurisantes doivent être favorisées</w:t>
      </w:r>
      <w:r w:rsidR="0085330E">
        <w:rPr>
          <w:rFonts w:ascii="ZWAdobeF" w:hAnsi="ZWAdobeF" w:cs="ZWAdobeF"/>
          <w:sz w:val="2"/>
          <w:szCs w:val="2"/>
        </w:rPr>
        <w:t>254F</w:t>
      </w:r>
      <w:r w:rsidRPr="002F0F23">
        <w:rPr>
          <w:vertAlign w:val="superscript"/>
        </w:rPr>
        <w:footnoteReference w:id="256"/>
      </w:r>
      <w:r w:rsidRPr="002F0F23">
        <w:t>.</w:t>
      </w:r>
    </w:p>
    <w:p w14:paraId="25856640" w14:textId="4019E195" w:rsidR="002F0F23" w:rsidRPr="002F0F23" w:rsidRDefault="002F0F23" w:rsidP="003A1427">
      <w:pPr>
        <w:pStyle w:val="Paragraphe"/>
      </w:pPr>
      <w:r w:rsidRPr="002F0F23">
        <w:t>Pour mettre en œuvre cette recommandation, des efforts soutenus devront toutefois se poursuivre pour améliorer la collecte et la disponibilité de données dans le système de protection de la jeunesse, mais aussi plus largement dans le réseau de la santé et des services sociaux, et ce dans le respect de tous les droits garantis par la Charte. Comme la Commission des droits, le Comité des droits de l’enfant</w:t>
      </w:r>
      <w:r w:rsidR="0085330E">
        <w:rPr>
          <w:rFonts w:ascii="ZWAdobeF" w:hAnsi="ZWAdobeF" w:cs="ZWAdobeF"/>
          <w:sz w:val="2"/>
          <w:szCs w:val="2"/>
        </w:rPr>
        <w:t>255F</w:t>
      </w:r>
      <w:r w:rsidRPr="002F0F23">
        <w:rPr>
          <w:vertAlign w:val="superscript"/>
        </w:rPr>
        <w:footnoteReference w:id="257"/>
      </w:r>
      <w:r w:rsidRPr="002F0F23">
        <w:t>, la CSDEPJ</w:t>
      </w:r>
      <w:r w:rsidR="0085330E">
        <w:rPr>
          <w:rFonts w:ascii="ZWAdobeF" w:hAnsi="ZWAdobeF" w:cs="ZWAdobeF"/>
          <w:sz w:val="2"/>
          <w:szCs w:val="2"/>
        </w:rPr>
        <w:t>256F</w:t>
      </w:r>
      <w:r w:rsidRPr="002F0F23">
        <w:rPr>
          <w:vertAlign w:val="superscript"/>
        </w:rPr>
        <w:footnoteReference w:id="258"/>
      </w:r>
      <w:r w:rsidRPr="002F0F23">
        <w:t xml:space="preserve"> et la Commission Viens</w:t>
      </w:r>
      <w:r w:rsidR="0085330E">
        <w:rPr>
          <w:rFonts w:ascii="ZWAdobeF" w:hAnsi="ZWAdobeF" w:cs="ZWAdobeF"/>
          <w:sz w:val="2"/>
          <w:szCs w:val="2"/>
        </w:rPr>
        <w:t>257F</w:t>
      </w:r>
      <w:r w:rsidRPr="002F0F23">
        <w:rPr>
          <w:vertAlign w:val="superscript"/>
        </w:rPr>
        <w:footnoteReference w:id="259"/>
      </w:r>
      <w:r w:rsidRPr="002F0F23">
        <w:t xml:space="preserve"> ont déjà insisté sur les lacunes des données actuellement disponibles.</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2"/>
      </w:tblGrid>
      <w:tr w:rsidR="005D4D49" w14:paraId="796184B8" w14:textId="77777777" w:rsidTr="00CC5A23">
        <w:tc>
          <w:tcPr>
            <w:tcW w:w="5000" w:type="pct"/>
            <w:shd w:val="clear" w:color="auto" w:fill="E9F8FB"/>
          </w:tcPr>
          <w:p w14:paraId="49DF5030" w14:textId="3703E6A5" w:rsidR="005D4D49" w:rsidRDefault="005D4D49" w:rsidP="006039D4">
            <w:pPr>
              <w:pStyle w:val="TitreRecommandation"/>
            </w:pPr>
            <w:r>
              <w:t>Recommandation</w:t>
            </w:r>
            <w:r w:rsidR="00104A0F">
              <w:t> </w:t>
            </w:r>
            <w:r>
              <w:t>12</w:t>
            </w:r>
          </w:p>
          <w:p w14:paraId="17141B21" w14:textId="1735EC0A" w:rsidR="005D4D49" w:rsidRPr="00640E95" w:rsidRDefault="005D4D49">
            <w:pPr>
              <w:pStyle w:val="Texterecommandation"/>
            </w:pPr>
            <w:r w:rsidRPr="000D75E5">
              <w:t>La Commission recommande au</w:t>
            </w:r>
            <w:r>
              <w:t xml:space="preserve"> ministre responsable des Services sociaux, avec la collaboration de Santé Québec,</w:t>
            </w:r>
            <w:r w:rsidRPr="000D75E5">
              <w:t xml:space="preserve"> de soutenir la recherche</w:t>
            </w:r>
            <w:r>
              <w:t xml:space="preserve"> qui s’inscrit dans une</w:t>
            </w:r>
            <w:r w:rsidRPr="00D26745">
              <w:t xml:space="preserve"> approche participative avec les </w:t>
            </w:r>
            <w:r>
              <w:t>jeunes</w:t>
            </w:r>
            <w:r w:rsidRPr="000D75E5">
              <w:t xml:space="preserve"> sur les trajectoires de</w:t>
            </w:r>
            <w:r>
              <w:t xml:space="preserve">s enfants placés </w:t>
            </w:r>
            <w:r w:rsidR="001718F2">
              <w:t>à un</w:t>
            </w:r>
            <w:r>
              <w:t xml:space="preserve"> milieu de vie substitut jusqu’à la majorité.</w:t>
            </w:r>
            <w:r w:rsidRPr="000D75E5">
              <w:t xml:space="preserve"> </w:t>
            </w:r>
          </w:p>
        </w:tc>
      </w:tr>
    </w:tbl>
    <w:p w14:paraId="10E09FF9" w14:textId="77777777" w:rsidR="00C62B2D" w:rsidRDefault="00C62B2D" w:rsidP="003A1427">
      <w:pPr>
        <w:pStyle w:val="Paragraphe"/>
      </w:pPr>
    </w:p>
    <w:p w14:paraId="0BE88858" w14:textId="77777777" w:rsidR="00A15EC5" w:rsidRPr="000C6889" w:rsidRDefault="00A15EC5" w:rsidP="002A60C5">
      <w:pPr>
        <w:ind w:right="510"/>
        <w:jc w:val="left"/>
      </w:pPr>
    </w:p>
    <w:p w14:paraId="5B33C28C" w14:textId="77777777" w:rsidR="00101F66" w:rsidRPr="000C6889" w:rsidRDefault="00101F66" w:rsidP="002A60C5">
      <w:pPr>
        <w:ind w:right="510"/>
        <w:jc w:val="left"/>
        <w:sectPr w:rsidR="00101F66" w:rsidRPr="000C6889" w:rsidSect="0098162B">
          <w:pgSz w:w="12240" w:h="15840" w:code="1"/>
          <w:pgMar w:top="1985" w:right="1134" w:bottom="1418" w:left="1134" w:header="709" w:footer="709" w:gutter="0"/>
          <w:cols w:space="708"/>
          <w:docGrid w:linePitch="360"/>
        </w:sectPr>
      </w:pPr>
    </w:p>
    <w:p w14:paraId="1D21DD64" w14:textId="71811925" w:rsidR="008E649C" w:rsidRDefault="008E649C" w:rsidP="00CC5A23">
      <w:pPr>
        <w:pStyle w:val="Titre"/>
      </w:pPr>
      <w:bookmarkStart w:id="125" w:name="_Toc194314031"/>
      <w:bookmarkStart w:id="126" w:name="_Toc201330543"/>
      <w:r>
        <w:lastRenderedPageBreak/>
        <w:t>Conclusion</w:t>
      </w:r>
      <w:bookmarkEnd w:id="125"/>
      <w:bookmarkEnd w:id="126"/>
    </w:p>
    <w:p w14:paraId="73CF39BC" w14:textId="77777777" w:rsidR="00DE7DB6" w:rsidRDefault="00DE7DB6" w:rsidP="003A1427">
      <w:pPr>
        <w:pStyle w:val="Paragraphe"/>
      </w:pPr>
      <w:r>
        <w:t xml:space="preserve">Dans son quatrième rapport de mise en œuvre de la LPJ, la Commission des droits examine l’application des articles de la LPJ qui visent la stabilité des liens de l’enfant et de ses conditions de vie </w:t>
      </w:r>
      <w:r w:rsidRPr="008B2E40">
        <w:t xml:space="preserve">appropriées à ses besoins et à son âge </w:t>
      </w:r>
      <w:r>
        <w:t>depuis la réforme de cette loi en 2022. Celle-ci avait pour principal objectif de placer l’intérêt de l’enfant au centre de toutes les décisions qui le concernent.</w:t>
      </w:r>
    </w:p>
    <w:p w14:paraId="6FE6CC84" w14:textId="2A93F1DC" w:rsidR="00DE7DB6" w:rsidRDefault="00DE7DB6" w:rsidP="003A1427">
      <w:pPr>
        <w:pStyle w:val="Paragraphe"/>
      </w:pPr>
      <w:r>
        <w:t xml:space="preserve">L’analyse des décisions judiciaires rendues dans lesquelles les enfants sont confiés </w:t>
      </w:r>
      <w:r w:rsidR="001718F2">
        <w:t>à un</w:t>
      </w:r>
      <w:r>
        <w:t xml:space="preserve"> milieu de vie substitut jusqu’à la majorité ainsi que les résultats du sondage administré auprès des procureures et procureurs de l’enfant permettent de faire </w:t>
      </w:r>
      <w:r w:rsidRPr="008524C2">
        <w:t>deux grandes affirmations</w:t>
      </w:r>
      <w:r w:rsidR="00504387" w:rsidRPr="008524C2">
        <w:t xml:space="preserve"> au sujet de la réforme</w:t>
      </w:r>
      <w:r w:rsidR="000E3198" w:rsidRPr="008524C2">
        <w:t> </w:t>
      </w:r>
      <w:r w:rsidRPr="008524C2">
        <w:t>:</w:t>
      </w:r>
    </w:p>
    <w:p w14:paraId="0440E176" w14:textId="027AD0A8" w:rsidR="00DE7DB6" w:rsidRDefault="00DE7DB6" w:rsidP="002233DF">
      <w:pPr>
        <w:pStyle w:val="Paragraphe"/>
        <w:numPr>
          <w:ilvl w:val="0"/>
          <w:numId w:val="14"/>
        </w:numPr>
      </w:pPr>
      <w:r>
        <w:t>Les</w:t>
      </w:r>
      <w:r w:rsidRPr="00467B48">
        <w:t xml:space="preserve"> effets de la réforme en</w:t>
      </w:r>
      <w:r>
        <w:t xml:space="preserve"> </w:t>
      </w:r>
      <w:r w:rsidRPr="00467B48">
        <w:t xml:space="preserve">faveur </w:t>
      </w:r>
      <w:r>
        <w:t xml:space="preserve">de l’enfant sont </w:t>
      </w:r>
      <w:r w:rsidRPr="00467B48">
        <w:t xml:space="preserve">encore </w:t>
      </w:r>
      <w:r w:rsidR="00DF67FE" w:rsidRPr="00DF67FE">
        <w:t>insuffisamment</w:t>
      </w:r>
      <w:r w:rsidRPr="00467B48">
        <w:t xml:space="preserve"> perceptibles</w:t>
      </w:r>
      <w:r>
        <w:t xml:space="preserve">. </w:t>
      </w:r>
    </w:p>
    <w:p w14:paraId="481628EF" w14:textId="77777777" w:rsidR="00DE7DB6" w:rsidRPr="00252DCF" w:rsidRDefault="00DE7DB6" w:rsidP="002233DF">
      <w:pPr>
        <w:pStyle w:val="Paragraphe"/>
        <w:numPr>
          <w:ilvl w:val="0"/>
          <w:numId w:val="14"/>
        </w:numPr>
      </w:pPr>
      <w:r w:rsidRPr="00D46B20">
        <w:t>Le</w:t>
      </w:r>
      <w:r w:rsidRPr="00252DCF">
        <w:t xml:space="preserve"> rôle des</w:t>
      </w:r>
      <w:r w:rsidRPr="00D46B20">
        <w:t xml:space="preserve"> parents de l’enfant retiré de son milieu familial </w:t>
      </w:r>
      <w:r w:rsidRPr="00252DCF">
        <w:t>p</w:t>
      </w:r>
      <w:r w:rsidRPr="00D46B20">
        <w:t>our assurer sa stabilité</w:t>
      </w:r>
      <w:r w:rsidRPr="00252DCF">
        <w:t xml:space="preserve"> est </w:t>
      </w:r>
      <w:r w:rsidRPr="00D46B20">
        <w:t>insuffisamment pris en compte dans la mise en œuvre de la réforme</w:t>
      </w:r>
      <w:r w:rsidRPr="00252DCF">
        <w:t>.</w:t>
      </w:r>
    </w:p>
    <w:p w14:paraId="152D3417" w14:textId="4F1EEBF3" w:rsidR="00DE7DB6" w:rsidRDefault="00DE7DB6" w:rsidP="003A1427">
      <w:pPr>
        <w:pStyle w:val="Paragraphe"/>
      </w:pPr>
      <w:r>
        <w:t xml:space="preserve">En lien avec ces affirmations, des </w:t>
      </w:r>
      <w:r w:rsidRPr="008524C2">
        <w:t xml:space="preserve">constats importants </w:t>
      </w:r>
      <w:r>
        <w:t>sont dégagés dans le rapport</w:t>
      </w:r>
      <w:r w:rsidR="000E3198">
        <w:t> </w:t>
      </w:r>
      <w:r w:rsidR="00396C64">
        <w:t>concernant les pratique</w:t>
      </w:r>
      <w:r w:rsidR="004C4908">
        <w:t xml:space="preserve">s </w:t>
      </w:r>
      <w:r w:rsidR="00A556A8">
        <w:t>entourant</w:t>
      </w:r>
      <w:r w:rsidR="004C4908">
        <w:t xml:space="preserve"> le placement</w:t>
      </w:r>
      <w:r w:rsidR="00A556A8">
        <w:t xml:space="preserve"> d</w:t>
      </w:r>
      <w:r w:rsidR="00EB31C8">
        <w:t>e l’enfant dans un milieu de vie substitut</w:t>
      </w:r>
      <w:r w:rsidR="000F4F61">
        <w:t xml:space="preserve"> en lien avec l’application d</w:t>
      </w:r>
      <w:r w:rsidR="00277B12">
        <w:t xml:space="preserve">u </w:t>
      </w:r>
      <w:r w:rsidR="00230B4B">
        <w:t xml:space="preserve">droit au respect de son </w:t>
      </w:r>
      <w:r w:rsidR="000F4F61">
        <w:t>intérêt</w:t>
      </w:r>
      <w:r w:rsidR="00230B4B">
        <w:t xml:space="preserve">, </w:t>
      </w:r>
      <w:r w:rsidR="007F74EB">
        <w:t>du droit à la stabilité des liens et des conditions de vie, le droit</w:t>
      </w:r>
      <w:r w:rsidR="00970C87">
        <w:t xml:space="preserve"> à la participation et le droit d’être entendu</w:t>
      </w:r>
      <w:r w:rsidR="00061A87">
        <w:t xml:space="preserve">. D’autres constats </w:t>
      </w:r>
      <w:r w:rsidR="003139A7">
        <w:t xml:space="preserve">concernent les droits </w:t>
      </w:r>
      <w:r w:rsidR="00B32371">
        <w:t xml:space="preserve">et </w:t>
      </w:r>
      <w:r w:rsidR="0000661E">
        <w:t xml:space="preserve">la </w:t>
      </w:r>
      <w:r w:rsidR="00B32371">
        <w:t>responsab</w:t>
      </w:r>
      <w:r w:rsidR="00A5579B">
        <w:t>ilité des parents</w:t>
      </w:r>
      <w:r w:rsidR="001D0D52">
        <w:t xml:space="preserve">, dont le droit de participer et </w:t>
      </w:r>
      <w:r w:rsidR="00AE5D7B">
        <w:t>d</w:t>
      </w:r>
      <w:r w:rsidR="008D182F">
        <w:t>’être impliqué</w:t>
      </w:r>
      <w:r w:rsidR="001111EC">
        <w:t xml:space="preserve">s pour être </w:t>
      </w:r>
      <w:r w:rsidR="00A751E1">
        <w:t>amenés ou aidés à</w:t>
      </w:r>
      <w:r w:rsidR="00790023">
        <w:t xml:space="preserve"> </w:t>
      </w:r>
      <w:r w:rsidR="002167C4">
        <w:t>exercer leurs responsab</w:t>
      </w:r>
      <w:r w:rsidR="006B0138">
        <w:t>ilit</w:t>
      </w:r>
      <w:r w:rsidR="00A751E1">
        <w:t>és parentales</w:t>
      </w:r>
      <w:r w:rsidR="006B0138">
        <w:t xml:space="preserve">. </w:t>
      </w:r>
    </w:p>
    <w:p w14:paraId="750D4C57" w14:textId="77777777" w:rsidR="00DE7DB6" w:rsidRPr="00CC5A23" w:rsidRDefault="00DE7DB6" w:rsidP="00CC5A23">
      <w:pPr>
        <w:pStyle w:val="Titre"/>
      </w:pPr>
      <w:bookmarkStart w:id="127" w:name="_Toc201330544"/>
      <w:r w:rsidRPr="00CC5A23">
        <w:t>Poursuivre les efforts pour garantir le respect du droit à la stabilité des liens de l’enfant et de ses conditions de vie, conformément à son intérêt</w:t>
      </w:r>
      <w:bookmarkEnd w:id="127"/>
      <w:r w:rsidRPr="00CC5A23">
        <w:t xml:space="preserve"> </w:t>
      </w:r>
    </w:p>
    <w:p w14:paraId="1A3692C7" w14:textId="77777777" w:rsidR="00DE7DB6" w:rsidRDefault="00DE7DB6" w:rsidP="003A1427">
      <w:pPr>
        <w:pStyle w:val="Paragraphe"/>
      </w:pPr>
      <w:r>
        <w:t>Pour se concrétiser entièrement, les objectifs de la réforme en lien avec la stabilité des liens et des conditions de vie de l’enfant doivent être compris et connus des personnes qui interviennent auprès de l’enfant et sa famille. Les pratiques doivent être revues à la lumière de ces objectifs et de l’ensemble des droits et de l’intérêt de l’enfant.</w:t>
      </w:r>
    </w:p>
    <w:p w14:paraId="3AA9A8CC" w14:textId="00D4EFD2" w:rsidR="00DE7DB6" w:rsidRDefault="00DE7DB6" w:rsidP="003A1427">
      <w:pPr>
        <w:pStyle w:val="Paragraphe"/>
      </w:pPr>
      <w:r>
        <w:t>La Commission invite à porter une attention particulière au choix du milieu de vie substitut dans lequel l’enfant sera confié jusqu’à la majorité. Il faut dans tous les cas évaluer la possibilité d’un placement chez des membres d’une famille d’accueil de proximité ainsi que d’un placement dans le même milieu de vie que la fratrie. Les données recueillies dans le rapport montrent qu’une vaste majorité d’enfants sont encore confiés à la majorité dans une famille d’accueil «</w:t>
      </w:r>
      <w:r w:rsidR="000E3198">
        <w:rPr>
          <w:rFonts w:ascii="Arial" w:hAnsi="Arial" w:cs="Arial"/>
        </w:rPr>
        <w:t> </w:t>
      </w:r>
      <w:r>
        <w:t>régulière</w:t>
      </w:r>
      <w:r w:rsidR="000E3198">
        <w:rPr>
          <w:rFonts w:ascii="Arial" w:hAnsi="Arial" w:cs="Arial"/>
        </w:rPr>
        <w:t> </w:t>
      </w:r>
      <w:r>
        <w:t>» alors que la moitié des décisions analysées mentionne qu’il l’est dans le même milieu de vie que la fratrie.</w:t>
      </w:r>
    </w:p>
    <w:p w14:paraId="19BD5F0C" w14:textId="68B03397" w:rsidR="00DE7DB6" w:rsidRDefault="00DE7DB6" w:rsidP="003A1427">
      <w:pPr>
        <w:pStyle w:val="Paragraphe"/>
      </w:pPr>
      <w:r>
        <w:t xml:space="preserve">La Commission entend suivre de près ces questions </w:t>
      </w:r>
      <w:r w:rsidR="0034556F">
        <w:t>particulièrement</w:t>
      </w:r>
      <w:r>
        <w:t xml:space="preserve"> celle de la participation des enfants aux décisions qui concernent leur projet de vie, le choix de leur milieu de vie substitut et les </w:t>
      </w:r>
      <w:r>
        <w:lastRenderedPageBreak/>
        <w:t xml:space="preserve">contacts à maintenir avec leurs parents et les personnes qui leur sont significatives. Le respect de leur intérêt ne pourra être complètement assuré s’ils n’ont pas l’occasion de participer. </w:t>
      </w:r>
    </w:p>
    <w:p w14:paraId="10F40709" w14:textId="3C03C505" w:rsidR="00DE7DB6" w:rsidRDefault="00DE7DB6" w:rsidP="003A1427">
      <w:pPr>
        <w:pStyle w:val="Paragraphe"/>
      </w:pPr>
      <w:r>
        <w:t>L</w:t>
      </w:r>
      <w:r w:rsidRPr="009E7A8F">
        <w:t xml:space="preserve">es actions </w:t>
      </w:r>
      <w:r>
        <w:t xml:space="preserve">plus larges, documentées et maintes fois recommandées, </w:t>
      </w:r>
      <w:r w:rsidRPr="009E7A8F">
        <w:t xml:space="preserve">doivent être </w:t>
      </w:r>
      <w:r>
        <w:t>mises en place</w:t>
      </w:r>
      <w:r w:rsidR="00932BCA">
        <w:t>.</w:t>
      </w:r>
    </w:p>
    <w:p w14:paraId="7CBE962B" w14:textId="77777777" w:rsidR="00DE7DB6" w:rsidRDefault="00DE7DB6" w:rsidP="003A1427">
      <w:pPr>
        <w:pStyle w:val="Paragraphe"/>
      </w:pPr>
      <w:r w:rsidRPr="00532F72">
        <w:t xml:space="preserve">À la lumière de ces données et des constats, la Commission </w:t>
      </w:r>
      <w:r>
        <w:t xml:space="preserve">continue de croire que la réforme de la LPJ ne peut être pleinement effective </w:t>
      </w:r>
      <w:r w:rsidRPr="00532F72">
        <w:t>sans que des actions</w:t>
      </w:r>
      <w:r>
        <w:t xml:space="preserve"> de plus large portée</w:t>
      </w:r>
      <w:r w:rsidRPr="00532F72">
        <w:t xml:space="preserve"> soient prises pour enrayer certaines réalités matérielles, administratives, juridiques et cliniques du système de protection de la jeunesse qui peuvent contribuer à l’instabilité vécue par les enfants en protection.</w:t>
      </w:r>
    </w:p>
    <w:p w14:paraId="3693EEC6" w14:textId="77777777" w:rsidR="00DE7DB6" w:rsidRDefault="00DE7DB6" w:rsidP="003A1427">
      <w:pPr>
        <w:pStyle w:val="Paragraphe"/>
      </w:pPr>
      <w:r>
        <w:t xml:space="preserve">Tant ses travaux que ceux de la CSDEPJ et les études démontrent depuis des décennies la nécessité de s’attaquer aux causes sous-jacentes des situations dans lesquelles les familles du Québec se retrouvent. La stabilité des liens et des conditions de vie de l’enfant </w:t>
      </w:r>
      <w:r w:rsidRPr="008B2E40">
        <w:t>appropriées à ses besoins et à son âge</w:t>
      </w:r>
      <w:r>
        <w:t xml:space="preserve"> ne peut être garantie sans la contribution des autres réseaux publics, des organismes dont les missions sont dédiées aux enfants et aux familles ainsi que des actrices et acteurs qui interviennent et œuvrent auprès des familles. L’apport des enfants eux-mêmes et de leur famille est par ailleurs essentiel.</w:t>
      </w:r>
    </w:p>
    <w:p w14:paraId="350C02A0" w14:textId="77777777" w:rsidR="00C63E6D" w:rsidRPr="00DE7DB6" w:rsidRDefault="00C63E6D" w:rsidP="003A1427">
      <w:pPr>
        <w:pStyle w:val="Paragraphe"/>
        <w:rPr>
          <w:lang w:val="fr-FR"/>
        </w:rPr>
      </w:pPr>
    </w:p>
    <w:p w14:paraId="75A12CD8" w14:textId="77777777" w:rsidR="00423736" w:rsidRDefault="00423736" w:rsidP="003A1427">
      <w:pPr>
        <w:pStyle w:val="Paragraphe"/>
      </w:pPr>
    </w:p>
    <w:p w14:paraId="6086CDB8" w14:textId="77777777" w:rsidR="00C63E6D" w:rsidRDefault="00C63E6D" w:rsidP="003A1427">
      <w:pPr>
        <w:pStyle w:val="Paragraphe"/>
      </w:pPr>
    </w:p>
    <w:p w14:paraId="3E193933" w14:textId="77777777" w:rsidR="00C63E6D" w:rsidRDefault="00C63E6D" w:rsidP="003A1427">
      <w:pPr>
        <w:pStyle w:val="Paragraphe"/>
      </w:pPr>
    </w:p>
    <w:p w14:paraId="636E56F7" w14:textId="77777777" w:rsidR="00C63E6D" w:rsidRDefault="00C63E6D" w:rsidP="003A1427">
      <w:pPr>
        <w:pStyle w:val="Paragraphe"/>
      </w:pPr>
    </w:p>
    <w:p w14:paraId="1885EFAA" w14:textId="77777777" w:rsidR="00C63E6D" w:rsidRDefault="00C63E6D" w:rsidP="003A1427">
      <w:pPr>
        <w:pStyle w:val="Paragraphe"/>
      </w:pPr>
    </w:p>
    <w:p w14:paraId="5435A50B" w14:textId="77777777" w:rsidR="00C63E6D" w:rsidRDefault="00C63E6D" w:rsidP="003A1427">
      <w:pPr>
        <w:pStyle w:val="Paragraphe"/>
        <w:sectPr w:rsidR="00C63E6D" w:rsidSect="0098162B">
          <w:pgSz w:w="12240" w:h="15840" w:code="1"/>
          <w:pgMar w:top="1985" w:right="1134" w:bottom="1418" w:left="1134" w:header="709" w:footer="709" w:gutter="0"/>
          <w:cols w:space="708"/>
          <w:docGrid w:linePitch="360"/>
        </w:sectPr>
      </w:pPr>
    </w:p>
    <w:p w14:paraId="52392940" w14:textId="062B3AD9" w:rsidR="00F53397" w:rsidRDefault="00B365DA" w:rsidP="00CC5A23">
      <w:pPr>
        <w:pStyle w:val="Titre"/>
      </w:pPr>
      <w:bookmarkStart w:id="128" w:name="_Toc194314032"/>
      <w:bookmarkStart w:id="129" w:name="_Toc201330545"/>
      <w:r>
        <w:lastRenderedPageBreak/>
        <w:t>Liste des recommandations</w:t>
      </w:r>
      <w:bookmarkEnd w:id="128"/>
      <w:bookmarkEnd w:id="129"/>
    </w:p>
    <w:tbl>
      <w:tblPr>
        <w:tblStyle w:val="Grilledutableau"/>
        <w:tblW w:w="5000" w:type="pct"/>
        <w:tblLook w:val="04A0" w:firstRow="1" w:lastRow="0" w:firstColumn="1" w:lastColumn="0" w:noHBand="0" w:noVBand="1"/>
      </w:tblPr>
      <w:tblGrid>
        <w:gridCol w:w="9972"/>
      </w:tblGrid>
      <w:tr w:rsidR="006039D4" w:rsidRPr="00323ABB" w14:paraId="1769BBD5" w14:textId="77777777">
        <w:tc>
          <w:tcPr>
            <w:tcW w:w="5000" w:type="pct"/>
            <w:tcBorders>
              <w:top w:val="nil"/>
              <w:left w:val="nil"/>
              <w:bottom w:val="nil"/>
              <w:right w:val="nil"/>
            </w:tcBorders>
            <w:shd w:val="clear" w:color="auto" w:fill="E9F8FB"/>
          </w:tcPr>
          <w:p w14:paraId="51310E77" w14:textId="37083845" w:rsidR="006039D4" w:rsidRPr="0010017A" w:rsidRDefault="006039D4" w:rsidP="006039D4">
            <w:pPr>
              <w:pStyle w:val="TitreRecommandation"/>
            </w:pPr>
            <w:r w:rsidRPr="0010017A">
              <w:t>Recommandation</w:t>
            </w:r>
            <w:r w:rsidR="00104A0F">
              <w:t> </w:t>
            </w:r>
            <w:r>
              <w:t>1</w:t>
            </w:r>
          </w:p>
          <w:p w14:paraId="6204D9BF" w14:textId="77777777" w:rsidR="006039D4" w:rsidRDefault="006039D4">
            <w:pPr>
              <w:pStyle w:val="Texterecommandation"/>
            </w:pPr>
            <w:r w:rsidRPr="000C6889">
              <w:t xml:space="preserve">La Commission des droits recommande à la directrice nationale de la protection de la jeunesse et au ministre responsable des Services sociaux, avec la collaboration de la Table des DPJ et Santé Québec, d’entreprendre sans tarder des travaux pour actualiser le cadre de référence </w:t>
            </w:r>
            <w:r w:rsidRPr="004B11A0">
              <w:rPr>
                <w:i/>
                <w:iCs/>
              </w:rPr>
              <w:t>Un projet de vie, des racines pour la vie</w:t>
            </w:r>
            <w:r w:rsidRPr="000C6889">
              <w:t xml:space="preserve"> afin de l’arrimer au cadre légal en vigueur. Ceux-ci doivent prendre appui sur les objectifs de la réforme et les paramètres définis au préambule de la LPJ.</w:t>
            </w:r>
          </w:p>
          <w:p w14:paraId="6F227184" w14:textId="0C854F4F" w:rsidR="006039D4" w:rsidRPr="000C6889" w:rsidRDefault="006039D4">
            <w:pPr>
              <w:pStyle w:val="Texterecommandation"/>
            </w:pPr>
            <w:r w:rsidRPr="0037305A">
              <w:t>De façon complémentaire, elle leur recommande de diffuser plus largement le cadre de référence révisé, de manière adaptée et accessible, aux jeunes, aux parents, aux familles d’accueil et à toutes les personnes concernées par le projet de vie d’un enfant</w:t>
            </w:r>
            <w:r w:rsidR="00AC5C9C">
              <w:t>.</w:t>
            </w:r>
          </w:p>
        </w:tc>
      </w:tr>
    </w:tbl>
    <w:p w14:paraId="719DE397" w14:textId="77777777" w:rsidR="006039D4" w:rsidRDefault="006039D4" w:rsidP="000E5079">
      <w:pPr>
        <w:rPr>
          <w:lang w:eastAsia="fr-CA"/>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2"/>
      </w:tblGrid>
      <w:tr w:rsidR="006039D4" w14:paraId="1D228954" w14:textId="77777777">
        <w:tc>
          <w:tcPr>
            <w:tcW w:w="5000" w:type="pct"/>
            <w:shd w:val="clear" w:color="auto" w:fill="E9F8FB"/>
          </w:tcPr>
          <w:p w14:paraId="6BFC4EF3" w14:textId="77777777" w:rsidR="006039D4" w:rsidRPr="0096753E" w:rsidRDefault="006039D4">
            <w:pPr>
              <w:pStyle w:val="TitreRecommandation"/>
            </w:pPr>
            <w:r w:rsidRPr="0096753E">
              <w:t>Recommandation </w:t>
            </w:r>
            <w:r>
              <w:t>2</w:t>
            </w:r>
          </w:p>
          <w:p w14:paraId="496DA894" w14:textId="77777777" w:rsidR="006039D4" w:rsidRDefault="006039D4">
            <w:pPr>
              <w:pStyle w:val="Texterecommandation"/>
            </w:pPr>
            <w:r w:rsidRPr="00640E95">
              <w:t xml:space="preserve">La </w:t>
            </w:r>
            <w:r>
              <w:t>Commission des droits</w:t>
            </w:r>
            <w:r w:rsidRPr="00640E95">
              <w:t xml:space="preserve"> réitère la recommandation </w:t>
            </w:r>
            <w:r>
              <w:t xml:space="preserve">faite en avril 2025 </w:t>
            </w:r>
            <w:r w:rsidRPr="00640E95">
              <w:t>au ministre de la Justice et au ministre responsable des Services sociaux de s’assurer de la mise en place d’une table de concertation sociojudiciaire nationale, ainsi que de tables régionales dans chacune des régions du Québec.</w:t>
            </w:r>
          </w:p>
          <w:p w14:paraId="0EE9099D" w14:textId="77777777" w:rsidR="006039D4" w:rsidRPr="00640E95" w:rsidRDefault="006039D4">
            <w:pPr>
              <w:pStyle w:val="Texterecommandation"/>
              <w:tabs>
                <w:tab w:val="clear" w:pos="113"/>
              </w:tabs>
            </w:pPr>
            <w:r w:rsidRPr="00D76791">
              <w:t xml:space="preserve">Celles-ci doivent promouvoir une application harmonisée des pratiques en protection de la jeunesse ainsi qu’une meilleure compréhension des droits des enfants et des responsabilités des différents acteurs sociojudiciaires dans l’ensemble des régions du Québec. Les pratiques liées au processus entourant les projets de vie, incluant les placements </w:t>
            </w:r>
            <w:r>
              <w:t>à un</w:t>
            </w:r>
            <w:r w:rsidRPr="00D76791">
              <w:t xml:space="preserve"> milieu de vie substitut jusqu’à la majorité, devraient faire partie des sujets prioritaires à traiter.</w:t>
            </w:r>
          </w:p>
        </w:tc>
      </w:tr>
    </w:tbl>
    <w:p w14:paraId="70F00713" w14:textId="77777777" w:rsidR="006039D4" w:rsidRDefault="006039D4" w:rsidP="000E5079">
      <w:pPr>
        <w:rPr>
          <w:lang w:eastAsia="fr-CA"/>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2"/>
      </w:tblGrid>
      <w:tr w:rsidR="006039D4" w14:paraId="5B7CF4C8" w14:textId="77777777">
        <w:tc>
          <w:tcPr>
            <w:tcW w:w="5000" w:type="pct"/>
            <w:shd w:val="clear" w:color="auto" w:fill="E9F8FB"/>
          </w:tcPr>
          <w:p w14:paraId="2988F43A" w14:textId="72E119F1" w:rsidR="006039D4" w:rsidRDefault="006039D4">
            <w:pPr>
              <w:pStyle w:val="TitreRecommandation"/>
            </w:pPr>
            <w:r>
              <w:t>Recommandation</w:t>
            </w:r>
            <w:r w:rsidR="00104A0F">
              <w:t> </w:t>
            </w:r>
            <w:r>
              <w:t>3</w:t>
            </w:r>
          </w:p>
          <w:p w14:paraId="060E2D91" w14:textId="0E0A8DAF" w:rsidR="006039D4" w:rsidRDefault="006039D4">
            <w:pPr>
              <w:pStyle w:val="Texterecommandation"/>
            </w:pPr>
            <w:r>
              <w:t xml:space="preserve">La Commission des droits recommande à </w:t>
            </w:r>
            <w:r w:rsidRPr="00C62229">
              <w:rPr>
                <w:noProof/>
              </w:rPr>
              <w:t xml:space="preserve">la </w:t>
            </w:r>
            <w:r>
              <w:t>directrice nationale de la protection de la jeunesse et au</w:t>
            </w:r>
            <w:r w:rsidRPr="00366322">
              <w:rPr>
                <w:noProof/>
              </w:rPr>
              <w:t xml:space="preserve"> ministre responsable des Services sociaux</w:t>
            </w:r>
            <w:r w:rsidRPr="00C62229">
              <w:rPr>
                <w:noProof/>
              </w:rPr>
              <w:t xml:space="preserve">, avec </w:t>
            </w:r>
            <w:r>
              <w:rPr>
                <w:noProof/>
              </w:rPr>
              <w:t xml:space="preserve">la collaboration de la Table des DPJ et de </w:t>
            </w:r>
            <w:r w:rsidRPr="00C62229">
              <w:rPr>
                <w:noProof/>
              </w:rPr>
              <w:t>Santé Québec</w:t>
            </w:r>
            <w:r>
              <w:t xml:space="preserve">, en collaboration avec le ministre de la Justice, d’élaborer des balises </w:t>
            </w:r>
            <w:r w:rsidR="00DD6BF7">
              <w:t>favorisant</w:t>
            </w:r>
            <w:r>
              <w:t xml:space="preserve"> la participation de l’enfant dans le processus menant à son projet de vie, incluant le volet judiciaire, destinées aux personnes appelées à intervenir dans le processus. </w:t>
            </w:r>
          </w:p>
          <w:p w14:paraId="68F6B4A4" w14:textId="77777777" w:rsidR="006039D4" w:rsidRPr="00640E95" w:rsidRDefault="006039D4">
            <w:pPr>
              <w:pStyle w:val="Texterecommandation"/>
            </w:pPr>
            <w:r>
              <w:t>Ces balises doivent identifier des moyens concrets et adaptés pour recueillir l’opinion des enfants, en portant une attention particulière à ceux en bas âge.</w:t>
            </w:r>
          </w:p>
        </w:tc>
      </w:tr>
    </w:tbl>
    <w:p w14:paraId="49785CB2" w14:textId="77777777" w:rsidR="006039D4" w:rsidRDefault="006039D4" w:rsidP="006039D4">
      <w:pPr>
        <w:pStyle w:val="Paragraphe"/>
        <w:rPr>
          <w:lang w:eastAsia="fr-CA"/>
        </w:rPr>
      </w:pPr>
    </w:p>
    <w:p w14:paraId="724AD74A" w14:textId="77777777" w:rsidR="000E5079" w:rsidRDefault="000E5079" w:rsidP="006039D4">
      <w:pPr>
        <w:pStyle w:val="Paragraphe"/>
        <w:rPr>
          <w:lang w:eastAsia="fr-CA"/>
        </w:rPr>
      </w:pPr>
    </w:p>
    <w:p w14:paraId="6A0C2684" w14:textId="77777777" w:rsidR="000E5079" w:rsidRDefault="000E5079" w:rsidP="006039D4">
      <w:pPr>
        <w:pStyle w:val="Paragraphe"/>
        <w:rPr>
          <w:lang w:eastAsia="fr-CA"/>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2"/>
      </w:tblGrid>
      <w:tr w:rsidR="006039D4" w14:paraId="6B1846A8" w14:textId="77777777">
        <w:tc>
          <w:tcPr>
            <w:tcW w:w="5000" w:type="pct"/>
            <w:shd w:val="clear" w:color="auto" w:fill="E9F8FB"/>
          </w:tcPr>
          <w:p w14:paraId="44F69862" w14:textId="4D89DE6B" w:rsidR="006039D4" w:rsidRDefault="006039D4">
            <w:pPr>
              <w:pStyle w:val="TitreRecommandation"/>
            </w:pPr>
            <w:r>
              <w:lastRenderedPageBreak/>
              <w:t>Recommandation</w:t>
            </w:r>
            <w:r w:rsidR="00104A0F">
              <w:t> </w:t>
            </w:r>
            <w:r>
              <w:t>4</w:t>
            </w:r>
          </w:p>
          <w:p w14:paraId="4340BF58" w14:textId="77777777" w:rsidR="006039D4" w:rsidRDefault="006039D4">
            <w:pPr>
              <w:pStyle w:val="Texterecommandation"/>
            </w:pPr>
            <w:r w:rsidRPr="00640E95">
              <w:t xml:space="preserve">La Commission </w:t>
            </w:r>
            <w:r>
              <w:t>des droits</w:t>
            </w:r>
            <w:r w:rsidRPr="00640E95">
              <w:t xml:space="preserve"> recommande au ministre de la Justice de répertorier les</w:t>
            </w:r>
            <w:r>
              <w:t xml:space="preserve"> pratiques en place </w:t>
            </w:r>
            <w:r w:rsidRPr="00640E95">
              <w:t>dans les différentes régions du Québec</w:t>
            </w:r>
            <w:r>
              <w:t xml:space="preserve"> </w:t>
            </w:r>
            <w:r w:rsidRPr="00336DD0">
              <w:t>entourant</w:t>
            </w:r>
            <w:r>
              <w:t xml:space="preserve"> la représentation des </w:t>
            </w:r>
            <w:r w:rsidRPr="00640E95">
              <w:t>enfant</w:t>
            </w:r>
            <w:r>
              <w:t xml:space="preserve">s </w:t>
            </w:r>
            <w:r w:rsidRPr="00640E95">
              <w:t xml:space="preserve">dans les procédures judiciaires, notamment celles </w:t>
            </w:r>
            <w:r>
              <w:t>qui touchent</w:t>
            </w:r>
            <w:r w:rsidRPr="00640E95">
              <w:t xml:space="preserve"> le placement </w:t>
            </w:r>
            <w:r>
              <w:t>à un</w:t>
            </w:r>
            <w:r w:rsidRPr="00640E95">
              <w:t xml:space="preserve"> milieu de vie substitut jusqu’à la majorité. </w:t>
            </w:r>
          </w:p>
          <w:p w14:paraId="25F96158" w14:textId="77777777" w:rsidR="006039D4" w:rsidRPr="00640E95" w:rsidRDefault="006039D4">
            <w:pPr>
              <w:pStyle w:val="Texterecommandation"/>
            </w:pPr>
            <w:r>
              <w:t xml:space="preserve">Les pratiques identifiées devraient mener à l’élaboration d’un guide de pratiques destiné notamment aux avocates et avocats qui représentent des enfants, incluant celles visant à recueillir l’opinion des enfants, dont ceux en bas âge. Celui-ci devrait être largement diffusé.  </w:t>
            </w:r>
          </w:p>
        </w:tc>
      </w:tr>
    </w:tbl>
    <w:p w14:paraId="64E65322" w14:textId="77777777" w:rsidR="006039D4" w:rsidRDefault="006039D4" w:rsidP="000E5079">
      <w:pPr>
        <w:rPr>
          <w:lang w:eastAsia="fr-CA"/>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2"/>
      </w:tblGrid>
      <w:tr w:rsidR="006039D4" w14:paraId="33F31E15" w14:textId="77777777">
        <w:tc>
          <w:tcPr>
            <w:tcW w:w="5000" w:type="pct"/>
            <w:shd w:val="clear" w:color="auto" w:fill="E9F8FB"/>
          </w:tcPr>
          <w:p w14:paraId="2A7FFB43" w14:textId="091E2DE4" w:rsidR="006039D4" w:rsidRDefault="006039D4">
            <w:pPr>
              <w:pStyle w:val="TitreRecommandation"/>
            </w:pPr>
            <w:r>
              <w:t>Recommandation</w:t>
            </w:r>
            <w:r w:rsidR="00104A0F">
              <w:t> </w:t>
            </w:r>
            <w:r>
              <w:t>5</w:t>
            </w:r>
          </w:p>
          <w:p w14:paraId="0AD6F044" w14:textId="77777777" w:rsidR="006039D4" w:rsidRDefault="006039D4">
            <w:pPr>
              <w:pStyle w:val="Texterecommandation"/>
            </w:pPr>
            <w:r w:rsidRPr="00640E95">
              <w:t xml:space="preserve">La </w:t>
            </w:r>
            <w:r>
              <w:t>Commission des droits</w:t>
            </w:r>
            <w:r w:rsidRPr="00640E95">
              <w:t xml:space="preserve"> réitère la recommandation au ministre responsable des Services sociaux</w:t>
            </w:r>
            <w:r>
              <w:t xml:space="preserve"> </w:t>
            </w:r>
            <w:r w:rsidRPr="00640E95">
              <w:t>et à la directrice nationale de la protection de la jeunesse de concevoir et déployer un plan de formation continue dans l’ensemble des DPJ du Québec, tant pour les gestionnaires que les membres du personnel.</w:t>
            </w:r>
            <w:r>
              <w:t xml:space="preserve"> </w:t>
            </w:r>
            <w:r w:rsidRPr="005D60C6">
              <w:t xml:space="preserve">Ce plan devrait être élaboré et mis en œuvre avec la collaboration de la </w:t>
            </w:r>
            <w:r>
              <w:t>T</w:t>
            </w:r>
            <w:r w:rsidRPr="005D60C6">
              <w:t>able des DPJ et de Santé Québec</w:t>
            </w:r>
            <w:r>
              <w:t>.</w:t>
            </w:r>
          </w:p>
          <w:p w14:paraId="72CC19A5" w14:textId="77777777" w:rsidR="006039D4" w:rsidRDefault="006039D4">
            <w:pPr>
              <w:pStyle w:val="Texterecommandation"/>
            </w:pPr>
            <w:r w:rsidRPr="00640E95">
              <w:t xml:space="preserve">Des objectifs précis </w:t>
            </w:r>
            <w:r>
              <w:t>en lien avec les points suivants devraient s’y trouver :</w:t>
            </w:r>
          </w:p>
          <w:p w14:paraId="1B00D0F2" w14:textId="77777777" w:rsidR="006039D4" w:rsidRDefault="006039D4">
            <w:pPr>
              <w:pStyle w:val="puces0"/>
            </w:pPr>
            <w:r>
              <w:t>L</w:t>
            </w:r>
            <w:r w:rsidRPr="00640E95">
              <w:t>a stabilité des liens et des conditions de vie de l’enfant confié à un milieu de vie jusqu’à la majorité</w:t>
            </w:r>
            <w:r>
              <w:rPr>
                <w:rFonts w:ascii="Arial" w:hAnsi="Arial" w:cs="Arial"/>
              </w:rPr>
              <w:t> </w:t>
            </w:r>
            <w:r>
              <w:t>;</w:t>
            </w:r>
          </w:p>
          <w:p w14:paraId="095C8D17" w14:textId="77777777" w:rsidR="006039D4" w:rsidRDefault="006039D4">
            <w:pPr>
              <w:pStyle w:val="puces0"/>
            </w:pPr>
            <w:r>
              <w:t xml:space="preserve">L’ensemble des droits qui sont reconnus à l’enfant par la LPJ, la </w:t>
            </w:r>
            <w:r w:rsidRPr="00E70ABE">
              <w:rPr>
                <w:i/>
                <w:iCs/>
              </w:rPr>
              <w:t>Charte des droits et libertés de la personne</w:t>
            </w:r>
            <w:r>
              <w:t xml:space="preserve"> et les instruments internationaux, dont la </w:t>
            </w:r>
            <w:r w:rsidRPr="00895519">
              <w:rPr>
                <w:i/>
                <w:iCs/>
              </w:rPr>
              <w:t>Convention relative aux droits de l’enfant</w:t>
            </w:r>
            <w:r>
              <w:rPr>
                <w:rFonts w:ascii="Arial" w:hAnsi="Arial" w:cs="Arial"/>
                <w:i/>
                <w:iCs/>
              </w:rPr>
              <w:t> </w:t>
            </w:r>
            <w:r w:rsidRPr="00D239D7">
              <w:t>;</w:t>
            </w:r>
          </w:p>
          <w:p w14:paraId="3E9D4F2C" w14:textId="77777777" w:rsidR="006039D4" w:rsidRPr="00640E95" w:rsidRDefault="006039D4">
            <w:pPr>
              <w:pStyle w:val="puces0"/>
            </w:pPr>
            <w:r>
              <w:t>Les droits et responsabilités des parents inscrits à la LPJ.</w:t>
            </w:r>
          </w:p>
        </w:tc>
      </w:tr>
    </w:tbl>
    <w:p w14:paraId="07783B1A" w14:textId="77777777" w:rsidR="006039D4" w:rsidRDefault="006039D4" w:rsidP="000E5079">
      <w:pPr>
        <w:rPr>
          <w:lang w:eastAsia="fr-CA"/>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2"/>
      </w:tblGrid>
      <w:tr w:rsidR="006039D4" w14:paraId="4825A809" w14:textId="77777777">
        <w:tc>
          <w:tcPr>
            <w:tcW w:w="5000" w:type="pct"/>
            <w:shd w:val="clear" w:color="auto" w:fill="E9F8FB"/>
          </w:tcPr>
          <w:p w14:paraId="78ECD58F" w14:textId="713FF10D" w:rsidR="006039D4" w:rsidRDefault="006039D4">
            <w:pPr>
              <w:pStyle w:val="TitreRecommandation"/>
            </w:pPr>
            <w:r>
              <w:t>Recommandation</w:t>
            </w:r>
            <w:r w:rsidR="00104A0F">
              <w:t> </w:t>
            </w:r>
            <w:r>
              <w:t>6</w:t>
            </w:r>
          </w:p>
          <w:p w14:paraId="30C9C8B5" w14:textId="1497B0D9" w:rsidR="006039D4" w:rsidRPr="00640E95" w:rsidRDefault="006039D4">
            <w:pPr>
              <w:tabs>
                <w:tab w:val="left" w:pos="113"/>
              </w:tabs>
              <w:suppressAutoHyphens w:val="0"/>
              <w:autoSpaceDE/>
              <w:autoSpaceDN/>
              <w:adjustRightInd/>
              <w:spacing w:before="120" w:after="240"/>
              <w:ind w:left="708" w:right="284"/>
              <w:jc w:val="left"/>
              <w:textAlignment w:val="auto"/>
              <w:rPr>
                <w:lang w:eastAsia="fr-CA"/>
              </w:rPr>
            </w:pPr>
            <w:r w:rsidRPr="3C7496CB">
              <w:rPr>
                <w:rFonts w:eastAsia="Calibri" w:cs="Times New Roman"/>
                <w:color w:val="000000" w:themeColor="text1"/>
                <w:shd w:val="clear" w:color="auto" w:fill="E9F8FB"/>
                <w:lang w:eastAsia="fr-CA"/>
              </w:rPr>
              <w:t>La Commission réitère sa recommandation de modifier l’article</w:t>
            </w:r>
            <w:r w:rsidR="00104A0F">
              <w:rPr>
                <w:rFonts w:eastAsia="Calibri" w:cs="Times New Roman"/>
                <w:color w:val="000000" w:themeColor="text1"/>
                <w:shd w:val="clear" w:color="auto" w:fill="E9F8FB"/>
                <w:lang w:eastAsia="fr-CA"/>
              </w:rPr>
              <w:t> </w:t>
            </w:r>
            <w:r w:rsidRPr="3C7496CB">
              <w:rPr>
                <w:rFonts w:eastAsia="Calibri" w:cs="Times New Roman"/>
                <w:color w:val="000000" w:themeColor="text1"/>
                <w:shd w:val="clear" w:color="auto" w:fill="E9F8FB"/>
                <w:lang w:eastAsia="fr-CA"/>
              </w:rPr>
              <w:t>91 de la LPJ afin d’autoriser le tribunal à ordonner que les établissements et organismes concernés fournissent les services requis aux parents pour leur permettre d’assumer pleinement, dans la mesure du possible, leurs responsabilités parentales</w:t>
            </w:r>
            <w:r w:rsidRPr="177C3471">
              <w:rPr>
                <w:rFonts w:eastAsia="Calibri" w:cs="Times New Roman"/>
                <w:color w:val="000000" w:themeColor="text1"/>
                <w:lang w:eastAsia="fr-CA"/>
              </w:rPr>
              <w:t xml:space="preserve"> dans </w:t>
            </w:r>
            <w:r>
              <w:rPr>
                <w:rFonts w:eastAsia="Calibri" w:cs="Times New Roman"/>
                <w:color w:val="000000" w:themeColor="text1"/>
                <w:lang w:eastAsia="fr-CA"/>
              </w:rPr>
              <w:t>l’</w:t>
            </w:r>
            <w:r w:rsidRPr="177C3471">
              <w:rPr>
                <w:rFonts w:eastAsia="Calibri" w:cs="Times New Roman"/>
                <w:color w:val="000000" w:themeColor="text1"/>
                <w:lang w:eastAsia="fr-CA"/>
              </w:rPr>
              <w:t>intérêt de l’enfant</w:t>
            </w:r>
            <w:r w:rsidRPr="3C7496CB">
              <w:rPr>
                <w:rFonts w:eastAsia="Calibri" w:cs="Times New Roman"/>
                <w:color w:val="000000" w:themeColor="text1"/>
                <w:shd w:val="clear" w:color="auto" w:fill="E9F8FB"/>
                <w:lang w:eastAsia="fr-CA"/>
              </w:rPr>
              <w:t>.</w:t>
            </w:r>
          </w:p>
        </w:tc>
      </w:tr>
    </w:tbl>
    <w:p w14:paraId="731D278F" w14:textId="77777777" w:rsidR="006039D4" w:rsidRDefault="006039D4" w:rsidP="000E5079">
      <w:pPr>
        <w:rPr>
          <w:lang w:eastAsia="fr-CA"/>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2"/>
      </w:tblGrid>
      <w:tr w:rsidR="00B037B7" w14:paraId="442BBD84" w14:textId="77777777">
        <w:tc>
          <w:tcPr>
            <w:tcW w:w="5000" w:type="pct"/>
            <w:shd w:val="clear" w:color="auto" w:fill="E9F8FB"/>
          </w:tcPr>
          <w:p w14:paraId="26FBB8BB" w14:textId="2A29C180" w:rsidR="00B037B7" w:rsidRDefault="00B037B7">
            <w:pPr>
              <w:pStyle w:val="TitreRecommandation"/>
            </w:pPr>
            <w:r>
              <w:t>Recommandation</w:t>
            </w:r>
            <w:r w:rsidR="00104A0F">
              <w:t> </w:t>
            </w:r>
            <w:r>
              <w:t>7</w:t>
            </w:r>
          </w:p>
          <w:p w14:paraId="21EAB4ED" w14:textId="77777777" w:rsidR="00B037B7" w:rsidRPr="00640E95" w:rsidRDefault="00B037B7">
            <w:pPr>
              <w:tabs>
                <w:tab w:val="left" w:pos="113"/>
              </w:tabs>
              <w:suppressAutoHyphens w:val="0"/>
              <w:autoSpaceDE/>
              <w:autoSpaceDN/>
              <w:adjustRightInd/>
              <w:spacing w:before="120" w:after="240"/>
              <w:ind w:left="708" w:right="284"/>
              <w:jc w:val="left"/>
              <w:textAlignment w:val="auto"/>
              <w:rPr>
                <w:lang w:eastAsia="fr-CA"/>
              </w:rPr>
            </w:pPr>
            <w:r w:rsidRPr="007E3B0F">
              <w:rPr>
                <w:rFonts w:eastAsia="Calibri" w:cs="Times New Roman"/>
                <w:color w:val="000000" w:themeColor="text1"/>
                <w:shd w:val="clear" w:color="auto" w:fill="E9F8FB"/>
                <w:lang w:eastAsia="fr-CA"/>
              </w:rPr>
              <w:t>La Commission recommande au gouvernement de s’assurer que les sommes nécessaires sont allouées pour que l’ensemble des enfants et familles bénéficient au Québec des services qui répondent à leurs besoins de protection, dont ceux prévus dans le programme jeunesse</w:t>
            </w:r>
            <w:r w:rsidRPr="3C7496CB">
              <w:rPr>
                <w:rFonts w:eastAsia="Calibri" w:cs="Times New Roman"/>
                <w:color w:val="000000" w:themeColor="text1"/>
                <w:shd w:val="clear" w:color="auto" w:fill="E9F8FB"/>
                <w:lang w:eastAsia="fr-CA"/>
              </w:rPr>
              <w:t>.</w:t>
            </w:r>
          </w:p>
        </w:tc>
      </w:tr>
    </w:tbl>
    <w:p w14:paraId="0729DFC9" w14:textId="77777777" w:rsidR="00B037B7" w:rsidRDefault="00B037B7" w:rsidP="000E5079">
      <w:pPr>
        <w:rPr>
          <w:lang w:eastAsia="fr-CA"/>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2"/>
      </w:tblGrid>
      <w:tr w:rsidR="00B037B7" w14:paraId="500D63AC" w14:textId="77777777">
        <w:tc>
          <w:tcPr>
            <w:tcW w:w="5000" w:type="pct"/>
            <w:shd w:val="clear" w:color="auto" w:fill="E9F8FB"/>
          </w:tcPr>
          <w:p w14:paraId="4CB45A5F" w14:textId="2218C477" w:rsidR="00B037B7" w:rsidRDefault="00B037B7">
            <w:pPr>
              <w:pStyle w:val="TitreRecommandation"/>
            </w:pPr>
            <w:r>
              <w:t>Recommandation</w:t>
            </w:r>
            <w:r w:rsidR="00104A0F">
              <w:t> </w:t>
            </w:r>
            <w:r>
              <w:t>8</w:t>
            </w:r>
          </w:p>
          <w:p w14:paraId="3DFBC009" w14:textId="77777777" w:rsidR="00B037B7" w:rsidRDefault="00B037B7">
            <w:pPr>
              <w:pStyle w:val="Texterecommandation"/>
            </w:pPr>
            <w:r>
              <w:t xml:space="preserve">La Commission recommande au ministre responsable des Services sociaux et à la directrice nationale de la protection de la jeunesse, </w:t>
            </w:r>
            <w:r w:rsidRPr="0042266D">
              <w:t>en collaboration avec Santé Québec</w:t>
            </w:r>
            <w:r>
              <w:t xml:space="preserve">, </w:t>
            </w:r>
            <w:r w:rsidRPr="005E5F52">
              <w:t xml:space="preserve">de mettre en place un </w:t>
            </w:r>
            <w:r>
              <w:t>outil évolutif répertoriant les services de soutien aux parents existants dans chacune des régions du Québec. Cet outil devrait inclure les services de proximité de prévention, ceux spécialisés</w:t>
            </w:r>
            <w:r w:rsidRPr="00AA15E1">
              <w:t>, incluant ceux offerts par les ressources communautaires,</w:t>
            </w:r>
            <w:r w:rsidRPr="00D51287">
              <w:rPr>
                <w:noProof/>
              </w:rPr>
              <w:t xml:space="preserve"> </w:t>
            </w:r>
            <w:r>
              <w:t xml:space="preserve">ainsi que ceux destinés au développement des compétences parentales. </w:t>
            </w:r>
          </w:p>
          <w:p w14:paraId="7E02E4B8" w14:textId="77777777" w:rsidR="00B037B7" w:rsidRPr="00640E95" w:rsidRDefault="00B037B7">
            <w:pPr>
              <w:pStyle w:val="Texterecommandation"/>
            </w:pPr>
            <w:r>
              <w:t>Cet outil devrait être facile d’accès pour les enfants, leurs parents et leurs représentants légaux l’ensemble des personnes œuvrant dans les services de santé et des services sociaux. Il devrait être mis à jour sur une base régulière et être facilement accessible pour le public.</w:t>
            </w:r>
          </w:p>
        </w:tc>
      </w:tr>
    </w:tbl>
    <w:p w14:paraId="4AB91BA3" w14:textId="77777777" w:rsidR="00B037B7" w:rsidRDefault="00B037B7" w:rsidP="000E5079">
      <w:pPr>
        <w:rPr>
          <w:lang w:eastAsia="fr-CA"/>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2"/>
      </w:tblGrid>
      <w:tr w:rsidR="00B037B7" w14:paraId="02A72256" w14:textId="77777777">
        <w:tc>
          <w:tcPr>
            <w:tcW w:w="5000" w:type="pct"/>
            <w:shd w:val="clear" w:color="auto" w:fill="E9F8FB"/>
          </w:tcPr>
          <w:p w14:paraId="639AC880" w14:textId="48055862" w:rsidR="00B037B7" w:rsidRDefault="00B037B7">
            <w:pPr>
              <w:pStyle w:val="TitreRecommandation"/>
            </w:pPr>
            <w:r>
              <w:t>Recommandation</w:t>
            </w:r>
            <w:r w:rsidR="00104A0F">
              <w:t> </w:t>
            </w:r>
            <w:r>
              <w:t>9</w:t>
            </w:r>
          </w:p>
          <w:p w14:paraId="440AB3B6" w14:textId="77777777" w:rsidR="00B037B7" w:rsidRDefault="00B037B7">
            <w:pPr>
              <w:pStyle w:val="Texterecommandation"/>
            </w:pPr>
            <w:r w:rsidRPr="00597617">
              <w:t>La Commission recommande au</w:t>
            </w:r>
            <w:r>
              <w:t xml:space="preserve"> ministre responsable des Services sociaux et à la directrice nationale de la protection de la jeunesse, en collaboration avec la Table des DPJ et Santé Québec,</w:t>
            </w:r>
            <w:r w:rsidRPr="00597617">
              <w:t xml:space="preserve"> </w:t>
            </w:r>
            <w:r w:rsidRPr="00020587">
              <w:t>d’élaborer des orientations et des normes de pratique clinique claires </w:t>
            </w:r>
            <w:r>
              <w:t>pour favoriser l</w:t>
            </w:r>
            <w:r w:rsidRPr="00597617">
              <w:t xml:space="preserve">es contacts </w:t>
            </w:r>
            <w:r>
              <w:t xml:space="preserve">entre l’enfant confié à un milieu de vie substitut jusqu’à la majorité, ses </w:t>
            </w:r>
            <w:r w:rsidRPr="00597617">
              <w:t>parents</w:t>
            </w:r>
            <w:r>
              <w:t>, sa fratrie et les autres personnes qui lui sont significatives. Des moyens sont à prioriser, dont les suivants :</w:t>
            </w:r>
          </w:p>
          <w:p w14:paraId="699D2575" w14:textId="3F8D98C5" w:rsidR="00B037B7" w:rsidRDefault="00B037B7" w:rsidP="002233DF">
            <w:pPr>
              <w:pStyle w:val="Texterecommandation"/>
              <w:numPr>
                <w:ilvl w:val="0"/>
                <w:numId w:val="13"/>
              </w:numPr>
            </w:pPr>
            <w:r>
              <w:t xml:space="preserve">Élaborer et diffuser des balises pour encadrer les pratiques liées </w:t>
            </w:r>
            <w:r w:rsidR="000C07AF">
              <w:t xml:space="preserve">à </w:t>
            </w:r>
            <w:r>
              <w:t>l’évaluation de l’intérêt de l’enfant pour l’établissement des modalités des contacts, dont leur fréquence et leur durée</w:t>
            </w:r>
            <w:r>
              <w:rPr>
                <w:rFonts w:ascii="Arial" w:hAnsi="Arial" w:cs="Arial"/>
              </w:rPr>
              <w:t> </w:t>
            </w:r>
            <w:r>
              <w:t>;</w:t>
            </w:r>
          </w:p>
          <w:p w14:paraId="4CB2D943" w14:textId="77777777" w:rsidR="00B037B7" w:rsidRDefault="00B037B7" w:rsidP="002233DF">
            <w:pPr>
              <w:pStyle w:val="Texterecommandation"/>
              <w:numPr>
                <w:ilvl w:val="0"/>
                <w:numId w:val="13"/>
              </w:numPr>
            </w:pPr>
            <w:r>
              <w:t>Élaborer et déployer une formation pour développer davantage le jugement clinique sur des éléments liés à la relation entre l’enfant et ses parents</w:t>
            </w:r>
            <w:r>
              <w:rPr>
                <w:rFonts w:ascii="Arial" w:hAnsi="Arial" w:cs="Arial"/>
              </w:rPr>
              <w:t> </w:t>
            </w:r>
            <w:r>
              <w:t>;</w:t>
            </w:r>
          </w:p>
          <w:p w14:paraId="0445BE6E" w14:textId="77777777" w:rsidR="00B037B7" w:rsidRPr="00640E95" w:rsidRDefault="00B037B7" w:rsidP="002233DF">
            <w:pPr>
              <w:pStyle w:val="Texterecommandation"/>
              <w:numPr>
                <w:ilvl w:val="0"/>
                <w:numId w:val="13"/>
              </w:numPr>
            </w:pPr>
            <w:r>
              <w:t>Encourager les recherches quant aux effets du maintien, de la suspension des contacts et des interdits de contacts sur le fonctionnement de l’enfant placé, incluant la perspective des enfants placés.</w:t>
            </w:r>
          </w:p>
        </w:tc>
      </w:tr>
    </w:tbl>
    <w:p w14:paraId="613AFF46" w14:textId="77777777" w:rsidR="00B037B7" w:rsidRDefault="00B037B7" w:rsidP="000E5079">
      <w:pPr>
        <w:rPr>
          <w:lang w:eastAsia="fr-CA"/>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2"/>
      </w:tblGrid>
      <w:tr w:rsidR="00B037B7" w14:paraId="7330AA13" w14:textId="77777777">
        <w:tc>
          <w:tcPr>
            <w:tcW w:w="5000" w:type="pct"/>
            <w:shd w:val="clear" w:color="auto" w:fill="E9F8FB"/>
          </w:tcPr>
          <w:p w14:paraId="2F5619FE" w14:textId="76CD2977" w:rsidR="00B037B7" w:rsidRDefault="00B037B7">
            <w:pPr>
              <w:pStyle w:val="TitreRecommandation"/>
            </w:pPr>
            <w:r>
              <w:t>Recommandation</w:t>
            </w:r>
            <w:r w:rsidR="000768A2">
              <w:t> </w:t>
            </w:r>
            <w:r>
              <w:t>10</w:t>
            </w:r>
          </w:p>
          <w:p w14:paraId="152FF53A" w14:textId="77777777" w:rsidR="00B037B7" w:rsidRDefault="00B037B7">
            <w:pPr>
              <w:pStyle w:val="Texterecommandation"/>
            </w:pPr>
            <w:r w:rsidRPr="00597617">
              <w:t>La Commission</w:t>
            </w:r>
            <w:r>
              <w:t xml:space="preserve"> recommande au ministre de la Justice et </w:t>
            </w:r>
            <w:r w:rsidRPr="00640E95">
              <w:t>au ministre responsable des Services sociaux</w:t>
            </w:r>
            <w:r>
              <w:t xml:space="preserve"> ainsi qu’à la directrice nationale de la protection de la jeunesse, avec la collaboration de la Table des DPJ et de Santé Québec, d’analyser les pratiques r</w:t>
            </w:r>
            <w:r w:rsidRPr="00B807FD">
              <w:t xml:space="preserve">égionales entourant l’établissement des modalités des contacts entre l’enfant, ses parents et autres personnes significatives en contexte de placement </w:t>
            </w:r>
            <w:r>
              <w:t>à un</w:t>
            </w:r>
            <w:r w:rsidRPr="00B807FD">
              <w:t xml:space="preserve"> milieu de vie substitut jusqu’à la majorité. </w:t>
            </w:r>
          </w:p>
          <w:p w14:paraId="6BDF5E47" w14:textId="77777777" w:rsidR="00B037B7" w:rsidRPr="00640E95" w:rsidRDefault="00B037B7">
            <w:pPr>
              <w:pStyle w:val="Texterecommandation"/>
            </w:pPr>
            <w:r w:rsidRPr="00B807FD">
              <w:t xml:space="preserve">Les mesures qui apparaissent les plus porteuses devraient mener à un déploiement à l’échelle du Québec. </w:t>
            </w:r>
          </w:p>
        </w:tc>
      </w:tr>
    </w:tbl>
    <w:p w14:paraId="36CA90EC" w14:textId="77777777" w:rsidR="00B037B7" w:rsidRDefault="00B037B7" w:rsidP="000E5079">
      <w:pPr>
        <w:rPr>
          <w:lang w:eastAsia="fr-CA"/>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2"/>
      </w:tblGrid>
      <w:tr w:rsidR="00B037B7" w14:paraId="29B42628" w14:textId="77777777">
        <w:tc>
          <w:tcPr>
            <w:tcW w:w="5000" w:type="pct"/>
            <w:shd w:val="clear" w:color="auto" w:fill="E9F8FB"/>
          </w:tcPr>
          <w:p w14:paraId="3B7911F8" w14:textId="5E06E8F8" w:rsidR="00B037B7" w:rsidRDefault="00B037B7">
            <w:pPr>
              <w:pStyle w:val="TitreRecommandation"/>
            </w:pPr>
            <w:r>
              <w:t>Recommandation</w:t>
            </w:r>
            <w:r w:rsidR="000768A2">
              <w:t> </w:t>
            </w:r>
            <w:r>
              <w:t>11</w:t>
            </w:r>
          </w:p>
          <w:p w14:paraId="2EB3258C" w14:textId="77777777" w:rsidR="00B037B7" w:rsidRPr="00DB710B" w:rsidRDefault="00B037B7">
            <w:pPr>
              <w:pStyle w:val="Texterecommandation"/>
            </w:pPr>
            <w:r w:rsidRPr="00DB710B">
              <w:t>La Commission recommande au ministre responsable des Services sociaux, en collaboration avec Santé Québec, de soutenir la recherche sur les trajectoires de placement des enfants autochtones et des enfants des minorités racisées, et ce, en tenant compte des réalités des enfants de la minorité noire, qui s’inscrit dans une approche participative avec les jeunes. Les paramètres de ces recherches devraient préalablement être définis avec les organismes et les personnes représentantes de ces populations.</w:t>
            </w:r>
          </w:p>
        </w:tc>
      </w:tr>
    </w:tbl>
    <w:p w14:paraId="5F31EBF0" w14:textId="77777777" w:rsidR="00B037B7" w:rsidRDefault="00B037B7" w:rsidP="000E5079">
      <w:pPr>
        <w:rPr>
          <w:lang w:eastAsia="fr-CA"/>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2"/>
      </w:tblGrid>
      <w:tr w:rsidR="00B037B7" w14:paraId="24344E8E" w14:textId="77777777">
        <w:tc>
          <w:tcPr>
            <w:tcW w:w="5000" w:type="pct"/>
            <w:shd w:val="clear" w:color="auto" w:fill="E9F8FB"/>
          </w:tcPr>
          <w:p w14:paraId="5CED1D33" w14:textId="7025631A" w:rsidR="00B037B7" w:rsidRDefault="00B037B7">
            <w:pPr>
              <w:pStyle w:val="TitreRecommandation"/>
            </w:pPr>
            <w:r>
              <w:t>Recommandation</w:t>
            </w:r>
            <w:r w:rsidR="000768A2">
              <w:t> </w:t>
            </w:r>
            <w:r>
              <w:t>12</w:t>
            </w:r>
          </w:p>
          <w:p w14:paraId="0F8609D8" w14:textId="77777777" w:rsidR="00B037B7" w:rsidRPr="00640E95" w:rsidRDefault="00B037B7">
            <w:pPr>
              <w:pStyle w:val="Texterecommandation"/>
            </w:pPr>
            <w:r w:rsidRPr="000D75E5">
              <w:t>La Commission recommande au</w:t>
            </w:r>
            <w:r>
              <w:t xml:space="preserve"> ministre responsable des Services sociaux, avec la collaboration de Santé Québec,</w:t>
            </w:r>
            <w:r w:rsidRPr="000D75E5">
              <w:t xml:space="preserve"> de soutenir la recherche</w:t>
            </w:r>
            <w:r>
              <w:t xml:space="preserve"> qui s’inscrit dans une</w:t>
            </w:r>
            <w:r w:rsidRPr="00D26745">
              <w:t xml:space="preserve"> approche participative avec les </w:t>
            </w:r>
            <w:r>
              <w:t>jeunes</w:t>
            </w:r>
            <w:r w:rsidRPr="000D75E5">
              <w:t xml:space="preserve"> sur les trajectoires de</w:t>
            </w:r>
            <w:r>
              <w:t>s enfants placés à un milieu de vie substitut jusqu’à la majorité.</w:t>
            </w:r>
            <w:r w:rsidRPr="000D75E5">
              <w:t xml:space="preserve"> </w:t>
            </w:r>
          </w:p>
        </w:tc>
      </w:tr>
    </w:tbl>
    <w:p w14:paraId="4D0CE65B" w14:textId="77777777" w:rsidR="00B037B7" w:rsidRPr="006039D4" w:rsidRDefault="00B037B7" w:rsidP="006039D4">
      <w:pPr>
        <w:pStyle w:val="Paragraphe"/>
        <w:rPr>
          <w:lang w:eastAsia="fr-CA"/>
        </w:rPr>
      </w:pPr>
    </w:p>
    <w:sectPr w:rsidR="00B037B7" w:rsidRPr="006039D4" w:rsidSect="0098162B">
      <w:pgSz w:w="12240" w:h="15840" w:code="1"/>
      <w:pgMar w:top="1985"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7492A7" w14:textId="77777777" w:rsidR="005A4503" w:rsidRDefault="005A4503">
      <w:r>
        <w:separator/>
      </w:r>
    </w:p>
  </w:endnote>
  <w:endnote w:type="continuationSeparator" w:id="0">
    <w:p w14:paraId="43FB9964" w14:textId="77777777" w:rsidR="005A4503" w:rsidRDefault="005A4503">
      <w:r>
        <w:continuationSeparator/>
      </w:r>
    </w:p>
  </w:endnote>
  <w:endnote w:type="continuationNotice" w:id="1">
    <w:p w14:paraId="5CAAEB58" w14:textId="77777777" w:rsidR="005A4503" w:rsidRDefault="005A45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Yu Gothic Light">
    <w:panose1 w:val="020B0300000000000000"/>
    <w:charset w:val="80"/>
    <w:family w:val="swiss"/>
    <w:pitch w:val="variable"/>
    <w:sig w:usb0="E00002FF" w:usb1="2AC7FDFF" w:usb2="00000016" w:usb3="00000000" w:csb0="0002009F" w:csb1="00000000"/>
  </w:font>
  <w:font w:name="Arial Gras">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Light">
    <w:panose1 w:val="020B0004020202020204"/>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Walbaum Heading">
    <w:charset w:val="00"/>
    <w:family w:val="roman"/>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gridCol w:w="567"/>
    </w:tblGrid>
    <w:tr w:rsidR="00A46E60" w:rsidRPr="002C3E65" w14:paraId="49A38400" w14:textId="77777777" w:rsidTr="005D583E">
      <w:trPr>
        <w:trHeight w:val="281"/>
      </w:trPr>
      <w:tc>
        <w:tcPr>
          <w:tcW w:w="9634" w:type="dxa"/>
        </w:tcPr>
        <w:p w14:paraId="34D54423" w14:textId="77777777" w:rsidR="00A46E60" w:rsidRPr="002C3E65" w:rsidRDefault="00A46E60" w:rsidP="00A46E60">
          <w:pPr>
            <w:widowControl w:val="0"/>
            <w:jc w:val="right"/>
            <w:rPr>
              <w:rFonts w:eastAsia="Aptos" w:cs="Aptos"/>
              <w:lang w:val="fr-FR"/>
            </w:rPr>
          </w:pPr>
          <w:r w:rsidRPr="002C3E65">
            <w:rPr>
              <w:rFonts w:eastAsia="Aptos" w:cs="Aptos"/>
              <w:noProof/>
              <w:lang w:val="fr-FR"/>
            </w:rPr>
            <w:drawing>
              <wp:inline distT="0" distB="0" distL="0" distR="0" wp14:anchorId="210BD6D5" wp14:editId="5E3D7342">
                <wp:extent cx="414311" cy="145727"/>
                <wp:effectExtent l="0" t="0" r="5080" b="6985"/>
                <wp:docPr id="767743306"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32209" name="Imag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59915" cy="161767"/>
                        </a:xfrm>
                        <a:prstGeom prst="rect">
                          <a:avLst/>
                        </a:prstGeom>
                      </pic:spPr>
                    </pic:pic>
                  </a:graphicData>
                </a:graphic>
              </wp:inline>
            </w:drawing>
          </w:r>
        </w:p>
      </w:tc>
      <w:tc>
        <w:tcPr>
          <w:tcW w:w="567" w:type="dxa"/>
        </w:tcPr>
        <w:p w14:paraId="74A3C402" w14:textId="77777777" w:rsidR="00A46E60" w:rsidRPr="002C3E65" w:rsidRDefault="00A46E60" w:rsidP="00A46E60">
          <w:pPr>
            <w:widowControl w:val="0"/>
            <w:jc w:val="right"/>
            <w:rPr>
              <w:rFonts w:eastAsia="Aptos" w:cs="Aptos"/>
              <w:spacing w:val="-2"/>
              <w:lang w:val="fr-FR"/>
            </w:rPr>
          </w:pPr>
          <w:r w:rsidRPr="002C3E65">
            <w:rPr>
              <w:rFonts w:eastAsia="Aptos" w:cs="Aptos"/>
              <w:spacing w:val="-2"/>
              <w:lang w:val="fr-FR"/>
            </w:rPr>
            <w:fldChar w:fldCharType="begin"/>
          </w:r>
          <w:r w:rsidRPr="002C3E65">
            <w:rPr>
              <w:rFonts w:eastAsia="Aptos" w:cs="Aptos"/>
              <w:spacing w:val="-2"/>
              <w:lang w:val="fr-FR"/>
            </w:rPr>
            <w:instrText>PAGE   \* MERGEFORMAT</w:instrText>
          </w:r>
          <w:r w:rsidRPr="002C3E65">
            <w:rPr>
              <w:rFonts w:eastAsia="Aptos" w:cs="Aptos"/>
              <w:spacing w:val="-2"/>
              <w:lang w:val="fr-FR"/>
            </w:rPr>
            <w:fldChar w:fldCharType="separate"/>
          </w:r>
          <w:r>
            <w:rPr>
              <w:rFonts w:eastAsia="Aptos" w:cs="Aptos"/>
              <w:spacing w:val="-2"/>
              <w:lang w:val="fr-FR"/>
            </w:rPr>
            <w:t>2</w:t>
          </w:r>
          <w:r w:rsidRPr="002C3E65">
            <w:rPr>
              <w:rFonts w:eastAsia="Aptos" w:cs="Aptos"/>
              <w:spacing w:val="-2"/>
              <w:lang w:val="fr-FR"/>
            </w:rPr>
            <w:fldChar w:fldCharType="end"/>
          </w:r>
        </w:p>
      </w:tc>
    </w:tr>
  </w:tbl>
  <w:p w14:paraId="2608FEB2" w14:textId="6413A4D0" w:rsidR="0009074D" w:rsidRPr="00F246DB" w:rsidRDefault="00A46E60" w:rsidP="00A46E60">
    <w:pPr>
      <w:pStyle w:val="Pieddepage"/>
      <w:jc w:val="right"/>
      <w:rPr>
        <w:rFonts w:ascii="Aptos Light" w:hAnsi="Aptos Light"/>
        <w:szCs w:val="22"/>
      </w:rPr>
    </w:pPr>
    <w:r w:rsidRPr="006169B9">
      <w:rPr>
        <w:rFonts w:ascii="Aptos Light" w:hAnsi="Aptos Light"/>
        <w:noProof/>
        <w:szCs w:val="22"/>
      </w:rPr>
      <mc:AlternateContent>
        <mc:Choice Requires="wps">
          <w:drawing>
            <wp:anchor distT="0" distB="0" distL="114300" distR="114300" simplePos="0" relativeHeight="251658244" behindDoc="0" locked="0" layoutInCell="1" allowOverlap="1" wp14:anchorId="60A69BCC" wp14:editId="6B2116D3">
              <wp:simplePos x="0" y="0"/>
              <wp:positionH relativeFrom="column">
                <wp:posOffset>-1016000</wp:posOffset>
              </wp:positionH>
              <wp:positionV relativeFrom="paragraph">
                <wp:posOffset>438150</wp:posOffset>
              </wp:positionV>
              <wp:extent cx="8261350" cy="203200"/>
              <wp:effectExtent l="0" t="0" r="6350" b="6350"/>
              <wp:wrapNone/>
              <wp:docPr id="230953027"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61350" cy="203200"/>
                      </a:xfrm>
                      <a:prstGeom prst="rect">
                        <a:avLst/>
                      </a:prstGeom>
                      <a:solidFill>
                        <a:srgbClr val="E9FAF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34B6F5C" id="Rectangle 9" o:spid="_x0000_s1026" alt="&quot;&quot;" style="position:absolute;margin-left:-80pt;margin-top:34.5pt;width:650.5pt;height:1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" fillcolor="#e9fafc" stroked="f"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00026E92" w14:paraId="7DB46CD4" w14:textId="77777777" w:rsidTr="00D20D83">
      <w:trPr>
        <w:trHeight w:val="300"/>
      </w:trPr>
      <w:tc>
        <w:tcPr>
          <w:tcW w:w="3245" w:type="dxa"/>
        </w:tcPr>
        <w:p w14:paraId="527EF103" w14:textId="77777777" w:rsidR="00026E92" w:rsidRDefault="00026E92" w:rsidP="00D20D83">
          <w:pPr>
            <w:pStyle w:val="En-tte"/>
            <w:ind w:left="-115"/>
          </w:pPr>
        </w:p>
      </w:tc>
      <w:tc>
        <w:tcPr>
          <w:tcW w:w="3245" w:type="dxa"/>
        </w:tcPr>
        <w:p w14:paraId="6AF0E0D2" w14:textId="77777777" w:rsidR="00026E92" w:rsidRDefault="00026E92" w:rsidP="00D20D83">
          <w:pPr>
            <w:pStyle w:val="En-tte"/>
            <w:jc w:val="center"/>
          </w:pPr>
        </w:p>
      </w:tc>
      <w:tc>
        <w:tcPr>
          <w:tcW w:w="3245" w:type="dxa"/>
        </w:tcPr>
        <w:p w14:paraId="35EDC53C" w14:textId="77777777" w:rsidR="00026E92" w:rsidRDefault="00026E92" w:rsidP="00D20D83">
          <w:pPr>
            <w:pStyle w:val="En-tte"/>
            <w:ind w:right="-115"/>
            <w:jc w:val="right"/>
          </w:pPr>
        </w:p>
      </w:tc>
    </w:tr>
  </w:tbl>
  <w:p w14:paraId="0DBFFFA6" w14:textId="0CAFD654" w:rsidR="00026E92" w:rsidRDefault="00C12975">
    <w:pPr>
      <w:pStyle w:val="Pieddepage"/>
    </w:pPr>
    <w:r w:rsidRPr="006169B9">
      <w:rPr>
        <w:rFonts w:ascii="Aptos Light" w:hAnsi="Aptos Light"/>
        <w:noProof/>
        <w:szCs w:val="22"/>
      </w:rPr>
      <mc:AlternateContent>
        <mc:Choice Requires="wps">
          <w:drawing>
            <wp:anchor distT="0" distB="0" distL="114300" distR="114300" simplePos="0" relativeHeight="251658241" behindDoc="0" locked="0" layoutInCell="1" allowOverlap="1" wp14:anchorId="3AFF49E4" wp14:editId="123007F6">
              <wp:simplePos x="0" y="0"/>
              <wp:positionH relativeFrom="column">
                <wp:posOffset>-1170940</wp:posOffset>
              </wp:positionH>
              <wp:positionV relativeFrom="paragraph">
                <wp:posOffset>464820</wp:posOffset>
              </wp:positionV>
              <wp:extent cx="8261350" cy="203200"/>
              <wp:effectExtent l="0" t="0" r="6350" b="6350"/>
              <wp:wrapNone/>
              <wp:docPr id="617222233"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61350" cy="203200"/>
                      </a:xfrm>
                      <a:prstGeom prst="rect">
                        <a:avLst/>
                      </a:prstGeom>
                      <a:solidFill>
                        <a:srgbClr val="E9FAF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92213BE" id="Rectangle 9" o:spid="_x0000_s1026" alt="&quot;&quot;" style="position:absolute;margin-left:-92.2pt;margin-top:36.6pt;width:650.5pt;height:1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" fillcolor="#e9fafc"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E7EFF" w14:textId="38DA8D74" w:rsidR="0009074D" w:rsidRDefault="00996878" w:rsidP="0009074D">
    <w:pPr>
      <w:pStyle w:val="Pieddepage"/>
      <w:jc w:val="center"/>
      <w:rPr>
        <w:caps/>
        <w:color w:val="4A66AC" w:themeColor="accent1"/>
      </w:rPr>
    </w:pPr>
    <w:r w:rsidRPr="00BF0B61">
      <w:rPr>
        <w:noProof/>
      </w:rPr>
      <w:drawing>
        <wp:anchor distT="0" distB="0" distL="114300" distR="114300" simplePos="0" relativeHeight="251658243" behindDoc="1" locked="0" layoutInCell="1" allowOverlap="1" wp14:anchorId="0450E435" wp14:editId="55761DCE">
          <wp:simplePos x="0" y="0"/>
          <wp:positionH relativeFrom="page">
            <wp:posOffset>5876290</wp:posOffset>
          </wp:positionH>
          <wp:positionV relativeFrom="page">
            <wp:posOffset>8469630</wp:posOffset>
          </wp:positionV>
          <wp:extent cx="1944000" cy="1504800"/>
          <wp:effectExtent l="0" t="0" r="0" b="635"/>
          <wp:wrapNone/>
          <wp:docPr id="228931237" name="Imag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31237" name="Image 59">
                    <a:extLst>
                      <a:ext uri="{C183D7F6-B498-43B3-948B-1728B52AA6E4}">
                        <adec:decorative xmlns:adec="http://schemas.microsoft.com/office/drawing/2017/decorative" val="1"/>
                      </a:ext>
                    </a:extLst>
                  </pic:cNvPr>
                  <pic:cNvPicPr/>
                </pic:nvPicPr>
                <pic:blipFill>
                  <a:blip r:embed="rId1"/>
                  <a:stretch>
                    <a:fillRect/>
                  </a:stretch>
                </pic:blipFill>
                <pic:spPr>
                  <a:xfrm>
                    <a:off x="0" y="0"/>
                    <a:ext cx="1944000" cy="1504800"/>
                  </a:xfrm>
                  <a:prstGeom prst="rect">
                    <a:avLst/>
                  </a:prstGeom>
                </pic:spPr>
              </pic:pic>
            </a:graphicData>
          </a:graphic>
          <wp14:sizeRelH relativeFrom="margin">
            <wp14:pctWidth>0</wp14:pctWidth>
          </wp14:sizeRelH>
          <wp14:sizeRelV relativeFrom="margin">
            <wp14:pctHeight>0</wp14:pctHeight>
          </wp14:sizeRelV>
        </wp:anchor>
      </w:drawing>
    </w:r>
    <w:r w:rsidR="00C12975" w:rsidRPr="006169B9">
      <w:rPr>
        <w:rFonts w:ascii="Aptos Light" w:hAnsi="Aptos Light"/>
        <w:noProof/>
        <w:szCs w:val="22"/>
      </w:rPr>
      <mc:AlternateContent>
        <mc:Choice Requires="wps">
          <w:drawing>
            <wp:anchor distT="0" distB="0" distL="114300" distR="114300" simplePos="0" relativeHeight="251658242" behindDoc="0" locked="0" layoutInCell="1" allowOverlap="1" wp14:anchorId="43C89FB0" wp14:editId="4EB590BF">
              <wp:simplePos x="0" y="0"/>
              <wp:positionH relativeFrom="column">
                <wp:posOffset>-1085850</wp:posOffset>
              </wp:positionH>
              <wp:positionV relativeFrom="paragraph">
                <wp:posOffset>450850</wp:posOffset>
              </wp:positionV>
              <wp:extent cx="8261350" cy="234950"/>
              <wp:effectExtent l="0" t="0" r="6350" b="0"/>
              <wp:wrapNone/>
              <wp:docPr id="70262626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61350" cy="234950"/>
                      </a:xfrm>
                      <a:prstGeom prst="rect">
                        <a:avLst/>
                      </a:prstGeom>
                      <a:solidFill>
                        <a:srgbClr val="E9FAF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A006C73" id="Rectangle 9" o:spid="_x0000_s1026" alt="&quot;&quot;" style="position:absolute;margin-left:-85.5pt;margin-top:35.5pt;width:650.5pt;height:1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" fillcolor="#e9fafc" stroked="f" strokeweight="1p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gridCol w:w="567"/>
    </w:tblGrid>
    <w:tr w:rsidR="00425CAE" w:rsidRPr="002C3E65" w14:paraId="0D567DD9" w14:textId="77777777" w:rsidTr="005D583E">
      <w:trPr>
        <w:trHeight w:val="281"/>
      </w:trPr>
      <w:tc>
        <w:tcPr>
          <w:tcW w:w="9634" w:type="dxa"/>
        </w:tcPr>
        <w:p w14:paraId="32303DA4" w14:textId="77777777" w:rsidR="00425CAE" w:rsidRPr="002C3E65" w:rsidRDefault="00425CAE" w:rsidP="00A46E60">
          <w:pPr>
            <w:widowControl w:val="0"/>
            <w:jc w:val="right"/>
            <w:rPr>
              <w:rFonts w:eastAsia="Aptos" w:cs="Aptos"/>
              <w:lang w:val="fr-FR"/>
            </w:rPr>
          </w:pPr>
          <w:r w:rsidRPr="002C3E65">
            <w:rPr>
              <w:rFonts w:eastAsia="Aptos" w:cs="Aptos"/>
              <w:noProof/>
              <w:lang w:val="fr-FR"/>
            </w:rPr>
            <w:drawing>
              <wp:inline distT="0" distB="0" distL="0" distR="0" wp14:anchorId="494BCB3F" wp14:editId="7BC114D0">
                <wp:extent cx="414311" cy="145727"/>
                <wp:effectExtent l="0" t="0" r="5080" b="6985"/>
                <wp:docPr id="608820322"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32209" name="Imag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59915" cy="161767"/>
                        </a:xfrm>
                        <a:prstGeom prst="rect">
                          <a:avLst/>
                        </a:prstGeom>
                      </pic:spPr>
                    </pic:pic>
                  </a:graphicData>
                </a:graphic>
              </wp:inline>
            </w:drawing>
          </w:r>
        </w:p>
      </w:tc>
      <w:tc>
        <w:tcPr>
          <w:tcW w:w="567" w:type="dxa"/>
        </w:tcPr>
        <w:p w14:paraId="7FB99357" w14:textId="77777777" w:rsidR="00425CAE" w:rsidRPr="002C3E65" w:rsidRDefault="00425CAE" w:rsidP="00A46E60">
          <w:pPr>
            <w:widowControl w:val="0"/>
            <w:jc w:val="right"/>
            <w:rPr>
              <w:rFonts w:eastAsia="Aptos" w:cs="Aptos"/>
              <w:spacing w:val="-2"/>
              <w:lang w:val="fr-FR"/>
            </w:rPr>
          </w:pPr>
          <w:r w:rsidRPr="002C3E65">
            <w:rPr>
              <w:rFonts w:eastAsia="Aptos" w:cs="Aptos"/>
              <w:spacing w:val="-2"/>
              <w:lang w:val="fr-FR"/>
            </w:rPr>
            <w:fldChar w:fldCharType="begin"/>
          </w:r>
          <w:r w:rsidRPr="002C3E65">
            <w:rPr>
              <w:rFonts w:eastAsia="Aptos" w:cs="Aptos"/>
              <w:spacing w:val="-2"/>
              <w:lang w:val="fr-FR"/>
            </w:rPr>
            <w:instrText>PAGE   \* MERGEFORMAT</w:instrText>
          </w:r>
          <w:r w:rsidRPr="002C3E65">
            <w:rPr>
              <w:rFonts w:eastAsia="Aptos" w:cs="Aptos"/>
              <w:spacing w:val="-2"/>
              <w:lang w:val="fr-FR"/>
            </w:rPr>
            <w:fldChar w:fldCharType="separate"/>
          </w:r>
          <w:r>
            <w:rPr>
              <w:rFonts w:eastAsia="Aptos" w:cs="Aptos"/>
              <w:spacing w:val="-2"/>
              <w:lang w:val="fr-FR"/>
            </w:rPr>
            <w:t>2</w:t>
          </w:r>
          <w:r w:rsidRPr="002C3E65">
            <w:rPr>
              <w:rFonts w:eastAsia="Aptos" w:cs="Aptos"/>
              <w:spacing w:val="-2"/>
              <w:lang w:val="fr-FR"/>
            </w:rPr>
            <w:fldChar w:fldCharType="end"/>
          </w:r>
        </w:p>
      </w:tc>
    </w:tr>
  </w:tbl>
  <w:p w14:paraId="4A26B071" w14:textId="77777777" w:rsidR="00425CAE" w:rsidRPr="00F246DB" w:rsidRDefault="00425CAE" w:rsidP="00A46E60">
    <w:pPr>
      <w:pStyle w:val="Pieddepage"/>
      <w:jc w:val="right"/>
      <w:rPr>
        <w:rFonts w:ascii="Aptos Light" w:hAnsi="Aptos Light"/>
        <w:szCs w:val="22"/>
      </w:rPr>
    </w:pPr>
    <w:r w:rsidRPr="006169B9">
      <w:rPr>
        <w:rFonts w:ascii="Aptos Light" w:hAnsi="Aptos Light"/>
        <w:noProof/>
        <w:szCs w:val="22"/>
      </w:rPr>
      <mc:AlternateContent>
        <mc:Choice Requires="wps">
          <w:drawing>
            <wp:anchor distT="0" distB="0" distL="114300" distR="114300" simplePos="0" relativeHeight="251658250" behindDoc="0" locked="0" layoutInCell="1" allowOverlap="1" wp14:anchorId="3948631A" wp14:editId="290EB9E2">
              <wp:simplePos x="0" y="0"/>
              <wp:positionH relativeFrom="column">
                <wp:posOffset>-1016000</wp:posOffset>
              </wp:positionH>
              <wp:positionV relativeFrom="paragraph">
                <wp:posOffset>438150</wp:posOffset>
              </wp:positionV>
              <wp:extent cx="8261350" cy="203200"/>
              <wp:effectExtent l="0" t="0" r="6350" b="6350"/>
              <wp:wrapNone/>
              <wp:docPr id="289262787"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61350" cy="203200"/>
                      </a:xfrm>
                      <a:prstGeom prst="rect">
                        <a:avLst/>
                      </a:prstGeom>
                      <a:solidFill>
                        <a:srgbClr val="E9FAF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01B6E1B" id="Rectangle 9" o:spid="_x0000_s1026" alt="&quot;&quot;" style="position:absolute;margin-left:-80pt;margin-top:34.5pt;width:650.5pt;height:16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" fillcolor="#e9fafc" stroked="f" strokeweight="1p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gridCol w:w="567"/>
    </w:tblGrid>
    <w:tr w:rsidR="00CC4C55" w:rsidRPr="002C3E65" w14:paraId="6B7B6490" w14:textId="77777777">
      <w:trPr>
        <w:trHeight w:val="281"/>
      </w:trPr>
      <w:tc>
        <w:tcPr>
          <w:tcW w:w="9634" w:type="dxa"/>
        </w:tcPr>
        <w:p w14:paraId="384A5E7F" w14:textId="77777777" w:rsidR="00CC4C55" w:rsidRPr="002C3E65" w:rsidRDefault="00CC4C55" w:rsidP="00CC4C55">
          <w:pPr>
            <w:widowControl w:val="0"/>
            <w:jc w:val="right"/>
            <w:rPr>
              <w:rFonts w:eastAsia="Aptos" w:cs="Aptos"/>
              <w:lang w:val="fr-FR"/>
            </w:rPr>
          </w:pPr>
          <w:r w:rsidRPr="002C3E65">
            <w:rPr>
              <w:rFonts w:eastAsia="Aptos" w:cs="Aptos"/>
              <w:noProof/>
              <w:lang w:val="fr-FR"/>
            </w:rPr>
            <w:drawing>
              <wp:inline distT="0" distB="0" distL="0" distR="0" wp14:anchorId="77CDC898" wp14:editId="2C9558CB">
                <wp:extent cx="414311" cy="145727"/>
                <wp:effectExtent l="0" t="0" r="5080" b="6985"/>
                <wp:docPr id="342788843"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32209" name="Imag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59915" cy="161767"/>
                        </a:xfrm>
                        <a:prstGeom prst="rect">
                          <a:avLst/>
                        </a:prstGeom>
                      </pic:spPr>
                    </pic:pic>
                  </a:graphicData>
                </a:graphic>
              </wp:inline>
            </w:drawing>
          </w:r>
        </w:p>
      </w:tc>
      <w:tc>
        <w:tcPr>
          <w:tcW w:w="567" w:type="dxa"/>
        </w:tcPr>
        <w:p w14:paraId="1817FE17" w14:textId="77777777" w:rsidR="00CC4C55" w:rsidRPr="002C3E65" w:rsidRDefault="00CC4C55" w:rsidP="00CC4C55">
          <w:pPr>
            <w:widowControl w:val="0"/>
            <w:jc w:val="right"/>
            <w:rPr>
              <w:rFonts w:eastAsia="Aptos" w:cs="Aptos"/>
              <w:spacing w:val="-2"/>
              <w:lang w:val="fr-FR"/>
            </w:rPr>
          </w:pPr>
          <w:r w:rsidRPr="002C3E65">
            <w:rPr>
              <w:rFonts w:eastAsia="Aptos" w:cs="Aptos"/>
              <w:spacing w:val="-2"/>
              <w:lang w:val="fr-FR"/>
            </w:rPr>
            <w:fldChar w:fldCharType="begin"/>
          </w:r>
          <w:r w:rsidRPr="002C3E65">
            <w:rPr>
              <w:rFonts w:eastAsia="Aptos" w:cs="Aptos"/>
              <w:spacing w:val="-2"/>
              <w:lang w:val="fr-FR"/>
            </w:rPr>
            <w:instrText>PAGE   \* MERGEFORMAT</w:instrText>
          </w:r>
          <w:r w:rsidRPr="002C3E65">
            <w:rPr>
              <w:rFonts w:eastAsia="Aptos" w:cs="Aptos"/>
              <w:spacing w:val="-2"/>
              <w:lang w:val="fr-FR"/>
            </w:rPr>
            <w:fldChar w:fldCharType="separate"/>
          </w:r>
          <w:r>
            <w:rPr>
              <w:rFonts w:eastAsia="Aptos" w:cs="Aptos"/>
              <w:spacing w:val="-2"/>
              <w:lang w:val="fr-FR"/>
            </w:rPr>
            <w:t>2</w:t>
          </w:r>
          <w:r w:rsidRPr="002C3E65">
            <w:rPr>
              <w:rFonts w:eastAsia="Aptos" w:cs="Aptos"/>
              <w:spacing w:val="-2"/>
              <w:lang w:val="fr-FR"/>
            </w:rPr>
            <w:fldChar w:fldCharType="end"/>
          </w:r>
        </w:p>
      </w:tc>
    </w:tr>
  </w:tbl>
  <w:p w14:paraId="700EE0ED" w14:textId="77777777" w:rsidR="002C4DF6" w:rsidRPr="00CC4C55" w:rsidRDefault="002C4DF6" w:rsidP="00A46E60">
    <w:pPr>
      <w:pStyle w:val="Pieddepage"/>
      <w:jc w:val="right"/>
      <w:rPr>
        <w:rFonts w:ascii="Aptos Light" w:hAnsi="Aptos Light"/>
        <w:szCs w:val="22"/>
      </w:rPr>
    </w:pPr>
    <w:r w:rsidRPr="00CC4C55">
      <w:rPr>
        <w:rFonts w:ascii="Aptos Light" w:hAnsi="Aptos Light"/>
        <w:noProof/>
        <w:szCs w:val="22"/>
      </w:rPr>
      <mc:AlternateContent>
        <mc:Choice Requires="wps">
          <w:drawing>
            <wp:anchor distT="0" distB="0" distL="114300" distR="114300" simplePos="0" relativeHeight="251658245" behindDoc="0" locked="0" layoutInCell="1" allowOverlap="1" wp14:anchorId="637F301B" wp14:editId="62FD3793">
              <wp:simplePos x="0" y="0"/>
              <wp:positionH relativeFrom="column">
                <wp:posOffset>-1044038</wp:posOffset>
              </wp:positionH>
              <wp:positionV relativeFrom="paragraph">
                <wp:posOffset>434633</wp:posOffset>
              </wp:positionV>
              <wp:extent cx="10165080" cy="294640"/>
              <wp:effectExtent l="0" t="0" r="7620" b="0"/>
              <wp:wrapNone/>
              <wp:docPr id="914857960"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165080" cy="294640"/>
                      </a:xfrm>
                      <a:prstGeom prst="rect">
                        <a:avLst/>
                      </a:prstGeom>
                      <a:solidFill>
                        <a:srgbClr val="E9FAF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03310F2" id="Rectangle 9" o:spid="_x0000_s1026" alt="&quot;&quot;" style="position:absolute;margin-left:-82.2pt;margin-top:34.2pt;width:800.4pt;height:23.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" fillcolor="#e9fafc"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595E69" w14:textId="77777777" w:rsidR="005A4503" w:rsidRDefault="005A4503">
      <w:bookmarkStart w:id="0" w:name="_Hlk193119338"/>
      <w:bookmarkEnd w:id="0"/>
      <w:r>
        <w:separator/>
      </w:r>
    </w:p>
  </w:footnote>
  <w:footnote w:type="continuationSeparator" w:id="0">
    <w:p w14:paraId="0D432D34" w14:textId="77777777" w:rsidR="005A4503" w:rsidRDefault="005A4503">
      <w:r>
        <w:continuationSeparator/>
      </w:r>
    </w:p>
  </w:footnote>
  <w:footnote w:type="continuationNotice" w:id="1">
    <w:p w14:paraId="10748B9E" w14:textId="77777777" w:rsidR="005A4503" w:rsidRDefault="005A4503"/>
  </w:footnote>
  <w:footnote w:id="2">
    <w:p w14:paraId="72EF3ACD" w14:textId="7CB41134" w:rsidR="00350749" w:rsidRDefault="00350749" w:rsidP="000057AD">
      <w:pPr>
        <w:pStyle w:val="NotesBasPage"/>
      </w:pPr>
      <w:r>
        <w:rPr>
          <w:rStyle w:val="Appelnotedebasdep"/>
        </w:rPr>
        <w:footnoteRef/>
      </w:r>
      <w:r>
        <w:t xml:space="preserve"> </w:t>
      </w:r>
      <w:r>
        <w:tab/>
      </w:r>
      <w:r w:rsidRPr="00350749">
        <w:t xml:space="preserve">Désignée </w:t>
      </w:r>
      <w:r w:rsidR="00C87440">
        <w:t>(«</w:t>
      </w:r>
      <w:r w:rsidR="00D96428">
        <w:rPr>
          <w:rFonts w:ascii="Arial" w:hAnsi="Arial" w:cs="Arial"/>
        </w:rPr>
        <w:t> </w:t>
      </w:r>
      <w:r w:rsidRPr="00350749">
        <w:t>Commission des droits</w:t>
      </w:r>
      <w:r w:rsidR="00D96428">
        <w:rPr>
          <w:rFonts w:ascii="Arial" w:hAnsi="Arial" w:cs="Arial"/>
        </w:rPr>
        <w:t> </w:t>
      </w:r>
      <w:r w:rsidR="00C87440">
        <w:rPr>
          <w:rFonts w:ascii="Walbaum Heading" w:hAnsi="Walbaum Heading"/>
        </w:rPr>
        <w:t>»</w:t>
      </w:r>
      <w:r w:rsidRPr="00350749">
        <w:t xml:space="preserve"> ou </w:t>
      </w:r>
      <w:r w:rsidR="00C87440">
        <w:t>«</w:t>
      </w:r>
      <w:r w:rsidR="00D96428">
        <w:rPr>
          <w:rFonts w:ascii="Arial" w:hAnsi="Arial" w:cs="Arial"/>
        </w:rPr>
        <w:t> </w:t>
      </w:r>
      <w:r w:rsidRPr="00350749">
        <w:t>Commission</w:t>
      </w:r>
      <w:r w:rsidR="00D96428">
        <w:rPr>
          <w:rFonts w:ascii="Arial" w:hAnsi="Arial" w:cs="Arial"/>
        </w:rPr>
        <w:t> </w:t>
      </w:r>
      <w:r w:rsidR="00C87440">
        <w:rPr>
          <w:rFonts w:ascii="Walbaum Heading" w:hAnsi="Walbaum Heading"/>
        </w:rPr>
        <w:t>»</w:t>
      </w:r>
      <w:r w:rsidRPr="00350749">
        <w:t>).</w:t>
      </w:r>
    </w:p>
  </w:footnote>
  <w:footnote w:id="3">
    <w:p w14:paraId="6545464E" w14:textId="3EB9F810" w:rsidR="00AE540F" w:rsidRDefault="00AE540F" w:rsidP="000057AD">
      <w:pPr>
        <w:pStyle w:val="NotesBasPage"/>
      </w:pPr>
      <w:r>
        <w:rPr>
          <w:rStyle w:val="Appelnotedebasdep"/>
        </w:rPr>
        <w:footnoteRef/>
      </w:r>
      <w:r>
        <w:t xml:space="preserve"> </w:t>
      </w:r>
      <w:r>
        <w:tab/>
      </w:r>
      <w:r w:rsidR="000D762A" w:rsidRPr="000D762A">
        <w:rPr>
          <w:i/>
          <w:iCs/>
        </w:rPr>
        <w:t>Loi sur la protection de la jeunesse</w:t>
      </w:r>
      <w:r w:rsidR="000D762A" w:rsidRPr="000D762A">
        <w:t>, RLRQ, c</w:t>
      </w:r>
      <w:r w:rsidR="0046392D">
        <w:t> </w:t>
      </w:r>
      <w:r w:rsidR="000D762A" w:rsidRPr="000D762A">
        <w:t>P-34.1 (ci-après «</w:t>
      </w:r>
      <w:r w:rsidR="00D96428">
        <w:rPr>
          <w:rFonts w:ascii="Arial" w:hAnsi="Arial" w:cs="Arial"/>
        </w:rPr>
        <w:t> </w:t>
      </w:r>
      <w:r w:rsidR="000D762A" w:rsidRPr="000D762A">
        <w:t>LPJ</w:t>
      </w:r>
      <w:r w:rsidR="00D96428">
        <w:rPr>
          <w:rFonts w:ascii="Arial" w:hAnsi="Arial" w:cs="Arial"/>
        </w:rPr>
        <w:t> </w:t>
      </w:r>
      <w:r w:rsidR="000D762A" w:rsidRPr="000D762A">
        <w:t>»).</w:t>
      </w:r>
    </w:p>
  </w:footnote>
  <w:footnote w:id="4">
    <w:p w14:paraId="2974B61F" w14:textId="24C9B9B9" w:rsidR="008B0134" w:rsidRDefault="00165891" w:rsidP="000057AD">
      <w:pPr>
        <w:pStyle w:val="NotesBasPage"/>
      </w:pPr>
      <w:r>
        <w:rPr>
          <w:rStyle w:val="Appelnotedebasdep"/>
        </w:rPr>
        <w:footnoteRef/>
      </w:r>
      <w:r>
        <w:t xml:space="preserve"> </w:t>
      </w:r>
      <w:r>
        <w:tab/>
      </w:r>
      <w:r w:rsidR="00FD53D8" w:rsidRPr="00FD53D8">
        <w:t>Pour le rapport complet, voir le site Web de la Commission</w:t>
      </w:r>
      <w:r w:rsidR="00C43C7B">
        <w:t xml:space="preserve"> des droits de la personne et des dr</w:t>
      </w:r>
      <w:r w:rsidR="00A23E00">
        <w:t>oits de la jeunesse,</w:t>
      </w:r>
      <w:r w:rsidR="00A23E00" w:rsidRPr="00A23E00">
        <w:t xml:space="preserve"> </w:t>
      </w:r>
      <w:r w:rsidR="00A23E00" w:rsidRPr="00A23E00">
        <w:rPr>
          <w:i/>
          <w:iCs/>
        </w:rPr>
        <w:t xml:space="preserve">Rapport sur la mise en </w:t>
      </w:r>
      <w:r w:rsidR="00356DB3">
        <w:rPr>
          <w:i/>
          <w:iCs/>
        </w:rPr>
        <w:t>œ</w:t>
      </w:r>
      <w:r w:rsidR="00A23E00" w:rsidRPr="00A23E00">
        <w:rPr>
          <w:i/>
          <w:iCs/>
        </w:rPr>
        <w:t>uvre de la Loi sur la protection de la jeunesse (article</w:t>
      </w:r>
      <w:r w:rsidR="000768A2">
        <w:rPr>
          <w:i/>
          <w:iCs/>
        </w:rPr>
        <w:t> </w:t>
      </w:r>
      <w:r w:rsidR="00A23E00" w:rsidRPr="00A23E00">
        <w:rPr>
          <w:i/>
          <w:iCs/>
        </w:rPr>
        <w:t>156.1 de la LPJ)</w:t>
      </w:r>
      <w:r w:rsidR="00A23E00">
        <w:t xml:space="preserve">, </w:t>
      </w:r>
      <w:r w:rsidR="008B0134">
        <w:t xml:space="preserve">2020, </w:t>
      </w:r>
      <w:r w:rsidR="00FD53D8" w:rsidRPr="00FD53D8">
        <w:t>en ligne</w:t>
      </w:r>
      <w:r w:rsidR="00914C42">
        <w:t> </w:t>
      </w:r>
      <w:r w:rsidR="00FD53D8" w:rsidRPr="00FD53D8">
        <w:t xml:space="preserve">: </w:t>
      </w:r>
      <w:hyperlink r:id="rId1" w:history="1">
        <w:r w:rsidR="008B0134" w:rsidRPr="00D974CF">
          <w:rPr>
            <w:rStyle w:val="Lienhypertexte"/>
          </w:rPr>
          <w:t>https://www.cdpdj.qc.ca/storage/app/media/publications/Loi_protection_jeunesse_2020_article_156.pdf</w:t>
        </w:r>
      </w:hyperlink>
      <w:r w:rsidR="00AB429E">
        <w:t xml:space="preserve"> </w:t>
      </w:r>
      <w:r w:rsidR="00AB429E" w:rsidRPr="005F28C2">
        <w:t>(ci-après «</w:t>
      </w:r>
      <w:r w:rsidR="00AB429E">
        <w:rPr>
          <w:rFonts w:ascii="Arial" w:hAnsi="Arial" w:cs="Arial"/>
        </w:rPr>
        <w:t> </w:t>
      </w:r>
      <w:r w:rsidR="00AB429E" w:rsidRPr="005F28C2">
        <w:t>Rapport</w:t>
      </w:r>
      <w:r w:rsidR="000768A2">
        <w:t> </w:t>
      </w:r>
      <w:r w:rsidR="00AB429E" w:rsidRPr="005F28C2">
        <w:t xml:space="preserve">156.1 de la </w:t>
      </w:r>
      <w:r w:rsidR="00AB429E">
        <w:t>LPJ</w:t>
      </w:r>
      <w:r w:rsidR="000768A2">
        <w:t> </w:t>
      </w:r>
      <w:r w:rsidR="00AB429E">
        <w:t>-</w:t>
      </w:r>
      <w:r w:rsidR="00AB429E" w:rsidRPr="005F28C2">
        <w:t>2020</w:t>
      </w:r>
      <w:r w:rsidR="00AB429E">
        <w:rPr>
          <w:rFonts w:ascii="Arial" w:hAnsi="Arial" w:cs="Arial"/>
        </w:rPr>
        <w:t> </w:t>
      </w:r>
      <w:r w:rsidR="00AB429E" w:rsidRPr="005F28C2">
        <w:t>»)</w:t>
      </w:r>
    </w:p>
  </w:footnote>
  <w:footnote w:id="5">
    <w:p w14:paraId="70463BE4" w14:textId="4456D3AC" w:rsidR="00165891" w:rsidRDefault="00165891" w:rsidP="000057AD">
      <w:pPr>
        <w:pStyle w:val="NotesBasPage"/>
      </w:pPr>
      <w:r>
        <w:rPr>
          <w:rStyle w:val="Appelnotedebasdep"/>
        </w:rPr>
        <w:footnoteRef/>
      </w:r>
      <w:r>
        <w:t xml:space="preserve"> </w:t>
      </w:r>
      <w:r>
        <w:tab/>
      </w:r>
      <w:r w:rsidR="000B5A2F" w:rsidRPr="000E5079">
        <w:rPr>
          <w:i/>
          <w:iCs/>
        </w:rPr>
        <w:t>Loi modifiant l’organisation et la gouvernance du réseau de la santé et des services sociaux notamment par l’abolition des agences régionales</w:t>
      </w:r>
      <w:r w:rsidR="000B5A2F">
        <w:t>, RLRQ, c</w:t>
      </w:r>
      <w:r w:rsidR="0046392D">
        <w:t> </w:t>
      </w:r>
      <w:r w:rsidR="000B5A2F">
        <w:t>O-7.</w:t>
      </w:r>
    </w:p>
  </w:footnote>
  <w:footnote w:id="6">
    <w:p w14:paraId="35EF7A04" w14:textId="355ADA96" w:rsidR="00165891" w:rsidRDefault="00165891" w:rsidP="000057AD">
      <w:pPr>
        <w:pStyle w:val="NotesBasPage"/>
      </w:pPr>
      <w:r>
        <w:rPr>
          <w:rStyle w:val="Appelnotedebasdep"/>
        </w:rPr>
        <w:footnoteRef/>
      </w:r>
      <w:r>
        <w:t xml:space="preserve"> </w:t>
      </w:r>
      <w:r>
        <w:tab/>
      </w:r>
      <w:r w:rsidR="0087579C">
        <w:t>Commission</w:t>
      </w:r>
      <w:r w:rsidR="0087579C">
        <w:rPr>
          <w:spacing w:val="-10"/>
        </w:rPr>
        <w:t xml:space="preserve"> </w:t>
      </w:r>
      <w:r w:rsidR="0087579C">
        <w:t>des</w:t>
      </w:r>
      <w:r w:rsidR="0087579C">
        <w:rPr>
          <w:spacing w:val="-9"/>
        </w:rPr>
        <w:t xml:space="preserve"> </w:t>
      </w:r>
      <w:r w:rsidR="0087579C">
        <w:t>droits</w:t>
      </w:r>
      <w:r w:rsidR="0087579C">
        <w:rPr>
          <w:spacing w:val="-9"/>
        </w:rPr>
        <w:t xml:space="preserve"> </w:t>
      </w:r>
      <w:r w:rsidR="0087579C">
        <w:t>de</w:t>
      </w:r>
      <w:r w:rsidR="0087579C">
        <w:rPr>
          <w:spacing w:val="-9"/>
        </w:rPr>
        <w:t xml:space="preserve"> </w:t>
      </w:r>
      <w:r w:rsidR="0087579C">
        <w:t>la</w:t>
      </w:r>
      <w:r w:rsidR="0087579C">
        <w:rPr>
          <w:spacing w:val="-9"/>
        </w:rPr>
        <w:t xml:space="preserve"> </w:t>
      </w:r>
      <w:r w:rsidR="0087579C">
        <w:t>personne</w:t>
      </w:r>
      <w:r w:rsidR="0087579C">
        <w:rPr>
          <w:spacing w:val="-9"/>
        </w:rPr>
        <w:t xml:space="preserve"> </w:t>
      </w:r>
      <w:r w:rsidR="0087579C">
        <w:t>et</w:t>
      </w:r>
      <w:r w:rsidR="0087579C">
        <w:rPr>
          <w:spacing w:val="-9"/>
        </w:rPr>
        <w:t xml:space="preserve"> </w:t>
      </w:r>
      <w:r w:rsidR="0087579C">
        <w:t>des</w:t>
      </w:r>
      <w:r w:rsidR="0087579C">
        <w:rPr>
          <w:spacing w:val="-10"/>
        </w:rPr>
        <w:t xml:space="preserve"> </w:t>
      </w:r>
      <w:r w:rsidR="0087579C">
        <w:t>droits</w:t>
      </w:r>
      <w:r w:rsidR="0087579C">
        <w:rPr>
          <w:spacing w:val="-9"/>
        </w:rPr>
        <w:t xml:space="preserve"> </w:t>
      </w:r>
      <w:r w:rsidR="0087579C">
        <w:t>de</w:t>
      </w:r>
      <w:r w:rsidR="0087579C">
        <w:rPr>
          <w:spacing w:val="-9"/>
        </w:rPr>
        <w:t xml:space="preserve"> </w:t>
      </w:r>
      <w:r w:rsidR="0087579C">
        <w:t>la</w:t>
      </w:r>
      <w:r w:rsidR="0087579C">
        <w:rPr>
          <w:spacing w:val="-9"/>
        </w:rPr>
        <w:t xml:space="preserve"> </w:t>
      </w:r>
      <w:r w:rsidR="0087579C">
        <w:t>jeunesse,</w:t>
      </w:r>
      <w:r w:rsidR="0087579C">
        <w:rPr>
          <w:spacing w:val="-9"/>
        </w:rPr>
        <w:t xml:space="preserve"> </w:t>
      </w:r>
      <w:r w:rsidR="0087579C">
        <w:rPr>
          <w:i/>
          <w:sz w:val="19"/>
        </w:rPr>
        <w:t>Rapport</w:t>
      </w:r>
      <w:r w:rsidR="0087579C">
        <w:rPr>
          <w:i/>
          <w:spacing w:val="-10"/>
          <w:sz w:val="19"/>
        </w:rPr>
        <w:t xml:space="preserve"> </w:t>
      </w:r>
      <w:r w:rsidR="0087579C">
        <w:rPr>
          <w:i/>
          <w:sz w:val="19"/>
        </w:rPr>
        <w:t>sur</w:t>
      </w:r>
      <w:r w:rsidR="0087579C">
        <w:rPr>
          <w:i/>
          <w:spacing w:val="-9"/>
          <w:sz w:val="19"/>
        </w:rPr>
        <w:t xml:space="preserve"> </w:t>
      </w:r>
      <w:r w:rsidR="0087579C">
        <w:rPr>
          <w:i/>
          <w:sz w:val="19"/>
        </w:rPr>
        <w:t>la</w:t>
      </w:r>
      <w:r w:rsidR="0087579C">
        <w:rPr>
          <w:i/>
          <w:spacing w:val="-10"/>
          <w:sz w:val="19"/>
        </w:rPr>
        <w:t xml:space="preserve"> </w:t>
      </w:r>
      <w:r w:rsidR="0087579C">
        <w:rPr>
          <w:i/>
          <w:sz w:val="19"/>
        </w:rPr>
        <w:t>mise</w:t>
      </w:r>
      <w:r w:rsidR="0087579C">
        <w:rPr>
          <w:i/>
          <w:spacing w:val="-10"/>
          <w:sz w:val="19"/>
        </w:rPr>
        <w:t xml:space="preserve"> </w:t>
      </w:r>
      <w:r w:rsidR="0087579C">
        <w:rPr>
          <w:i/>
          <w:sz w:val="19"/>
        </w:rPr>
        <w:t>en</w:t>
      </w:r>
      <w:r w:rsidR="0087579C">
        <w:rPr>
          <w:i/>
          <w:spacing w:val="-9"/>
          <w:sz w:val="19"/>
        </w:rPr>
        <w:t xml:space="preserve"> </w:t>
      </w:r>
      <w:r w:rsidR="0087579C">
        <w:rPr>
          <w:i/>
          <w:sz w:val="19"/>
        </w:rPr>
        <w:t>œuvre</w:t>
      </w:r>
      <w:r w:rsidR="0087579C">
        <w:rPr>
          <w:i/>
          <w:spacing w:val="-10"/>
          <w:sz w:val="19"/>
        </w:rPr>
        <w:t xml:space="preserve"> </w:t>
      </w:r>
      <w:r w:rsidR="0087579C">
        <w:rPr>
          <w:i/>
          <w:sz w:val="19"/>
        </w:rPr>
        <w:t>de</w:t>
      </w:r>
      <w:r w:rsidR="0087579C">
        <w:rPr>
          <w:i/>
          <w:spacing w:val="-10"/>
          <w:sz w:val="19"/>
        </w:rPr>
        <w:t xml:space="preserve"> </w:t>
      </w:r>
      <w:r w:rsidR="0087579C">
        <w:rPr>
          <w:i/>
          <w:sz w:val="19"/>
        </w:rPr>
        <w:t>la</w:t>
      </w:r>
      <w:r w:rsidR="0087579C">
        <w:rPr>
          <w:i/>
          <w:spacing w:val="-9"/>
          <w:sz w:val="19"/>
        </w:rPr>
        <w:t xml:space="preserve"> </w:t>
      </w:r>
      <w:r w:rsidR="0087579C">
        <w:rPr>
          <w:i/>
          <w:sz w:val="19"/>
        </w:rPr>
        <w:t>Loi</w:t>
      </w:r>
      <w:r w:rsidR="0087579C">
        <w:rPr>
          <w:i/>
          <w:spacing w:val="-10"/>
          <w:sz w:val="19"/>
        </w:rPr>
        <w:t xml:space="preserve"> </w:t>
      </w:r>
      <w:r w:rsidR="0087579C">
        <w:rPr>
          <w:i/>
          <w:sz w:val="19"/>
        </w:rPr>
        <w:t>sur</w:t>
      </w:r>
      <w:r w:rsidR="0087579C">
        <w:rPr>
          <w:i/>
          <w:spacing w:val="-10"/>
          <w:sz w:val="19"/>
        </w:rPr>
        <w:t xml:space="preserve"> </w:t>
      </w:r>
      <w:r w:rsidR="0087579C">
        <w:rPr>
          <w:i/>
          <w:sz w:val="19"/>
        </w:rPr>
        <w:t>la</w:t>
      </w:r>
      <w:r w:rsidR="0087579C">
        <w:rPr>
          <w:i/>
          <w:spacing w:val="40"/>
          <w:sz w:val="19"/>
        </w:rPr>
        <w:t xml:space="preserve"> </w:t>
      </w:r>
      <w:r w:rsidR="0087579C">
        <w:rPr>
          <w:i/>
          <w:sz w:val="19"/>
        </w:rPr>
        <w:t>protection de la jeunesse</w:t>
      </w:r>
      <w:r w:rsidR="0087579C">
        <w:t>, 2020, en ligne</w:t>
      </w:r>
      <w:r w:rsidR="00914C42">
        <w:t> </w:t>
      </w:r>
      <w:r w:rsidR="0087579C">
        <w:t>:</w:t>
      </w:r>
      <w:r w:rsidR="0087579C">
        <w:rPr>
          <w:spacing w:val="40"/>
        </w:rPr>
        <w:t xml:space="preserve"> </w:t>
      </w:r>
      <w:hyperlink r:id="rId2">
        <w:r w:rsidR="0087579C">
          <w:rPr>
            <w:color w:val="0000FF"/>
            <w:spacing w:val="-2"/>
            <w:u w:val="single" w:color="0000FF"/>
          </w:rPr>
          <w:t>https://www.cdpdj.qc.ca/storage/app/media/publications/Loi_protection_jeunesse_2020_article_156.pdf</w:t>
        </w:r>
      </w:hyperlink>
    </w:p>
  </w:footnote>
  <w:footnote w:id="7">
    <w:p w14:paraId="7570218A" w14:textId="4D2C6B3F" w:rsidR="005765E1" w:rsidRDefault="005765E1" w:rsidP="000057AD">
      <w:pPr>
        <w:pStyle w:val="NotesBasPage"/>
      </w:pPr>
      <w:r>
        <w:rPr>
          <w:rStyle w:val="Appelnotedebasdep"/>
        </w:rPr>
        <w:footnoteRef/>
      </w:r>
      <w:r>
        <w:t xml:space="preserve"> </w:t>
      </w:r>
      <w:r w:rsidR="00C33153">
        <w:tab/>
      </w:r>
      <w:r w:rsidR="00C33153" w:rsidRPr="00C33153">
        <w:t xml:space="preserve">Commission spéciale sur les droits des enfants et la protection de la jeunesse, </w:t>
      </w:r>
      <w:r w:rsidR="00C33153" w:rsidRPr="00C33153">
        <w:rPr>
          <w:i/>
          <w:iCs/>
        </w:rPr>
        <w:t>Instaurer une société bienveillante pour nos enfants et nos jeunes</w:t>
      </w:r>
      <w:r w:rsidR="00C33153" w:rsidRPr="00C33153">
        <w:t>, 2021</w:t>
      </w:r>
      <w:r w:rsidR="00B20842">
        <w:t xml:space="preserve"> (ci-après «</w:t>
      </w:r>
      <w:r w:rsidR="00BD3412">
        <w:rPr>
          <w:rFonts w:ascii="Arial" w:hAnsi="Arial" w:cs="Arial"/>
        </w:rPr>
        <w:t> </w:t>
      </w:r>
      <w:r w:rsidR="00B20842" w:rsidRPr="00B20842">
        <w:t>CSDEPJ</w:t>
      </w:r>
      <w:r w:rsidR="00BD3412">
        <w:rPr>
          <w:rFonts w:ascii="Arial" w:hAnsi="Arial" w:cs="Arial"/>
        </w:rPr>
        <w:t> </w:t>
      </w:r>
      <w:r w:rsidR="00B20842">
        <w:rPr>
          <w:rFonts w:ascii="Walbaum Heading" w:hAnsi="Walbaum Heading"/>
        </w:rPr>
        <w:t>»</w:t>
      </w:r>
      <w:r w:rsidR="00B20842">
        <w:t>).</w:t>
      </w:r>
    </w:p>
  </w:footnote>
  <w:footnote w:id="8">
    <w:p w14:paraId="778B39AD" w14:textId="240285F4" w:rsidR="00E57566" w:rsidRPr="00AB458B" w:rsidRDefault="00E57566" w:rsidP="00AB458B">
      <w:pPr>
        <w:pStyle w:val="NotesBasPage"/>
      </w:pPr>
      <w:r>
        <w:rPr>
          <w:rStyle w:val="Appelnotedebasdep"/>
        </w:rPr>
        <w:footnoteRef/>
      </w:r>
      <w:r>
        <w:t xml:space="preserve"> </w:t>
      </w:r>
      <w:r w:rsidR="00967A2B">
        <w:tab/>
      </w:r>
      <w:r w:rsidR="00967A2B" w:rsidRPr="00AB458B">
        <w:t>Il s’agit d’une «</w:t>
      </w:r>
      <w:r w:rsidR="001A0FEE">
        <w:rPr>
          <w:rFonts w:ascii="Arial" w:hAnsi="Arial" w:cs="Arial"/>
        </w:rPr>
        <w:t> </w:t>
      </w:r>
      <w:r w:rsidR="009A257A" w:rsidRPr="00AB458B">
        <w:t>ressource reconnue qui accueille généralement un enfant qu’elle ne connaît pas, à court, moyen ou long terme</w:t>
      </w:r>
      <w:r w:rsidR="001A0FEE">
        <w:rPr>
          <w:rFonts w:ascii="Arial" w:hAnsi="Arial" w:cs="Arial"/>
        </w:rPr>
        <w:t> </w:t>
      </w:r>
      <w:r w:rsidR="00967A2B" w:rsidRPr="00AB458B">
        <w:t>»</w:t>
      </w:r>
      <w:r w:rsidR="00161FF5" w:rsidRPr="00AB458B">
        <w:t xml:space="preserve">. Voir : </w:t>
      </w:r>
      <w:r w:rsidR="00C258B3" w:rsidRPr="00AB458B">
        <w:t xml:space="preserve">Gouvernement du Québec, </w:t>
      </w:r>
      <w:r w:rsidR="00C258B3" w:rsidRPr="00724C38">
        <w:rPr>
          <w:i/>
        </w:rPr>
        <w:t>Manuel de référence sur la protection de la jeunesse</w:t>
      </w:r>
      <w:r w:rsidR="00C258B3" w:rsidRPr="00AB458B">
        <w:t xml:space="preserve">, </w:t>
      </w:r>
      <w:r w:rsidR="00186655" w:rsidRPr="00AB458B">
        <w:t>2010</w:t>
      </w:r>
      <w:r w:rsidR="007D6CAE" w:rsidRPr="00AB458B">
        <w:t>.</w:t>
      </w:r>
    </w:p>
  </w:footnote>
  <w:footnote w:id="9">
    <w:p w14:paraId="17E0F233" w14:textId="1D26DFBB" w:rsidR="009B6207" w:rsidRDefault="009B6207" w:rsidP="00AB458B">
      <w:pPr>
        <w:pStyle w:val="NotesBasPage"/>
      </w:pPr>
      <w:r w:rsidRPr="00AB458B">
        <w:rPr>
          <w:rStyle w:val="Appelnotedebasdep"/>
        </w:rPr>
        <w:footnoteRef/>
      </w:r>
      <w:r w:rsidRPr="00AB458B">
        <w:t xml:space="preserve"> </w:t>
      </w:r>
      <w:r w:rsidR="0034255E" w:rsidRPr="00AB458B">
        <w:tab/>
      </w:r>
      <w:r w:rsidR="0034255E" w:rsidRPr="00E437FB">
        <w:rPr>
          <w:i/>
        </w:rPr>
        <w:t>Idem</w:t>
      </w:r>
      <w:r w:rsidR="0034255E" w:rsidRPr="00AB458B">
        <w:t xml:space="preserve">. </w:t>
      </w:r>
      <w:r w:rsidR="00F1149B" w:rsidRPr="00AB458B">
        <w:t xml:space="preserve">Il s’agit d’une </w:t>
      </w:r>
      <w:r w:rsidR="0034255E" w:rsidRPr="00AB458B">
        <w:t>«</w:t>
      </w:r>
      <w:r w:rsidR="001A0FEE">
        <w:rPr>
          <w:rFonts w:ascii="Arial" w:hAnsi="Arial" w:cs="Arial"/>
        </w:rPr>
        <w:t> </w:t>
      </w:r>
      <w:r w:rsidR="00F1149B" w:rsidRPr="00AB458B">
        <w:t>ressource reconnue désirant adopter un enfant qui accepte d’accueillir celui-ci à titre de famille d’accueil alors qu’il n’est pas déclaré admissible à l’adoption, et qui accepte également le risque qu’il ne puisse pas être adoptable</w:t>
      </w:r>
      <w:r w:rsidR="001A0FEE">
        <w:rPr>
          <w:rFonts w:ascii="Arial" w:hAnsi="Arial" w:cs="Arial"/>
        </w:rPr>
        <w:t> </w:t>
      </w:r>
      <w:r w:rsidR="0034255E" w:rsidRPr="00AB458B">
        <w:t>»</w:t>
      </w:r>
      <w:r w:rsidR="00F1149B" w:rsidRPr="00AB458B">
        <w:t>.</w:t>
      </w:r>
    </w:p>
  </w:footnote>
  <w:footnote w:id="10">
    <w:p w14:paraId="501E769C" w14:textId="5478B2D5" w:rsidR="00594D8C" w:rsidRDefault="00594D8C" w:rsidP="000057AD">
      <w:pPr>
        <w:pStyle w:val="NotesBasPage"/>
      </w:pPr>
      <w:r>
        <w:rPr>
          <w:rStyle w:val="Appelnotedebasdep"/>
        </w:rPr>
        <w:footnoteRef/>
      </w:r>
      <w:r>
        <w:t xml:space="preserve"> </w:t>
      </w:r>
      <w:r w:rsidR="002F190A">
        <w:tab/>
      </w:r>
      <w:r w:rsidR="005647C1" w:rsidRPr="005647C1">
        <w:t xml:space="preserve">Gouvernement du Québec, </w:t>
      </w:r>
      <w:r w:rsidR="005647C1" w:rsidRPr="00BB0833">
        <w:rPr>
          <w:i/>
          <w:iCs/>
        </w:rPr>
        <w:t>La protection des enfants au Québec</w:t>
      </w:r>
      <w:r w:rsidR="00914C42" w:rsidRPr="00BB0833">
        <w:rPr>
          <w:i/>
          <w:iCs/>
        </w:rPr>
        <w:t> </w:t>
      </w:r>
      <w:r w:rsidR="005647C1" w:rsidRPr="00BB0833">
        <w:rPr>
          <w:i/>
          <w:iCs/>
        </w:rPr>
        <w:t>: une responsabilité à mieux partager - Rapport du Comité d’experts sur la révision de la Loi sur la protection de la jeunesse</w:t>
      </w:r>
      <w:r w:rsidR="005647C1" w:rsidRPr="005647C1">
        <w:t>, Québec, 2004, p.</w:t>
      </w:r>
      <w:r w:rsidR="000768A2">
        <w:t> </w:t>
      </w:r>
      <w:r w:rsidR="005647C1" w:rsidRPr="005647C1">
        <w:t>95 (ci-après «</w:t>
      </w:r>
      <w:r w:rsidR="00D96428">
        <w:rPr>
          <w:rFonts w:ascii="Arial" w:hAnsi="Arial" w:cs="Arial"/>
        </w:rPr>
        <w:t> </w:t>
      </w:r>
      <w:r w:rsidR="005647C1" w:rsidRPr="005647C1">
        <w:t>Rapport Dumais</w:t>
      </w:r>
      <w:r w:rsidR="00D96428">
        <w:rPr>
          <w:rFonts w:ascii="Arial" w:hAnsi="Arial" w:cs="Arial"/>
        </w:rPr>
        <w:t> </w:t>
      </w:r>
      <w:r w:rsidR="005647C1" w:rsidRPr="005647C1">
        <w:t>»).</w:t>
      </w:r>
    </w:p>
  </w:footnote>
  <w:footnote w:id="11">
    <w:p w14:paraId="1943D64A" w14:textId="3FF9A080" w:rsidR="00594D8C" w:rsidRDefault="00594D8C" w:rsidP="000057AD">
      <w:pPr>
        <w:pStyle w:val="NotesBasPage"/>
      </w:pPr>
      <w:r>
        <w:rPr>
          <w:rStyle w:val="Appelnotedebasdep"/>
        </w:rPr>
        <w:footnoteRef/>
      </w:r>
      <w:r>
        <w:t xml:space="preserve"> </w:t>
      </w:r>
      <w:r w:rsidR="002F190A">
        <w:tab/>
      </w:r>
      <w:r w:rsidR="00903804" w:rsidRPr="00903804">
        <w:t xml:space="preserve">Assemblée nationale du Québec, </w:t>
      </w:r>
      <w:r w:rsidR="00903804" w:rsidRPr="00903804">
        <w:rPr>
          <w:i/>
          <w:iCs/>
        </w:rPr>
        <w:t>Rapport de la Commission parlementaire spéciale sur la protection de la jeunesse,</w:t>
      </w:r>
      <w:r w:rsidR="00903804" w:rsidRPr="00903804">
        <w:t xml:space="preserve"> Québec, Éditeur officiel du Québec, 1982 (ci-après «</w:t>
      </w:r>
      <w:r w:rsidR="00D96428">
        <w:rPr>
          <w:rFonts w:ascii="Arial" w:hAnsi="Arial" w:cs="Arial"/>
        </w:rPr>
        <w:t> </w:t>
      </w:r>
      <w:r w:rsidR="00903804" w:rsidRPr="00903804">
        <w:t>Rapport Charbonneau</w:t>
      </w:r>
      <w:r w:rsidR="00D96428">
        <w:rPr>
          <w:rFonts w:ascii="Arial" w:hAnsi="Arial" w:cs="Arial"/>
        </w:rPr>
        <w:t> </w:t>
      </w:r>
      <w:r w:rsidR="00903804" w:rsidRPr="00903804">
        <w:t>»).</w:t>
      </w:r>
    </w:p>
  </w:footnote>
  <w:footnote w:id="12">
    <w:p w14:paraId="3DB8C527" w14:textId="4E0F96C7" w:rsidR="00C579CF" w:rsidRDefault="00C579CF" w:rsidP="000057AD">
      <w:pPr>
        <w:pStyle w:val="NotesBasPage"/>
      </w:pPr>
      <w:r>
        <w:rPr>
          <w:rStyle w:val="Appelnotedebasdep"/>
        </w:rPr>
        <w:footnoteRef/>
      </w:r>
      <w:r>
        <w:t xml:space="preserve"> </w:t>
      </w:r>
      <w:r w:rsidR="002F190A">
        <w:tab/>
      </w:r>
      <w:r w:rsidR="00290BC6" w:rsidRPr="00903804">
        <w:t>Rapport Charbonneau</w:t>
      </w:r>
      <w:r w:rsidR="00903804">
        <w:t xml:space="preserve"> à la p</w:t>
      </w:r>
      <w:r w:rsidR="000768A2">
        <w:t> </w:t>
      </w:r>
      <w:r w:rsidR="00903804">
        <w:t>249.</w:t>
      </w:r>
    </w:p>
  </w:footnote>
  <w:footnote w:id="13">
    <w:p w14:paraId="7D63C51B" w14:textId="6DCBD974" w:rsidR="002F190A" w:rsidRDefault="002F190A" w:rsidP="000057AD">
      <w:pPr>
        <w:pStyle w:val="NotesBasPage"/>
      </w:pPr>
      <w:r>
        <w:rPr>
          <w:rStyle w:val="Appelnotedebasdep"/>
        </w:rPr>
        <w:footnoteRef/>
      </w:r>
      <w:r>
        <w:t xml:space="preserve"> </w:t>
      </w:r>
      <w:r>
        <w:tab/>
      </w:r>
      <w:r w:rsidR="00290BC6" w:rsidRPr="00903804">
        <w:t>Rapport Charbonneau</w:t>
      </w:r>
      <w:r w:rsidR="00290BC6">
        <w:t xml:space="preserve"> </w:t>
      </w:r>
      <w:r w:rsidR="00903804">
        <w:t>à la p</w:t>
      </w:r>
      <w:r w:rsidR="000768A2">
        <w:t> </w:t>
      </w:r>
      <w:r w:rsidR="00903804">
        <w:t>251.</w:t>
      </w:r>
    </w:p>
  </w:footnote>
  <w:footnote w:id="14">
    <w:p w14:paraId="3A029112" w14:textId="79059A9A" w:rsidR="002F190A" w:rsidRDefault="002F190A" w:rsidP="000057AD">
      <w:pPr>
        <w:pStyle w:val="NotesBasPage"/>
      </w:pPr>
      <w:r>
        <w:rPr>
          <w:rStyle w:val="Appelnotedebasdep"/>
        </w:rPr>
        <w:footnoteRef/>
      </w:r>
      <w:r>
        <w:t xml:space="preserve"> </w:t>
      </w:r>
      <w:r>
        <w:tab/>
      </w:r>
      <w:r w:rsidR="00290BC6" w:rsidRPr="00903804">
        <w:t>Rapport Charbonneau</w:t>
      </w:r>
      <w:r w:rsidR="00903804">
        <w:t xml:space="preserve"> à la p</w:t>
      </w:r>
      <w:r w:rsidR="000768A2">
        <w:t> </w:t>
      </w:r>
      <w:r w:rsidR="00903804">
        <w:t>236.</w:t>
      </w:r>
    </w:p>
  </w:footnote>
  <w:footnote w:id="15">
    <w:p w14:paraId="1F3FFAFA" w14:textId="05A9862B" w:rsidR="002A657B" w:rsidRDefault="002A657B" w:rsidP="000057AD">
      <w:pPr>
        <w:pStyle w:val="NotesBasPage"/>
      </w:pPr>
      <w:r>
        <w:rPr>
          <w:rStyle w:val="Appelnotedebasdep"/>
        </w:rPr>
        <w:footnoteRef/>
      </w:r>
      <w:r>
        <w:t xml:space="preserve"> </w:t>
      </w:r>
      <w:r w:rsidR="000A00B6">
        <w:tab/>
      </w:r>
      <w:r w:rsidR="000A00B6" w:rsidRPr="000A00B6">
        <w:t xml:space="preserve">Gouvernement du Québec, </w:t>
      </w:r>
      <w:r w:rsidR="000A00B6" w:rsidRPr="006D1293">
        <w:rPr>
          <w:i/>
          <w:iCs/>
        </w:rPr>
        <w:t>La protection de la jeunesse, plus qu’une loi, Rapport du Groupe de travail sur l’évaluation de la loi sur la protection de la jeunesse</w:t>
      </w:r>
      <w:r w:rsidR="000A00B6" w:rsidRPr="00C6059C">
        <w:t>, Québec</w:t>
      </w:r>
      <w:r w:rsidR="000A00B6" w:rsidRPr="000A00B6">
        <w:t>, 1992 (ci-après «</w:t>
      </w:r>
      <w:r w:rsidR="00D96428">
        <w:rPr>
          <w:rFonts w:ascii="Arial" w:hAnsi="Arial" w:cs="Arial"/>
        </w:rPr>
        <w:t> </w:t>
      </w:r>
      <w:r w:rsidR="000A00B6" w:rsidRPr="000A00B6">
        <w:t>Rapport du Groupe Jasmin</w:t>
      </w:r>
      <w:r w:rsidR="00D96428">
        <w:rPr>
          <w:rFonts w:ascii="Arial" w:hAnsi="Arial" w:cs="Arial"/>
        </w:rPr>
        <w:t> </w:t>
      </w:r>
      <w:r w:rsidR="000A00B6" w:rsidRPr="000A00B6">
        <w:t>»).</w:t>
      </w:r>
    </w:p>
  </w:footnote>
  <w:footnote w:id="16">
    <w:p w14:paraId="16DE5ADD" w14:textId="5A1BEF57" w:rsidR="006F19E9" w:rsidRDefault="006F19E9" w:rsidP="000057AD">
      <w:pPr>
        <w:pStyle w:val="NotesBasPage"/>
      </w:pPr>
      <w:r>
        <w:rPr>
          <w:rStyle w:val="Appelnotedebasdep"/>
        </w:rPr>
        <w:footnoteRef/>
      </w:r>
      <w:r>
        <w:t xml:space="preserve"> </w:t>
      </w:r>
      <w:r w:rsidR="000A00B6">
        <w:tab/>
      </w:r>
      <w:r w:rsidR="00AE0B8D">
        <w:t>Rapport</w:t>
      </w:r>
      <w:r w:rsidR="00AE0B8D">
        <w:rPr>
          <w:spacing w:val="-5"/>
        </w:rPr>
        <w:t xml:space="preserve"> </w:t>
      </w:r>
      <w:r w:rsidR="00AE0B8D">
        <w:t>du Groupe</w:t>
      </w:r>
      <w:r w:rsidR="00AE0B8D">
        <w:rPr>
          <w:spacing w:val="-2"/>
        </w:rPr>
        <w:t xml:space="preserve"> </w:t>
      </w:r>
      <w:r w:rsidR="00AE0B8D">
        <w:t>Jasmin, à la p</w:t>
      </w:r>
      <w:r w:rsidR="000768A2">
        <w:t> </w:t>
      </w:r>
      <w:r w:rsidR="00AE0B8D">
        <w:t>19.</w:t>
      </w:r>
    </w:p>
  </w:footnote>
  <w:footnote w:id="17">
    <w:p w14:paraId="476EA81A" w14:textId="294429BF" w:rsidR="006F19E9" w:rsidRDefault="006F19E9" w:rsidP="000057AD">
      <w:pPr>
        <w:pStyle w:val="NotesBasPage"/>
      </w:pPr>
      <w:r>
        <w:rPr>
          <w:rStyle w:val="Appelnotedebasdep"/>
        </w:rPr>
        <w:footnoteRef/>
      </w:r>
      <w:r>
        <w:t xml:space="preserve"> </w:t>
      </w:r>
      <w:r w:rsidR="000A00B6">
        <w:tab/>
      </w:r>
      <w:r w:rsidR="00645FD0">
        <w:t>Rapport</w:t>
      </w:r>
      <w:r w:rsidR="00645FD0">
        <w:rPr>
          <w:spacing w:val="-5"/>
        </w:rPr>
        <w:t xml:space="preserve"> </w:t>
      </w:r>
      <w:r w:rsidR="00645FD0">
        <w:t>du Groupe</w:t>
      </w:r>
      <w:r w:rsidR="00645FD0">
        <w:rPr>
          <w:spacing w:val="-2"/>
        </w:rPr>
        <w:t xml:space="preserve"> </w:t>
      </w:r>
      <w:r w:rsidR="00645FD0">
        <w:t>Jasmin, à la p 19.</w:t>
      </w:r>
    </w:p>
  </w:footnote>
  <w:footnote w:id="18">
    <w:p w14:paraId="247291F5" w14:textId="0D76DB39" w:rsidR="00A766B9" w:rsidRDefault="00A766B9" w:rsidP="000057AD">
      <w:pPr>
        <w:pStyle w:val="NotesBasPage"/>
      </w:pPr>
      <w:r>
        <w:rPr>
          <w:rStyle w:val="Appelnotedebasdep"/>
        </w:rPr>
        <w:footnoteRef/>
      </w:r>
      <w:r>
        <w:t xml:space="preserve"> </w:t>
      </w:r>
      <w:r w:rsidR="000F7316">
        <w:tab/>
      </w:r>
      <w:r w:rsidR="00645FD0" w:rsidRPr="000A00B6">
        <w:t>Rapport du Groupe Jasmin</w:t>
      </w:r>
      <w:r w:rsidR="002219AE">
        <w:t>,</w:t>
      </w:r>
      <w:r w:rsidR="00645FD0" w:rsidRPr="00EB3505">
        <w:t xml:space="preserve"> </w:t>
      </w:r>
      <w:r w:rsidR="00EB3505" w:rsidRPr="00EB3505">
        <w:t>à la p</w:t>
      </w:r>
      <w:r w:rsidR="000768A2">
        <w:t> </w:t>
      </w:r>
      <w:r w:rsidR="00C126B8">
        <w:t>98</w:t>
      </w:r>
      <w:r w:rsidR="00EB3505" w:rsidRPr="00EB3505">
        <w:t>.</w:t>
      </w:r>
    </w:p>
  </w:footnote>
  <w:footnote w:id="19">
    <w:p w14:paraId="7CAEB807" w14:textId="23C4E011" w:rsidR="00A766B9" w:rsidRDefault="00A766B9" w:rsidP="000057AD">
      <w:pPr>
        <w:pStyle w:val="NotesBasPage"/>
      </w:pPr>
      <w:r>
        <w:rPr>
          <w:rStyle w:val="Appelnotedebasdep"/>
        </w:rPr>
        <w:footnoteRef/>
      </w:r>
      <w:r>
        <w:t xml:space="preserve"> </w:t>
      </w:r>
      <w:r w:rsidR="000F7316">
        <w:tab/>
      </w:r>
      <w:r w:rsidR="00645FD0" w:rsidRPr="000A00B6">
        <w:t>Rapport du Groupe Jasmin</w:t>
      </w:r>
      <w:r w:rsidR="002219AE">
        <w:t>,</w:t>
      </w:r>
      <w:r w:rsidR="00EB3505">
        <w:rPr>
          <w:i/>
          <w:spacing w:val="-9"/>
          <w:sz w:val="19"/>
        </w:rPr>
        <w:t xml:space="preserve"> </w:t>
      </w:r>
      <w:r w:rsidR="00BE2F66">
        <w:t>à</w:t>
      </w:r>
      <w:r w:rsidR="00EB3505">
        <w:rPr>
          <w:spacing w:val="-7"/>
        </w:rPr>
        <w:t xml:space="preserve"> </w:t>
      </w:r>
      <w:r w:rsidR="00EB3505">
        <w:t>la</w:t>
      </w:r>
      <w:r w:rsidR="00EB3505">
        <w:rPr>
          <w:spacing w:val="-7"/>
        </w:rPr>
        <w:t xml:space="preserve"> </w:t>
      </w:r>
      <w:r w:rsidR="00EB3505">
        <w:t>p</w:t>
      </w:r>
      <w:r w:rsidR="000768A2">
        <w:rPr>
          <w:spacing w:val="-7"/>
        </w:rPr>
        <w:t> </w:t>
      </w:r>
      <w:r w:rsidR="000B62B1">
        <w:rPr>
          <w:spacing w:val="-5"/>
        </w:rPr>
        <w:t>9</w:t>
      </w:r>
      <w:r w:rsidR="00C117F9">
        <w:rPr>
          <w:spacing w:val="-5"/>
        </w:rPr>
        <w:t>8</w:t>
      </w:r>
      <w:r w:rsidR="00EB3505">
        <w:rPr>
          <w:spacing w:val="-5"/>
        </w:rPr>
        <w:t>.</w:t>
      </w:r>
    </w:p>
  </w:footnote>
  <w:footnote w:id="20">
    <w:p w14:paraId="1E1100D5" w14:textId="37D48621" w:rsidR="005567CA" w:rsidRDefault="005567CA" w:rsidP="000057AD">
      <w:pPr>
        <w:pStyle w:val="NotesBasPage"/>
      </w:pPr>
      <w:r>
        <w:rPr>
          <w:rStyle w:val="Appelnotedebasdep"/>
        </w:rPr>
        <w:footnoteRef/>
      </w:r>
      <w:r>
        <w:t xml:space="preserve"> </w:t>
      </w:r>
      <w:r w:rsidR="000F7316">
        <w:tab/>
      </w:r>
      <w:r w:rsidR="00C227A2">
        <w:t>Rapport</w:t>
      </w:r>
      <w:r w:rsidR="00C227A2">
        <w:rPr>
          <w:spacing w:val="-5"/>
        </w:rPr>
        <w:t xml:space="preserve"> </w:t>
      </w:r>
      <w:r w:rsidR="00C227A2">
        <w:t>Dumais</w:t>
      </w:r>
      <w:r w:rsidR="00BE21FC">
        <w:t>.</w:t>
      </w:r>
    </w:p>
  </w:footnote>
  <w:footnote w:id="21">
    <w:p w14:paraId="00187461" w14:textId="52D4B528" w:rsidR="0016646B" w:rsidRDefault="0016646B" w:rsidP="000057AD">
      <w:pPr>
        <w:pStyle w:val="NotesBasPage"/>
      </w:pPr>
      <w:r>
        <w:rPr>
          <w:rStyle w:val="Appelnotedebasdep"/>
        </w:rPr>
        <w:footnoteRef/>
      </w:r>
      <w:r>
        <w:t xml:space="preserve"> </w:t>
      </w:r>
      <w:r w:rsidR="000F7316">
        <w:tab/>
      </w:r>
      <w:r w:rsidR="00BE21FC">
        <w:t>Rapport</w:t>
      </w:r>
      <w:r w:rsidR="00BE21FC">
        <w:rPr>
          <w:spacing w:val="-5"/>
        </w:rPr>
        <w:t xml:space="preserve"> </w:t>
      </w:r>
      <w:r w:rsidR="00BE21FC">
        <w:t>Dumais</w:t>
      </w:r>
      <w:r w:rsidR="002219AE">
        <w:t>,</w:t>
      </w:r>
      <w:r w:rsidR="00C126B8">
        <w:t xml:space="preserve"> </w:t>
      </w:r>
      <w:r w:rsidR="00C227A2">
        <w:t>à la p</w:t>
      </w:r>
      <w:r w:rsidR="000768A2">
        <w:t> </w:t>
      </w:r>
      <w:r w:rsidR="00C227A2">
        <w:t>97.</w:t>
      </w:r>
    </w:p>
  </w:footnote>
  <w:footnote w:id="22">
    <w:p w14:paraId="025D0864" w14:textId="45369639" w:rsidR="0016646B" w:rsidRDefault="0016646B" w:rsidP="000057AD">
      <w:pPr>
        <w:pStyle w:val="NotesBasPage"/>
      </w:pPr>
      <w:r>
        <w:rPr>
          <w:rStyle w:val="Appelnotedebasdep"/>
        </w:rPr>
        <w:footnoteRef/>
      </w:r>
      <w:r>
        <w:t xml:space="preserve"> </w:t>
      </w:r>
      <w:r w:rsidR="000F7316">
        <w:tab/>
      </w:r>
      <w:r w:rsidR="002219AE">
        <w:t>Rapport</w:t>
      </w:r>
      <w:r w:rsidR="002219AE">
        <w:rPr>
          <w:spacing w:val="-5"/>
        </w:rPr>
        <w:t xml:space="preserve"> </w:t>
      </w:r>
      <w:r w:rsidR="002219AE">
        <w:t>Dumais, à la p 97.</w:t>
      </w:r>
    </w:p>
  </w:footnote>
  <w:footnote w:id="23">
    <w:p w14:paraId="79017EF0" w14:textId="10E637DF" w:rsidR="008E418C" w:rsidRDefault="0016646B" w:rsidP="000057AD">
      <w:pPr>
        <w:pStyle w:val="NotesBasPage"/>
      </w:pPr>
      <w:r>
        <w:rPr>
          <w:rStyle w:val="Appelnotedebasdep"/>
        </w:rPr>
        <w:footnoteRef/>
      </w:r>
      <w:r>
        <w:t xml:space="preserve"> </w:t>
      </w:r>
      <w:r w:rsidR="000F7316">
        <w:tab/>
      </w:r>
      <w:r w:rsidR="00382FA2" w:rsidRPr="00382FA2">
        <w:t>Bos et al., 2011, cité dans Ordre des psychologues du Québec</w:t>
      </w:r>
      <w:r w:rsidR="00382FA2" w:rsidRPr="006D1293">
        <w:rPr>
          <w:i/>
          <w:iCs/>
        </w:rPr>
        <w:t>, Placement en famille d’accueil jusqu’à la majorité ou adoption</w:t>
      </w:r>
      <w:r w:rsidR="00914C42" w:rsidRPr="006D1293">
        <w:rPr>
          <w:i/>
          <w:iCs/>
        </w:rPr>
        <w:t> </w:t>
      </w:r>
      <w:r w:rsidR="00382FA2" w:rsidRPr="006D1293">
        <w:rPr>
          <w:i/>
          <w:iCs/>
        </w:rPr>
        <w:t>: quelques notions de la théorie d’attachement pour soutenir la réflexion</w:t>
      </w:r>
      <w:r w:rsidR="00382FA2" w:rsidRPr="00382FA2">
        <w:t>, Julie Dubé, Claire Beaudry et Julie Bédard, 2020, en ligne</w:t>
      </w:r>
      <w:r w:rsidR="00382FA2">
        <w:t xml:space="preserve"> : </w:t>
      </w:r>
      <w:hyperlink r:id="rId3" w:history="1">
        <w:r w:rsidR="00786193" w:rsidRPr="006843EB">
          <w:rPr>
            <w:rStyle w:val="Lienhypertexte"/>
          </w:rPr>
          <w:t>https://www.ordrepsy.qc.ca/-/placement-en-famille-d-accueil-jusqu-a-la-majorite-ou-%20adoption-quelques-notions-de-la-theorie-d-attachement-pour-soutenir-la-reflexion</w:t>
        </w:r>
      </w:hyperlink>
    </w:p>
  </w:footnote>
  <w:footnote w:id="24">
    <w:p w14:paraId="05A3B840" w14:textId="7BB5EDF5" w:rsidR="0016646B" w:rsidRDefault="0016646B" w:rsidP="000057AD">
      <w:pPr>
        <w:pStyle w:val="NotesBasPage"/>
      </w:pPr>
      <w:r>
        <w:rPr>
          <w:rStyle w:val="Appelnotedebasdep"/>
        </w:rPr>
        <w:footnoteRef/>
      </w:r>
      <w:r>
        <w:t xml:space="preserve"> </w:t>
      </w:r>
      <w:r w:rsidR="000F7316">
        <w:tab/>
      </w:r>
      <w:r w:rsidR="00126400">
        <w:t>Rapport</w:t>
      </w:r>
      <w:r w:rsidR="00126400">
        <w:rPr>
          <w:spacing w:val="-5"/>
        </w:rPr>
        <w:t xml:space="preserve"> </w:t>
      </w:r>
      <w:r w:rsidR="00126400">
        <w:t>Dumais, à la p</w:t>
      </w:r>
      <w:r w:rsidR="000768A2">
        <w:t> </w:t>
      </w:r>
      <w:r w:rsidR="00126400">
        <w:t>111.</w:t>
      </w:r>
    </w:p>
  </w:footnote>
  <w:footnote w:id="25">
    <w:p w14:paraId="422D841C" w14:textId="5A2DE89D" w:rsidR="000F7316" w:rsidRDefault="000F7316" w:rsidP="000057AD">
      <w:pPr>
        <w:pStyle w:val="NotesBasPage"/>
      </w:pPr>
      <w:r>
        <w:rPr>
          <w:rStyle w:val="Appelnotedebasdep"/>
        </w:rPr>
        <w:footnoteRef/>
      </w:r>
      <w:r>
        <w:t xml:space="preserve"> </w:t>
      </w:r>
      <w:r w:rsidR="00035790">
        <w:tab/>
      </w:r>
      <w:r w:rsidR="007C2AC5">
        <w:t>Rapport</w:t>
      </w:r>
      <w:r w:rsidR="007C2AC5">
        <w:rPr>
          <w:spacing w:val="-5"/>
        </w:rPr>
        <w:t xml:space="preserve"> </w:t>
      </w:r>
      <w:r w:rsidR="007C2AC5">
        <w:t>Dumais</w:t>
      </w:r>
      <w:r w:rsidR="002219AE">
        <w:t>,</w:t>
      </w:r>
      <w:r w:rsidR="00DE3D66">
        <w:t xml:space="preserve"> aux pp</w:t>
      </w:r>
      <w:r w:rsidR="000768A2">
        <w:t> </w:t>
      </w:r>
      <w:r w:rsidR="00DE3D66">
        <w:t>30, 31 et 157.</w:t>
      </w:r>
    </w:p>
  </w:footnote>
  <w:footnote w:id="26">
    <w:p w14:paraId="7F5CE90B" w14:textId="2E41BC0F" w:rsidR="00035790" w:rsidRDefault="00035790" w:rsidP="000057AD">
      <w:pPr>
        <w:pStyle w:val="NotesBasPage"/>
      </w:pPr>
      <w:r>
        <w:rPr>
          <w:rStyle w:val="Appelnotedebasdep"/>
        </w:rPr>
        <w:footnoteRef/>
      </w:r>
      <w:r>
        <w:t xml:space="preserve"> </w:t>
      </w:r>
      <w:r>
        <w:tab/>
      </w:r>
      <w:r w:rsidR="007C2AC5">
        <w:t>Rapport</w:t>
      </w:r>
      <w:r w:rsidR="007C2AC5">
        <w:rPr>
          <w:spacing w:val="-5"/>
        </w:rPr>
        <w:t xml:space="preserve"> </w:t>
      </w:r>
      <w:r w:rsidR="007C2AC5">
        <w:t>Dumais</w:t>
      </w:r>
      <w:r w:rsidR="002219AE">
        <w:t>,</w:t>
      </w:r>
      <w:r w:rsidR="007C2AC5">
        <w:t xml:space="preserve"> </w:t>
      </w:r>
      <w:r w:rsidR="00844D47">
        <w:t>à la p</w:t>
      </w:r>
      <w:r w:rsidR="000768A2">
        <w:t> </w:t>
      </w:r>
      <w:r w:rsidR="00844D47">
        <w:t>106.</w:t>
      </w:r>
    </w:p>
  </w:footnote>
  <w:footnote w:id="27">
    <w:p w14:paraId="3A9AAA6E" w14:textId="1A152788" w:rsidR="00F034A2" w:rsidRDefault="00AB3184" w:rsidP="000057AD">
      <w:pPr>
        <w:pStyle w:val="NotesBasPage"/>
      </w:pPr>
      <w:r>
        <w:rPr>
          <w:rStyle w:val="Appelnotedebasdep"/>
          <w:sz w:val="20"/>
          <w:szCs w:val="20"/>
        </w:rPr>
        <w:footnoteRef/>
      </w:r>
      <w:r w:rsidR="003944F8">
        <w:t xml:space="preserve"> </w:t>
      </w:r>
      <w:r w:rsidR="00BC0023">
        <w:tab/>
      </w:r>
      <w:r w:rsidRPr="00AB3184">
        <w:t>Dominique Goubau, «</w:t>
      </w:r>
      <w:r w:rsidR="00D96428">
        <w:rPr>
          <w:rFonts w:ascii="Arial" w:hAnsi="Arial" w:cs="Arial"/>
        </w:rPr>
        <w:t> </w:t>
      </w:r>
      <w:r w:rsidRPr="00AB3184">
        <w:t>La réforme de la protection de la jeunesse</w:t>
      </w:r>
      <w:r w:rsidR="00914C42">
        <w:t> </w:t>
      </w:r>
      <w:r w:rsidRPr="00AB3184">
        <w:t>: quand l’éducation familiale devient une course contre la montre.</w:t>
      </w:r>
      <w:r w:rsidR="00D96428">
        <w:rPr>
          <w:rFonts w:ascii="Arial" w:hAnsi="Arial" w:cs="Arial"/>
        </w:rPr>
        <w:t> </w:t>
      </w:r>
      <w:r w:rsidRPr="00AB3184">
        <w:t xml:space="preserve">» </w:t>
      </w:r>
      <w:r w:rsidRPr="00AB3184">
        <w:rPr>
          <w:i/>
          <w:iCs/>
        </w:rPr>
        <w:t>Enfances, Familles, Générations</w:t>
      </w:r>
      <w:r w:rsidRPr="00AB3184">
        <w:t>, n</w:t>
      </w:r>
      <w:r w:rsidRPr="00AB3184">
        <w:rPr>
          <w:vertAlign w:val="superscript"/>
        </w:rPr>
        <w:t>o</w:t>
      </w:r>
      <w:r w:rsidRPr="00AB3184">
        <w:t xml:space="preserve"> 16, 2012, aux pp</w:t>
      </w:r>
      <w:r w:rsidR="000768A2">
        <w:t> </w:t>
      </w:r>
      <w:r w:rsidRPr="00AB3184">
        <w:t>113–123</w:t>
      </w:r>
      <w:r w:rsidR="009E7B57">
        <w:t>.</w:t>
      </w:r>
    </w:p>
  </w:footnote>
  <w:footnote w:id="28">
    <w:p w14:paraId="2124B08A" w14:textId="1146AAA1" w:rsidR="002A52B7" w:rsidRDefault="002A52B7" w:rsidP="000057AD">
      <w:pPr>
        <w:pStyle w:val="NotesBasPage"/>
      </w:pPr>
      <w:r>
        <w:rPr>
          <w:rStyle w:val="Appelnotedebasdep"/>
        </w:rPr>
        <w:footnoteRef/>
      </w:r>
      <w:r>
        <w:t xml:space="preserve"> </w:t>
      </w:r>
      <w:r w:rsidR="00BC0023">
        <w:tab/>
      </w:r>
      <w:r w:rsidR="00291367" w:rsidRPr="00291367">
        <w:t>Laurence Ricard, «</w:t>
      </w:r>
      <w:r w:rsidR="00D96428">
        <w:rPr>
          <w:rFonts w:ascii="Arial" w:hAnsi="Arial" w:cs="Arial"/>
        </w:rPr>
        <w:t> </w:t>
      </w:r>
      <w:r w:rsidR="00291367" w:rsidRPr="00291367">
        <w:t>L’évolution récente de la conception de l’enfant dans le droit québécois</w:t>
      </w:r>
      <w:r w:rsidR="00914C42">
        <w:t> </w:t>
      </w:r>
      <w:r w:rsidR="00291367" w:rsidRPr="00291367">
        <w:t xml:space="preserve">: l’exemple de la </w:t>
      </w:r>
      <w:r w:rsidR="00291367" w:rsidRPr="00CC701A">
        <w:rPr>
          <w:i/>
          <w:iCs/>
        </w:rPr>
        <w:t>Loi sur la protection de la jeunesse et des récents projets de loi en matière d’adoption</w:t>
      </w:r>
      <w:r w:rsidR="00D96428">
        <w:rPr>
          <w:rFonts w:ascii="Arial" w:hAnsi="Arial" w:cs="Arial"/>
        </w:rPr>
        <w:t> </w:t>
      </w:r>
      <w:r w:rsidR="00291367" w:rsidRPr="00291367">
        <w:t xml:space="preserve">», (2014) 44 </w:t>
      </w:r>
      <w:r w:rsidR="00291367" w:rsidRPr="00291367">
        <w:rPr>
          <w:i/>
          <w:iCs/>
        </w:rPr>
        <w:t>R.D.U.S</w:t>
      </w:r>
      <w:r w:rsidR="00291367" w:rsidRPr="00291367">
        <w:t>., à la p</w:t>
      </w:r>
      <w:r w:rsidR="000768A2">
        <w:t> </w:t>
      </w:r>
      <w:r w:rsidR="00291367" w:rsidRPr="00291367">
        <w:t>38.</w:t>
      </w:r>
    </w:p>
  </w:footnote>
  <w:footnote w:id="29">
    <w:p w14:paraId="10B83645" w14:textId="17B42972" w:rsidR="002A52B7" w:rsidRDefault="002A52B7" w:rsidP="000057AD">
      <w:pPr>
        <w:pStyle w:val="NotesBasPage"/>
      </w:pPr>
      <w:r>
        <w:rPr>
          <w:rStyle w:val="Appelnotedebasdep"/>
        </w:rPr>
        <w:footnoteRef/>
      </w:r>
      <w:r>
        <w:t xml:space="preserve"> </w:t>
      </w:r>
      <w:r w:rsidR="00BC0023">
        <w:tab/>
      </w:r>
      <w:r w:rsidR="00E709D9" w:rsidRPr="00E709D9">
        <w:t xml:space="preserve">Ordre des psychologues du Québec, </w:t>
      </w:r>
      <w:r w:rsidR="00B66790" w:rsidRPr="00B66790">
        <w:rPr>
          <w:i/>
          <w:iCs/>
        </w:rPr>
        <w:t>supra</w:t>
      </w:r>
      <w:r w:rsidR="00E709D9">
        <w:rPr>
          <w:i/>
          <w:iCs/>
        </w:rPr>
        <w:t xml:space="preserve"> </w:t>
      </w:r>
      <w:r w:rsidR="00E709D9" w:rsidRPr="00E709D9">
        <w:t>note</w:t>
      </w:r>
      <w:r w:rsidR="000768A2">
        <w:t> </w:t>
      </w:r>
      <w:r w:rsidR="004D21BF">
        <w:fldChar w:fldCharType="begin"/>
      </w:r>
      <w:r w:rsidR="004D21BF">
        <w:instrText xml:space="preserve"> NOTEREF _Ref200456245 \h </w:instrText>
      </w:r>
      <w:r w:rsidR="004D21BF">
        <w:fldChar w:fldCharType="separate"/>
      </w:r>
      <w:r w:rsidR="0085330E">
        <w:t>22</w:t>
      </w:r>
      <w:r w:rsidR="004D21BF">
        <w:fldChar w:fldCharType="end"/>
      </w:r>
      <w:r w:rsidR="00E709D9" w:rsidRPr="00E709D9">
        <w:fldChar w:fldCharType="begin"/>
      </w:r>
      <w:r w:rsidR="00E709D9" w:rsidRPr="00E709D9">
        <w:instrText xml:space="preserve"> NOTEREF _Ref200456245 \h </w:instrText>
      </w:r>
      <w:r w:rsidR="00E709D9">
        <w:instrText xml:space="preserve"> \* MERGEFORMAT </w:instrText>
      </w:r>
      <w:r w:rsidR="00E709D9" w:rsidRPr="00E709D9">
        <w:fldChar w:fldCharType="separate"/>
      </w:r>
      <w:r w:rsidR="0085330E">
        <w:t>22</w:t>
      </w:r>
      <w:r w:rsidR="00E709D9" w:rsidRPr="00E709D9">
        <w:fldChar w:fldCharType="end"/>
      </w:r>
      <w:r w:rsidR="00E709D9">
        <w:t>.</w:t>
      </w:r>
    </w:p>
  </w:footnote>
  <w:footnote w:id="30">
    <w:p w14:paraId="65C6DCF3" w14:textId="1A12EB58" w:rsidR="0045210B" w:rsidRDefault="0045210B" w:rsidP="000057AD">
      <w:pPr>
        <w:pStyle w:val="NotesBasPage"/>
      </w:pPr>
      <w:r>
        <w:rPr>
          <w:rStyle w:val="Appelnotedebasdep"/>
        </w:rPr>
        <w:footnoteRef/>
      </w:r>
      <w:r>
        <w:t xml:space="preserve"> </w:t>
      </w:r>
      <w:r>
        <w:tab/>
        <w:t>Ricard,</w:t>
      </w:r>
      <w:r w:rsidRPr="006C3670">
        <w:rPr>
          <w:i/>
          <w:iCs/>
        </w:rPr>
        <w:t xml:space="preserve"> supra</w:t>
      </w:r>
      <w:r>
        <w:t xml:space="preserve"> note</w:t>
      </w:r>
      <w:r w:rsidR="000768A2">
        <w:t> </w:t>
      </w:r>
      <w:r w:rsidR="007C4203">
        <w:fldChar w:fldCharType="begin"/>
      </w:r>
      <w:r w:rsidR="007C4203">
        <w:instrText xml:space="preserve"> NOTEREF _Ref200456292 \h </w:instrText>
      </w:r>
      <w:r w:rsidR="007C4203">
        <w:fldChar w:fldCharType="separate"/>
      </w:r>
      <w:r w:rsidR="0085330E">
        <w:t>27</w:t>
      </w:r>
      <w:r w:rsidR="007C4203">
        <w:fldChar w:fldCharType="end"/>
      </w:r>
      <w:r>
        <w:t xml:space="preserve"> à la p</w:t>
      </w:r>
      <w:r w:rsidR="000768A2">
        <w:t> </w:t>
      </w:r>
      <w:r>
        <w:t>35</w:t>
      </w:r>
      <w:r w:rsidR="00E01950">
        <w:t>.</w:t>
      </w:r>
    </w:p>
  </w:footnote>
  <w:footnote w:id="31">
    <w:p w14:paraId="5FF4243F" w14:textId="292F363B" w:rsidR="002C213D" w:rsidRDefault="002C213D" w:rsidP="000057AD">
      <w:pPr>
        <w:pStyle w:val="NotesBasPage"/>
      </w:pPr>
      <w:r>
        <w:rPr>
          <w:rStyle w:val="Appelnotedebasdep"/>
        </w:rPr>
        <w:footnoteRef/>
      </w:r>
      <w:r>
        <w:t xml:space="preserve"> </w:t>
      </w:r>
      <w:r w:rsidR="00BC0023">
        <w:tab/>
      </w:r>
      <w:r w:rsidR="0045210B" w:rsidRPr="006C3670">
        <w:rPr>
          <w:i/>
          <w:iCs/>
        </w:rPr>
        <w:t>Idem</w:t>
      </w:r>
      <w:r w:rsidR="0045210B">
        <w:t xml:space="preserve"> à la p</w:t>
      </w:r>
      <w:r w:rsidR="000768A2">
        <w:t> </w:t>
      </w:r>
      <w:r w:rsidR="0045210B">
        <w:t>46.</w:t>
      </w:r>
    </w:p>
  </w:footnote>
  <w:footnote w:id="32">
    <w:p w14:paraId="44FCB967" w14:textId="20D2B448" w:rsidR="00BC0023" w:rsidRDefault="00BC0023" w:rsidP="000057AD">
      <w:pPr>
        <w:pStyle w:val="NotesBasPage"/>
      </w:pPr>
      <w:r>
        <w:rPr>
          <w:rStyle w:val="Appelnotedebasdep"/>
        </w:rPr>
        <w:footnoteRef/>
      </w:r>
      <w:r>
        <w:t xml:space="preserve"> </w:t>
      </w:r>
      <w:r>
        <w:tab/>
      </w:r>
      <w:r w:rsidR="00A3149F" w:rsidRPr="006C3670">
        <w:rPr>
          <w:i/>
          <w:iCs/>
        </w:rPr>
        <w:t>Idem</w:t>
      </w:r>
      <w:r w:rsidR="00A3149F">
        <w:t xml:space="preserve"> à la p</w:t>
      </w:r>
      <w:r w:rsidR="000768A2">
        <w:t> </w:t>
      </w:r>
      <w:r w:rsidR="00A3149F">
        <w:t>41</w:t>
      </w:r>
      <w:r w:rsidR="007C4203">
        <w:t>.</w:t>
      </w:r>
    </w:p>
  </w:footnote>
  <w:footnote w:id="33">
    <w:p w14:paraId="4FD3267C" w14:textId="1936461E" w:rsidR="0045210B" w:rsidRDefault="0045210B" w:rsidP="000057AD">
      <w:pPr>
        <w:pStyle w:val="NotesBasPage"/>
      </w:pPr>
      <w:r>
        <w:rPr>
          <w:rStyle w:val="Appelnotedebasdep"/>
        </w:rPr>
        <w:footnoteRef/>
      </w:r>
      <w:r>
        <w:t xml:space="preserve"> </w:t>
      </w:r>
      <w:r w:rsidR="00A3149F">
        <w:tab/>
      </w:r>
      <w:r w:rsidR="00413BAE" w:rsidRPr="00413BAE">
        <w:t>LPJ, art 4, al.3 (version en vigueur en 2007).</w:t>
      </w:r>
    </w:p>
  </w:footnote>
  <w:footnote w:id="34">
    <w:p w14:paraId="71DE4768" w14:textId="389A9F4E" w:rsidR="001A280C" w:rsidRDefault="001A280C" w:rsidP="000057AD">
      <w:pPr>
        <w:pStyle w:val="NotesBasPage"/>
      </w:pPr>
      <w:r>
        <w:rPr>
          <w:rStyle w:val="Appelnotedebasdep"/>
        </w:rPr>
        <w:footnoteRef/>
      </w:r>
      <w:r>
        <w:t xml:space="preserve"> </w:t>
      </w:r>
      <w:r w:rsidR="002A0DA8">
        <w:tab/>
      </w:r>
      <w:r w:rsidR="00B50EB1">
        <w:t>Association des centres jeunesse du Québec</w:t>
      </w:r>
      <w:r w:rsidR="0053622B" w:rsidRPr="009672C2">
        <w:t xml:space="preserve">, </w:t>
      </w:r>
      <w:r w:rsidR="00274289" w:rsidRPr="00274289">
        <w:rPr>
          <w:i/>
          <w:iCs/>
        </w:rPr>
        <w:t>C</w:t>
      </w:r>
      <w:r w:rsidR="00C608B7">
        <w:rPr>
          <w:i/>
          <w:iCs/>
        </w:rPr>
        <w:t xml:space="preserve">adre de référence - </w:t>
      </w:r>
      <w:r w:rsidR="0053622B" w:rsidRPr="00DE2B29">
        <w:rPr>
          <w:i/>
          <w:iCs/>
        </w:rPr>
        <w:t>Un projet de vie, des racines pour la vie</w:t>
      </w:r>
      <w:r w:rsidR="008C63EA">
        <w:rPr>
          <w:i/>
          <w:iCs/>
        </w:rPr>
        <w:t>,</w:t>
      </w:r>
      <w:r w:rsidR="0053622B" w:rsidRPr="00DE2B29">
        <w:rPr>
          <w:i/>
          <w:iCs/>
        </w:rPr>
        <w:t xml:space="preserve"> </w:t>
      </w:r>
      <w:r w:rsidR="00FC31F6">
        <w:t>2</w:t>
      </w:r>
      <w:r w:rsidR="008B5FA0">
        <w:t>00</w:t>
      </w:r>
      <w:r w:rsidR="005B3BD6">
        <w:t>9</w:t>
      </w:r>
      <w:r w:rsidR="0053622B" w:rsidRPr="009672C2">
        <w:t>, en ligne</w:t>
      </w:r>
      <w:r w:rsidR="00914C42">
        <w:t> </w:t>
      </w:r>
      <w:r w:rsidR="0053622B" w:rsidRPr="009672C2">
        <w:t>:</w:t>
      </w:r>
      <w:r w:rsidR="0053622B" w:rsidRPr="00417DBB">
        <w:t xml:space="preserve"> </w:t>
      </w:r>
      <w:hyperlink r:id="rId4" w:history="1">
        <w:r w:rsidR="008C63EA" w:rsidRPr="006529F7">
          <w:rPr>
            <w:rStyle w:val="Lienhypertexte"/>
          </w:rPr>
          <w:t>https://www.csdepj.gouv.qc.ca/fileadmin/Fichiers_clients/Documents_deposes_a_la_Commission/P-424_Cadre_de_reference_ACJQ_2009.pdf</w:t>
        </w:r>
      </w:hyperlink>
    </w:p>
  </w:footnote>
  <w:footnote w:id="35">
    <w:p w14:paraId="3330C41D" w14:textId="1BCB1555" w:rsidR="001A280C" w:rsidRDefault="001A280C" w:rsidP="000057AD">
      <w:pPr>
        <w:pStyle w:val="NotesBasPage"/>
      </w:pPr>
      <w:r>
        <w:rPr>
          <w:rStyle w:val="Appelnotedebasdep"/>
        </w:rPr>
        <w:footnoteRef/>
      </w:r>
      <w:r>
        <w:t xml:space="preserve"> </w:t>
      </w:r>
      <w:r w:rsidR="002A0DA8">
        <w:tab/>
      </w:r>
      <w:r w:rsidR="00D565E5">
        <w:tab/>
      </w:r>
      <w:r w:rsidR="00D565E5" w:rsidRPr="009672C2">
        <w:t xml:space="preserve">Gouvernement du Québec, </w:t>
      </w:r>
      <w:r w:rsidR="00D565E5" w:rsidRPr="004E6A70">
        <w:rPr>
          <w:i/>
          <w:iCs/>
        </w:rPr>
        <w:t>Un projet de vie, des racines pour la vie -Qu’est-ce qu’un projet de vie pour un enfant dont la situation est prise en charge par le DPJ</w:t>
      </w:r>
      <w:r w:rsidR="00D565E5" w:rsidRPr="004E6A70">
        <w:rPr>
          <w:rFonts w:ascii="Arial" w:hAnsi="Arial" w:cs="Arial"/>
          <w:i/>
          <w:iCs/>
        </w:rPr>
        <w:t> </w:t>
      </w:r>
      <w:r w:rsidR="00D565E5" w:rsidRPr="004E6A70">
        <w:rPr>
          <w:i/>
          <w:iCs/>
        </w:rPr>
        <w:t xml:space="preserve">?, </w:t>
      </w:r>
      <w:r w:rsidR="00D565E5">
        <w:t>201</w:t>
      </w:r>
      <w:r w:rsidR="00D565E5" w:rsidRPr="009672C2">
        <w:t>6,</w:t>
      </w:r>
      <w:r w:rsidR="00612F89">
        <w:t>à la p 2,</w:t>
      </w:r>
      <w:r w:rsidR="00D565E5" w:rsidRPr="009672C2">
        <w:t xml:space="preserve"> en ligne</w:t>
      </w:r>
      <w:r w:rsidR="00D565E5">
        <w:t> </w:t>
      </w:r>
      <w:r w:rsidR="00D565E5" w:rsidRPr="009672C2">
        <w:t>:</w:t>
      </w:r>
      <w:r w:rsidR="00D565E5" w:rsidRPr="00417DBB">
        <w:t xml:space="preserve"> </w:t>
      </w:r>
      <w:hyperlink r:id="rId5" w:history="1">
        <w:r w:rsidR="00D565E5" w:rsidRPr="006843EB">
          <w:rPr>
            <w:rStyle w:val="Lienhypertexte"/>
          </w:rPr>
          <w:t>https://publications.msss.gouv.qc.ca/msss/fichiers/2016/16-838-03F.pdf</w:t>
        </w:r>
      </w:hyperlink>
    </w:p>
  </w:footnote>
  <w:footnote w:id="36">
    <w:p w14:paraId="19C3150A" w14:textId="56B3591C" w:rsidR="002A0DA8" w:rsidRDefault="002A0DA8" w:rsidP="000057AD">
      <w:pPr>
        <w:pStyle w:val="NotesBasPage"/>
      </w:pPr>
      <w:r>
        <w:rPr>
          <w:rStyle w:val="Appelnotedebasdep"/>
        </w:rPr>
        <w:footnoteRef/>
      </w:r>
      <w:r>
        <w:t xml:space="preserve"> </w:t>
      </w:r>
      <w:r>
        <w:tab/>
      </w:r>
      <w:r w:rsidR="00780FE6" w:rsidRPr="00780FE6">
        <w:rPr>
          <w:i/>
          <w:iCs/>
        </w:rPr>
        <w:t>Idem</w:t>
      </w:r>
      <w:r w:rsidR="00780FE6">
        <w:t xml:space="preserve"> à la p</w:t>
      </w:r>
      <w:r w:rsidR="000768A2">
        <w:t> </w:t>
      </w:r>
      <w:r w:rsidR="00780FE6">
        <w:t>6.</w:t>
      </w:r>
    </w:p>
  </w:footnote>
  <w:footnote w:id="37">
    <w:p w14:paraId="19A2D7BB" w14:textId="5BEB31FC" w:rsidR="00B66C2B" w:rsidRDefault="00B66C2B" w:rsidP="000057AD">
      <w:pPr>
        <w:pStyle w:val="NotesBasPage"/>
      </w:pPr>
      <w:r>
        <w:rPr>
          <w:rStyle w:val="Appelnotedebasdep"/>
        </w:rPr>
        <w:footnoteRef/>
      </w:r>
      <w:r>
        <w:t xml:space="preserve"> </w:t>
      </w:r>
      <w:r w:rsidR="00EE6FC0">
        <w:tab/>
      </w:r>
      <w:r w:rsidR="00EE6FC0" w:rsidRPr="008828D4">
        <w:rPr>
          <w:i/>
        </w:rPr>
        <w:t>Idem</w:t>
      </w:r>
      <w:r w:rsidR="00EE6FC0">
        <w:t xml:space="preserve"> à la p</w:t>
      </w:r>
      <w:r w:rsidR="000768A2">
        <w:t> </w:t>
      </w:r>
      <w:r w:rsidR="00EE6FC0">
        <w:t>3.</w:t>
      </w:r>
    </w:p>
  </w:footnote>
  <w:footnote w:id="38">
    <w:p w14:paraId="550FC3D0" w14:textId="5CF6B165" w:rsidR="0068435C" w:rsidRDefault="0068435C" w:rsidP="000057AD">
      <w:pPr>
        <w:pStyle w:val="NotesBasPage"/>
      </w:pPr>
      <w:r>
        <w:rPr>
          <w:rStyle w:val="Appelnotedebasdep"/>
        </w:rPr>
        <w:footnoteRef/>
      </w:r>
      <w:r>
        <w:t xml:space="preserve"> </w:t>
      </w:r>
      <w:r w:rsidR="00EE6FC0">
        <w:tab/>
      </w:r>
      <w:r w:rsidR="000F51CA" w:rsidRPr="000F51CA">
        <w:t>Observatoire national de la protection de l’enfance, «</w:t>
      </w:r>
      <w:r w:rsidR="00D96428">
        <w:rPr>
          <w:rFonts w:ascii="Arial" w:hAnsi="Arial" w:cs="Arial"/>
        </w:rPr>
        <w:t> </w:t>
      </w:r>
      <w:r w:rsidR="000F51CA" w:rsidRPr="000F51CA">
        <w:t>Quelles protections pour les enfants en placement longue durée</w:t>
      </w:r>
      <w:r w:rsidR="006C6430">
        <w:rPr>
          <w:rFonts w:ascii="Arial" w:hAnsi="Arial" w:cs="Arial"/>
        </w:rPr>
        <w:t> </w:t>
      </w:r>
      <w:r w:rsidR="000F51CA" w:rsidRPr="000F51CA">
        <w:t xml:space="preserve">? </w:t>
      </w:r>
      <w:r w:rsidR="000F51CA" w:rsidRPr="00B54D1C">
        <w:rPr>
          <w:i/>
        </w:rPr>
        <w:t>Approche comparée France-Québec</w:t>
      </w:r>
      <w:r w:rsidR="00D96428">
        <w:rPr>
          <w:rFonts w:ascii="Arial" w:hAnsi="Arial" w:cs="Arial"/>
        </w:rPr>
        <w:t> </w:t>
      </w:r>
      <w:r w:rsidR="000F51CA" w:rsidRPr="000F51CA">
        <w:t>», 2024, au para</w:t>
      </w:r>
      <w:r w:rsidR="000768A2">
        <w:t> </w:t>
      </w:r>
      <w:r w:rsidR="000F51CA" w:rsidRPr="000F51CA">
        <w:t>104</w:t>
      </w:r>
      <w:r w:rsidR="000F51CA">
        <w:t>.</w:t>
      </w:r>
    </w:p>
  </w:footnote>
  <w:footnote w:id="39">
    <w:p w14:paraId="193B0FAD" w14:textId="61E67845" w:rsidR="00EE6FC0" w:rsidRDefault="00EE6FC0" w:rsidP="000057AD">
      <w:pPr>
        <w:pStyle w:val="NotesBasPage"/>
      </w:pPr>
      <w:r>
        <w:rPr>
          <w:rStyle w:val="Appelnotedebasdep"/>
        </w:rPr>
        <w:footnoteRef/>
      </w:r>
      <w:r>
        <w:t xml:space="preserve"> </w:t>
      </w:r>
      <w:r w:rsidR="000F51CA">
        <w:tab/>
      </w:r>
      <w:r w:rsidR="00D90552" w:rsidRPr="00D90552">
        <w:t>LPJ, art</w:t>
      </w:r>
      <w:r w:rsidR="000768A2">
        <w:t> </w:t>
      </w:r>
      <w:r w:rsidR="00D90552" w:rsidRPr="00D90552">
        <w:t>91.1 au para</w:t>
      </w:r>
      <w:r w:rsidR="000768A2">
        <w:t> </w:t>
      </w:r>
      <w:r w:rsidR="00D90552" w:rsidRPr="00D90552">
        <w:t>4</w:t>
      </w:r>
      <w:r w:rsidR="00D90552">
        <w:t>.</w:t>
      </w:r>
    </w:p>
  </w:footnote>
  <w:footnote w:id="40">
    <w:p w14:paraId="718A9D4A" w14:textId="7AA4B7A9" w:rsidR="00D1707F" w:rsidRDefault="00D1707F" w:rsidP="000057AD">
      <w:pPr>
        <w:pStyle w:val="NotesBasPage"/>
      </w:pPr>
      <w:r>
        <w:rPr>
          <w:rStyle w:val="Appelnotedebasdep"/>
        </w:rPr>
        <w:footnoteRef/>
      </w:r>
      <w:r>
        <w:t xml:space="preserve"> </w:t>
      </w:r>
      <w:r>
        <w:tab/>
      </w:r>
      <w:r w:rsidR="005B39D5">
        <w:t>Commission des droits de la personne et des droits de la jeunesse</w:t>
      </w:r>
      <w:r w:rsidR="005B39D5" w:rsidRPr="004E5966">
        <w:t xml:space="preserve">, </w:t>
      </w:r>
      <w:r w:rsidR="005B39D5" w:rsidRPr="004846A5">
        <w:rPr>
          <w:i/>
          <w:iCs/>
        </w:rPr>
        <w:t>Mémoire à la Commission des affaires sociales de l’Assemblée nationale – Projet de loi no</w:t>
      </w:r>
      <w:r w:rsidR="000768A2">
        <w:rPr>
          <w:i/>
          <w:iCs/>
        </w:rPr>
        <w:t> </w:t>
      </w:r>
      <w:r w:rsidR="005B39D5" w:rsidRPr="004846A5">
        <w:rPr>
          <w:i/>
          <w:iCs/>
        </w:rPr>
        <w:t>125, Loi modifiant la loi sur la protection de la jeunesse et d’autres dispositions législatives</w:t>
      </w:r>
      <w:r w:rsidR="005B39D5">
        <w:t>, 2005, à la p</w:t>
      </w:r>
      <w:r w:rsidR="000768A2">
        <w:t> </w:t>
      </w:r>
      <w:r w:rsidR="005B39D5">
        <w:t>28, en ligne</w:t>
      </w:r>
      <w:r w:rsidR="00630FB3">
        <w:t xml:space="preserve"> : </w:t>
      </w:r>
      <w:hyperlink r:id="rId6" w:history="1">
        <w:r w:rsidR="00CF775F" w:rsidRPr="006843EB">
          <w:rPr>
            <w:rStyle w:val="Lienhypertexte"/>
          </w:rPr>
          <w:t>https://www.cdpdj.qc.ca/storage/app/media/publications/PL_125_LPJ_memoire.pdf</w:t>
        </w:r>
      </w:hyperlink>
      <w:r w:rsidR="00D16B99">
        <w:rPr>
          <w:rFonts w:ascii="Arial" w:hAnsi="Arial" w:cs="Arial"/>
        </w:rPr>
        <w:t> </w:t>
      </w:r>
      <w:r w:rsidR="00CF775F">
        <w:t xml:space="preserve">; </w:t>
      </w:r>
      <w:r w:rsidR="005B39D5" w:rsidRPr="006A205A">
        <w:rPr>
          <w:i/>
          <w:iCs/>
        </w:rPr>
        <w:t>Convention relative aux droits de l’enfant (1989)</w:t>
      </w:r>
      <w:r w:rsidR="005B39D5">
        <w:t>, Doc. N.U. A/RES/44/25, [1992] R.T. Can. n°</w:t>
      </w:r>
      <w:r w:rsidR="000768A2">
        <w:t> </w:t>
      </w:r>
      <w:r w:rsidR="005B39D5">
        <w:t>3, R.T. Qué. 9</w:t>
      </w:r>
      <w:r w:rsidR="00220FCC">
        <w:t> </w:t>
      </w:r>
      <w:r w:rsidR="005B39D5">
        <w:t>décembre 1991 (ci-après</w:t>
      </w:r>
      <w:r w:rsidR="00CF775F">
        <w:t xml:space="preserve"> </w:t>
      </w:r>
      <w:r w:rsidR="005B39D5">
        <w:t>«</w:t>
      </w:r>
      <w:r w:rsidR="00D96428">
        <w:rPr>
          <w:rFonts w:ascii="Arial" w:hAnsi="Arial" w:cs="Arial"/>
        </w:rPr>
        <w:t> </w:t>
      </w:r>
      <w:r w:rsidR="005B39D5">
        <w:t>CRDE</w:t>
      </w:r>
      <w:r w:rsidR="00D96428">
        <w:rPr>
          <w:rFonts w:ascii="Arial" w:hAnsi="Arial" w:cs="Arial"/>
        </w:rPr>
        <w:t> </w:t>
      </w:r>
      <w:r w:rsidR="005B39D5">
        <w:t>»).</w:t>
      </w:r>
    </w:p>
  </w:footnote>
  <w:footnote w:id="41">
    <w:p w14:paraId="048AD427" w14:textId="61EE172B" w:rsidR="008D3C06" w:rsidRDefault="008D3C06" w:rsidP="008D3C06">
      <w:pPr>
        <w:pStyle w:val="NotesBasPage"/>
      </w:pPr>
      <w:r>
        <w:rPr>
          <w:rStyle w:val="Appelnotedebasdep"/>
        </w:rPr>
        <w:footnoteRef/>
      </w:r>
      <w:r>
        <w:t xml:space="preserve"> </w:t>
      </w:r>
      <w:r>
        <w:tab/>
      </w:r>
      <w:r w:rsidRPr="00E56FD2">
        <w:rPr>
          <w:i/>
          <w:iCs/>
        </w:rPr>
        <w:t>Charte des droits et libertés de la personne</w:t>
      </w:r>
      <w:r w:rsidRPr="00CB2B66">
        <w:t>, c</w:t>
      </w:r>
      <w:r w:rsidR="0046392D">
        <w:t> </w:t>
      </w:r>
      <w:r w:rsidRPr="00CB2B66">
        <w:t>C-12</w:t>
      </w:r>
      <w:r>
        <w:t>, art</w:t>
      </w:r>
      <w:r w:rsidR="000768A2">
        <w:t> </w:t>
      </w:r>
      <w:r>
        <w:t>3</w:t>
      </w:r>
      <w:r w:rsidR="00E56FD2">
        <w:t>9</w:t>
      </w:r>
      <w:r w:rsidRPr="00CB2B66">
        <w:t xml:space="preserve"> (ci-après «</w:t>
      </w:r>
      <w:r>
        <w:rPr>
          <w:rFonts w:ascii="Arial" w:hAnsi="Arial" w:cs="Arial"/>
        </w:rPr>
        <w:t> </w:t>
      </w:r>
      <w:r w:rsidRPr="00CB2B66">
        <w:t>Charte</w:t>
      </w:r>
      <w:r>
        <w:rPr>
          <w:rFonts w:ascii="Arial" w:hAnsi="Arial" w:cs="Arial"/>
        </w:rPr>
        <w:t> </w:t>
      </w:r>
      <w:r w:rsidRPr="00CB2B66">
        <w:t>»)</w:t>
      </w:r>
      <w:r w:rsidR="00E56FD2">
        <w:t>.</w:t>
      </w:r>
    </w:p>
  </w:footnote>
  <w:footnote w:id="42">
    <w:p w14:paraId="45502F8E" w14:textId="1062E329" w:rsidR="00D1707F" w:rsidRDefault="00D1707F" w:rsidP="000057AD">
      <w:pPr>
        <w:pStyle w:val="NotesBasPage"/>
      </w:pPr>
      <w:r>
        <w:rPr>
          <w:rStyle w:val="Appelnotedebasdep"/>
        </w:rPr>
        <w:footnoteRef/>
      </w:r>
      <w:r>
        <w:t xml:space="preserve"> </w:t>
      </w:r>
      <w:r>
        <w:tab/>
      </w:r>
      <w:r w:rsidR="009A4B0A">
        <w:t xml:space="preserve">Commission des droits de la personne et des droits de la jeunesse, </w:t>
      </w:r>
      <w:r w:rsidR="009A4B0A" w:rsidRPr="009A4B0A">
        <w:rPr>
          <w:i/>
          <w:iCs/>
        </w:rPr>
        <w:t>supra</w:t>
      </w:r>
      <w:r w:rsidR="009A4B0A">
        <w:t xml:space="preserve"> note </w:t>
      </w:r>
      <w:r w:rsidR="009A4B0A">
        <w:fldChar w:fldCharType="begin"/>
      </w:r>
      <w:r w:rsidR="009A4B0A">
        <w:instrText xml:space="preserve"> NOTEREF _Ref200549993 \h </w:instrText>
      </w:r>
      <w:r w:rsidR="009A4B0A">
        <w:fldChar w:fldCharType="separate"/>
      </w:r>
      <w:r w:rsidR="0085330E">
        <w:t>39</w:t>
      </w:r>
      <w:r w:rsidR="009A4B0A">
        <w:fldChar w:fldCharType="end"/>
      </w:r>
      <w:r w:rsidR="009A4B0A">
        <w:t xml:space="preserve"> </w:t>
      </w:r>
      <w:r w:rsidR="00CF775F">
        <w:t>à la p</w:t>
      </w:r>
      <w:r w:rsidR="000768A2">
        <w:t> </w:t>
      </w:r>
      <w:r w:rsidR="00CF775F">
        <w:t>33.</w:t>
      </w:r>
    </w:p>
  </w:footnote>
  <w:footnote w:id="43">
    <w:p w14:paraId="2C2E50A9" w14:textId="63AE74F8" w:rsidR="00D1707F" w:rsidRDefault="00D1707F" w:rsidP="000057AD">
      <w:pPr>
        <w:pStyle w:val="NotesBasPage"/>
      </w:pPr>
      <w:r>
        <w:rPr>
          <w:rStyle w:val="Appelnotedebasdep"/>
        </w:rPr>
        <w:footnoteRef/>
      </w:r>
      <w:r>
        <w:t xml:space="preserve"> </w:t>
      </w:r>
      <w:r w:rsidR="00CF775F">
        <w:tab/>
      </w:r>
      <w:r w:rsidR="00CF775F" w:rsidRPr="00CF775F">
        <w:rPr>
          <w:i/>
          <w:iCs/>
        </w:rPr>
        <w:t>Idem</w:t>
      </w:r>
      <w:r w:rsidR="00CF775F">
        <w:t xml:space="preserve"> à la p</w:t>
      </w:r>
      <w:r w:rsidR="000768A2">
        <w:t> </w:t>
      </w:r>
      <w:r w:rsidR="00CF775F">
        <w:t>34.</w:t>
      </w:r>
    </w:p>
  </w:footnote>
  <w:footnote w:id="44">
    <w:p w14:paraId="0CAD10EB" w14:textId="088C9DE8" w:rsidR="00636352" w:rsidRDefault="00D70D0C" w:rsidP="000057AD">
      <w:pPr>
        <w:pStyle w:val="NotesBasPage"/>
      </w:pPr>
      <w:r>
        <w:rPr>
          <w:rStyle w:val="Appelnotedebasdep"/>
        </w:rPr>
        <w:footnoteRef/>
      </w:r>
      <w:r>
        <w:t xml:space="preserve"> </w:t>
      </w:r>
      <w:r w:rsidR="000713F0">
        <w:tab/>
      </w:r>
      <w:r w:rsidR="006B5C98" w:rsidRPr="006B5C98">
        <w:t xml:space="preserve">Centre de recherche JEFAR, </w:t>
      </w:r>
      <w:r w:rsidR="006B5C98" w:rsidRPr="006B5C98">
        <w:rPr>
          <w:i/>
          <w:iCs/>
        </w:rPr>
        <w:t>Les impacts de la nouvelle Loi sur la protection de la jeunesse</w:t>
      </w:r>
      <w:r w:rsidR="00914C42">
        <w:rPr>
          <w:i/>
          <w:iCs/>
        </w:rPr>
        <w:t> </w:t>
      </w:r>
      <w:r w:rsidR="006B5C98" w:rsidRPr="006B5C98">
        <w:rPr>
          <w:i/>
          <w:iCs/>
        </w:rPr>
        <w:t>: un premier bilan</w:t>
      </w:r>
      <w:r w:rsidR="006B5C98" w:rsidRPr="006B5C98">
        <w:t>, Daniel Turcotte et al, Université Laval, 2011, à la p</w:t>
      </w:r>
      <w:r w:rsidR="000768A2">
        <w:t> </w:t>
      </w:r>
      <w:r w:rsidR="006B5C98" w:rsidRPr="006B5C98">
        <w:t>1, en ligne</w:t>
      </w:r>
      <w:r w:rsidR="00914C42">
        <w:t> </w:t>
      </w:r>
      <w:r w:rsidR="006B5C98" w:rsidRPr="006B5C98">
        <w:t>:</w:t>
      </w:r>
      <w:r w:rsidR="00636352">
        <w:t xml:space="preserve"> </w:t>
      </w:r>
      <w:hyperlink r:id="rId7" w:history="1">
        <w:r w:rsidR="00636352" w:rsidRPr="006843EB">
          <w:rPr>
            <w:rStyle w:val="Lienhypertexte"/>
          </w:rPr>
          <w:t>https://www.jefar.ulaval.ca/sites/jefar.ulaval.ca/files/uploads/rapports%20recherche/rapport_Turcotte_2011.pdf</w:t>
        </w:r>
      </w:hyperlink>
    </w:p>
  </w:footnote>
  <w:footnote w:id="45">
    <w:p w14:paraId="6D341B41" w14:textId="77777777" w:rsidR="00E2032B" w:rsidRDefault="00E2032B" w:rsidP="00E2032B">
      <w:pPr>
        <w:pStyle w:val="NotesBasPage"/>
      </w:pPr>
      <w:r>
        <w:rPr>
          <w:rStyle w:val="Appelnotedebasdep"/>
        </w:rPr>
        <w:footnoteRef/>
      </w:r>
      <w:r>
        <w:t xml:space="preserve"> </w:t>
      </w:r>
      <w:r>
        <w:tab/>
      </w:r>
      <w:r w:rsidRPr="006B5C98">
        <w:t>Centre de recherche JEFAR</w:t>
      </w:r>
      <w:r w:rsidRPr="007961A1">
        <w:rPr>
          <w:i/>
          <w:iCs/>
        </w:rPr>
        <w:t>, L’évaluation des impacts de la loi sur la protection de la jeunesse</w:t>
      </w:r>
      <w:r>
        <w:rPr>
          <w:i/>
          <w:iCs/>
        </w:rPr>
        <w:t> </w:t>
      </w:r>
      <w:r w:rsidRPr="007961A1">
        <w:rPr>
          <w:i/>
          <w:iCs/>
        </w:rPr>
        <w:t>: qu’en est-il huit ans plus tard</w:t>
      </w:r>
      <w:r>
        <w:rPr>
          <w:rFonts w:ascii="Arial" w:hAnsi="Arial" w:cs="Arial"/>
          <w:i/>
          <w:iCs/>
        </w:rPr>
        <w:t> </w:t>
      </w:r>
      <w:r w:rsidRPr="007961A1">
        <w:rPr>
          <w:i/>
          <w:iCs/>
        </w:rPr>
        <w:t>?</w:t>
      </w:r>
      <w:r>
        <w:t xml:space="preserve">, Sylvie Drapeau, Sonia Hélie, Daniel </w:t>
      </w:r>
      <w:r w:rsidRPr="007803D6">
        <w:t>Turcotte</w:t>
      </w:r>
      <w:r>
        <w:t xml:space="preserve"> et al</w:t>
      </w:r>
      <w:r w:rsidRPr="007803D6">
        <w:t xml:space="preserve">, </w:t>
      </w:r>
      <w:r>
        <w:t xml:space="preserve">Université Laval, </w:t>
      </w:r>
      <w:r w:rsidRPr="007803D6">
        <w:t>2015</w:t>
      </w:r>
      <w:r>
        <w:t xml:space="preserve">, en ligne : </w:t>
      </w:r>
      <w:hyperlink r:id="rId8" w:history="1">
        <w:r w:rsidRPr="006843EB">
          <w:rPr>
            <w:rStyle w:val="Lienhypertexte"/>
          </w:rPr>
          <w:t>https://www.crujef.ca/sites/crujef.ca/files/Publications/DRAPEAU_TURCOTTE_Rapport_ELPJ_2015_0.pdf</w:t>
        </w:r>
      </w:hyperlink>
    </w:p>
  </w:footnote>
  <w:footnote w:id="46">
    <w:p w14:paraId="73B8A90A" w14:textId="330305E3" w:rsidR="00F5608F" w:rsidRDefault="00F5608F" w:rsidP="000057AD">
      <w:pPr>
        <w:pStyle w:val="NotesBasPage"/>
      </w:pPr>
      <w:r>
        <w:rPr>
          <w:rStyle w:val="Appelnotedebasdep"/>
        </w:rPr>
        <w:footnoteRef/>
      </w:r>
      <w:r>
        <w:t xml:space="preserve"> </w:t>
      </w:r>
      <w:r w:rsidR="000713F0">
        <w:tab/>
      </w:r>
      <w:r w:rsidR="001E48DE" w:rsidRPr="001E48DE">
        <w:rPr>
          <w:i/>
          <w:iCs/>
        </w:rPr>
        <w:t>Idem</w:t>
      </w:r>
      <w:r w:rsidR="001E48DE">
        <w:t xml:space="preserve"> à la p</w:t>
      </w:r>
      <w:r w:rsidR="000768A2">
        <w:t> </w:t>
      </w:r>
      <w:r w:rsidR="001E48DE">
        <w:t>55.</w:t>
      </w:r>
    </w:p>
  </w:footnote>
  <w:footnote w:id="47">
    <w:p w14:paraId="0325CF3C" w14:textId="72489ED5" w:rsidR="003000D8" w:rsidRDefault="003000D8" w:rsidP="000057AD">
      <w:pPr>
        <w:pStyle w:val="NotesBasPage"/>
      </w:pPr>
      <w:r>
        <w:rPr>
          <w:rStyle w:val="Appelnotedebasdep"/>
        </w:rPr>
        <w:footnoteRef/>
      </w:r>
      <w:r>
        <w:t xml:space="preserve"> </w:t>
      </w:r>
      <w:r w:rsidR="005F60AF">
        <w:tab/>
      </w:r>
      <w:r w:rsidR="005F60AF" w:rsidRPr="00A06EF7">
        <w:rPr>
          <w:i/>
          <w:iCs/>
        </w:rPr>
        <w:t>Idem</w:t>
      </w:r>
      <w:r w:rsidR="005F60AF">
        <w:t xml:space="preserve"> à la p</w:t>
      </w:r>
      <w:r w:rsidR="000768A2">
        <w:t> </w:t>
      </w:r>
      <w:r w:rsidR="005F60AF">
        <w:t>64.</w:t>
      </w:r>
    </w:p>
  </w:footnote>
  <w:footnote w:id="48">
    <w:p w14:paraId="1C952AD8" w14:textId="5FE0C8C9" w:rsidR="005D1F2C" w:rsidRDefault="000B4670" w:rsidP="000057AD">
      <w:pPr>
        <w:pStyle w:val="NotesBasPage"/>
      </w:pPr>
      <w:r>
        <w:rPr>
          <w:rStyle w:val="Appelnotedebasdep"/>
        </w:rPr>
        <w:footnoteRef/>
      </w:r>
      <w:r>
        <w:t xml:space="preserve"> </w:t>
      </w:r>
      <w:r>
        <w:tab/>
      </w:r>
      <w:r w:rsidR="0015266F" w:rsidRPr="0015266F">
        <w:t xml:space="preserve">Chaire de recherche du Canada en services sociaux pour les enfants vulnérables, </w:t>
      </w:r>
      <w:r w:rsidR="0015266F" w:rsidRPr="00C85E62">
        <w:rPr>
          <w:i/>
          <w:iCs/>
        </w:rPr>
        <w:t>Évaluation des impacts de la Loi sur la protection de la jeunesse – Point de mire sur la réunification familiale et le replacement</w:t>
      </w:r>
      <w:r w:rsidR="0015266F" w:rsidRPr="0015266F">
        <w:t>, Sonia Hélie et Sylvie Drapeau, 2020, à la p</w:t>
      </w:r>
      <w:r w:rsidR="000768A2">
        <w:t> </w:t>
      </w:r>
      <w:r w:rsidR="0015266F" w:rsidRPr="0015266F">
        <w:t>29, en ligne</w:t>
      </w:r>
      <w:r w:rsidR="00914C42">
        <w:t> </w:t>
      </w:r>
      <w:r w:rsidR="0015266F" w:rsidRPr="0015266F">
        <w:t>:</w:t>
      </w:r>
      <w:r w:rsidR="0015266F">
        <w:t xml:space="preserve"> </w:t>
      </w:r>
      <w:hyperlink r:id="rId9" w:history="1">
        <w:r w:rsidR="005D1F2C" w:rsidRPr="006843EB">
          <w:rPr>
            <w:rStyle w:val="Lienhypertexte"/>
          </w:rPr>
          <w:t>https://iujd.ca/sites/iujd/files/media/document/Rapport%20ELPJ%203%20version%20integrale.pdf</w:t>
        </w:r>
      </w:hyperlink>
    </w:p>
  </w:footnote>
  <w:footnote w:id="49">
    <w:p w14:paraId="3CABE26D" w14:textId="524B1537" w:rsidR="0031714F" w:rsidRDefault="000B4670" w:rsidP="000057AD">
      <w:pPr>
        <w:pStyle w:val="NotesBasPage"/>
      </w:pPr>
      <w:r>
        <w:rPr>
          <w:rStyle w:val="Appelnotedebasdep"/>
        </w:rPr>
        <w:footnoteRef/>
      </w:r>
      <w:r>
        <w:t xml:space="preserve"> </w:t>
      </w:r>
      <w:r>
        <w:tab/>
      </w:r>
      <w:r w:rsidR="003A2556" w:rsidRPr="003A2556">
        <w:t>Sonia Hélie, Sophie Tremblay-Hébert, Marie-Andrée Poirier and Tonino Esposito, «</w:t>
      </w:r>
      <w:r w:rsidR="00D96428">
        <w:rPr>
          <w:rFonts w:ascii="Arial" w:hAnsi="Arial" w:cs="Arial"/>
        </w:rPr>
        <w:t> </w:t>
      </w:r>
      <w:r w:rsidR="003A2556" w:rsidRPr="003A2556">
        <w:t>Les trajectoires de placement menant à un milieu de vie permanent pour les enfants placés en milieu substitut</w:t>
      </w:r>
      <w:r w:rsidR="00530ED0">
        <w:t xml:space="preserve"> -</w:t>
      </w:r>
      <w:r w:rsidR="003A2556" w:rsidRPr="003A2556">
        <w:t xml:space="preserve"> Placement trajectories that lead to permanency for children placed in out-of-home care by child protection services</w:t>
      </w:r>
      <w:r w:rsidR="00D96428">
        <w:rPr>
          <w:rFonts w:ascii="Arial" w:hAnsi="Arial" w:cs="Arial"/>
        </w:rPr>
        <w:t> </w:t>
      </w:r>
      <w:r w:rsidR="003A2556" w:rsidRPr="003A2556">
        <w:t xml:space="preserve">», </w:t>
      </w:r>
      <w:r w:rsidR="003A2556" w:rsidRPr="003A2556">
        <w:rPr>
          <w:i/>
          <w:iCs/>
        </w:rPr>
        <w:t>Revue de psychoéducation</w:t>
      </w:r>
      <w:r w:rsidR="000768A2">
        <w:t> </w:t>
      </w:r>
      <w:r w:rsidR="003A2556" w:rsidRPr="003A2556">
        <w:t>51 (3) 153, en ligne</w:t>
      </w:r>
      <w:r w:rsidR="00914C42">
        <w:t> </w:t>
      </w:r>
      <w:r w:rsidR="003A2556" w:rsidRPr="003A2556">
        <w:t>:</w:t>
      </w:r>
      <w:r w:rsidR="003A2556">
        <w:t xml:space="preserve"> </w:t>
      </w:r>
      <w:hyperlink r:id="rId10" w:history="1">
        <w:r w:rsidR="0031714F" w:rsidRPr="006843EB">
          <w:rPr>
            <w:rStyle w:val="Lienhypertexte"/>
          </w:rPr>
          <w:t>https://www.erudit.org/en/journals/psyedu/2022-v51-n3-psyedu07465/1093883ar.pdf</w:t>
        </w:r>
      </w:hyperlink>
    </w:p>
  </w:footnote>
  <w:footnote w:id="50">
    <w:p w14:paraId="00295DA9" w14:textId="4C7A2204" w:rsidR="00A67E68" w:rsidRDefault="00A67E68" w:rsidP="000057AD">
      <w:pPr>
        <w:pStyle w:val="NotesBasPage"/>
      </w:pPr>
      <w:r>
        <w:rPr>
          <w:rStyle w:val="Appelnotedebasdep"/>
        </w:rPr>
        <w:footnoteRef/>
      </w:r>
      <w:r>
        <w:t xml:space="preserve"> </w:t>
      </w:r>
      <w:r w:rsidR="00B303D4">
        <w:tab/>
      </w:r>
      <w:r w:rsidR="007B1AC2">
        <w:t xml:space="preserve">Chaire </w:t>
      </w:r>
      <w:r w:rsidR="003D3A9C">
        <w:t>– Réseau de recherche sur la jeunesse du Québec</w:t>
      </w:r>
      <w:r w:rsidR="007B1AC2">
        <w:t xml:space="preserve">, </w:t>
      </w:r>
      <w:r w:rsidR="0094351C" w:rsidRPr="00A80C60">
        <w:rPr>
          <w:i/>
          <w:iCs/>
        </w:rPr>
        <w:t>Évaluation des impacts</w:t>
      </w:r>
      <w:r w:rsidR="00AC372C" w:rsidRPr="00A80C60">
        <w:rPr>
          <w:i/>
          <w:iCs/>
        </w:rPr>
        <w:t xml:space="preserve"> </w:t>
      </w:r>
      <w:r w:rsidR="0094351C" w:rsidRPr="00A80C60">
        <w:rPr>
          <w:i/>
          <w:iCs/>
        </w:rPr>
        <w:t>de la loi sur la protection de la jeunesse</w:t>
      </w:r>
      <w:r w:rsidR="00AC372C" w:rsidRPr="00A80C60">
        <w:rPr>
          <w:i/>
          <w:iCs/>
        </w:rPr>
        <w:t xml:space="preserve"> - </w:t>
      </w:r>
      <w:r w:rsidR="00E754E1" w:rsidRPr="00A80C60">
        <w:rPr>
          <w:i/>
          <w:iCs/>
        </w:rPr>
        <w:t>Point de mire sur la réunification familiale et le replacement</w:t>
      </w:r>
      <w:r w:rsidR="00AC372C">
        <w:t>,</w:t>
      </w:r>
      <w:r w:rsidR="0094351C">
        <w:t xml:space="preserve"> Sonia Hélie</w:t>
      </w:r>
      <w:r w:rsidR="001D23FF">
        <w:t xml:space="preserve">, </w:t>
      </w:r>
      <w:r w:rsidR="0094351C">
        <w:t>Sylvie Drapeau,</w:t>
      </w:r>
      <w:r w:rsidR="000F0E61" w:rsidRPr="000F0E61">
        <w:t xml:space="preserve"> Doris Ch</w:t>
      </w:r>
      <w:r w:rsidR="00FC1973">
        <w:t>a</w:t>
      </w:r>
      <w:r w:rsidR="000F0E61" w:rsidRPr="000F0E61">
        <w:t>teauneuf</w:t>
      </w:r>
      <w:r w:rsidR="000F0E61">
        <w:t xml:space="preserve">, </w:t>
      </w:r>
      <w:r w:rsidR="000F0E61" w:rsidRPr="000F0E61">
        <w:t>Tonino Esposito</w:t>
      </w:r>
      <w:r w:rsidR="000F0E61">
        <w:t xml:space="preserve">, </w:t>
      </w:r>
      <w:r w:rsidR="00A30BBF" w:rsidRPr="00A30BBF">
        <w:t>Julie Noël</w:t>
      </w:r>
      <w:r w:rsidR="00A30BBF">
        <w:t xml:space="preserve">, </w:t>
      </w:r>
      <w:r w:rsidR="00A30BBF" w:rsidRPr="00A30BBF">
        <w:t>Marie-Andrée Poirier</w:t>
      </w:r>
      <w:r w:rsidR="00A30BBF">
        <w:t xml:space="preserve"> et </w:t>
      </w:r>
      <w:r w:rsidR="00A30BBF" w:rsidRPr="00A30BBF">
        <w:t>Marie-Christine Saint-Jacques</w:t>
      </w:r>
      <w:r w:rsidR="007B1AC2">
        <w:t>, 20</w:t>
      </w:r>
      <w:r w:rsidR="00DC6F30">
        <w:t>20, aux pp</w:t>
      </w:r>
      <w:r w:rsidR="000768A2">
        <w:t> </w:t>
      </w:r>
      <w:r w:rsidR="00DC6F30" w:rsidRPr="00B303D4">
        <w:t>1</w:t>
      </w:r>
      <w:r w:rsidR="00DC6F30">
        <w:t>5</w:t>
      </w:r>
      <w:r w:rsidR="00DC6F30" w:rsidRPr="00B303D4">
        <w:t>3-1</w:t>
      </w:r>
      <w:r w:rsidR="00DC6F30">
        <w:t xml:space="preserve">59 en ligne : </w:t>
      </w:r>
      <w:hyperlink r:id="rId11" w:history="1">
        <w:r w:rsidR="00DC6F30" w:rsidRPr="00EA5A15">
          <w:rPr>
            <w:rStyle w:val="Lienhypertexte"/>
          </w:rPr>
          <w:t>https://www.chairejeunesse.ca/sites/default/files/2021-04/Minist%C3%A8re%20de%20la%20Sant%C3%A9%20et%20des%20services%20sociaux%2C%202020.pdf</w:t>
        </w:r>
      </w:hyperlink>
      <w:r w:rsidR="00B303D4" w:rsidRPr="00B303D4">
        <w:t>.</w:t>
      </w:r>
      <w:r w:rsidR="00B303D4">
        <w:t xml:space="preserve"> </w:t>
      </w:r>
    </w:p>
  </w:footnote>
  <w:footnote w:id="51">
    <w:p w14:paraId="6CDECF1C" w14:textId="778F9494" w:rsidR="000E6861" w:rsidRDefault="000E6861" w:rsidP="000057AD">
      <w:pPr>
        <w:pStyle w:val="NotesBasPage"/>
      </w:pPr>
      <w:r>
        <w:rPr>
          <w:rStyle w:val="Appelnotedebasdep"/>
        </w:rPr>
        <w:footnoteRef/>
      </w:r>
      <w:r>
        <w:t xml:space="preserve"> </w:t>
      </w:r>
      <w:r w:rsidR="00032F1D">
        <w:tab/>
      </w:r>
      <w:bookmarkStart w:id="39" w:name="_Hlk200630668"/>
      <w:r w:rsidR="00746E42">
        <w:t>CSDEPJ</w:t>
      </w:r>
      <w:r w:rsidR="00746E42">
        <w:rPr>
          <w:i/>
          <w:iCs/>
        </w:rPr>
        <w:t xml:space="preserve">, </w:t>
      </w:r>
      <w:r w:rsidR="00F65836" w:rsidRPr="00F65836">
        <w:rPr>
          <w:i/>
          <w:iCs/>
        </w:rPr>
        <w:t>supra</w:t>
      </w:r>
      <w:r w:rsidR="00F65836" w:rsidRPr="00F65836">
        <w:t xml:space="preserve"> note</w:t>
      </w:r>
      <w:r w:rsidR="000768A2">
        <w:t> </w:t>
      </w:r>
      <w:r w:rsidR="00F65836">
        <w:fldChar w:fldCharType="begin"/>
      </w:r>
      <w:r w:rsidR="00F65836">
        <w:instrText xml:space="preserve"> NOTEREF _Ref200460822 \h </w:instrText>
      </w:r>
      <w:r w:rsidR="000057AD">
        <w:instrText xml:space="preserve"> \* MERGEFORMAT </w:instrText>
      </w:r>
      <w:r w:rsidR="00F65836">
        <w:fldChar w:fldCharType="separate"/>
      </w:r>
      <w:r w:rsidR="0085330E">
        <w:t>6</w:t>
      </w:r>
      <w:r w:rsidR="00F65836">
        <w:fldChar w:fldCharType="end"/>
      </w:r>
      <w:bookmarkEnd w:id="39"/>
      <w:r w:rsidR="00872469">
        <w:t xml:space="preserve"> </w:t>
      </w:r>
      <w:r w:rsidR="00F65836" w:rsidRPr="00F65836">
        <w:t>à la p</w:t>
      </w:r>
      <w:r w:rsidR="000768A2">
        <w:t> </w:t>
      </w:r>
      <w:r w:rsidR="00F65836" w:rsidRPr="00F65836">
        <w:t>179</w:t>
      </w:r>
      <w:r w:rsidR="00483E72">
        <w:t>.</w:t>
      </w:r>
      <w:r w:rsidR="00746E42" w:rsidRPr="00746E42">
        <w:t xml:space="preserve"> </w:t>
      </w:r>
    </w:p>
  </w:footnote>
  <w:footnote w:id="52">
    <w:p w14:paraId="105D3701" w14:textId="7414FCA3" w:rsidR="006561F0" w:rsidRDefault="006561F0" w:rsidP="000057AD">
      <w:pPr>
        <w:pStyle w:val="NotesBasPage"/>
      </w:pPr>
      <w:r>
        <w:rPr>
          <w:rStyle w:val="Appelnotedebasdep"/>
        </w:rPr>
        <w:footnoteRef/>
      </w:r>
      <w:r>
        <w:t xml:space="preserve"> </w:t>
      </w:r>
      <w:r w:rsidR="00032F1D">
        <w:tab/>
      </w:r>
      <w:r w:rsidR="002779BB" w:rsidRPr="002779BB">
        <w:rPr>
          <w:i/>
          <w:iCs/>
        </w:rPr>
        <w:t>Idem</w:t>
      </w:r>
      <w:r w:rsidR="002779BB" w:rsidRPr="002779BB">
        <w:t xml:space="preserve"> à la p</w:t>
      </w:r>
      <w:r w:rsidR="000768A2">
        <w:t> </w:t>
      </w:r>
      <w:r w:rsidR="002779BB" w:rsidRPr="002779BB">
        <w:t>179</w:t>
      </w:r>
      <w:r w:rsidR="002779BB">
        <w:t xml:space="preserve"> et </w:t>
      </w:r>
      <w:r w:rsidR="002779BB" w:rsidRPr="002779BB">
        <w:t>213</w:t>
      </w:r>
      <w:r w:rsidR="00FA6955">
        <w:t>.</w:t>
      </w:r>
    </w:p>
  </w:footnote>
  <w:footnote w:id="53">
    <w:p w14:paraId="060C7F66" w14:textId="71E2193D" w:rsidR="00FE1759" w:rsidRDefault="00FE1759" w:rsidP="000057AD">
      <w:pPr>
        <w:pStyle w:val="NotesBasPage"/>
      </w:pPr>
      <w:r>
        <w:rPr>
          <w:rStyle w:val="Appelnotedebasdep"/>
        </w:rPr>
        <w:footnoteRef/>
      </w:r>
      <w:r>
        <w:t xml:space="preserve"> </w:t>
      </w:r>
      <w:r w:rsidR="00032F1D">
        <w:tab/>
      </w:r>
      <w:r w:rsidR="008F6588" w:rsidRPr="00483E72">
        <w:rPr>
          <w:i/>
          <w:iCs/>
        </w:rPr>
        <w:t>Idem</w:t>
      </w:r>
      <w:r w:rsidR="008F6588" w:rsidRPr="008F6588">
        <w:t xml:space="preserve"> à la p183.</w:t>
      </w:r>
    </w:p>
  </w:footnote>
  <w:footnote w:id="54">
    <w:p w14:paraId="21922897" w14:textId="29E28CCB" w:rsidR="000E6861" w:rsidRDefault="000E6861" w:rsidP="000057AD">
      <w:pPr>
        <w:pStyle w:val="NotesBasPage"/>
      </w:pPr>
      <w:r>
        <w:rPr>
          <w:rStyle w:val="Appelnotedebasdep"/>
        </w:rPr>
        <w:footnoteRef/>
      </w:r>
      <w:r>
        <w:t xml:space="preserve"> </w:t>
      </w:r>
      <w:r w:rsidR="00032F1D">
        <w:tab/>
      </w:r>
      <w:r w:rsidR="00A33DAC" w:rsidRPr="00483E72">
        <w:rPr>
          <w:i/>
          <w:iCs/>
        </w:rPr>
        <w:t>Idem</w:t>
      </w:r>
      <w:r w:rsidR="00A33DAC" w:rsidRPr="00A33DAC">
        <w:t xml:space="preserve"> à la p</w:t>
      </w:r>
      <w:r w:rsidR="000768A2">
        <w:t> </w:t>
      </w:r>
      <w:r w:rsidR="00A33DAC" w:rsidRPr="00A33DAC">
        <w:t>182.</w:t>
      </w:r>
    </w:p>
  </w:footnote>
  <w:footnote w:id="55">
    <w:p w14:paraId="4B46B814" w14:textId="7B9508D8" w:rsidR="000E6861" w:rsidRDefault="000E6861" w:rsidP="000057AD">
      <w:pPr>
        <w:pStyle w:val="NotesBasPage"/>
      </w:pPr>
      <w:r>
        <w:rPr>
          <w:rStyle w:val="Appelnotedebasdep"/>
        </w:rPr>
        <w:footnoteRef/>
      </w:r>
      <w:r>
        <w:t xml:space="preserve"> </w:t>
      </w:r>
      <w:r w:rsidR="00032F1D">
        <w:tab/>
      </w:r>
      <w:r w:rsidR="00CA6041" w:rsidRPr="00483E72">
        <w:rPr>
          <w:i/>
          <w:iCs/>
        </w:rPr>
        <w:t>Idem</w:t>
      </w:r>
      <w:r w:rsidR="00CA6041" w:rsidRPr="00CA6041">
        <w:t xml:space="preserve"> à la p</w:t>
      </w:r>
      <w:r w:rsidR="000768A2">
        <w:t> </w:t>
      </w:r>
      <w:r w:rsidR="00CA6041" w:rsidRPr="00CA6041">
        <w:t>183</w:t>
      </w:r>
      <w:r w:rsidR="00483E72">
        <w:t>.</w:t>
      </w:r>
    </w:p>
  </w:footnote>
  <w:footnote w:id="56">
    <w:p w14:paraId="2C195A60" w14:textId="3F4731CC" w:rsidR="000E6861" w:rsidRDefault="000E6861" w:rsidP="000057AD">
      <w:pPr>
        <w:pStyle w:val="NotesBasPage"/>
      </w:pPr>
      <w:r>
        <w:rPr>
          <w:rStyle w:val="Appelnotedebasdep"/>
        </w:rPr>
        <w:footnoteRef/>
      </w:r>
      <w:r>
        <w:t xml:space="preserve"> </w:t>
      </w:r>
      <w:r w:rsidR="00032F1D">
        <w:tab/>
      </w:r>
      <w:r w:rsidR="00483E72" w:rsidRPr="00483E72">
        <w:rPr>
          <w:i/>
          <w:iCs/>
        </w:rPr>
        <w:t>Idem</w:t>
      </w:r>
      <w:r w:rsidR="00483E72" w:rsidRPr="00483E72">
        <w:t xml:space="preserve"> à la p</w:t>
      </w:r>
      <w:r w:rsidR="000768A2">
        <w:t> </w:t>
      </w:r>
      <w:r w:rsidR="00483E72" w:rsidRPr="00483E72">
        <w:t>187</w:t>
      </w:r>
      <w:r w:rsidR="00483E72">
        <w:t>.</w:t>
      </w:r>
    </w:p>
  </w:footnote>
  <w:footnote w:id="57">
    <w:p w14:paraId="477DD4BD" w14:textId="3A0DE6E3" w:rsidR="001147C7" w:rsidRDefault="001147C7" w:rsidP="000057AD">
      <w:pPr>
        <w:pStyle w:val="NotesBasPage"/>
      </w:pPr>
      <w:r>
        <w:rPr>
          <w:rStyle w:val="Appelnotedebasdep"/>
        </w:rPr>
        <w:footnoteRef/>
      </w:r>
      <w:r>
        <w:t xml:space="preserve"> </w:t>
      </w:r>
      <w:r w:rsidR="00032F1D">
        <w:tab/>
      </w:r>
      <w:r w:rsidR="00864CBA" w:rsidRPr="00902C31">
        <w:rPr>
          <w:i/>
          <w:iCs/>
        </w:rPr>
        <w:t>Idem</w:t>
      </w:r>
      <w:r w:rsidR="00864CBA" w:rsidRPr="00864CBA">
        <w:t xml:space="preserve"> à la p</w:t>
      </w:r>
      <w:r w:rsidR="000768A2">
        <w:t> </w:t>
      </w:r>
      <w:r w:rsidR="00864CBA" w:rsidRPr="00864CBA">
        <w:t>81</w:t>
      </w:r>
      <w:r w:rsidR="00864CBA">
        <w:t>.</w:t>
      </w:r>
    </w:p>
  </w:footnote>
  <w:footnote w:id="58">
    <w:p w14:paraId="2E651441" w14:textId="6296D4D3" w:rsidR="00032F1D" w:rsidRDefault="00032F1D" w:rsidP="000057AD">
      <w:pPr>
        <w:pStyle w:val="NotesBasPage"/>
      </w:pPr>
      <w:r>
        <w:rPr>
          <w:rStyle w:val="Appelnotedebasdep"/>
        </w:rPr>
        <w:footnoteRef/>
      </w:r>
      <w:r>
        <w:t xml:space="preserve"> </w:t>
      </w:r>
      <w:r>
        <w:tab/>
      </w:r>
      <w:r w:rsidR="00484CF5" w:rsidRPr="00902C31">
        <w:rPr>
          <w:i/>
          <w:iCs/>
        </w:rPr>
        <w:t>Idem</w:t>
      </w:r>
      <w:r w:rsidR="00484CF5" w:rsidRPr="00484CF5">
        <w:t xml:space="preserve"> à la p</w:t>
      </w:r>
      <w:r w:rsidR="000768A2">
        <w:t> </w:t>
      </w:r>
      <w:r w:rsidR="00484CF5" w:rsidRPr="00484CF5">
        <w:t>191</w:t>
      </w:r>
      <w:r w:rsidR="00484CF5">
        <w:t>.</w:t>
      </w:r>
    </w:p>
  </w:footnote>
  <w:footnote w:id="59">
    <w:p w14:paraId="2A7DB411" w14:textId="051B8786" w:rsidR="001147C7" w:rsidRDefault="001147C7" w:rsidP="000057AD">
      <w:pPr>
        <w:pStyle w:val="NotesBasPage"/>
      </w:pPr>
      <w:r>
        <w:rPr>
          <w:rStyle w:val="Appelnotedebasdep"/>
        </w:rPr>
        <w:footnoteRef/>
      </w:r>
      <w:r>
        <w:t xml:space="preserve"> </w:t>
      </w:r>
      <w:r w:rsidR="00032F1D">
        <w:tab/>
      </w:r>
      <w:r w:rsidR="00902C31" w:rsidRPr="00902C31">
        <w:rPr>
          <w:i/>
          <w:iCs/>
        </w:rPr>
        <w:t>Idem</w:t>
      </w:r>
      <w:r w:rsidR="00902C31" w:rsidRPr="00902C31">
        <w:t xml:space="preserve"> à la p</w:t>
      </w:r>
      <w:r w:rsidR="000768A2">
        <w:t> </w:t>
      </w:r>
      <w:r w:rsidR="00902C31" w:rsidRPr="00902C31">
        <w:t>190.</w:t>
      </w:r>
    </w:p>
  </w:footnote>
  <w:footnote w:id="60">
    <w:p w14:paraId="40A29774" w14:textId="629D0F92" w:rsidR="00151645" w:rsidRDefault="00151645" w:rsidP="000057AD">
      <w:pPr>
        <w:pStyle w:val="NotesBasPage"/>
      </w:pPr>
      <w:r>
        <w:rPr>
          <w:rStyle w:val="Appelnotedebasdep"/>
        </w:rPr>
        <w:footnoteRef/>
      </w:r>
      <w:r>
        <w:t xml:space="preserve"> </w:t>
      </w:r>
      <w:r w:rsidR="00083C4D">
        <w:tab/>
      </w:r>
      <w:r w:rsidR="00234726" w:rsidRPr="00AA2589">
        <w:rPr>
          <w:i/>
          <w:iCs/>
        </w:rPr>
        <w:t>Idem</w:t>
      </w:r>
      <w:r w:rsidR="00234726" w:rsidRPr="00234726">
        <w:t xml:space="preserve"> à la p</w:t>
      </w:r>
      <w:r w:rsidR="000768A2">
        <w:t> </w:t>
      </w:r>
      <w:r w:rsidR="00234726" w:rsidRPr="00234726">
        <w:t>183</w:t>
      </w:r>
      <w:r w:rsidR="00AA2589">
        <w:t>.</w:t>
      </w:r>
    </w:p>
  </w:footnote>
  <w:footnote w:id="61">
    <w:p w14:paraId="152AF317" w14:textId="34891758" w:rsidR="00151645" w:rsidRDefault="00151645" w:rsidP="000057AD">
      <w:pPr>
        <w:pStyle w:val="NotesBasPage"/>
      </w:pPr>
      <w:r>
        <w:rPr>
          <w:rStyle w:val="Appelnotedebasdep"/>
        </w:rPr>
        <w:footnoteRef/>
      </w:r>
      <w:r>
        <w:t xml:space="preserve"> </w:t>
      </w:r>
      <w:r w:rsidR="00083C4D">
        <w:tab/>
      </w:r>
      <w:r w:rsidR="00713C61" w:rsidRPr="00AA2589">
        <w:rPr>
          <w:i/>
          <w:iCs/>
        </w:rPr>
        <w:t>Idem</w:t>
      </w:r>
      <w:r w:rsidR="00713C61" w:rsidRPr="00713C61">
        <w:t xml:space="preserve"> à la p</w:t>
      </w:r>
      <w:r w:rsidR="000768A2">
        <w:t> </w:t>
      </w:r>
      <w:r w:rsidR="00713C61" w:rsidRPr="00713C61">
        <w:t>190</w:t>
      </w:r>
      <w:r w:rsidR="00AA2589">
        <w:t>.</w:t>
      </w:r>
    </w:p>
  </w:footnote>
  <w:footnote w:id="62">
    <w:p w14:paraId="2BE9A0C5" w14:textId="70D43C83" w:rsidR="00151645" w:rsidRDefault="00151645" w:rsidP="000057AD">
      <w:pPr>
        <w:pStyle w:val="NotesBasPage"/>
      </w:pPr>
      <w:r>
        <w:rPr>
          <w:rStyle w:val="Appelnotedebasdep"/>
        </w:rPr>
        <w:footnoteRef/>
      </w:r>
      <w:r>
        <w:t xml:space="preserve"> </w:t>
      </w:r>
      <w:r w:rsidR="00083C4D">
        <w:tab/>
      </w:r>
      <w:r w:rsidR="009852CC" w:rsidRPr="00AA2589">
        <w:rPr>
          <w:i/>
          <w:iCs/>
        </w:rPr>
        <w:t>Idem</w:t>
      </w:r>
      <w:r w:rsidR="009852CC" w:rsidRPr="009852CC">
        <w:t xml:space="preserve"> à la p</w:t>
      </w:r>
      <w:r w:rsidR="000768A2">
        <w:t> </w:t>
      </w:r>
      <w:r w:rsidR="009852CC" w:rsidRPr="009852CC">
        <w:t>191</w:t>
      </w:r>
      <w:r w:rsidR="00AA2589">
        <w:t>.</w:t>
      </w:r>
    </w:p>
  </w:footnote>
  <w:footnote w:id="63">
    <w:p w14:paraId="03E1FAFD" w14:textId="5939B226" w:rsidR="00151645" w:rsidRDefault="00151645" w:rsidP="000057AD">
      <w:pPr>
        <w:pStyle w:val="NotesBasPage"/>
      </w:pPr>
      <w:r>
        <w:rPr>
          <w:rStyle w:val="Appelnotedebasdep"/>
        </w:rPr>
        <w:footnoteRef/>
      </w:r>
      <w:r>
        <w:t xml:space="preserve"> </w:t>
      </w:r>
      <w:r w:rsidR="00083C4D">
        <w:tab/>
      </w:r>
      <w:r w:rsidR="00CC25B7" w:rsidRPr="00AA2589">
        <w:rPr>
          <w:i/>
          <w:iCs/>
        </w:rPr>
        <w:t>Idem</w:t>
      </w:r>
      <w:r w:rsidR="00CC25B7" w:rsidRPr="00CC25B7">
        <w:t xml:space="preserve"> à la p</w:t>
      </w:r>
      <w:r w:rsidR="000768A2">
        <w:t> </w:t>
      </w:r>
      <w:r w:rsidR="00CC25B7" w:rsidRPr="00CC25B7">
        <w:t>193.</w:t>
      </w:r>
    </w:p>
  </w:footnote>
  <w:footnote w:id="64">
    <w:p w14:paraId="55187DB4" w14:textId="28C74F42" w:rsidR="00151645" w:rsidRDefault="00151645" w:rsidP="000057AD">
      <w:pPr>
        <w:pStyle w:val="NotesBasPage"/>
      </w:pPr>
      <w:r>
        <w:rPr>
          <w:rStyle w:val="Appelnotedebasdep"/>
        </w:rPr>
        <w:footnoteRef/>
      </w:r>
      <w:r>
        <w:t xml:space="preserve"> </w:t>
      </w:r>
      <w:r w:rsidR="00083C4D">
        <w:tab/>
      </w:r>
      <w:r w:rsidR="00AA2589" w:rsidRPr="00AA2589">
        <w:rPr>
          <w:i/>
          <w:iCs/>
        </w:rPr>
        <w:t>Idem</w:t>
      </w:r>
      <w:r w:rsidR="00AA2589" w:rsidRPr="00AA2589">
        <w:t xml:space="preserve"> à la p</w:t>
      </w:r>
      <w:r w:rsidR="000768A2">
        <w:t> </w:t>
      </w:r>
      <w:r w:rsidR="00AA2589" w:rsidRPr="00AA2589">
        <w:t>187.</w:t>
      </w:r>
    </w:p>
  </w:footnote>
  <w:footnote w:id="65">
    <w:p w14:paraId="52E26D40" w14:textId="6B054DD9" w:rsidR="00A30070" w:rsidRDefault="00A30070" w:rsidP="000057AD">
      <w:pPr>
        <w:pStyle w:val="NotesBasPage"/>
      </w:pPr>
      <w:r>
        <w:rPr>
          <w:rStyle w:val="Appelnotedebasdep"/>
        </w:rPr>
        <w:footnoteRef/>
      </w:r>
      <w:r>
        <w:t xml:space="preserve"> </w:t>
      </w:r>
      <w:r>
        <w:tab/>
      </w:r>
      <w:r w:rsidR="00391F44" w:rsidRPr="00A30CE6">
        <w:rPr>
          <w:i/>
          <w:iCs/>
        </w:rPr>
        <w:t>Idem</w:t>
      </w:r>
      <w:r w:rsidR="00391F44" w:rsidRPr="00391F44">
        <w:t xml:space="preserve"> à la p</w:t>
      </w:r>
      <w:r w:rsidR="000768A2">
        <w:t> </w:t>
      </w:r>
      <w:r w:rsidR="00391F44" w:rsidRPr="00391F44">
        <w:t>214</w:t>
      </w:r>
      <w:r w:rsidR="00A30CE6">
        <w:t>.</w:t>
      </w:r>
    </w:p>
  </w:footnote>
  <w:footnote w:id="66">
    <w:p w14:paraId="221D0202" w14:textId="1F2A2A10" w:rsidR="00A30070" w:rsidRDefault="00A30070" w:rsidP="000057AD">
      <w:pPr>
        <w:pStyle w:val="NotesBasPage"/>
      </w:pPr>
      <w:r>
        <w:rPr>
          <w:rStyle w:val="Appelnotedebasdep"/>
        </w:rPr>
        <w:footnoteRef/>
      </w:r>
      <w:r>
        <w:t xml:space="preserve"> </w:t>
      </w:r>
      <w:r>
        <w:tab/>
      </w:r>
      <w:r w:rsidR="00A30CE6" w:rsidRPr="00A30CE6">
        <w:rPr>
          <w:i/>
          <w:iCs/>
        </w:rPr>
        <w:t>Idem</w:t>
      </w:r>
      <w:r w:rsidR="00A30CE6" w:rsidRPr="00A30CE6">
        <w:t xml:space="preserve"> à la p</w:t>
      </w:r>
      <w:r w:rsidR="000768A2">
        <w:t> </w:t>
      </w:r>
      <w:r w:rsidR="00A30CE6" w:rsidRPr="00A30CE6">
        <w:t>195.</w:t>
      </w:r>
    </w:p>
  </w:footnote>
  <w:footnote w:id="67">
    <w:p w14:paraId="69850FC4" w14:textId="1DC887A6" w:rsidR="00A30070" w:rsidRDefault="00A30070" w:rsidP="000057AD">
      <w:pPr>
        <w:pStyle w:val="NotesBasPage"/>
      </w:pPr>
      <w:r>
        <w:rPr>
          <w:rStyle w:val="Appelnotedebasdep"/>
        </w:rPr>
        <w:footnoteRef/>
      </w:r>
      <w:r>
        <w:t xml:space="preserve"> </w:t>
      </w:r>
      <w:r w:rsidR="00A30CE6">
        <w:tab/>
      </w:r>
      <w:r w:rsidR="006B79C7" w:rsidRPr="00B200B2">
        <w:rPr>
          <w:i/>
          <w:iCs/>
        </w:rPr>
        <w:t>Idem</w:t>
      </w:r>
      <w:r w:rsidR="006B79C7" w:rsidRPr="006B79C7">
        <w:t xml:space="preserve"> à la p</w:t>
      </w:r>
      <w:r w:rsidR="000768A2">
        <w:t> </w:t>
      </w:r>
      <w:r w:rsidR="006B79C7" w:rsidRPr="006B79C7">
        <w:t>180</w:t>
      </w:r>
      <w:r w:rsidR="006B79C7">
        <w:t>.</w:t>
      </w:r>
    </w:p>
  </w:footnote>
  <w:footnote w:id="68">
    <w:p w14:paraId="21E33086" w14:textId="37355CFD" w:rsidR="00A30070" w:rsidRDefault="00A30070" w:rsidP="000057AD">
      <w:pPr>
        <w:pStyle w:val="NotesBasPage"/>
      </w:pPr>
      <w:r>
        <w:rPr>
          <w:rStyle w:val="Appelnotedebasdep"/>
        </w:rPr>
        <w:footnoteRef/>
      </w:r>
      <w:r>
        <w:t xml:space="preserve"> </w:t>
      </w:r>
      <w:r w:rsidR="001C0E33">
        <w:tab/>
      </w:r>
      <w:r w:rsidR="001C0E33">
        <w:rPr>
          <w:i/>
          <w:sz w:val="19"/>
        </w:rPr>
        <w:t>Idem</w:t>
      </w:r>
      <w:r w:rsidR="001C0E33">
        <w:rPr>
          <w:i/>
          <w:spacing w:val="-9"/>
          <w:sz w:val="19"/>
        </w:rPr>
        <w:t xml:space="preserve"> </w:t>
      </w:r>
      <w:r w:rsidR="001C0E33">
        <w:t>à</w:t>
      </w:r>
      <w:r w:rsidR="001C0E33">
        <w:rPr>
          <w:spacing w:val="-7"/>
        </w:rPr>
        <w:t xml:space="preserve"> </w:t>
      </w:r>
      <w:r w:rsidR="001C0E33">
        <w:t>la</w:t>
      </w:r>
      <w:r w:rsidR="001C0E33">
        <w:rPr>
          <w:spacing w:val="-7"/>
        </w:rPr>
        <w:t xml:space="preserve"> </w:t>
      </w:r>
      <w:r w:rsidR="001C0E33">
        <w:t>p</w:t>
      </w:r>
      <w:r w:rsidR="000768A2">
        <w:rPr>
          <w:spacing w:val="-7"/>
        </w:rPr>
        <w:t> </w:t>
      </w:r>
      <w:r w:rsidR="001C0E33">
        <w:rPr>
          <w:spacing w:val="-4"/>
        </w:rPr>
        <w:t>181</w:t>
      </w:r>
    </w:p>
  </w:footnote>
  <w:footnote w:id="69">
    <w:p w14:paraId="5298E1E2" w14:textId="6394F601" w:rsidR="00A30070" w:rsidRDefault="00A30070" w:rsidP="000057AD">
      <w:pPr>
        <w:pStyle w:val="NotesBasPage"/>
      </w:pPr>
      <w:r>
        <w:rPr>
          <w:rStyle w:val="Appelnotedebasdep"/>
        </w:rPr>
        <w:footnoteRef/>
      </w:r>
      <w:r>
        <w:t xml:space="preserve"> </w:t>
      </w:r>
      <w:r w:rsidR="001C0E33">
        <w:tab/>
      </w:r>
      <w:r w:rsidR="00B80CB2" w:rsidRPr="00B200B2">
        <w:rPr>
          <w:i/>
          <w:iCs/>
        </w:rPr>
        <w:t>Idem</w:t>
      </w:r>
      <w:r w:rsidR="00B80CB2" w:rsidRPr="00B80CB2">
        <w:t xml:space="preserve"> à la p</w:t>
      </w:r>
      <w:r w:rsidR="000768A2">
        <w:t> </w:t>
      </w:r>
      <w:r w:rsidR="00B80CB2" w:rsidRPr="00B80CB2">
        <w:t>214</w:t>
      </w:r>
    </w:p>
  </w:footnote>
  <w:footnote w:id="70">
    <w:p w14:paraId="220014D8" w14:textId="11779605" w:rsidR="00A30070" w:rsidRDefault="00A30070" w:rsidP="000057AD">
      <w:pPr>
        <w:pStyle w:val="NotesBasPage"/>
      </w:pPr>
      <w:r>
        <w:rPr>
          <w:rStyle w:val="Appelnotedebasdep"/>
        </w:rPr>
        <w:footnoteRef/>
      </w:r>
      <w:r>
        <w:t xml:space="preserve"> </w:t>
      </w:r>
      <w:r w:rsidR="00853240">
        <w:tab/>
      </w:r>
      <w:r w:rsidR="00853240" w:rsidRPr="00B200B2">
        <w:rPr>
          <w:i/>
          <w:iCs/>
        </w:rPr>
        <w:t>Idem</w:t>
      </w:r>
      <w:r w:rsidR="00853240" w:rsidRPr="00853240">
        <w:t xml:space="preserve"> à la p</w:t>
      </w:r>
      <w:r w:rsidR="000768A2">
        <w:t> </w:t>
      </w:r>
      <w:r w:rsidR="00853240" w:rsidRPr="00853240">
        <w:t>195.</w:t>
      </w:r>
    </w:p>
  </w:footnote>
  <w:footnote w:id="71">
    <w:p w14:paraId="49712FA2" w14:textId="5BF41648" w:rsidR="00A30070" w:rsidRDefault="00A30070" w:rsidP="000057AD">
      <w:pPr>
        <w:pStyle w:val="NotesBasPage"/>
      </w:pPr>
      <w:r>
        <w:rPr>
          <w:rStyle w:val="Appelnotedebasdep"/>
        </w:rPr>
        <w:footnoteRef/>
      </w:r>
      <w:r>
        <w:t xml:space="preserve"> </w:t>
      </w:r>
      <w:r w:rsidR="00C22BBE">
        <w:tab/>
      </w:r>
      <w:r w:rsidR="00C22BBE" w:rsidRPr="00B200B2">
        <w:rPr>
          <w:i/>
          <w:iCs/>
        </w:rPr>
        <w:t>Idem</w:t>
      </w:r>
      <w:r w:rsidR="00C22BBE" w:rsidRPr="00C22BBE">
        <w:t xml:space="preserve"> à la p</w:t>
      </w:r>
      <w:r w:rsidR="000768A2">
        <w:t> </w:t>
      </w:r>
      <w:r w:rsidR="00C22BBE" w:rsidRPr="00C22BBE">
        <w:t>82.</w:t>
      </w:r>
    </w:p>
  </w:footnote>
  <w:footnote w:id="72">
    <w:p w14:paraId="70047947" w14:textId="4A0EB512" w:rsidR="00852BCE" w:rsidRDefault="00852BCE" w:rsidP="00901270">
      <w:pPr>
        <w:pStyle w:val="NotesBasPage"/>
      </w:pPr>
      <w:r>
        <w:rPr>
          <w:rStyle w:val="Appelnotedebasdep"/>
        </w:rPr>
        <w:footnoteRef/>
      </w:r>
      <w:r>
        <w:t xml:space="preserve"> </w:t>
      </w:r>
      <w:r>
        <w:tab/>
      </w:r>
      <w:r w:rsidRPr="00901270">
        <w:rPr>
          <w:i/>
        </w:rPr>
        <w:t>Idem</w:t>
      </w:r>
      <w:r w:rsidRPr="00901270">
        <w:t xml:space="preserve"> à la p</w:t>
      </w:r>
      <w:r w:rsidR="000768A2">
        <w:t> </w:t>
      </w:r>
      <w:r w:rsidRPr="00901270">
        <w:t>197.</w:t>
      </w:r>
    </w:p>
  </w:footnote>
  <w:footnote w:id="73">
    <w:p w14:paraId="65B62882" w14:textId="4A407936" w:rsidR="00A30070" w:rsidRDefault="00A30070" w:rsidP="000057AD">
      <w:pPr>
        <w:pStyle w:val="NotesBasPage"/>
      </w:pPr>
      <w:r>
        <w:rPr>
          <w:rStyle w:val="Appelnotedebasdep"/>
        </w:rPr>
        <w:footnoteRef/>
      </w:r>
      <w:r>
        <w:t xml:space="preserve"> </w:t>
      </w:r>
      <w:r w:rsidR="00B200B2">
        <w:tab/>
      </w:r>
      <w:r w:rsidR="00B200B2" w:rsidRPr="00B200B2">
        <w:rPr>
          <w:i/>
          <w:iCs/>
        </w:rPr>
        <w:t>Idem</w:t>
      </w:r>
      <w:r w:rsidR="00B200B2" w:rsidRPr="00B200B2">
        <w:t xml:space="preserve"> à la p</w:t>
      </w:r>
      <w:r w:rsidR="000768A2">
        <w:t> </w:t>
      </w:r>
      <w:r w:rsidR="00B200B2" w:rsidRPr="00B200B2">
        <w:t>198</w:t>
      </w:r>
      <w:r w:rsidR="00B200B2">
        <w:t>.</w:t>
      </w:r>
    </w:p>
  </w:footnote>
  <w:footnote w:id="74">
    <w:p w14:paraId="456B501B" w14:textId="3CB5AE2F" w:rsidR="00722ACA" w:rsidRDefault="00496C87" w:rsidP="000057AD">
      <w:pPr>
        <w:pStyle w:val="NotesBasPage"/>
      </w:pPr>
      <w:r>
        <w:rPr>
          <w:rStyle w:val="Appelnotedebasdep"/>
        </w:rPr>
        <w:footnoteRef/>
      </w:r>
      <w:r>
        <w:t xml:space="preserve"> </w:t>
      </w:r>
      <w:r w:rsidR="002963C4">
        <w:tab/>
      </w:r>
      <w:r w:rsidR="0022534F" w:rsidRPr="0022534F">
        <w:t xml:space="preserve">Commission des droits de la personne et des droits de la jeunesse, </w:t>
      </w:r>
      <w:r w:rsidR="0022534F" w:rsidRPr="00722ACA">
        <w:rPr>
          <w:i/>
          <w:iCs/>
        </w:rPr>
        <w:t>Mémoire à la Commission spéciale sur les droits des enfants et la protection de la jeunesse</w:t>
      </w:r>
      <w:r w:rsidR="0022534F" w:rsidRPr="0022534F">
        <w:t>, 2020, p</w:t>
      </w:r>
      <w:r w:rsidR="000768A2">
        <w:t> </w:t>
      </w:r>
      <w:r w:rsidR="0022534F" w:rsidRPr="0022534F">
        <w:t>30, en ligne</w:t>
      </w:r>
      <w:r w:rsidR="00914C42">
        <w:t> </w:t>
      </w:r>
      <w:r w:rsidR="0022534F" w:rsidRPr="0022534F">
        <w:t>:</w:t>
      </w:r>
      <w:r w:rsidR="0022534F">
        <w:t xml:space="preserve"> </w:t>
      </w:r>
      <w:hyperlink r:id="rId12" w:history="1">
        <w:r w:rsidR="00722ACA" w:rsidRPr="006843EB">
          <w:rPr>
            <w:rStyle w:val="Lienhypertexte"/>
          </w:rPr>
          <w:t>https://www.cdpdj.qc.ca/storage/app/media/publications/memoire_commission-laurent.pdf</w:t>
        </w:r>
      </w:hyperlink>
    </w:p>
  </w:footnote>
  <w:footnote w:id="75">
    <w:p w14:paraId="5EFD4BC3" w14:textId="7FE51CA3" w:rsidR="00496C87" w:rsidRPr="00FD0E23" w:rsidRDefault="00496C87" w:rsidP="000057AD">
      <w:pPr>
        <w:pStyle w:val="NotesBasPage"/>
      </w:pPr>
      <w:r w:rsidRPr="00722ACA">
        <w:rPr>
          <w:rStyle w:val="Appelnotedebasdep"/>
        </w:rPr>
        <w:footnoteRef/>
      </w:r>
      <w:r w:rsidRPr="00722ACA">
        <w:rPr>
          <w:vertAlign w:val="superscript"/>
        </w:rPr>
        <w:t xml:space="preserve"> </w:t>
      </w:r>
      <w:r w:rsidR="00FD0E23">
        <w:rPr>
          <w:vertAlign w:val="superscript"/>
        </w:rPr>
        <w:tab/>
      </w:r>
      <w:r w:rsidR="00260162" w:rsidRPr="00AE7CD0">
        <w:rPr>
          <w:i/>
          <w:iCs/>
        </w:rPr>
        <w:t>Idem</w:t>
      </w:r>
      <w:r w:rsidR="00260162" w:rsidRPr="00260162">
        <w:t xml:space="preserve"> à la p</w:t>
      </w:r>
      <w:r w:rsidR="000768A2">
        <w:t> </w:t>
      </w:r>
      <w:r w:rsidR="00260162" w:rsidRPr="00260162">
        <w:t>30</w:t>
      </w:r>
      <w:r w:rsidR="00AE7CD0">
        <w:t>.</w:t>
      </w:r>
    </w:p>
  </w:footnote>
  <w:footnote w:id="76">
    <w:p w14:paraId="451ABE3B" w14:textId="7B7DC383" w:rsidR="00496C87" w:rsidRPr="00FD0E23" w:rsidRDefault="00496C87" w:rsidP="000057AD">
      <w:pPr>
        <w:pStyle w:val="NotesBasPage"/>
      </w:pPr>
      <w:r w:rsidRPr="00722ACA">
        <w:rPr>
          <w:rStyle w:val="Appelnotedebasdep"/>
        </w:rPr>
        <w:footnoteRef/>
      </w:r>
      <w:r w:rsidRPr="00722ACA">
        <w:rPr>
          <w:vertAlign w:val="superscript"/>
        </w:rPr>
        <w:t xml:space="preserve"> </w:t>
      </w:r>
      <w:r w:rsidR="00FD0E23">
        <w:rPr>
          <w:vertAlign w:val="superscript"/>
        </w:rPr>
        <w:tab/>
      </w:r>
      <w:r w:rsidR="005C2BBA" w:rsidRPr="00AE7CD0">
        <w:rPr>
          <w:i/>
          <w:iCs/>
        </w:rPr>
        <w:t>Idem</w:t>
      </w:r>
      <w:r w:rsidR="005C2BBA" w:rsidRPr="005C2BBA">
        <w:t xml:space="preserve"> à la p</w:t>
      </w:r>
      <w:r w:rsidR="000768A2">
        <w:t> </w:t>
      </w:r>
      <w:r w:rsidR="005C2BBA" w:rsidRPr="005C2BBA">
        <w:t>32.</w:t>
      </w:r>
    </w:p>
  </w:footnote>
  <w:footnote w:id="77">
    <w:p w14:paraId="421F69DC" w14:textId="199DF5B3" w:rsidR="00496C87" w:rsidRPr="00FD0E23" w:rsidRDefault="00496C87" w:rsidP="000057AD">
      <w:pPr>
        <w:pStyle w:val="NotesBasPage"/>
      </w:pPr>
      <w:r w:rsidRPr="00722ACA">
        <w:rPr>
          <w:rStyle w:val="Appelnotedebasdep"/>
        </w:rPr>
        <w:footnoteRef/>
      </w:r>
      <w:r w:rsidRPr="00722ACA">
        <w:rPr>
          <w:vertAlign w:val="superscript"/>
        </w:rPr>
        <w:t xml:space="preserve"> </w:t>
      </w:r>
      <w:r w:rsidR="00FD0E23">
        <w:rPr>
          <w:vertAlign w:val="superscript"/>
        </w:rPr>
        <w:tab/>
      </w:r>
      <w:r w:rsidR="002E6427" w:rsidRPr="00AE7CD0">
        <w:rPr>
          <w:i/>
          <w:iCs/>
        </w:rPr>
        <w:t>Idem</w:t>
      </w:r>
      <w:r w:rsidR="002E6427" w:rsidRPr="002E6427">
        <w:t xml:space="preserve"> à la p</w:t>
      </w:r>
      <w:r w:rsidR="000768A2">
        <w:t> </w:t>
      </w:r>
      <w:r w:rsidR="002E6427" w:rsidRPr="002E6427">
        <w:t>33.</w:t>
      </w:r>
    </w:p>
  </w:footnote>
  <w:footnote w:id="78">
    <w:p w14:paraId="5B93E4F0" w14:textId="5EE9B324" w:rsidR="00DC30DE" w:rsidRPr="008A1426" w:rsidRDefault="00DC30DE" w:rsidP="000057AD">
      <w:pPr>
        <w:pStyle w:val="NotesBasPage"/>
      </w:pPr>
      <w:r w:rsidRPr="00722ACA">
        <w:rPr>
          <w:rStyle w:val="Appelnotedebasdep"/>
        </w:rPr>
        <w:footnoteRef/>
      </w:r>
      <w:r w:rsidRPr="00722ACA">
        <w:rPr>
          <w:vertAlign w:val="superscript"/>
        </w:rPr>
        <w:t xml:space="preserve"> </w:t>
      </w:r>
      <w:r w:rsidR="00FD0E23">
        <w:rPr>
          <w:vertAlign w:val="superscript"/>
        </w:rPr>
        <w:tab/>
      </w:r>
      <w:r w:rsidR="008A1426" w:rsidRPr="00AE7CD0">
        <w:rPr>
          <w:i/>
          <w:iCs/>
        </w:rPr>
        <w:t>Idem</w:t>
      </w:r>
      <w:r w:rsidR="008A1426" w:rsidRPr="008A1426">
        <w:t xml:space="preserve"> aux pp 31, 216, 236 (recommandation</w:t>
      </w:r>
      <w:r w:rsidR="000768A2">
        <w:t> </w:t>
      </w:r>
      <w:r w:rsidR="008A1426" w:rsidRPr="008A1426">
        <w:t>7).</w:t>
      </w:r>
    </w:p>
  </w:footnote>
  <w:footnote w:id="79">
    <w:p w14:paraId="0E3DA7A0" w14:textId="45F048C5" w:rsidR="00DC30DE" w:rsidRPr="00FD0E23" w:rsidRDefault="00DC30DE" w:rsidP="000057AD">
      <w:pPr>
        <w:pStyle w:val="NotesBasPage"/>
      </w:pPr>
      <w:r w:rsidRPr="00722ACA">
        <w:rPr>
          <w:rStyle w:val="Appelnotedebasdep"/>
        </w:rPr>
        <w:footnoteRef/>
      </w:r>
      <w:r w:rsidRPr="00722ACA">
        <w:rPr>
          <w:vertAlign w:val="superscript"/>
        </w:rPr>
        <w:t xml:space="preserve"> </w:t>
      </w:r>
      <w:r w:rsidR="00FD0E23">
        <w:rPr>
          <w:vertAlign w:val="superscript"/>
        </w:rPr>
        <w:tab/>
      </w:r>
      <w:r w:rsidR="009353FC" w:rsidRPr="00AE7CD0">
        <w:rPr>
          <w:i/>
          <w:iCs/>
        </w:rPr>
        <w:t>Idem</w:t>
      </w:r>
      <w:r w:rsidR="009353FC" w:rsidRPr="009353FC">
        <w:t xml:space="preserve"> à la aux pp 32, 216, 236 (recommandation</w:t>
      </w:r>
      <w:r w:rsidR="000768A2">
        <w:t> </w:t>
      </w:r>
      <w:r w:rsidR="009353FC" w:rsidRPr="009353FC">
        <w:t>8)</w:t>
      </w:r>
      <w:r w:rsidR="00AE7CD0">
        <w:t>.</w:t>
      </w:r>
    </w:p>
  </w:footnote>
  <w:footnote w:id="80">
    <w:p w14:paraId="672D7A50" w14:textId="4AC48E72" w:rsidR="002A23ED" w:rsidRDefault="002A23ED" w:rsidP="000057AD">
      <w:pPr>
        <w:pStyle w:val="NotesBasPage"/>
      </w:pPr>
      <w:r>
        <w:rPr>
          <w:rStyle w:val="Appelnotedebasdep"/>
        </w:rPr>
        <w:footnoteRef/>
      </w:r>
      <w:r>
        <w:t xml:space="preserve"> </w:t>
      </w:r>
      <w:r>
        <w:tab/>
      </w:r>
      <w:r w:rsidR="0042618B" w:rsidRPr="00AE7CD0">
        <w:rPr>
          <w:i/>
          <w:iCs/>
        </w:rPr>
        <w:t>Idem</w:t>
      </w:r>
      <w:r w:rsidR="0042618B" w:rsidRPr="00AE7CD0">
        <w:t xml:space="preserve"> aux pp 34, 216, 236 (recommandation</w:t>
      </w:r>
      <w:r w:rsidR="000768A2">
        <w:t> </w:t>
      </w:r>
      <w:r w:rsidR="0042618B" w:rsidRPr="00AE7CD0">
        <w:t>9)</w:t>
      </w:r>
      <w:r w:rsidR="0042618B">
        <w:t>.</w:t>
      </w:r>
    </w:p>
  </w:footnote>
  <w:footnote w:id="81">
    <w:p w14:paraId="3271A754" w14:textId="60B8849D" w:rsidR="00DC30DE" w:rsidRPr="007B338E" w:rsidRDefault="00DC30DE" w:rsidP="000057AD">
      <w:pPr>
        <w:pStyle w:val="NotesBasPage"/>
      </w:pPr>
      <w:r w:rsidRPr="00FD0E23">
        <w:rPr>
          <w:rStyle w:val="Appelnotedebasdep"/>
        </w:rPr>
        <w:footnoteRef/>
      </w:r>
      <w:r w:rsidRPr="00FD0E23">
        <w:rPr>
          <w:vertAlign w:val="superscript"/>
        </w:rPr>
        <w:t xml:space="preserve"> </w:t>
      </w:r>
      <w:r w:rsidR="00FD0E23">
        <w:rPr>
          <w:vertAlign w:val="superscript"/>
        </w:rPr>
        <w:tab/>
      </w:r>
      <w:r w:rsidR="007B338E" w:rsidRPr="007B338E">
        <w:rPr>
          <w:i/>
          <w:iCs/>
        </w:rPr>
        <w:t>Idem</w:t>
      </w:r>
      <w:r w:rsidR="007B338E" w:rsidRPr="007B338E">
        <w:t xml:space="preserve"> aux pp</w:t>
      </w:r>
      <w:r w:rsidR="000768A2">
        <w:t> </w:t>
      </w:r>
      <w:r w:rsidR="007B338E" w:rsidRPr="007B338E">
        <w:t>35, 216</w:t>
      </w:r>
      <w:r w:rsidR="007B338E">
        <w:t xml:space="preserve"> et </w:t>
      </w:r>
      <w:r w:rsidR="007B338E" w:rsidRPr="007B338E">
        <w:t>236 (recommandation</w:t>
      </w:r>
      <w:r w:rsidR="000768A2">
        <w:t> </w:t>
      </w:r>
      <w:r w:rsidR="007B338E" w:rsidRPr="007B338E">
        <w:t>1)</w:t>
      </w:r>
      <w:r w:rsidR="00462439">
        <w:t>.</w:t>
      </w:r>
    </w:p>
  </w:footnote>
  <w:footnote w:id="82">
    <w:p w14:paraId="0AB1001C" w14:textId="5EEAA1C1" w:rsidR="00143F80" w:rsidRDefault="00143F80" w:rsidP="000057AD">
      <w:pPr>
        <w:pStyle w:val="NotesBasPage"/>
      </w:pPr>
      <w:r>
        <w:rPr>
          <w:rStyle w:val="Appelnotedebasdep"/>
        </w:rPr>
        <w:footnoteRef/>
      </w:r>
      <w:r>
        <w:t xml:space="preserve"> </w:t>
      </w:r>
      <w:r w:rsidR="00B863FD">
        <w:tab/>
      </w:r>
      <w:r w:rsidR="00EC3418" w:rsidRPr="00EC3418">
        <w:rPr>
          <w:i/>
          <w:iCs/>
        </w:rPr>
        <w:t>B.J.T. c J.D.,</w:t>
      </w:r>
      <w:r w:rsidR="00EC3418" w:rsidRPr="00EC3418">
        <w:t xml:space="preserve"> 2022</w:t>
      </w:r>
      <w:r w:rsidR="00322ADA">
        <w:t> </w:t>
      </w:r>
      <w:r w:rsidR="00EC3418" w:rsidRPr="00EC3418">
        <w:t>CSC</w:t>
      </w:r>
      <w:r w:rsidR="000768A2">
        <w:t> </w:t>
      </w:r>
      <w:r w:rsidR="00EC3418" w:rsidRPr="00EC3418">
        <w:t>24.</w:t>
      </w:r>
    </w:p>
  </w:footnote>
  <w:footnote w:id="83">
    <w:p w14:paraId="7AB5B6DC" w14:textId="0DD6381B" w:rsidR="00143F80" w:rsidRDefault="00143F80" w:rsidP="000057AD">
      <w:pPr>
        <w:pStyle w:val="NotesBasPage"/>
      </w:pPr>
      <w:r>
        <w:rPr>
          <w:rStyle w:val="Appelnotedebasdep"/>
        </w:rPr>
        <w:footnoteRef/>
      </w:r>
      <w:r>
        <w:t xml:space="preserve"> </w:t>
      </w:r>
      <w:r w:rsidR="00B863FD">
        <w:tab/>
      </w:r>
      <w:r w:rsidR="006F5D12" w:rsidRPr="00F23956">
        <w:rPr>
          <w:i/>
          <w:iCs/>
        </w:rPr>
        <w:t>Idem</w:t>
      </w:r>
      <w:r w:rsidR="006F5D12" w:rsidRPr="006F5D12">
        <w:t xml:space="preserve"> au para</w:t>
      </w:r>
      <w:r w:rsidR="000768A2">
        <w:t> </w:t>
      </w:r>
      <w:r w:rsidR="006F5D12" w:rsidRPr="006F5D12">
        <w:t>87.</w:t>
      </w:r>
    </w:p>
  </w:footnote>
  <w:footnote w:id="84">
    <w:p w14:paraId="62622C54" w14:textId="6E3313D6" w:rsidR="00143F80" w:rsidRDefault="00143F80" w:rsidP="000057AD">
      <w:pPr>
        <w:pStyle w:val="NotesBasPage"/>
      </w:pPr>
      <w:r>
        <w:rPr>
          <w:rStyle w:val="Appelnotedebasdep"/>
        </w:rPr>
        <w:footnoteRef/>
      </w:r>
      <w:r>
        <w:t xml:space="preserve"> </w:t>
      </w:r>
      <w:r w:rsidR="00B863FD">
        <w:tab/>
      </w:r>
      <w:r w:rsidR="001C5A92" w:rsidRPr="00F23956">
        <w:rPr>
          <w:i/>
          <w:iCs/>
        </w:rPr>
        <w:t>Idem</w:t>
      </w:r>
      <w:r w:rsidR="001C5A92" w:rsidRPr="001C5A92">
        <w:t xml:space="preserve"> au para</w:t>
      </w:r>
      <w:r w:rsidR="000768A2">
        <w:t> </w:t>
      </w:r>
      <w:r w:rsidR="001C5A92" w:rsidRPr="001C5A92">
        <w:t>109.</w:t>
      </w:r>
    </w:p>
  </w:footnote>
  <w:footnote w:id="85">
    <w:p w14:paraId="4869CAC7" w14:textId="0FF2B339" w:rsidR="00143F80" w:rsidRDefault="00143F80" w:rsidP="000057AD">
      <w:pPr>
        <w:pStyle w:val="NotesBasPage"/>
      </w:pPr>
      <w:r>
        <w:rPr>
          <w:rStyle w:val="Appelnotedebasdep"/>
        </w:rPr>
        <w:footnoteRef/>
      </w:r>
      <w:r>
        <w:t xml:space="preserve"> </w:t>
      </w:r>
      <w:r w:rsidR="00B863FD">
        <w:tab/>
      </w:r>
      <w:r w:rsidR="007476A9" w:rsidRPr="00F23956">
        <w:rPr>
          <w:i/>
          <w:iCs/>
        </w:rPr>
        <w:t>Idem</w:t>
      </w:r>
      <w:r w:rsidR="007476A9" w:rsidRPr="007476A9">
        <w:t xml:space="preserve"> au para</w:t>
      </w:r>
      <w:r w:rsidR="000768A2">
        <w:t> </w:t>
      </w:r>
      <w:r w:rsidR="007476A9" w:rsidRPr="007476A9">
        <w:t>110</w:t>
      </w:r>
      <w:r w:rsidR="002C4292">
        <w:t>.</w:t>
      </w:r>
    </w:p>
  </w:footnote>
  <w:footnote w:id="86">
    <w:p w14:paraId="68499E40" w14:textId="18F0F725" w:rsidR="00B863FD" w:rsidRDefault="00B863FD" w:rsidP="000057AD">
      <w:pPr>
        <w:pStyle w:val="NotesBasPage"/>
      </w:pPr>
      <w:r>
        <w:rPr>
          <w:rStyle w:val="Appelnotedebasdep"/>
        </w:rPr>
        <w:footnoteRef/>
      </w:r>
      <w:r>
        <w:t xml:space="preserve"> </w:t>
      </w:r>
      <w:r>
        <w:tab/>
      </w:r>
      <w:r w:rsidR="00F23956">
        <w:t>La Commission des droits avait recommandé au législateur de plutôt utiliser les termes de «</w:t>
      </w:r>
      <w:r w:rsidR="00D96428">
        <w:rPr>
          <w:rFonts w:ascii="Arial" w:hAnsi="Arial" w:cs="Arial"/>
        </w:rPr>
        <w:t> </w:t>
      </w:r>
      <w:r w:rsidR="00F23956">
        <w:t>minorités ethniques</w:t>
      </w:r>
      <w:r w:rsidR="00D96428">
        <w:rPr>
          <w:rFonts w:ascii="Arial" w:hAnsi="Arial" w:cs="Arial"/>
        </w:rPr>
        <w:t> </w:t>
      </w:r>
      <w:r w:rsidR="00F23956">
        <w:t>» et de «</w:t>
      </w:r>
      <w:r w:rsidR="00D96428">
        <w:rPr>
          <w:rFonts w:ascii="Arial" w:hAnsi="Arial" w:cs="Arial"/>
        </w:rPr>
        <w:t> </w:t>
      </w:r>
      <w:r w:rsidR="00F23956">
        <w:t>minorités racisées</w:t>
      </w:r>
      <w:r w:rsidR="00D96428">
        <w:rPr>
          <w:rFonts w:ascii="Arial" w:hAnsi="Arial" w:cs="Arial"/>
        </w:rPr>
        <w:t> </w:t>
      </w:r>
      <w:r w:rsidR="00F23956">
        <w:t>» afin d’éviter de «</w:t>
      </w:r>
      <w:r w:rsidR="00D96428">
        <w:rPr>
          <w:rFonts w:ascii="Arial" w:hAnsi="Arial" w:cs="Arial"/>
        </w:rPr>
        <w:t> </w:t>
      </w:r>
      <w:r w:rsidR="00F23956">
        <w:t>passer sous silence la racisation et la discrimination spécifiquement fondée sur la « race » dont font l’objet les enfants et leurs parents racisés</w:t>
      </w:r>
      <w:r w:rsidR="00D96428">
        <w:rPr>
          <w:rFonts w:ascii="Arial" w:hAnsi="Arial" w:cs="Arial"/>
        </w:rPr>
        <w:t> </w:t>
      </w:r>
      <w:r w:rsidR="00F23956">
        <w:t xml:space="preserve">». Commission des droits de la personne et des droits de la jeunesse, </w:t>
      </w:r>
      <w:r w:rsidR="00F23956" w:rsidRPr="00F23956">
        <w:rPr>
          <w:i/>
          <w:iCs/>
        </w:rPr>
        <w:t>Mémoire à la Commission de la santé et des services sociaux de l’Assemblée nationale, Projet de loi n°</w:t>
      </w:r>
      <w:r w:rsidR="000768A2">
        <w:rPr>
          <w:i/>
          <w:iCs/>
        </w:rPr>
        <w:t> </w:t>
      </w:r>
      <w:r w:rsidR="00F23956" w:rsidRPr="00F23956">
        <w:rPr>
          <w:i/>
          <w:iCs/>
        </w:rPr>
        <w:t>15, Loi modifiant la Loi sur la protection de la jeunesse et d’autres dispositions législatives</w:t>
      </w:r>
      <w:r w:rsidR="00F23956">
        <w:t>, 2022, aux pp</w:t>
      </w:r>
      <w:r w:rsidR="000768A2">
        <w:t> </w:t>
      </w:r>
      <w:r w:rsidR="00F23956">
        <w:t>33-34.</w:t>
      </w:r>
    </w:p>
  </w:footnote>
  <w:footnote w:id="87">
    <w:p w14:paraId="0DD22EC0" w14:textId="6F45F4D2" w:rsidR="00111276" w:rsidRDefault="00111276" w:rsidP="000057AD">
      <w:pPr>
        <w:pStyle w:val="NotesBasPage"/>
      </w:pPr>
      <w:r>
        <w:rPr>
          <w:rStyle w:val="Appelnotedebasdep"/>
        </w:rPr>
        <w:footnoteRef/>
      </w:r>
      <w:r>
        <w:t xml:space="preserve"> </w:t>
      </w:r>
      <w:r>
        <w:tab/>
      </w:r>
      <w:r w:rsidR="0049053A" w:rsidRPr="0049053A">
        <w:t xml:space="preserve">Commission des droits de la personne et des droits de la jeunesse, </w:t>
      </w:r>
      <w:r w:rsidR="0049053A" w:rsidRPr="00A92873">
        <w:rPr>
          <w:i/>
          <w:iCs/>
        </w:rPr>
        <w:t>Mémoire à la Commission de la santé et des services sociaux de l’Assemblée nationale, Projet de loi n°</w:t>
      </w:r>
      <w:r w:rsidR="000768A2">
        <w:rPr>
          <w:i/>
          <w:iCs/>
        </w:rPr>
        <w:t> </w:t>
      </w:r>
      <w:r w:rsidR="0049053A" w:rsidRPr="00A92873">
        <w:rPr>
          <w:i/>
          <w:iCs/>
        </w:rPr>
        <w:t>15, Loi modifiant la Loi sur la protection de la jeunesse et d’autres dispositions législatives</w:t>
      </w:r>
      <w:r w:rsidR="0049053A" w:rsidRPr="0049053A">
        <w:t>, 2022</w:t>
      </w:r>
      <w:r w:rsidR="0049053A">
        <w:t>.</w:t>
      </w:r>
    </w:p>
  </w:footnote>
  <w:footnote w:id="88">
    <w:p w14:paraId="1875BF72" w14:textId="23FBA378" w:rsidR="00111276" w:rsidRDefault="00111276" w:rsidP="000057AD">
      <w:pPr>
        <w:pStyle w:val="NotesBasPage"/>
      </w:pPr>
      <w:r>
        <w:rPr>
          <w:rStyle w:val="Appelnotedebasdep"/>
        </w:rPr>
        <w:footnoteRef/>
      </w:r>
      <w:r>
        <w:t xml:space="preserve"> </w:t>
      </w:r>
      <w:r w:rsidR="0049053A">
        <w:tab/>
      </w:r>
      <w:r w:rsidR="005C76F2" w:rsidRPr="005C76F2">
        <w:rPr>
          <w:i/>
          <w:iCs/>
        </w:rPr>
        <w:t>Idem</w:t>
      </w:r>
      <w:r w:rsidR="005C76F2" w:rsidRPr="005C76F2">
        <w:t xml:space="preserve"> aux pp</w:t>
      </w:r>
      <w:r w:rsidR="000768A2">
        <w:t> </w:t>
      </w:r>
      <w:r w:rsidR="005C76F2" w:rsidRPr="005C76F2">
        <w:t>10</w:t>
      </w:r>
      <w:r w:rsidR="00405D0D">
        <w:t xml:space="preserve"> et </w:t>
      </w:r>
      <w:r w:rsidR="005C76F2" w:rsidRPr="005C76F2">
        <w:t>65 (recommandation</w:t>
      </w:r>
      <w:r w:rsidR="000768A2">
        <w:t> </w:t>
      </w:r>
      <w:r w:rsidR="005C76F2" w:rsidRPr="005C76F2">
        <w:t>2).</w:t>
      </w:r>
    </w:p>
  </w:footnote>
  <w:footnote w:id="89">
    <w:p w14:paraId="04697AD3" w14:textId="64A73F80" w:rsidR="009F0503" w:rsidRDefault="009F0503" w:rsidP="000057AD">
      <w:pPr>
        <w:pStyle w:val="NotesBasPage"/>
      </w:pPr>
      <w:r>
        <w:rPr>
          <w:rStyle w:val="Appelnotedebasdep"/>
        </w:rPr>
        <w:footnoteRef/>
      </w:r>
      <w:r>
        <w:t xml:space="preserve"> </w:t>
      </w:r>
      <w:r w:rsidR="00F971DB">
        <w:tab/>
      </w:r>
      <w:r w:rsidR="00902AEC" w:rsidRPr="00902AEC">
        <w:rPr>
          <w:i/>
          <w:iCs/>
        </w:rPr>
        <w:t>Idem</w:t>
      </w:r>
      <w:r w:rsidR="00902AEC" w:rsidRPr="00902AEC">
        <w:t xml:space="preserve"> aux pp</w:t>
      </w:r>
      <w:r w:rsidR="000768A2">
        <w:t> </w:t>
      </w:r>
      <w:r w:rsidR="00902AEC" w:rsidRPr="00902AEC">
        <w:t>13</w:t>
      </w:r>
      <w:r w:rsidR="00405D0D">
        <w:t xml:space="preserve"> et</w:t>
      </w:r>
      <w:r w:rsidR="00902AEC" w:rsidRPr="00902AEC">
        <w:t xml:space="preserve"> 65 (recommandation</w:t>
      </w:r>
      <w:r w:rsidR="000768A2">
        <w:t> </w:t>
      </w:r>
      <w:r w:rsidR="00902AEC" w:rsidRPr="00902AEC">
        <w:t>3).</w:t>
      </w:r>
    </w:p>
  </w:footnote>
  <w:footnote w:id="90">
    <w:p w14:paraId="299C7287" w14:textId="26482B61" w:rsidR="009A644C" w:rsidRDefault="009A644C" w:rsidP="000057AD">
      <w:pPr>
        <w:pStyle w:val="NotesBasPage"/>
      </w:pPr>
      <w:r>
        <w:rPr>
          <w:rStyle w:val="Appelnotedebasdep"/>
        </w:rPr>
        <w:footnoteRef/>
      </w:r>
      <w:r>
        <w:t xml:space="preserve"> </w:t>
      </w:r>
      <w:r>
        <w:tab/>
      </w:r>
      <w:r w:rsidR="00662B5F" w:rsidRPr="00DA32BC">
        <w:rPr>
          <w:i/>
          <w:iCs/>
        </w:rPr>
        <w:t>Idem</w:t>
      </w:r>
      <w:r w:rsidR="00662B5F" w:rsidRPr="00662B5F">
        <w:t xml:space="preserve"> aux pp</w:t>
      </w:r>
      <w:r w:rsidR="000768A2">
        <w:t> </w:t>
      </w:r>
      <w:r w:rsidR="00662B5F" w:rsidRPr="00662B5F">
        <w:t>15</w:t>
      </w:r>
      <w:r w:rsidR="00405D0D">
        <w:t xml:space="preserve"> et</w:t>
      </w:r>
      <w:r w:rsidR="00662B5F" w:rsidRPr="00662B5F">
        <w:t xml:space="preserve"> 65 (recommandation</w:t>
      </w:r>
      <w:r w:rsidR="000768A2">
        <w:t> </w:t>
      </w:r>
      <w:r w:rsidR="00662B5F" w:rsidRPr="00662B5F">
        <w:t>4).</w:t>
      </w:r>
    </w:p>
  </w:footnote>
  <w:footnote w:id="91">
    <w:p w14:paraId="1D09CD6B" w14:textId="19D6C480" w:rsidR="009A644C" w:rsidRDefault="009A644C" w:rsidP="000057AD">
      <w:pPr>
        <w:pStyle w:val="NotesBasPage"/>
      </w:pPr>
      <w:r>
        <w:rPr>
          <w:rStyle w:val="Appelnotedebasdep"/>
        </w:rPr>
        <w:footnoteRef/>
      </w:r>
      <w:r>
        <w:t xml:space="preserve"> </w:t>
      </w:r>
      <w:r>
        <w:tab/>
      </w:r>
      <w:r w:rsidR="00DA32BC" w:rsidRPr="00DA32BC">
        <w:rPr>
          <w:i/>
          <w:iCs/>
        </w:rPr>
        <w:t>Idem</w:t>
      </w:r>
      <w:r w:rsidR="00DA32BC" w:rsidRPr="00DA32BC">
        <w:t xml:space="preserve"> aux pp</w:t>
      </w:r>
      <w:r w:rsidR="000768A2">
        <w:t> </w:t>
      </w:r>
      <w:r w:rsidR="00DA32BC" w:rsidRPr="00DA32BC">
        <w:t>16</w:t>
      </w:r>
      <w:r w:rsidR="00405D0D">
        <w:t xml:space="preserve"> et </w:t>
      </w:r>
      <w:r w:rsidR="00DA32BC" w:rsidRPr="00DA32BC">
        <w:t>76 (recommandation</w:t>
      </w:r>
      <w:r w:rsidR="000768A2">
        <w:t> </w:t>
      </w:r>
      <w:r w:rsidR="00DA32BC" w:rsidRPr="00DA32BC">
        <w:t>5).</w:t>
      </w:r>
    </w:p>
  </w:footnote>
  <w:footnote w:id="92">
    <w:p w14:paraId="3BFEA7F0" w14:textId="7E588637" w:rsidR="009262B1" w:rsidRDefault="009262B1" w:rsidP="009262B1">
      <w:pPr>
        <w:pStyle w:val="NotesBasPage"/>
      </w:pPr>
      <w:r>
        <w:rPr>
          <w:rStyle w:val="Appelnotedebasdep"/>
        </w:rPr>
        <w:footnoteRef/>
      </w:r>
      <w:r>
        <w:t xml:space="preserve"> </w:t>
      </w:r>
      <w:r>
        <w:tab/>
        <w:t xml:space="preserve">Commission des droits de la personne et des droits de la jeunesse, </w:t>
      </w:r>
      <w:r w:rsidRPr="00E909E9">
        <w:rPr>
          <w:i/>
          <w:iCs/>
        </w:rPr>
        <w:t>Rapport - Enquête systémique en protection des droits de la jeunesse – Mauricie–Centre-du-Québec, Enquête de la propre initiative de la Commission des droits concernant l’intensité de service offert avant l’atteinte des délais maximaux de placement et concernant le respect des droits des enfants dans le cadre de visites supervisées en Mauricie–Centre-du-Québec</w:t>
      </w:r>
      <w:r>
        <w:t xml:space="preserve">, 2025, en ligne : </w:t>
      </w:r>
      <w:hyperlink r:id="rId13" w:history="1">
        <w:r w:rsidRPr="00CF5482">
          <w:rPr>
            <w:rStyle w:val="Lienhypertexte"/>
          </w:rPr>
          <w:t>https://www.cdpdj.qc.ca/storage/app/media/publications/RapportJeunesseMCQ_avril2025.pdf</w:t>
        </w:r>
      </w:hyperlink>
    </w:p>
  </w:footnote>
  <w:footnote w:id="93">
    <w:p w14:paraId="02942BFD" w14:textId="698EA0FB" w:rsidR="000D0514" w:rsidRDefault="000D0514" w:rsidP="000057AD">
      <w:pPr>
        <w:pStyle w:val="NotesBasPage"/>
      </w:pPr>
      <w:r>
        <w:rPr>
          <w:rStyle w:val="Appelnotedebasdep"/>
        </w:rPr>
        <w:footnoteRef/>
      </w:r>
      <w:r>
        <w:t xml:space="preserve"> </w:t>
      </w:r>
      <w:r w:rsidR="006D1292">
        <w:tab/>
      </w:r>
      <w:r w:rsidR="00202704" w:rsidRPr="00202704">
        <w:rPr>
          <w:i/>
          <w:iCs/>
        </w:rPr>
        <w:t xml:space="preserve">C.(G). </w:t>
      </w:r>
      <w:r w:rsidR="00202704" w:rsidRPr="004B4014">
        <w:rPr>
          <w:i/>
          <w:iCs/>
        </w:rPr>
        <w:t xml:space="preserve">c </w:t>
      </w:r>
      <w:r w:rsidR="00202704" w:rsidRPr="00202704">
        <w:rPr>
          <w:i/>
          <w:iCs/>
        </w:rPr>
        <w:t>V.-F. (T)</w:t>
      </w:r>
      <w:r w:rsidR="00202704" w:rsidRPr="00202704">
        <w:t>, [1987], 2</w:t>
      </w:r>
      <w:r w:rsidR="00322ADA">
        <w:t> </w:t>
      </w:r>
      <w:r w:rsidR="00202704" w:rsidRPr="00202704">
        <w:t>R.C.S.</w:t>
      </w:r>
      <w:r w:rsidR="000768A2">
        <w:t> </w:t>
      </w:r>
      <w:r w:rsidR="00202704" w:rsidRPr="00202704">
        <w:t>244, 269 et 270. L’affirmation du principe de la prise en compte de l’intérêt de l’enfant dans les décisions qui le concernent et les facteurs applicables à cet égard sont prévus à l’article</w:t>
      </w:r>
      <w:r w:rsidR="000768A2">
        <w:t> </w:t>
      </w:r>
      <w:r w:rsidR="00202704" w:rsidRPr="00202704">
        <w:t xml:space="preserve">33 </w:t>
      </w:r>
      <w:r w:rsidR="00202704" w:rsidRPr="00FE751F">
        <w:rPr>
          <w:i/>
        </w:rPr>
        <w:t>du Code civil du Québec</w:t>
      </w:r>
      <w:r w:rsidR="00202704" w:rsidRPr="00202704">
        <w:t>, RLRQ, c</w:t>
      </w:r>
      <w:r w:rsidR="0046392D">
        <w:t> </w:t>
      </w:r>
      <w:r w:rsidR="00202704" w:rsidRPr="00202704">
        <w:t>CCQ-1991 (ci-après «</w:t>
      </w:r>
      <w:r w:rsidR="00D96428">
        <w:rPr>
          <w:rFonts w:ascii="Arial" w:hAnsi="Arial" w:cs="Arial"/>
        </w:rPr>
        <w:t> </w:t>
      </w:r>
      <w:r w:rsidR="00202704" w:rsidRPr="00202704">
        <w:t>C</w:t>
      </w:r>
      <w:r w:rsidR="008C7F2C">
        <w:t>c</w:t>
      </w:r>
      <w:r w:rsidR="00202704" w:rsidRPr="00202704">
        <w:t>Q.</w:t>
      </w:r>
      <w:r w:rsidR="00D96428">
        <w:rPr>
          <w:rFonts w:ascii="Arial" w:hAnsi="Arial" w:cs="Arial"/>
        </w:rPr>
        <w:t> </w:t>
      </w:r>
      <w:r w:rsidR="00202704" w:rsidRPr="00202704">
        <w:t>»).</w:t>
      </w:r>
    </w:p>
  </w:footnote>
  <w:footnote w:id="94">
    <w:p w14:paraId="08BBEA34" w14:textId="203B0855" w:rsidR="005B55B1" w:rsidRDefault="005B55B1" w:rsidP="000057AD">
      <w:pPr>
        <w:pStyle w:val="NotesBasPage"/>
      </w:pPr>
      <w:r>
        <w:rPr>
          <w:rStyle w:val="Appelnotedebasdep"/>
        </w:rPr>
        <w:footnoteRef/>
      </w:r>
      <w:r>
        <w:t xml:space="preserve"> </w:t>
      </w:r>
      <w:r w:rsidR="001F4447">
        <w:tab/>
      </w:r>
      <w:r w:rsidR="00E319BD">
        <w:t>Comité des droits de l’enfant,</w:t>
      </w:r>
      <w:r w:rsidR="00E319BD" w:rsidRPr="00E319BD">
        <w:t xml:space="preserve"> </w:t>
      </w:r>
      <w:r w:rsidR="0087109E" w:rsidRPr="00FE751F">
        <w:rPr>
          <w:i/>
        </w:rPr>
        <w:t>Observation générale n°</w:t>
      </w:r>
      <w:r w:rsidR="000768A2">
        <w:rPr>
          <w:i/>
        </w:rPr>
        <w:t> </w:t>
      </w:r>
      <w:r w:rsidR="0087109E" w:rsidRPr="00FE751F">
        <w:rPr>
          <w:i/>
        </w:rPr>
        <w:t>14 (2013) sur le droit de l’enfant à ce que son intérêt supérieur soit une considération primordiale</w:t>
      </w:r>
      <w:r w:rsidR="0087109E">
        <w:t>, Doc. N.U.</w:t>
      </w:r>
      <w:r w:rsidR="0046392D">
        <w:t> </w:t>
      </w:r>
      <w:r w:rsidR="0087109E">
        <w:t xml:space="preserve">CRC/C/GC/14 </w:t>
      </w:r>
      <w:r w:rsidR="00E319BD" w:rsidRPr="00E319BD">
        <w:t>au para</w:t>
      </w:r>
      <w:r w:rsidR="000768A2">
        <w:t> </w:t>
      </w:r>
      <w:r w:rsidR="00E319BD" w:rsidRPr="00E319BD">
        <w:t>5. Le Comité attend des États qu’ils interprètent le terme «</w:t>
      </w:r>
      <w:r w:rsidR="00D96428">
        <w:rPr>
          <w:rFonts w:ascii="Arial" w:hAnsi="Arial" w:cs="Arial"/>
        </w:rPr>
        <w:t> </w:t>
      </w:r>
      <w:r w:rsidR="00E319BD" w:rsidRPr="00E319BD">
        <w:t>développement</w:t>
      </w:r>
      <w:r w:rsidR="00D96428">
        <w:rPr>
          <w:rFonts w:ascii="Arial" w:hAnsi="Arial" w:cs="Arial"/>
        </w:rPr>
        <w:t> </w:t>
      </w:r>
      <w:r w:rsidR="00E319BD" w:rsidRPr="00E319BD">
        <w:t>» en tant que «</w:t>
      </w:r>
      <w:r w:rsidR="00D96428">
        <w:rPr>
          <w:rFonts w:ascii="Arial" w:hAnsi="Arial" w:cs="Arial"/>
        </w:rPr>
        <w:t> </w:t>
      </w:r>
      <w:r w:rsidR="00E319BD" w:rsidRPr="00E319BD">
        <w:t>concept global, embrassant le développement physique, mental, spirituel, moral, psychologique et social</w:t>
      </w:r>
      <w:r w:rsidR="00D96428">
        <w:rPr>
          <w:rFonts w:ascii="Arial" w:hAnsi="Arial" w:cs="Arial"/>
        </w:rPr>
        <w:t> </w:t>
      </w:r>
      <w:r w:rsidR="00E319BD" w:rsidRPr="00E319BD">
        <w:t>»</w:t>
      </w:r>
      <w:r w:rsidR="00AE2D44">
        <w:t>.</w:t>
      </w:r>
    </w:p>
  </w:footnote>
  <w:footnote w:id="95">
    <w:p w14:paraId="711A016A" w14:textId="0387FA8E" w:rsidR="00FE0BC3" w:rsidRDefault="00FE0BC3" w:rsidP="000057AD">
      <w:pPr>
        <w:pStyle w:val="NotesBasPage"/>
      </w:pPr>
      <w:r>
        <w:rPr>
          <w:rStyle w:val="Appelnotedebasdep"/>
        </w:rPr>
        <w:footnoteRef/>
      </w:r>
      <w:r>
        <w:t xml:space="preserve"> </w:t>
      </w:r>
      <w:r w:rsidR="001F4447">
        <w:tab/>
      </w:r>
      <w:r w:rsidR="00C062AD" w:rsidRPr="00C062AD">
        <w:t xml:space="preserve">Mario Provost, </w:t>
      </w:r>
      <w:r w:rsidR="00C062AD">
        <w:t>«</w:t>
      </w:r>
      <w:r w:rsidR="00D96428">
        <w:rPr>
          <w:rFonts w:ascii="Arial" w:hAnsi="Arial" w:cs="Arial"/>
        </w:rPr>
        <w:t> </w:t>
      </w:r>
      <w:r w:rsidR="00C062AD" w:rsidRPr="00C062AD">
        <w:t>Droit de la jeunesse</w:t>
      </w:r>
      <w:r w:rsidR="00D96428">
        <w:rPr>
          <w:rFonts w:ascii="Arial" w:hAnsi="Arial" w:cs="Arial"/>
        </w:rPr>
        <w:t> </w:t>
      </w:r>
      <w:r w:rsidR="00C062AD">
        <w:rPr>
          <w:rFonts w:ascii="Walbaum Heading" w:hAnsi="Walbaum Heading"/>
        </w:rPr>
        <w:t>»</w:t>
      </w:r>
      <w:r w:rsidR="00C062AD" w:rsidRPr="00C062AD">
        <w:t>, (2022) 3</w:t>
      </w:r>
      <w:r w:rsidR="00C062AD" w:rsidRPr="00C062AD">
        <w:rPr>
          <w:vertAlign w:val="superscript"/>
        </w:rPr>
        <w:t>e</w:t>
      </w:r>
      <w:r w:rsidR="00322ADA">
        <w:rPr>
          <w:vertAlign w:val="superscript"/>
        </w:rPr>
        <w:t> </w:t>
      </w:r>
      <w:r w:rsidR="00C062AD" w:rsidRPr="00C062AD">
        <w:t xml:space="preserve">éd, </w:t>
      </w:r>
      <w:r w:rsidR="00C062AD" w:rsidRPr="00A57AD2">
        <w:t>LexisNexis Canada</w:t>
      </w:r>
      <w:r w:rsidR="00C062AD" w:rsidRPr="00C062AD">
        <w:t>, à la p</w:t>
      </w:r>
      <w:r w:rsidR="000768A2">
        <w:t> </w:t>
      </w:r>
      <w:r w:rsidR="00C062AD" w:rsidRPr="00C062AD">
        <w:t>25</w:t>
      </w:r>
      <w:r w:rsidR="00C062AD">
        <w:t>.</w:t>
      </w:r>
    </w:p>
  </w:footnote>
  <w:footnote w:id="96">
    <w:p w14:paraId="5D043638" w14:textId="7C3C021D" w:rsidR="00FE0BC3" w:rsidRDefault="00FE0BC3" w:rsidP="000057AD">
      <w:pPr>
        <w:pStyle w:val="NotesBasPage"/>
      </w:pPr>
      <w:r>
        <w:rPr>
          <w:rStyle w:val="Appelnotedebasdep"/>
        </w:rPr>
        <w:footnoteRef/>
      </w:r>
      <w:r>
        <w:t xml:space="preserve"> </w:t>
      </w:r>
      <w:r w:rsidR="001F4447">
        <w:tab/>
      </w:r>
      <w:r w:rsidR="0043054A">
        <w:t xml:space="preserve">Comité des droits de l’enfant, </w:t>
      </w:r>
      <w:r w:rsidR="001136A9">
        <w:rPr>
          <w:i/>
        </w:rPr>
        <w:t xml:space="preserve">supra </w:t>
      </w:r>
      <w:r w:rsidR="001136A9" w:rsidRPr="001136A9">
        <w:rPr>
          <w:iCs/>
        </w:rPr>
        <w:t>note</w:t>
      </w:r>
      <w:r w:rsidR="000768A2">
        <w:rPr>
          <w:iCs/>
        </w:rPr>
        <w:t> </w:t>
      </w:r>
      <w:r w:rsidR="001136A9">
        <w:rPr>
          <w:iCs/>
        </w:rPr>
        <w:fldChar w:fldCharType="begin"/>
      </w:r>
      <w:r w:rsidR="001136A9">
        <w:rPr>
          <w:iCs/>
        </w:rPr>
        <w:instrText xml:space="preserve"> NOTEREF _Ref201318461 \h </w:instrText>
      </w:r>
      <w:r w:rsidR="001136A9">
        <w:rPr>
          <w:iCs/>
        </w:rPr>
      </w:r>
      <w:r w:rsidR="001136A9">
        <w:rPr>
          <w:iCs/>
        </w:rPr>
        <w:fldChar w:fldCharType="separate"/>
      </w:r>
      <w:r w:rsidR="0085330E">
        <w:rPr>
          <w:iCs/>
        </w:rPr>
        <w:t>93</w:t>
      </w:r>
      <w:r w:rsidR="001136A9">
        <w:rPr>
          <w:iCs/>
        </w:rPr>
        <w:fldChar w:fldCharType="end"/>
      </w:r>
      <w:r w:rsidR="0043054A">
        <w:t xml:space="preserve"> aux paras</w:t>
      </w:r>
      <w:r w:rsidR="000768A2">
        <w:t> </w:t>
      </w:r>
      <w:r w:rsidR="0043054A">
        <w:t>52 et suiv.</w:t>
      </w:r>
    </w:p>
  </w:footnote>
  <w:footnote w:id="97">
    <w:p w14:paraId="4CC560B5" w14:textId="57B96A07" w:rsidR="00EB4023" w:rsidRDefault="00EB4023" w:rsidP="000057AD">
      <w:pPr>
        <w:pStyle w:val="NotesBasPage"/>
      </w:pPr>
      <w:r>
        <w:rPr>
          <w:rStyle w:val="Appelnotedebasdep"/>
        </w:rPr>
        <w:footnoteRef/>
      </w:r>
      <w:r>
        <w:t xml:space="preserve"> </w:t>
      </w:r>
      <w:r>
        <w:tab/>
      </w:r>
      <w:r w:rsidRPr="00DE7E7C">
        <w:t xml:space="preserve">Provost, </w:t>
      </w:r>
      <w:r w:rsidRPr="00DE7E7C">
        <w:rPr>
          <w:i/>
          <w:iCs/>
        </w:rPr>
        <w:t xml:space="preserve">supra </w:t>
      </w:r>
      <w:r w:rsidRPr="00DE7E7C">
        <w:t>note</w:t>
      </w:r>
      <w:r w:rsidR="00351CFB">
        <w:t xml:space="preserve"> </w:t>
      </w:r>
      <w:r w:rsidR="00CE367C">
        <w:fldChar w:fldCharType="begin"/>
      </w:r>
      <w:r w:rsidR="00CE367C">
        <w:instrText xml:space="preserve"> NOTEREF _Ref200466420 \h </w:instrText>
      </w:r>
      <w:r w:rsidR="00CE367C">
        <w:fldChar w:fldCharType="separate"/>
      </w:r>
      <w:r w:rsidR="0085330E">
        <w:t>94</w:t>
      </w:r>
      <w:r w:rsidR="00CE367C">
        <w:fldChar w:fldCharType="end"/>
      </w:r>
      <w:r w:rsidR="003B13E8">
        <w:t xml:space="preserve"> </w:t>
      </w:r>
      <w:r w:rsidRPr="00DE7E7C">
        <w:t>à la p 25</w:t>
      </w:r>
      <w:r>
        <w:t>.</w:t>
      </w:r>
    </w:p>
  </w:footnote>
  <w:footnote w:id="98">
    <w:p w14:paraId="5B8A12DD" w14:textId="19F0F2B2" w:rsidR="003B4792" w:rsidRDefault="001F4447" w:rsidP="000057AD">
      <w:pPr>
        <w:pStyle w:val="NotesBasPage"/>
      </w:pPr>
      <w:r>
        <w:rPr>
          <w:rStyle w:val="Appelnotedebasdep"/>
        </w:rPr>
        <w:footnoteRef/>
      </w:r>
      <w:r>
        <w:t xml:space="preserve"> </w:t>
      </w:r>
      <w:r>
        <w:tab/>
      </w:r>
      <w:r w:rsidR="005B04F1">
        <w:t xml:space="preserve">Gouvernement du Québec, </w:t>
      </w:r>
      <w:r w:rsidR="00C760CB" w:rsidRPr="003B4792">
        <w:rPr>
          <w:i/>
          <w:iCs/>
        </w:rPr>
        <w:t>O</w:t>
      </w:r>
      <w:r w:rsidR="00121521" w:rsidRPr="003B4792">
        <w:rPr>
          <w:i/>
          <w:iCs/>
        </w:rPr>
        <w:t xml:space="preserve">util de soutien </w:t>
      </w:r>
      <w:r w:rsidR="00C760CB" w:rsidRPr="003B4792">
        <w:rPr>
          <w:i/>
          <w:iCs/>
        </w:rPr>
        <w:t xml:space="preserve">à </w:t>
      </w:r>
      <w:r w:rsidR="00121521" w:rsidRPr="003B4792">
        <w:rPr>
          <w:i/>
          <w:iCs/>
        </w:rPr>
        <w:t xml:space="preserve">l’analyse de l’intérêt </w:t>
      </w:r>
      <w:r w:rsidR="00C760CB" w:rsidRPr="003B4792">
        <w:rPr>
          <w:i/>
          <w:iCs/>
        </w:rPr>
        <w:t>de l’enfant-Fiches cliniques</w:t>
      </w:r>
      <w:r w:rsidR="00C760CB">
        <w:t xml:space="preserve">, </w:t>
      </w:r>
      <w:r w:rsidR="002857C2">
        <w:t xml:space="preserve">2024, en ligne : </w:t>
      </w:r>
      <w:hyperlink r:id="rId14" w:history="1">
        <w:r w:rsidR="003B4792" w:rsidRPr="008C7126">
          <w:rPr>
            <w:rStyle w:val="Lienhypertexte"/>
          </w:rPr>
          <w:t>https://publications.msss.gouv.qc.ca/msss/fichiers/2024/24-838-07W.pdf</w:t>
        </w:r>
      </w:hyperlink>
    </w:p>
  </w:footnote>
  <w:footnote w:id="99">
    <w:p w14:paraId="7D344BDF" w14:textId="3E4F3F7C" w:rsidR="00B128F0" w:rsidRDefault="00B128F0" w:rsidP="000057AD">
      <w:pPr>
        <w:pStyle w:val="NotesBasPage"/>
      </w:pPr>
      <w:r>
        <w:rPr>
          <w:rStyle w:val="Appelnotedebasdep"/>
        </w:rPr>
        <w:footnoteRef/>
      </w:r>
      <w:r>
        <w:t xml:space="preserve"> </w:t>
      </w:r>
      <w:r>
        <w:tab/>
      </w:r>
      <w:r w:rsidR="00920367" w:rsidRPr="00920367">
        <w:t>LPJ, art131.4</w:t>
      </w:r>
      <w:r w:rsidR="00D16B99">
        <w:rPr>
          <w:rFonts w:ascii="Arial" w:hAnsi="Arial" w:cs="Arial"/>
        </w:rPr>
        <w:t> </w:t>
      </w:r>
      <w:r w:rsidR="00920367" w:rsidRPr="00920367">
        <w:t xml:space="preserve">; Commission d’enquête sur les relations entre les Autochtones et certains services publics, </w:t>
      </w:r>
      <w:r w:rsidR="00920367" w:rsidRPr="00920367">
        <w:rPr>
          <w:i/>
          <w:iCs/>
        </w:rPr>
        <w:t>Écoute, réconciliation et progrès, Rapport final</w:t>
      </w:r>
      <w:r w:rsidR="00920367" w:rsidRPr="00920367">
        <w:t>, 2019, recommandation 113.</w:t>
      </w:r>
    </w:p>
  </w:footnote>
  <w:footnote w:id="100">
    <w:p w14:paraId="3F0D0B7D" w14:textId="5A7859E2" w:rsidR="00B128F0" w:rsidRDefault="00B128F0" w:rsidP="000057AD">
      <w:pPr>
        <w:pStyle w:val="NotesBasPage"/>
      </w:pPr>
      <w:r>
        <w:rPr>
          <w:rStyle w:val="Appelnotedebasdep"/>
        </w:rPr>
        <w:footnoteRef/>
      </w:r>
      <w:r>
        <w:t xml:space="preserve"> </w:t>
      </w:r>
      <w:r>
        <w:tab/>
      </w:r>
      <w:bookmarkStart w:id="55" w:name="_Hlk200527700"/>
      <w:r w:rsidR="00920367" w:rsidRPr="00DE7E7C">
        <w:t xml:space="preserve">Provost, </w:t>
      </w:r>
      <w:r w:rsidR="00920367" w:rsidRPr="00DE7E7C">
        <w:rPr>
          <w:i/>
          <w:iCs/>
        </w:rPr>
        <w:t xml:space="preserve">supra </w:t>
      </w:r>
      <w:r w:rsidR="00920367" w:rsidRPr="00DE7E7C">
        <w:t xml:space="preserve">note </w:t>
      </w:r>
      <w:r w:rsidR="00A26971">
        <w:fldChar w:fldCharType="begin"/>
      </w:r>
      <w:r w:rsidR="00A26971">
        <w:instrText xml:space="preserve"> NOTEREF _Ref200466420 \h </w:instrText>
      </w:r>
      <w:r w:rsidR="00A26971">
        <w:fldChar w:fldCharType="separate"/>
      </w:r>
      <w:r w:rsidR="0085330E">
        <w:t>94</w:t>
      </w:r>
      <w:r w:rsidR="00A26971">
        <w:fldChar w:fldCharType="end"/>
      </w:r>
      <w:r w:rsidR="00920367" w:rsidRPr="00DE7E7C">
        <w:t xml:space="preserve"> à la p 25</w:t>
      </w:r>
      <w:bookmarkEnd w:id="55"/>
      <w:r w:rsidR="00920367">
        <w:t>.</w:t>
      </w:r>
    </w:p>
  </w:footnote>
  <w:footnote w:id="101">
    <w:p w14:paraId="4E1324BD" w14:textId="34B6FD84" w:rsidR="00643D08" w:rsidRDefault="00643D08" w:rsidP="000057AD">
      <w:pPr>
        <w:pStyle w:val="NotesBasPage"/>
      </w:pPr>
      <w:r>
        <w:rPr>
          <w:rStyle w:val="Appelnotedebasdep"/>
        </w:rPr>
        <w:footnoteRef/>
      </w:r>
      <w:r>
        <w:t xml:space="preserve"> </w:t>
      </w:r>
      <w:r w:rsidR="00137C8F">
        <w:tab/>
      </w:r>
      <w:r w:rsidR="00137C8F" w:rsidRPr="00DE7E7C">
        <w:t xml:space="preserve">Provost, </w:t>
      </w:r>
      <w:r w:rsidR="00137C8F" w:rsidRPr="00DE7E7C">
        <w:rPr>
          <w:i/>
          <w:iCs/>
        </w:rPr>
        <w:t xml:space="preserve">supra </w:t>
      </w:r>
      <w:r w:rsidR="00137C8F" w:rsidRPr="00DE7E7C">
        <w:t xml:space="preserve">note </w:t>
      </w:r>
      <w:r w:rsidR="007B750B">
        <w:fldChar w:fldCharType="begin"/>
      </w:r>
      <w:r w:rsidR="007B750B">
        <w:instrText xml:space="preserve"> NOTEREF _Ref200466420 \h </w:instrText>
      </w:r>
      <w:r w:rsidR="007B750B">
        <w:fldChar w:fldCharType="separate"/>
      </w:r>
      <w:r w:rsidR="0085330E">
        <w:t>94</w:t>
      </w:r>
      <w:r w:rsidR="007B750B">
        <w:fldChar w:fldCharType="end"/>
      </w:r>
      <w:r w:rsidR="00137C8F" w:rsidRPr="00DE7E7C">
        <w:t xml:space="preserve"> à la p </w:t>
      </w:r>
      <w:r w:rsidR="00137C8F">
        <w:t>8</w:t>
      </w:r>
      <w:r w:rsidR="00137C8F" w:rsidRPr="00DE7E7C">
        <w:t>5</w:t>
      </w:r>
      <w:r w:rsidR="00137C8F">
        <w:t>.</w:t>
      </w:r>
    </w:p>
  </w:footnote>
  <w:footnote w:id="102">
    <w:p w14:paraId="330CB9E2" w14:textId="0665C25F" w:rsidR="00EB4023" w:rsidRDefault="00EB4023" w:rsidP="000057AD">
      <w:pPr>
        <w:pStyle w:val="NotesBasPage"/>
      </w:pPr>
      <w:r>
        <w:rPr>
          <w:rStyle w:val="Appelnotedebasdep"/>
        </w:rPr>
        <w:footnoteRef/>
      </w:r>
      <w:r>
        <w:t xml:space="preserve"> </w:t>
      </w:r>
      <w:r w:rsidR="00137C8F">
        <w:tab/>
      </w:r>
      <w:r w:rsidR="00137C8F" w:rsidRPr="00137C8F">
        <w:rPr>
          <w:i/>
          <w:iCs/>
        </w:rPr>
        <w:t>Idem</w:t>
      </w:r>
      <w:r w:rsidR="00137C8F">
        <w:t>.</w:t>
      </w:r>
    </w:p>
  </w:footnote>
  <w:footnote w:id="103">
    <w:p w14:paraId="62D0E692" w14:textId="5613B1E9" w:rsidR="00137C8F" w:rsidRDefault="00137C8F" w:rsidP="000057AD">
      <w:pPr>
        <w:pStyle w:val="NotesBasPage"/>
      </w:pPr>
      <w:r>
        <w:rPr>
          <w:rStyle w:val="Appelnotedebasdep"/>
        </w:rPr>
        <w:footnoteRef/>
      </w:r>
      <w:r>
        <w:t xml:space="preserve"> </w:t>
      </w:r>
      <w:r>
        <w:tab/>
      </w:r>
      <w:r w:rsidRPr="00137C8F">
        <w:rPr>
          <w:i/>
          <w:iCs/>
        </w:rPr>
        <w:t>Idem</w:t>
      </w:r>
      <w:r>
        <w:rPr>
          <w:i/>
          <w:iCs/>
        </w:rPr>
        <w:t xml:space="preserve"> </w:t>
      </w:r>
      <w:r w:rsidRPr="00137C8F">
        <w:t>à la p 82</w:t>
      </w:r>
      <w:r>
        <w:rPr>
          <w:i/>
          <w:iCs/>
        </w:rPr>
        <w:t>.</w:t>
      </w:r>
    </w:p>
  </w:footnote>
  <w:footnote w:id="104">
    <w:p w14:paraId="0284917E" w14:textId="42E7FA5F" w:rsidR="009A68B5" w:rsidRDefault="009A68B5" w:rsidP="000057AD">
      <w:pPr>
        <w:pStyle w:val="NotesBasPage"/>
      </w:pPr>
      <w:r>
        <w:rPr>
          <w:rStyle w:val="Appelnotedebasdep"/>
        </w:rPr>
        <w:footnoteRef/>
      </w:r>
      <w:r>
        <w:t xml:space="preserve"> </w:t>
      </w:r>
      <w:r w:rsidR="00BE450B">
        <w:tab/>
      </w:r>
      <w:r w:rsidR="00BE450B" w:rsidRPr="00BE450B">
        <w:rPr>
          <w:i/>
          <w:iCs/>
        </w:rPr>
        <w:t>Idem</w:t>
      </w:r>
      <w:r w:rsidR="00BE450B">
        <w:t xml:space="preserve"> aux pp 87-93.</w:t>
      </w:r>
    </w:p>
  </w:footnote>
  <w:footnote w:id="105">
    <w:p w14:paraId="7DC06043" w14:textId="4A88DAC4" w:rsidR="00BE450B" w:rsidRDefault="00BE450B" w:rsidP="000057AD">
      <w:pPr>
        <w:pStyle w:val="NotesBasPage"/>
      </w:pPr>
      <w:r>
        <w:rPr>
          <w:rStyle w:val="Appelnotedebasdep"/>
        </w:rPr>
        <w:footnoteRef/>
      </w:r>
      <w:r>
        <w:t xml:space="preserve"> </w:t>
      </w:r>
      <w:r>
        <w:tab/>
      </w:r>
      <w:r w:rsidRPr="00BE450B">
        <w:rPr>
          <w:i/>
          <w:iCs/>
        </w:rPr>
        <w:t>Idem</w:t>
      </w:r>
      <w:r>
        <w:t xml:space="preserve"> à la p 698.</w:t>
      </w:r>
    </w:p>
  </w:footnote>
  <w:footnote w:id="106">
    <w:p w14:paraId="183934AE" w14:textId="060E5718" w:rsidR="005B39B2" w:rsidRDefault="005B39B2" w:rsidP="000057AD">
      <w:pPr>
        <w:pStyle w:val="NotesBasPage"/>
      </w:pPr>
      <w:r>
        <w:rPr>
          <w:rStyle w:val="Appelnotedebasdep"/>
        </w:rPr>
        <w:footnoteRef/>
      </w:r>
      <w:r>
        <w:t xml:space="preserve"> </w:t>
      </w:r>
      <w:r>
        <w:tab/>
      </w:r>
      <w:r w:rsidR="00025CD0" w:rsidRPr="00025CD0">
        <w:t>Les données recueillies concernent l’ensemble de la fratrie, incluant les demi-frères et les demi-sœurs.</w:t>
      </w:r>
    </w:p>
  </w:footnote>
  <w:footnote w:id="107">
    <w:p w14:paraId="72992203" w14:textId="614944E4" w:rsidR="005405FF" w:rsidRDefault="005B39B2" w:rsidP="000057AD">
      <w:pPr>
        <w:pStyle w:val="NotesBasPage"/>
      </w:pPr>
      <w:r>
        <w:rPr>
          <w:rStyle w:val="Appelnotedebasdep"/>
        </w:rPr>
        <w:footnoteRef/>
      </w:r>
      <w:r>
        <w:t xml:space="preserve"> </w:t>
      </w:r>
      <w:r>
        <w:tab/>
      </w:r>
      <w:r w:rsidR="00974D07" w:rsidRPr="00974D07">
        <w:t xml:space="preserve">Institut de la statistique du Québec, </w:t>
      </w:r>
      <w:r w:rsidR="00974D07" w:rsidRPr="005B7A1F">
        <w:rPr>
          <w:i/>
        </w:rPr>
        <w:t>Familles de recensement selon la structure et le nombre d’enfants de tous âges, Canada et provinces</w:t>
      </w:r>
      <w:r w:rsidR="00974D07" w:rsidRPr="00974D07">
        <w:t>, 2021</w:t>
      </w:r>
      <w:r w:rsidR="00974D07">
        <w:t xml:space="preserve">, en ligne : </w:t>
      </w:r>
      <w:hyperlink r:id="rId15" w:anchor="de_temps_refrn=2021&amp;tri_mesr=2199" w:history="1">
        <w:r w:rsidR="005405FF" w:rsidRPr="008C7126">
          <w:rPr>
            <w:rStyle w:val="Lienhypertexte"/>
          </w:rPr>
          <w:t>https://statistique.quebec.ca/fr/produit/tableau/familles-recensement-structure-nombre-enfants-ages-canada-provinces#de_temps_refrn=2021&amp;tri_mesr=2199</w:t>
        </w:r>
      </w:hyperlink>
      <w:r w:rsidR="005405FF">
        <w:t xml:space="preserve"> (page consultée le 11</w:t>
      </w:r>
      <w:r w:rsidR="00220FCC">
        <w:t> </w:t>
      </w:r>
      <w:r w:rsidR="005405FF">
        <w:t>juin 2025).</w:t>
      </w:r>
    </w:p>
  </w:footnote>
  <w:footnote w:id="108">
    <w:p w14:paraId="485E24DC" w14:textId="1EFFC6F9" w:rsidR="00B60D1C" w:rsidRDefault="00B60D1C" w:rsidP="000057AD">
      <w:pPr>
        <w:pStyle w:val="NotesBasPage"/>
      </w:pPr>
      <w:r>
        <w:rPr>
          <w:rStyle w:val="Appelnotedebasdep"/>
        </w:rPr>
        <w:footnoteRef/>
      </w:r>
      <w:r>
        <w:t xml:space="preserve"> </w:t>
      </w:r>
      <w:r>
        <w:tab/>
      </w:r>
      <w:r w:rsidR="009656E9" w:rsidRPr="009656E9">
        <w:t>Charte, art 39.</w:t>
      </w:r>
    </w:p>
  </w:footnote>
  <w:footnote w:id="109">
    <w:p w14:paraId="0E125C91" w14:textId="1AC133F1" w:rsidR="00B60D1C" w:rsidRDefault="00B60D1C" w:rsidP="000057AD">
      <w:pPr>
        <w:pStyle w:val="NotesBasPage"/>
      </w:pPr>
      <w:r>
        <w:rPr>
          <w:rStyle w:val="Appelnotedebasdep"/>
        </w:rPr>
        <w:footnoteRef/>
      </w:r>
      <w:r>
        <w:t xml:space="preserve"> </w:t>
      </w:r>
      <w:r>
        <w:tab/>
      </w:r>
      <w:r w:rsidR="00CC1463">
        <w:t>Gabriel Destrempe Rochette et Michaël Lessard, «</w:t>
      </w:r>
      <w:r w:rsidR="00D96428">
        <w:rPr>
          <w:rFonts w:ascii="Arial" w:hAnsi="Arial" w:cs="Arial"/>
        </w:rPr>
        <w:t> </w:t>
      </w:r>
      <w:r w:rsidR="00CC1463">
        <w:t>Réforme de la Loi sur la protection de la jeunesse de 2022</w:t>
      </w:r>
      <w:r w:rsidR="00914C42">
        <w:t> </w:t>
      </w:r>
      <w:r w:rsidR="00CC1463">
        <w:t>: de nouvelles balises pour l’intérêt de l’enfant</w:t>
      </w:r>
      <w:r w:rsidR="00D96428">
        <w:rPr>
          <w:rFonts w:ascii="Arial" w:hAnsi="Arial" w:cs="Arial"/>
        </w:rPr>
        <w:t> </w:t>
      </w:r>
      <w:r w:rsidR="00CC1463">
        <w:t xml:space="preserve">», Revue du Barreau, 2022, </w:t>
      </w:r>
      <w:r w:rsidR="00332E16">
        <w:t>à la p</w:t>
      </w:r>
      <w:r w:rsidR="00CC1463">
        <w:t>106</w:t>
      </w:r>
      <w:r w:rsidR="00605FBD">
        <w:t>.</w:t>
      </w:r>
    </w:p>
  </w:footnote>
  <w:footnote w:id="110">
    <w:p w14:paraId="53D16FFA" w14:textId="702F6E76" w:rsidR="00B60D1C" w:rsidRDefault="00B60D1C" w:rsidP="000057AD">
      <w:pPr>
        <w:pStyle w:val="NotesBasPage"/>
      </w:pPr>
      <w:r>
        <w:rPr>
          <w:rStyle w:val="Appelnotedebasdep"/>
        </w:rPr>
        <w:footnoteRef/>
      </w:r>
      <w:r>
        <w:t xml:space="preserve"> </w:t>
      </w:r>
      <w:r>
        <w:tab/>
      </w:r>
      <w:r w:rsidR="00E264AC" w:rsidRPr="00E264AC">
        <w:rPr>
          <w:i/>
          <w:iCs/>
        </w:rPr>
        <w:t>Idem</w:t>
      </w:r>
      <w:r w:rsidR="00E264AC" w:rsidRPr="00E264AC">
        <w:t>.</w:t>
      </w:r>
    </w:p>
  </w:footnote>
  <w:footnote w:id="111">
    <w:p w14:paraId="79ED33C8" w14:textId="2D3E0553" w:rsidR="00B60D1C" w:rsidRDefault="00B60D1C" w:rsidP="000057AD">
      <w:pPr>
        <w:pStyle w:val="NotesBasPage"/>
      </w:pPr>
      <w:r>
        <w:rPr>
          <w:rStyle w:val="Appelnotedebasdep"/>
        </w:rPr>
        <w:footnoteRef/>
      </w:r>
      <w:r>
        <w:t xml:space="preserve"> </w:t>
      </w:r>
      <w:r>
        <w:tab/>
      </w:r>
      <w:r w:rsidR="00FE6E91" w:rsidRPr="007B6D2B">
        <w:rPr>
          <w:i/>
          <w:iCs/>
        </w:rPr>
        <w:t>Idem</w:t>
      </w:r>
      <w:r w:rsidR="00FE6E91" w:rsidRPr="00FE6E91">
        <w:t xml:space="preserve"> au para 105</w:t>
      </w:r>
      <w:r w:rsidR="00FE6E91">
        <w:t>.</w:t>
      </w:r>
    </w:p>
  </w:footnote>
  <w:footnote w:id="112">
    <w:p w14:paraId="4E649903" w14:textId="3BAD15B3" w:rsidR="00FE4CA0" w:rsidRDefault="00FE4CA0" w:rsidP="000057AD">
      <w:pPr>
        <w:pStyle w:val="NotesBasPage"/>
      </w:pPr>
      <w:r>
        <w:rPr>
          <w:rStyle w:val="Appelnotedebasdep"/>
        </w:rPr>
        <w:footnoteRef/>
      </w:r>
      <w:r>
        <w:t xml:space="preserve"> </w:t>
      </w:r>
      <w:r w:rsidR="00C91324">
        <w:tab/>
      </w:r>
      <w:r w:rsidR="007B6D2B" w:rsidRPr="007B6D2B">
        <w:rPr>
          <w:i/>
          <w:iCs/>
        </w:rPr>
        <w:t>Idem</w:t>
      </w:r>
      <w:r w:rsidR="007B6D2B" w:rsidRPr="007B6D2B">
        <w:t xml:space="preserve"> au para 103.</w:t>
      </w:r>
    </w:p>
  </w:footnote>
  <w:footnote w:id="113">
    <w:p w14:paraId="3D792D4C" w14:textId="5F1BA0DB" w:rsidR="00034524" w:rsidRDefault="00034524" w:rsidP="000057AD">
      <w:pPr>
        <w:pStyle w:val="NotesBasPage"/>
      </w:pPr>
      <w:r>
        <w:rPr>
          <w:rStyle w:val="Appelnotedebasdep"/>
        </w:rPr>
        <w:footnoteRef/>
      </w:r>
      <w:r>
        <w:t xml:space="preserve"> </w:t>
      </w:r>
      <w:r w:rsidR="00E64BFA">
        <w:tab/>
      </w:r>
      <w:r w:rsidR="00BD7C32" w:rsidRPr="00BD7C32">
        <w:t>Observatoire national de la protection de l’enfance, «</w:t>
      </w:r>
      <w:r w:rsidR="00D96428">
        <w:rPr>
          <w:rFonts w:ascii="Arial" w:hAnsi="Arial" w:cs="Arial"/>
        </w:rPr>
        <w:t> </w:t>
      </w:r>
      <w:r w:rsidR="00BD7C32" w:rsidRPr="00BD7C32">
        <w:t>Quelles protections pour les enfants en placement longue durée</w:t>
      </w:r>
      <w:r w:rsidR="006C6430">
        <w:rPr>
          <w:rFonts w:ascii="Arial" w:hAnsi="Arial" w:cs="Arial"/>
        </w:rPr>
        <w:t> </w:t>
      </w:r>
      <w:r w:rsidR="00BD7C32" w:rsidRPr="00BD7C32">
        <w:t>? Approche comparée France-Québec</w:t>
      </w:r>
      <w:r w:rsidR="00D96428">
        <w:rPr>
          <w:rFonts w:ascii="Arial" w:hAnsi="Arial" w:cs="Arial"/>
        </w:rPr>
        <w:t> </w:t>
      </w:r>
      <w:r w:rsidR="00BD7C32" w:rsidRPr="00BD7C32">
        <w:t>», 2024, au para 183.</w:t>
      </w:r>
    </w:p>
  </w:footnote>
  <w:footnote w:id="114">
    <w:p w14:paraId="6C95CA52" w14:textId="2AAB6DA4" w:rsidR="0099041B" w:rsidRDefault="0099041B" w:rsidP="000057AD">
      <w:pPr>
        <w:pStyle w:val="NotesBasPage"/>
      </w:pPr>
      <w:r>
        <w:rPr>
          <w:rStyle w:val="Appelnotedebasdep"/>
        </w:rPr>
        <w:footnoteRef/>
      </w:r>
      <w:r>
        <w:t xml:space="preserve"> </w:t>
      </w:r>
      <w:r w:rsidR="00E64BFA">
        <w:tab/>
      </w:r>
      <w:r w:rsidR="00660EB8" w:rsidRPr="008828D4">
        <w:rPr>
          <w:i/>
        </w:rPr>
        <w:t>Idem</w:t>
      </w:r>
      <w:r w:rsidR="00660EB8">
        <w:t xml:space="preserve"> au para 195.</w:t>
      </w:r>
    </w:p>
  </w:footnote>
  <w:footnote w:id="115">
    <w:p w14:paraId="7CB3D2AE" w14:textId="0B16F9CE" w:rsidR="002D14CF" w:rsidRDefault="002D14CF" w:rsidP="000057AD">
      <w:pPr>
        <w:pStyle w:val="NotesBasPage"/>
      </w:pPr>
      <w:r>
        <w:rPr>
          <w:rStyle w:val="Appelnotedebasdep"/>
        </w:rPr>
        <w:footnoteRef/>
      </w:r>
      <w:r>
        <w:t xml:space="preserve"> </w:t>
      </w:r>
      <w:r w:rsidR="00E64BFA">
        <w:tab/>
      </w:r>
      <w:r w:rsidR="00187B99" w:rsidRPr="00DE7E7C">
        <w:t xml:space="preserve">Provost, </w:t>
      </w:r>
      <w:r w:rsidR="00187B99" w:rsidRPr="00DE7E7C">
        <w:rPr>
          <w:i/>
          <w:iCs/>
        </w:rPr>
        <w:t xml:space="preserve">supra </w:t>
      </w:r>
      <w:r w:rsidR="00187B99" w:rsidRPr="00DE7E7C">
        <w:t xml:space="preserve">note </w:t>
      </w:r>
      <w:r w:rsidR="00891D04">
        <w:fldChar w:fldCharType="begin"/>
      </w:r>
      <w:r w:rsidR="00891D04">
        <w:instrText xml:space="preserve"> NOTEREF _Ref200466420 \h </w:instrText>
      </w:r>
      <w:r w:rsidR="00891D04">
        <w:fldChar w:fldCharType="separate"/>
      </w:r>
      <w:r w:rsidR="0085330E">
        <w:t>94</w:t>
      </w:r>
      <w:r w:rsidR="00891D04">
        <w:fldChar w:fldCharType="end"/>
      </w:r>
      <w:r w:rsidR="008B3E98">
        <w:t xml:space="preserve"> </w:t>
      </w:r>
      <w:r w:rsidR="00187B99" w:rsidRPr="00DE7E7C">
        <w:t>à la p</w:t>
      </w:r>
      <w:r w:rsidR="00187B99">
        <w:t xml:space="preserve"> 29.</w:t>
      </w:r>
    </w:p>
  </w:footnote>
  <w:footnote w:id="116">
    <w:p w14:paraId="5A527A80" w14:textId="669F2371" w:rsidR="002D14CF" w:rsidRDefault="002D14CF" w:rsidP="000057AD">
      <w:pPr>
        <w:pStyle w:val="NotesBasPage"/>
      </w:pPr>
      <w:r>
        <w:rPr>
          <w:rStyle w:val="Appelnotedebasdep"/>
        </w:rPr>
        <w:footnoteRef/>
      </w:r>
      <w:r>
        <w:t xml:space="preserve"> </w:t>
      </w:r>
      <w:r w:rsidR="00E64BFA">
        <w:tab/>
      </w:r>
      <w:r w:rsidR="00187B99" w:rsidRPr="00187B99">
        <w:rPr>
          <w:i/>
          <w:iCs/>
        </w:rPr>
        <w:t>Idem</w:t>
      </w:r>
      <w:r w:rsidR="00187B99">
        <w:t>.</w:t>
      </w:r>
    </w:p>
  </w:footnote>
  <w:footnote w:id="117">
    <w:p w14:paraId="6F2D5F96" w14:textId="0F62C985" w:rsidR="00BD6DCA" w:rsidRDefault="00BD6DCA" w:rsidP="000057AD">
      <w:pPr>
        <w:pStyle w:val="NotesBasPage"/>
      </w:pPr>
      <w:r>
        <w:rPr>
          <w:rStyle w:val="Appelnotedebasdep"/>
        </w:rPr>
        <w:footnoteRef/>
      </w:r>
      <w:r>
        <w:t xml:space="preserve"> </w:t>
      </w:r>
      <w:r w:rsidR="00A809F8">
        <w:tab/>
      </w:r>
      <w:r w:rsidR="005079C8" w:rsidRPr="009D212C">
        <w:rPr>
          <w:i/>
          <w:iCs/>
        </w:rPr>
        <w:t>Idem</w:t>
      </w:r>
      <w:r w:rsidR="005079C8" w:rsidRPr="005079C8">
        <w:t xml:space="preserve"> à la p 321.</w:t>
      </w:r>
    </w:p>
  </w:footnote>
  <w:footnote w:id="118">
    <w:p w14:paraId="1953B835" w14:textId="464E3487" w:rsidR="00BD6DCA" w:rsidRDefault="00BD6DCA" w:rsidP="000057AD">
      <w:pPr>
        <w:pStyle w:val="NotesBasPage"/>
      </w:pPr>
      <w:r>
        <w:rPr>
          <w:rStyle w:val="Appelnotedebasdep"/>
        </w:rPr>
        <w:footnoteRef/>
      </w:r>
      <w:r>
        <w:t xml:space="preserve"> </w:t>
      </w:r>
      <w:r w:rsidR="00A809F8">
        <w:tab/>
      </w:r>
      <w:r w:rsidR="00921834" w:rsidRPr="009D212C">
        <w:rPr>
          <w:i/>
          <w:iCs/>
        </w:rPr>
        <w:t>Idem</w:t>
      </w:r>
      <w:r w:rsidR="00921834" w:rsidRPr="00921834">
        <w:t>.</w:t>
      </w:r>
    </w:p>
  </w:footnote>
  <w:footnote w:id="119">
    <w:p w14:paraId="6B2958D2" w14:textId="19C2359D" w:rsidR="00566E60" w:rsidRDefault="00566E60" w:rsidP="000057AD">
      <w:pPr>
        <w:pStyle w:val="NotesBasPage"/>
      </w:pPr>
      <w:r>
        <w:rPr>
          <w:rStyle w:val="Appelnotedebasdep"/>
        </w:rPr>
        <w:footnoteRef/>
      </w:r>
      <w:r>
        <w:t xml:space="preserve"> </w:t>
      </w:r>
      <w:r w:rsidR="00A809F8">
        <w:tab/>
      </w:r>
      <w:r w:rsidR="00117418" w:rsidRPr="009D212C">
        <w:rPr>
          <w:i/>
          <w:iCs/>
        </w:rPr>
        <w:t>Idem</w:t>
      </w:r>
      <w:r w:rsidR="00117418" w:rsidRPr="00117418">
        <w:t xml:space="preserve"> à la p 322.</w:t>
      </w:r>
    </w:p>
  </w:footnote>
  <w:footnote w:id="120">
    <w:p w14:paraId="53AE3F20" w14:textId="00482253" w:rsidR="00566E60" w:rsidRDefault="00566E60" w:rsidP="000057AD">
      <w:pPr>
        <w:pStyle w:val="NotesBasPage"/>
      </w:pPr>
      <w:r>
        <w:rPr>
          <w:rStyle w:val="Appelnotedebasdep"/>
        </w:rPr>
        <w:footnoteRef/>
      </w:r>
      <w:r>
        <w:t xml:space="preserve"> </w:t>
      </w:r>
      <w:r w:rsidR="00A809F8">
        <w:tab/>
      </w:r>
      <w:r w:rsidR="009D212C" w:rsidRPr="008828D4">
        <w:rPr>
          <w:i/>
        </w:rPr>
        <w:t>Idem</w:t>
      </w:r>
      <w:r w:rsidR="009D212C">
        <w:t>.</w:t>
      </w:r>
    </w:p>
  </w:footnote>
  <w:footnote w:id="121">
    <w:p w14:paraId="1E5F501E" w14:textId="16D19A5E" w:rsidR="005E06F3" w:rsidRDefault="005E06F3" w:rsidP="000057AD">
      <w:pPr>
        <w:pStyle w:val="NotesBasPage"/>
      </w:pPr>
      <w:r>
        <w:rPr>
          <w:rStyle w:val="Appelnotedebasdep"/>
        </w:rPr>
        <w:footnoteRef/>
      </w:r>
      <w:r>
        <w:t xml:space="preserve"> </w:t>
      </w:r>
      <w:r>
        <w:tab/>
      </w:r>
      <w:r w:rsidR="00BA2EC9" w:rsidRPr="00C6558F">
        <w:rPr>
          <w:i/>
          <w:iCs/>
        </w:rPr>
        <w:t>Loi sur l’aide juridique et sur la prestation de certains autres services juridiques</w:t>
      </w:r>
      <w:r w:rsidR="00BA2EC9" w:rsidRPr="00BA2EC9">
        <w:t>, RLRQ, c</w:t>
      </w:r>
      <w:r w:rsidR="0046392D">
        <w:t> </w:t>
      </w:r>
      <w:r w:rsidR="00BA2EC9" w:rsidRPr="00BA2EC9">
        <w:t>A-14, art 4.7 6°.</w:t>
      </w:r>
    </w:p>
  </w:footnote>
  <w:footnote w:id="122">
    <w:p w14:paraId="628D4D52" w14:textId="720EC206" w:rsidR="005E06F3" w:rsidRDefault="005E06F3" w:rsidP="000057AD">
      <w:pPr>
        <w:pStyle w:val="NotesBasPage"/>
      </w:pPr>
      <w:r>
        <w:rPr>
          <w:rStyle w:val="Appelnotedebasdep"/>
        </w:rPr>
        <w:footnoteRef/>
      </w:r>
      <w:r>
        <w:t xml:space="preserve"> </w:t>
      </w:r>
      <w:r>
        <w:tab/>
      </w:r>
      <w:r w:rsidR="00244B3E" w:rsidRPr="00244B3E">
        <w:rPr>
          <w:i/>
          <w:iCs/>
        </w:rPr>
        <w:t>M.F. c J.L</w:t>
      </w:r>
      <w:r w:rsidR="00244B3E" w:rsidRPr="00244B3E">
        <w:t>, [2002] R.D.F. 242, [2002] R.J.Q. 676 (C.A.).</w:t>
      </w:r>
    </w:p>
  </w:footnote>
  <w:footnote w:id="123">
    <w:p w14:paraId="6FA9E283" w14:textId="725E5DF1" w:rsidR="00E37DB6" w:rsidRDefault="00E37DB6" w:rsidP="000057AD">
      <w:pPr>
        <w:pStyle w:val="NotesBasPage"/>
      </w:pPr>
      <w:r>
        <w:rPr>
          <w:rStyle w:val="Appelnotedebasdep"/>
        </w:rPr>
        <w:footnoteRef/>
      </w:r>
      <w:r>
        <w:t xml:space="preserve"> </w:t>
      </w:r>
      <w:r w:rsidR="00F00A93">
        <w:tab/>
      </w:r>
      <w:r w:rsidR="00C12EDB" w:rsidRPr="00C12EDB">
        <w:t>CcQ, art 599.</w:t>
      </w:r>
    </w:p>
  </w:footnote>
  <w:footnote w:id="124">
    <w:p w14:paraId="15E40E4D" w14:textId="2C1C6B7F" w:rsidR="00E37DB6" w:rsidRDefault="00E37DB6" w:rsidP="000057AD">
      <w:pPr>
        <w:pStyle w:val="NotesBasPage"/>
      </w:pPr>
      <w:r>
        <w:rPr>
          <w:rStyle w:val="Appelnotedebasdep"/>
        </w:rPr>
        <w:footnoteRef/>
      </w:r>
      <w:r>
        <w:t xml:space="preserve"> </w:t>
      </w:r>
      <w:r w:rsidR="00F00A93">
        <w:tab/>
      </w:r>
      <w:r w:rsidR="00B750AA" w:rsidRPr="00B750AA">
        <w:t>CcQ, art 600.</w:t>
      </w:r>
    </w:p>
  </w:footnote>
  <w:footnote w:id="125">
    <w:p w14:paraId="369D1749" w14:textId="47303260" w:rsidR="00E37DB6" w:rsidRDefault="00E37DB6" w:rsidP="000057AD">
      <w:pPr>
        <w:pStyle w:val="NotesBasPage"/>
      </w:pPr>
      <w:r>
        <w:rPr>
          <w:rStyle w:val="Appelnotedebasdep"/>
        </w:rPr>
        <w:footnoteRef/>
      </w:r>
      <w:r>
        <w:t xml:space="preserve"> </w:t>
      </w:r>
      <w:r w:rsidR="00F00A93">
        <w:tab/>
      </w:r>
      <w:r w:rsidR="008D58F8" w:rsidRPr="002E69C1">
        <w:rPr>
          <w:i/>
          <w:iCs/>
        </w:rPr>
        <w:t>Protection de la jeunsse-1777689</w:t>
      </w:r>
      <w:r w:rsidR="008D58F8" w:rsidRPr="008D58F8">
        <w:t>, 2017</w:t>
      </w:r>
      <w:r w:rsidR="00322ADA">
        <w:t> </w:t>
      </w:r>
      <w:r w:rsidR="008D58F8" w:rsidRPr="008D58F8">
        <w:t>QCCQ 13466.</w:t>
      </w:r>
    </w:p>
  </w:footnote>
  <w:footnote w:id="126">
    <w:p w14:paraId="476F1D42" w14:textId="62ED5FF1" w:rsidR="00E37DB6" w:rsidRDefault="00E37DB6" w:rsidP="000057AD">
      <w:pPr>
        <w:pStyle w:val="NotesBasPage"/>
      </w:pPr>
      <w:r>
        <w:rPr>
          <w:rStyle w:val="Appelnotedebasdep"/>
        </w:rPr>
        <w:footnoteRef/>
      </w:r>
      <w:r>
        <w:t xml:space="preserve"> </w:t>
      </w:r>
      <w:r w:rsidR="00F00A93">
        <w:tab/>
      </w:r>
      <w:r w:rsidR="00DC4120" w:rsidRPr="00FE7DF5">
        <w:t>Comité des droits</w:t>
      </w:r>
      <w:r w:rsidR="00840BB6" w:rsidRPr="00FE7DF5">
        <w:t xml:space="preserve"> de l’enfant</w:t>
      </w:r>
      <w:r w:rsidR="00DC4120" w:rsidRPr="00FE7DF5">
        <w:t>,</w:t>
      </w:r>
      <w:r w:rsidR="00DC4120">
        <w:rPr>
          <w:i/>
          <w:iCs/>
        </w:rPr>
        <w:t xml:space="preserve"> supra </w:t>
      </w:r>
      <w:r w:rsidR="00DC4120" w:rsidRPr="00DC4120">
        <w:t>note</w:t>
      </w:r>
      <w:r w:rsidR="00840BB6" w:rsidRPr="00DC4120">
        <w:t xml:space="preserve"> </w:t>
      </w:r>
      <w:r w:rsidR="00FE7DF5">
        <w:fldChar w:fldCharType="begin"/>
      </w:r>
      <w:r w:rsidR="00FE7DF5">
        <w:instrText xml:space="preserve"> NOTEREF _Ref201318461 \h </w:instrText>
      </w:r>
      <w:r w:rsidR="00FE7DF5">
        <w:fldChar w:fldCharType="separate"/>
      </w:r>
      <w:r w:rsidR="0085330E">
        <w:t>93</w:t>
      </w:r>
      <w:r w:rsidR="00FE7DF5">
        <w:fldChar w:fldCharType="end"/>
      </w:r>
      <w:r w:rsidR="00FE7DF5">
        <w:t xml:space="preserve"> à </w:t>
      </w:r>
      <w:r w:rsidR="00840BB6">
        <w:t>la</w:t>
      </w:r>
      <w:r w:rsidR="00840BB6" w:rsidRPr="00840BB6">
        <w:t xml:space="preserve"> p 8. L’article 18 de la CRDE prévoit de manière plus générale que les États ont l’obligation d’accorder l’aide appropriée aux parents et aux représentants légaux de l’enfant dans l’exercice de la responsabilité qui leur incombe d’élever leur enfant.</w:t>
      </w:r>
    </w:p>
  </w:footnote>
  <w:footnote w:id="127">
    <w:p w14:paraId="304B2F2B" w14:textId="0DE6D66F" w:rsidR="003620B6" w:rsidRDefault="003620B6" w:rsidP="003620B6">
      <w:pPr>
        <w:pStyle w:val="NotesBasPage"/>
      </w:pPr>
      <w:r>
        <w:rPr>
          <w:rStyle w:val="Appelnotedebasdep"/>
        </w:rPr>
        <w:footnoteRef/>
      </w:r>
      <w:r>
        <w:t xml:space="preserve"> </w:t>
      </w:r>
      <w:r>
        <w:tab/>
      </w:r>
      <w:r w:rsidRPr="00DE7E7C">
        <w:t xml:space="preserve">Provost, </w:t>
      </w:r>
      <w:r w:rsidRPr="00DE7E7C">
        <w:rPr>
          <w:i/>
          <w:iCs/>
        </w:rPr>
        <w:t xml:space="preserve">supra </w:t>
      </w:r>
      <w:r w:rsidRPr="00DE7E7C">
        <w:t xml:space="preserve">note </w:t>
      </w:r>
      <w:r>
        <w:fldChar w:fldCharType="begin"/>
      </w:r>
      <w:r>
        <w:instrText xml:space="preserve"> NOTEREF _Ref200466420 \h </w:instrText>
      </w:r>
      <w:r>
        <w:fldChar w:fldCharType="separate"/>
      </w:r>
      <w:r w:rsidR="0085330E">
        <w:t>94</w:t>
      </w:r>
      <w:r>
        <w:fldChar w:fldCharType="end"/>
      </w:r>
      <w:r w:rsidRPr="00DE7E7C">
        <w:t xml:space="preserve"> à la p</w:t>
      </w:r>
      <w:r>
        <w:t xml:space="preserve"> 53.</w:t>
      </w:r>
    </w:p>
  </w:footnote>
  <w:footnote w:id="128">
    <w:p w14:paraId="4A5145EE" w14:textId="4FE6EE8F" w:rsidR="00E002F7" w:rsidRDefault="00E002F7" w:rsidP="000057AD">
      <w:pPr>
        <w:pStyle w:val="NotesBasPage"/>
      </w:pPr>
      <w:r>
        <w:rPr>
          <w:rStyle w:val="Appelnotedebasdep"/>
        </w:rPr>
        <w:footnoteRef/>
      </w:r>
      <w:r>
        <w:t xml:space="preserve"> </w:t>
      </w:r>
      <w:r w:rsidR="005815B6">
        <w:tab/>
      </w:r>
      <w:r w:rsidR="005815B6" w:rsidRPr="005815B6">
        <w:t xml:space="preserve">CSDEPJ, </w:t>
      </w:r>
      <w:r w:rsidR="00746E42" w:rsidRPr="00F65836">
        <w:rPr>
          <w:i/>
          <w:iCs/>
        </w:rPr>
        <w:t>supra</w:t>
      </w:r>
      <w:r w:rsidR="00746E42" w:rsidRPr="00F65836">
        <w:t xml:space="preserve"> note </w:t>
      </w:r>
      <w:r w:rsidR="00746E42">
        <w:fldChar w:fldCharType="begin"/>
      </w:r>
      <w:r w:rsidR="00746E42">
        <w:instrText xml:space="preserve"> NOTEREF _Ref200460822 \h  \* MERGEFORMAT </w:instrText>
      </w:r>
      <w:r w:rsidR="00746E42">
        <w:fldChar w:fldCharType="separate"/>
      </w:r>
      <w:r w:rsidR="0085330E">
        <w:t>6</w:t>
      </w:r>
      <w:r w:rsidR="00746E42">
        <w:fldChar w:fldCharType="end"/>
      </w:r>
      <w:r w:rsidR="00746E42">
        <w:t xml:space="preserve"> </w:t>
      </w:r>
      <w:r w:rsidR="005815B6" w:rsidRPr="005815B6">
        <w:t>à la p 198</w:t>
      </w:r>
      <w:r w:rsidR="005815B6">
        <w:t>.</w:t>
      </w:r>
    </w:p>
  </w:footnote>
  <w:footnote w:id="129">
    <w:p w14:paraId="3F51BF50" w14:textId="0C055FD3" w:rsidR="00D543DA" w:rsidRDefault="00D543DA" w:rsidP="000057AD">
      <w:pPr>
        <w:pStyle w:val="NotesBasPage"/>
      </w:pPr>
      <w:r>
        <w:rPr>
          <w:rStyle w:val="Appelnotedebasdep"/>
        </w:rPr>
        <w:footnoteRef/>
      </w:r>
      <w:r>
        <w:t xml:space="preserve"> </w:t>
      </w:r>
      <w:r w:rsidR="00F0643B">
        <w:tab/>
      </w:r>
      <w:r w:rsidR="0036671B" w:rsidRPr="008539C7">
        <w:t xml:space="preserve">TRAJUD, </w:t>
      </w:r>
      <w:r w:rsidR="0036671B" w:rsidRPr="00BE312A">
        <w:rPr>
          <w:i/>
          <w:iCs/>
        </w:rPr>
        <w:t>Étude sur la trajectoire sociojudiciaire des enfants dont la situation est prise en charge sous la Loi sur la protection de la jeunesse (TRAJUD) : Rapport déposé au ministère de la Santé et des services sociaux et au ministère de la Justice du Québec</w:t>
      </w:r>
      <w:r w:rsidR="0036671B">
        <w:t>, 2025</w:t>
      </w:r>
      <w:r w:rsidR="00B90AC0">
        <w:t>.</w:t>
      </w:r>
    </w:p>
  </w:footnote>
  <w:footnote w:id="130">
    <w:p w14:paraId="73BCF30A" w14:textId="49E86667" w:rsidR="00D543DA" w:rsidRDefault="00D543DA" w:rsidP="000057AD">
      <w:pPr>
        <w:pStyle w:val="NotesBasPage"/>
      </w:pPr>
      <w:r>
        <w:rPr>
          <w:rStyle w:val="Appelnotedebasdep"/>
        </w:rPr>
        <w:footnoteRef/>
      </w:r>
      <w:r>
        <w:t xml:space="preserve"> </w:t>
      </w:r>
      <w:r w:rsidR="00F0643B">
        <w:tab/>
      </w:r>
      <w:r w:rsidR="00746951">
        <w:t xml:space="preserve">Doris Chateauneuf (dir), Geneviève Pagé, </w:t>
      </w:r>
      <w:r w:rsidR="00641523">
        <w:t>Karine Poitras et Marie-Andrée Poirier, «</w:t>
      </w:r>
      <w:r w:rsidR="00503C98">
        <w:rPr>
          <w:rFonts w:ascii="Arial" w:hAnsi="Arial" w:cs="Arial"/>
        </w:rPr>
        <w:t> </w:t>
      </w:r>
      <w:r w:rsidR="00641523">
        <w:t xml:space="preserve">Placement en famille d’accueil et protections de </w:t>
      </w:r>
      <w:r w:rsidR="00796459">
        <w:t>la jeunesse – Pratiques, recherches et enjeux</w:t>
      </w:r>
      <w:r w:rsidR="00503C98">
        <w:rPr>
          <w:rFonts w:ascii="Arial" w:hAnsi="Arial" w:cs="Arial"/>
        </w:rPr>
        <w:t> </w:t>
      </w:r>
      <w:r w:rsidR="00796459">
        <w:rPr>
          <w:rFonts w:ascii="Walbaum Heading" w:hAnsi="Walbaum Heading"/>
        </w:rPr>
        <w:t>»</w:t>
      </w:r>
      <w:r w:rsidR="00796459">
        <w:t xml:space="preserve">, </w:t>
      </w:r>
      <w:r w:rsidR="00796459" w:rsidRPr="00772D70">
        <w:rPr>
          <w:iCs/>
        </w:rPr>
        <w:t>Presses de l’Université du Québec</w:t>
      </w:r>
      <w:r w:rsidR="00796459">
        <w:t>, 2025.</w:t>
      </w:r>
    </w:p>
  </w:footnote>
  <w:footnote w:id="131">
    <w:p w14:paraId="15618F95" w14:textId="5849CA66" w:rsidR="00A15CC4" w:rsidRDefault="00A15CC4" w:rsidP="000057AD">
      <w:pPr>
        <w:pStyle w:val="NotesBasPage"/>
      </w:pPr>
      <w:r>
        <w:rPr>
          <w:rStyle w:val="Appelnotedebasdep"/>
        </w:rPr>
        <w:footnoteRef/>
      </w:r>
      <w:r>
        <w:t xml:space="preserve"> </w:t>
      </w:r>
      <w:r w:rsidR="003E75D7">
        <w:tab/>
      </w:r>
      <w:r w:rsidR="003961CA" w:rsidRPr="003961CA">
        <w:t>CSDEP</w:t>
      </w:r>
      <w:r w:rsidR="003961CA">
        <w:t>J</w:t>
      </w:r>
      <w:r w:rsidR="00746E42">
        <w:t xml:space="preserve">, </w:t>
      </w:r>
      <w:r w:rsidR="00746E42" w:rsidRPr="00F65836">
        <w:rPr>
          <w:i/>
          <w:iCs/>
        </w:rPr>
        <w:t>supra</w:t>
      </w:r>
      <w:r w:rsidR="00746E42" w:rsidRPr="00F65836">
        <w:t xml:space="preserve"> note </w:t>
      </w:r>
      <w:r w:rsidR="00746E42">
        <w:fldChar w:fldCharType="begin"/>
      </w:r>
      <w:r w:rsidR="00746E42">
        <w:instrText xml:space="preserve"> NOTEREF _Ref200460822 \h  \* MERGEFORMAT </w:instrText>
      </w:r>
      <w:r w:rsidR="00746E42">
        <w:fldChar w:fldCharType="separate"/>
      </w:r>
      <w:r w:rsidR="0085330E">
        <w:t>6</w:t>
      </w:r>
      <w:r w:rsidR="00746E42">
        <w:fldChar w:fldCharType="end"/>
      </w:r>
      <w:r w:rsidR="003961CA">
        <w:t xml:space="preserve"> à la p</w:t>
      </w:r>
      <w:r w:rsidR="003961CA" w:rsidRPr="003961CA">
        <w:t xml:space="preserve"> 214.</w:t>
      </w:r>
    </w:p>
  </w:footnote>
  <w:footnote w:id="132">
    <w:p w14:paraId="42F23449" w14:textId="03135F3F" w:rsidR="00A15CC4" w:rsidRDefault="00A15CC4" w:rsidP="000057AD">
      <w:pPr>
        <w:pStyle w:val="NotesBasPage"/>
      </w:pPr>
      <w:r>
        <w:rPr>
          <w:rStyle w:val="Appelnotedebasdep"/>
        </w:rPr>
        <w:footnoteRef/>
      </w:r>
      <w:r>
        <w:t xml:space="preserve"> </w:t>
      </w:r>
      <w:r w:rsidR="003E75D7">
        <w:tab/>
      </w:r>
      <w:r w:rsidR="00746E42" w:rsidRPr="00746E42">
        <w:rPr>
          <w:i/>
          <w:iCs/>
        </w:rPr>
        <w:t>Idem</w:t>
      </w:r>
      <w:r w:rsidR="00746E42">
        <w:t xml:space="preserve"> </w:t>
      </w:r>
      <w:r w:rsidR="00603DD5">
        <w:t>à la</w:t>
      </w:r>
      <w:r w:rsidR="00603DD5" w:rsidRPr="00603DD5">
        <w:t xml:space="preserve"> p. 22.</w:t>
      </w:r>
    </w:p>
  </w:footnote>
  <w:footnote w:id="133">
    <w:p w14:paraId="00E1369D" w14:textId="26DDB053" w:rsidR="00180510" w:rsidRDefault="00180510" w:rsidP="00180510">
      <w:pPr>
        <w:pStyle w:val="NotesBasPage"/>
      </w:pPr>
      <w:r>
        <w:rPr>
          <w:rStyle w:val="Appelnotedebasdep"/>
        </w:rPr>
        <w:footnoteRef/>
      </w:r>
      <w:r>
        <w:t xml:space="preserve"> </w:t>
      </w:r>
      <w:r>
        <w:tab/>
      </w:r>
      <w:r w:rsidRPr="00AB429E">
        <w:t>Rapport 156.1 de la LPJ -2020</w:t>
      </w:r>
      <w:r>
        <w:t xml:space="preserve">, </w:t>
      </w:r>
      <w:r w:rsidRPr="00B66790">
        <w:rPr>
          <w:i/>
        </w:rPr>
        <w:t>supra</w:t>
      </w:r>
      <w:r>
        <w:t xml:space="preserve"> note </w:t>
      </w:r>
      <w:r>
        <w:fldChar w:fldCharType="begin"/>
      </w:r>
      <w:r>
        <w:instrText xml:space="preserve"> NOTEREF _Ref200631412 \h </w:instrText>
      </w:r>
      <w:r>
        <w:fldChar w:fldCharType="separate"/>
      </w:r>
      <w:r w:rsidR="0085330E">
        <w:t>3</w:t>
      </w:r>
      <w:r>
        <w:fldChar w:fldCharType="end"/>
      </w:r>
      <w:r>
        <w:t xml:space="preserve"> aux à la p</w:t>
      </w:r>
      <w:r w:rsidRPr="005F28C2">
        <w:t xml:space="preserve"> 94, constat n</w:t>
      </w:r>
      <w:r w:rsidRPr="00E26863">
        <w:rPr>
          <w:vertAlign w:val="superscript"/>
        </w:rPr>
        <w:t>o</w:t>
      </w:r>
      <w:r w:rsidRPr="005F28C2">
        <w:t xml:space="preserve"> 25</w:t>
      </w:r>
      <w:r>
        <w:t xml:space="preserve">. </w:t>
      </w:r>
    </w:p>
  </w:footnote>
  <w:footnote w:id="134">
    <w:p w14:paraId="6939F141" w14:textId="33151880" w:rsidR="00F963C2" w:rsidRDefault="00F963C2" w:rsidP="00F963C2">
      <w:pPr>
        <w:pStyle w:val="NotesBasPage"/>
      </w:pPr>
      <w:r>
        <w:rPr>
          <w:rStyle w:val="Appelnotedebasdep"/>
        </w:rPr>
        <w:footnoteRef/>
      </w:r>
      <w:r>
        <w:t xml:space="preserve"> </w:t>
      </w:r>
      <w:r>
        <w:tab/>
      </w:r>
      <w:r w:rsidR="003C6C5A">
        <w:t>Cette considération est brièvement abordé</w:t>
      </w:r>
      <w:r w:rsidR="00470BC0">
        <w:t>e</w:t>
      </w:r>
      <w:r w:rsidR="003C6C5A">
        <w:t xml:space="preserve"> dans le récent outil de soutien à l’analyse de l’intérêt de l’enfant du MSSS. </w:t>
      </w:r>
      <w:r w:rsidRPr="0079648B">
        <w:t xml:space="preserve">Gouvernement du Québec, </w:t>
      </w:r>
      <w:r w:rsidRPr="0079648B">
        <w:rPr>
          <w:i/>
        </w:rPr>
        <w:t>supra</w:t>
      </w:r>
      <w:r w:rsidRPr="0079648B">
        <w:t xml:space="preserve"> note </w:t>
      </w:r>
      <w:r w:rsidRPr="0079648B">
        <w:fldChar w:fldCharType="begin"/>
      </w:r>
      <w:r w:rsidRPr="00B66790">
        <w:rPr>
          <w:highlight w:val="yellow"/>
        </w:rPr>
        <w:instrText xml:space="preserve"> NOTEREF _Ref200534848 \h  \* MERGEFORMAT </w:instrText>
      </w:r>
      <w:r w:rsidRPr="0079648B">
        <w:fldChar w:fldCharType="separate"/>
      </w:r>
      <w:r w:rsidR="0085330E" w:rsidRPr="0085330E">
        <w:t>97</w:t>
      </w:r>
      <w:r w:rsidRPr="0079648B">
        <w:fldChar w:fldCharType="end"/>
      </w:r>
      <w:r w:rsidRPr="0079648B">
        <w:t xml:space="preserve"> aux pp 3,</w:t>
      </w:r>
      <w:r w:rsidR="00280E9B">
        <w:t xml:space="preserve"> </w:t>
      </w:r>
      <w:r w:rsidRPr="0079648B">
        <w:t>7</w:t>
      </w:r>
      <w:r w:rsidR="00A51E03">
        <w:t xml:space="preserve"> </w:t>
      </w:r>
      <w:r w:rsidRPr="0079648B">
        <w:t xml:space="preserve">et </w:t>
      </w:r>
      <w:r w:rsidR="005148F0">
        <w:t>11</w:t>
      </w:r>
      <w:r w:rsidRPr="0079648B">
        <w:t>.</w:t>
      </w:r>
    </w:p>
  </w:footnote>
  <w:footnote w:id="135">
    <w:p w14:paraId="0F39B854" w14:textId="17A65AD2" w:rsidR="001A0EAC" w:rsidRDefault="001A0EAC" w:rsidP="001A0EAC">
      <w:pPr>
        <w:pStyle w:val="NotesBasPage"/>
      </w:pPr>
      <w:r>
        <w:rPr>
          <w:rStyle w:val="Appelnotedebasdep"/>
        </w:rPr>
        <w:footnoteRef/>
      </w:r>
      <w:r>
        <w:t xml:space="preserve"> </w:t>
      </w:r>
      <w:r>
        <w:tab/>
      </w:r>
      <w:r w:rsidRPr="00B46FF9">
        <w:t xml:space="preserve">Gouvernement du Québec, </w:t>
      </w:r>
      <w:r w:rsidR="00A6172C" w:rsidRPr="00286C4F">
        <w:rPr>
          <w:i/>
          <w:iCs/>
        </w:rPr>
        <w:t xml:space="preserve">Guide de pratique clinique </w:t>
      </w:r>
      <w:r w:rsidR="00F31169" w:rsidRPr="00286C4F">
        <w:rPr>
          <w:i/>
          <w:iCs/>
        </w:rPr>
        <w:t xml:space="preserve">- </w:t>
      </w:r>
      <w:r w:rsidRPr="00286C4F">
        <w:rPr>
          <w:i/>
          <w:iCs/>
        </w:rPr>
        <w:t>L’intérêt des enfants autochtones, le bien-être de leurs familles et des communautés : des concepts phares en protection de la jeunesse</w:t>
      </w:r>
      <w:r w:rsidRPr="00B46FF9">
        <w:t>, 2025</w:t>
      </w:r>
      <w:r>
        <w:t>.</w:t>
      </w:r>
    </w:p>
  </w:footnote>
  <w:footnote w:id="136">
    <w:p w14:paraId="40FE30AB" w14:textId="490D0B21" w:rsidR="008F12B7" w:rsidRDefault="008F12B7" w:rsidP="000057AD">
      <w:pPr>
        <w:pStyle w:val="NotesBasPage"/>
      </w:pPr>
      <w:r>
        <w:rPr>
          <w:rStyle w:val="Appelnotedebasdep"/>
        </w:rPr>
        <w:footnoteRef/>
      </w:r>
      <w:r>
        <w:t xml:space="preserve"> </w:t>
      </w:r>
      <w:r w:rsidR="00CF4D2B">
        <w:tab/>
      </w:r>
      <w:r w:rsidR="00667E9A" w:rsidRPr="00667E9A">
        <w:t>Chantal Lavergne, Rosita Vargas Diaz, Marie-Andrée Poirier, Amilie Dorval et Sonia Hélié</w:t>
      </w:r>
      <w:r w:rsidR="00A91E17" w:rsidRPr="00CF14F6">
        <w:t xml:space="preserve">, </w:t>
      </w:r>
      <w:r w:rsidR="00955E46">
        <w:t>«</w:t>
      </w:r>
      <w:r w:rsidR="001A0FEE">
        <w:rPr>
          <w:rFonts w:ascii="Arial" w:hAnsi="Arial" w:cs="Arial"/>
        </w:rPr>
        <w:t> </w:t>
      </w:r>
      <w:r w:rsidR="00955E46" w:rsidRPr="00955E46">
        <w:t>Expérience et défis des familles d’accueil de proximité (FAP) en protection de la jeunesse</w:t>
      </w:r>
      <w:r w:rsidR="001A0FEE">
        <w:rPr>
          <w:rFonts w:ascii="Arial" w:hAnsi="Arial" w:cs="Arial"/>
        </w:rPr>
        <w:t> </w:t>
      </w:r>
      <w:r w:rsidR="00955E46">
        <w:rPr>
          <w:rFonts w:ascii="Walbaum Heading" w:hAnsi="Walbaum Heading"/>
        </w:rPr>
        <w:t>»</w:t>
      </w:r>
      <w:r w:rsidR="00EA137C">
        <w:rPr>
          <w:rFonts w:ascii="Walbaum Heading" w:hAnsi="Walbaum Heading"/>
        </w:rPr>
        <w:t>,</w:t>
      </w:r>
      <w:r w:rsidR="00955E46">
        <w:t xml:space="preserve"> (</w:t>
      </w:r>
      <w:r w:rsidR="00A91E17" w:rsidRPr="00CF14F6">
        <w:t>2021</w:t>
      </w:r>
      <w:r w:rsidR="00955E46">
        <w:t>)</w:t>
      </w:r>
      <w:r w:rsidR="00EA137C">
        <w:t xml:space="preserve"> </w:t>
      </w:r>
      <w:r w:rsidR="00F06406" w:rsidRPr="00B35DFB">
        <w:rPr>
          <w:i/>
          <w:iCs/>
        </w:rPr>
        <w:t>Service social</w:t>
      </w:r>
      <w:r w:rsidR="00B35DFB">
        <w:t xml:space="preserve"> </w:t>
      </w:r>
      <w:r w:rsidR="00F06406">
        <w:t>67(2</w:t>
      </w:r>
      <w:r w:rsidR="0011300A">
        <w:t>)</w:t>
      </w:r>
      <w:r w:rsidR="00B35DFB">
        <w:t xml:space="preserve"> 53-64</w:t>
      </w:r>
      <w:r w:rsidR="00A91E17" w:rsidRPr="00CF14F6">
        <w:t xml:space="preserve"> cité dans </w:t>
      </w:r>
      <w:r w:rsidR="00C21939" w:rsidRPr="00C21939">
        <w:t>Chateauneuf</w:t>
      </w:r>
      <w:r w:rsidR="00C21939">
        <w:t xml:space="preserve"> et al</w:t>
      </w:r>
      <w:r w:rsidR="00CF14F6" w:rsidRPr="00CF14F6">
        <w:t>,</w:t>
      </w:r>
      <w:r w:rsidR="004F1505">
        <w:t xml:space="preserve"> </w:t>
      </w:r>
      <w:r w:rsidR="00B66790" w:rsidRPr="00B66790">
        <w:rPr>
          <w:i/>
          <w:iCs/>
        </w:rPr>
        <w:t>supra</w:t>
      </w:r>
      <w:r w:rsidR="004F1505" w:rsidRPr="004F1505">
        <w:rPr>
          <w:i/>
          <w:iCs/>
        </w:rPr>
        <w:t xml:space="preserve"> </w:t>
      </w:r>
      <w:r w:rsidR="004F1505">
        <w:t xml:space="preserve">note </w:t>
      </w:r>
      <w:r w:rsidR="004F1505">
        <w:fldChar w:fldCharType="begin"/>
      </w:r>
      <w:r w:rsidR="004F1505">
        <w:instrText xml:space="preserve"> NOTEREF _Ref201136782 \h </w:instrText>
      </w:r>
      <w:r w:rsidR="004F1505">
        <w:fldChar w:fldCharType="separate"/>
      </w:r>
      <w:r w:rsidR="0085330E">
        <w:t>129</w:t>
      </w:r>
      <w:r w:rsidR="004F1505">
        <w:fldChar w:fldCharType="end"/>
      </w:r>
      <w:r w:rsidR="00AB1F8A">
        <w:t>, chapitre 12</w:t>
      </w:r>
      <w:r w:rsidR="00CF14F6" w:rsidRPr="00CF14F6">
        <w:t xml:space="preserve"> </w:t>
      </w:r>
      <w:r w:rsidR="00A91E17" w:rsidRPr="00CF14F6">
        <w:t>à la p 327</w:t>
      </w:r>
      <w:r w:rsidR="00AB1F8A">
        <w:t xml:space="preserve"> (</w:t>
      </w:r>
      <w:r w:rsidR="00B24494">
        <w:t>Joannie Laporte</w:t>
      </w:r>
      <w:r w:rsidR="00F110FF">
        <w:t xml:space="preserve">, Geneviève Pagé, </w:t>
      </w:r>
      <w:r w:rsidR="00654E86">
        <w:t>Rosita Varga</w:t>
      </w:r>
      <w:r w:rsidR="002F66DE">
        <w:t xml:space="preserve">s Diaz, </w:t>
      </w:r>
      <w:r w:rsidR="00781D12">
        <w:t>Josée Lemieux, Marie-Noëlle Lagacé)</w:t>
      </w:r>
      <w:r w:rsidR="00A91E17" w:rsidRPr="00CF14F6">
        <w:t>.</w:t>
      </w:r>
    </w:p>
  </w:footnote>
  <w:footnote w:id="137">
    <w:p w14:paraId="68A442AF" w14:textId="449B0A47" w:rsidR="008F12B7" w:rsidRDefault="008F12B7" w:rsidP="000057AD">
      <w:pPr>
        <w:pStyle w:val="NotesBasPage"/>
      </w:pPr>
      <w:r>
        <w:rPr>
          <w:rStyle w:val="Appelnotedebasdep"/>
        </w:rPr>
        <w:footnoteRef/>
      </w:r>
      <w:r>
        <w:t xml:space="preserve"> </w:t>
      </w:r>
      <w:r w:rsidR="00CF4D2B">
        <w:tab/>
      </w:r>
      <w:r w:rsidR="008B4589" w:rsidRPr="008B4589">
        <w:t>CSDEPJ,</w:t>
      </w:r>
      <w:r w:rsidR="00621FA1" w:rsidRPr="00621FA1">
        <w:t xml:space="preserve"> </w:t>
      </w:r>
      <w:r w:rsidR="00621FA1" w:rsidRPr="00621FA1">
        <w:rPr>
          <w:i/>
          <w:iCs/>
        </w:rPr>
        <w:t>supra</w:t>
      </w:r>
      <w:r w:rsidR="00621FA1">
        <w:t xml:space="preserve"> note </w:t>
      </w:r>
      <w:r w:rsidR="00621FA1">
        <w:fldChar w:fldCharType="begin"/>
      </w:r>
      <w:r w:rsidR="00621FA1">
        <w:instrText xml:space="preserve"> NOTEREF _Ref200460822 \h </w:instrText>
      </w:r>
      <w:r w:rsidR="00621FA1">
        <w:fldChar w:fldCharType="separate"/>
      </w:r>
      <w:r w:rsidR="0085330E">
        <w:t>6</w:t>
      </w:r>
      <w:r w:rsidR="00621FA1">
        <w:fldChar w:fldCharType="end"/>
      </w:r>
      <w:r w:rsidR="008B4589" w:rsidRPr="008B4589">
        <w:t xml:space="preserve"> </w:t>
      </w:r>
      <w:r w:rsidR="008B4589">
        <w:t xml:space="preserve">à la </w:t>
      </w:r>
      <w:r w:rsidR="008B4589" w:rsidRPr="008B4589">
        <w:t>p 193</w:t>
      </w:r>
      <w:r w:rsidR="008B4589">
        <w:t>.</w:t>
      </w:r>
    </w:p>
  </w:footnote>
  <w:footnote w:id="138">
    <w:p w14:paraId="0EF45715" w14:textId="3708362A" w:rsidR="003102E5" w:rsidRDefault="003102E5" w:rsidP="003102E5">
      <w:pPr>
        <w:pStyle w:val="NotesBasPage"/>
      </w:pPr>
      <w:r>
        <w:rPr>
          <w:rStyle w:val="Appelnotedebasdep"/>
        </w:rPr>
        <w:footnoteRef/>
      </w:r>
      <w:r>
        <w:t xml:space="preserve"> </w:t>
      </w:r>
      <w:r>
        <w:tab/>
        <w:t xml:space="preserve">Commission des droits de la personne et des droits de la jeunesse, </w:t>
      </w:r>
      <w:r w:rsidRPr="00B66790">
        <w:rPr>
          <w:i/>
        </w:rPr>
        <w:t>supra</w:t>
      </w:r>
      <w:r>
        <w:t xml:space="preserve"> note </w:t>
      </w:r>
      <w:r>
        <w:fldChar w:fldCharType="begin"/>
      </w:r>
      <w:r>
        <w:instrText xml:space="preserve"> NOTEREF _Ref201069813 \h </w:instrText>
      </w:r>
      <w:r>
        <w:fldChar w:fldCharType="separate"/>
      </w:r>
      <w:r w:rsidR="0085330E">
        <w:t>91</w:t>
      </w:r>
      <w:r>
        <w:fldChar w:fldCharType="end"/>
      </w:r>
      <w:r>
        <w:t>.</w:t>
      </w:r>
    </w:p>
  </w:footnote>
  <w:footnote w:id="139">
    <w:p w14:paraId="247C2CBA" w14:textId="587FDFFE" w:rsidR="00CF4D2B" w:rsidRDefault="00CF4D2B" w:rsidP="000057AD">
      <w:pPr>
        <w:pStyle w:val="NotesBasPage"/>
      </w:pPr>
      <w:r>
        <w:rPr>
          <w:rStyle w:val="Appelnotedebasdep"/>
        </w:rPr>
        <w:footnoteRef/>
      </w:r>
      <w:r>
        <w:t xml:space="preserve"> </w:t>
      </w:r>
      <w:r>
        <w:tab/>
      </w:r>
      <w:bookmarkStart w:id="98" w:name="_Hlk201136964"/>
      <w:r w:rsidR="00C21939" w:rsidRPr="00C21939">
        <w:t>Chateauneuf et al</w:t>
      </w:r>
      <w:r w:rsidR="006821C3" w:rsidRPr="000848E5">
        <w:t xml:space="preserve">, </w:t>
      </w:r>
      <w:r w:rsidR="00B66790" w:rsidRPr="00B66790">
        <w:rPr>
          <w:i/>
          <w:iCs/>
        </w:rPr>
        <w:t>supra</w:t>
      </w:r>
      <w:r w:rsidR="00AD1612">
        <w:t xml:space="preserve"> note </w:t>
      </w:r>
      <w:r w:rsidR="004F1505">
        <w:fldChar w:fldCharType="begin"/>
      </w:r>
      <w:r w:rsidR="004F1505">
        <w:instrText xml:space="preserve"> NOTEREF _Ref201136782 \h </w:instrText>
      </w:r>
      <w:r w:rsidR="004F1505">
        <w:fldChar w:fldCharType="separate"/>
      </w:r>
      <w:r w:rsidR="0085330E">
        <w:t>129</w:t>
      </w:r>
      <w:r w:rsidR="004F1505">
        <w:fldChar w:fldCharType="end"/>
      </w:r>
      <w:bookmarkEnd w:id="98"/>
      <w:r w:rsidR="00322ADA">
        <w:t> </w:t>
      </w:r>
      <w:r w:rsidR="00C34D2C">
        <w:t>c</w:t>
      </w:r>
      <w:r w:rsidR="00C438D2">
        <w:t xml:space="preserve">hapitre 4 </w:t>
      </w:r>
      <w:r w:rsidR="00FB483F">
        <w:t>à la p</w:t>
      </w:r>
      <w:r w:rsidR="00FB483F" w:rsidRPr="000848E5">
        <w:t xml:space="preserve"> 116</w:t>
      </w:r>
      <w:r w:rsidR="00FB483F">
        <w:t xml:space="preserve"> </w:t>
      </w:r>
      <w:r w:rsidR="003E362A">
        <w:t>(</w:t>
      </w:r>
      <w:r w:rsidR="00027A33">
        <w:t>Amilie Dorval, Patricia Ringuette et Marie-Andrée Poirier)</w:t>
      </w:r>
      <w:r w:rsidR="006821C3" w:rsidRPr="000848E5">
        <w:t>.</w:t>
      </w:r>
    </w:p>
  </w:footnote>
  <w:footnote w:id="140">
    <w:p w14:paraId="5390298D" w14:textId="53745F41" w:rsidR="00CF4D2B" w:rsidRDefault="00CF4D2B" w:rsidP="000057AD">
      <w:pPr>
        <w:pStyle w:val="NotesBasPage"/>
      </w:pPr>
      <w:r>
        <w:rPr>
          <w:rStyle w:val="Appelnotedebasdep"/>
        </w:rPr>
        <w:footnoteRef/>
      </w:r>
      <w:r>
        <w:t xml:space="preserve"> </w:t>
      </w:r>
      <w:r>
        <w:tab/>
      </w:r>
      <w:r w:rsidR="006821C3" w:rsidRPr="003A5032">
        <w:t>CSDEPJ,</w:t>
      </w:r>
      <w:r w:rsidR="00621FA1" w:rsidRPr="00621FA1">
        <w:rPr>
          <w:i/>
          <w:iCs/>
        </w:rPr>
        <w:t xml:space="preserve"> supra</w:t>
      </w:r>
      <w:r w:rsidR="00621FA1">
        <w:t xml:space="preserve"> note </w:t>
      </w:r>
      <w:r w:rsidR="00621FA1">
        <w:fldChar w:fldCharType="begin"/>
      </w:r>
      <w:r w:rsidR="00621FA1">
        <w:instrText xml:space="preserve"> NOTEREF _Ref200460822 \h </w:instrText>
      </w:r>
      <w:r w:rsidR="00621FA1">
        <w:fldChar w:fldCharType="separate"/>
      </w:r>
      <w:r w:rsidR="0085330E">
        <w:t>6</w:t>
      </w:r>
      <w:r w:rsidR="00621FA1">
        <w:fldChar w:fldCharType="end"/>
      </w:r>
      <w:r w:rsidR="00621FA1" w:rsidRPr="008B4589">
        <w:t xml:space="preserve"> </w:t>
      </w:r>
      <w:r w:rsidR="006821C3">
        <w:t>à la p</w:t>
      </w:r>
      <w:r w:rsidR="006821C3" w:rsidRPr="003A5032">
        <w:t xml:space="preserve"> 206.</w:t>
      </w:r>
    </w:p>
  </w:footnote>
  <w:footnote w:id="141">
    <w:p w14:paraId="43928B9A" w14:textId="65EA1264" w:rsidR="00CF4D2B" w:rsidRDefault="00CF4D2B" w:rsidP="000057AD">
      <w:pPr>
        <w:pStyle w:val="NotesBasPage"/>
      </w:pPr>
      <w:r>
        <w:rPr>
          <w:rStyle w:val="Appelnotedebasdep"/>
        </w:rPr>
        <w:footnoteRef/>
      </w:r>
      <w:r>
        <w:t xml:space="preserve"> </w:t>
      </w:r>
      <w:r>
        <w:tab/>
      </w:r>
      <w:r w:rsidR="00724953" w:rsidRPr="00A4631B">
        <w:rPr>
          <w:i/>
          <w:iCs/>
        </w:rPr>
        <w:t>Québec (Commission des droits de la personne et des droits de la jeunesse) c Directrice de la protection de la jeunesse du CISSS A</w:t>
      </w:r>
      <w:r w:rsidR="00724953" w:rsidRPr="00724953">
        <w:t>, 2024</w:t>
      </w:r>
      <w:r w:rsidR="00322ADA">
        <w:t> </w:t>
      </w:r>
      <w:r w:rsidR="00724953" w:rsidRPr="00724953">
        <w:t xml:space="preserve">CSC 43, </w:t>
      </w:r>
      <w:r w:rsidR="00724953">
        <w:t>au para</w:t>
      </w:r>
      <w:r w:rsidR="00724953" w:rsidRPr="00724953">
        <w:t>. 44.</w:t>
      </w:r>
    </w:p>
  </w:footnote>
  <w:footnote w:id="142">
    <w:p w14:paraId="3F2F8168" w14:textId="1EF69D8A" w:rsidR="0080097A" w:rsidRDefault="0080097A" w:rsidP="000057AD">
      <w:pPr>
        <w:pStyle w:val="NotesBasPage"/>
      </w:pPr>
      <w:r>
        <w:rPr>
          <w:rStyle w:val="Appelnotedebasdep"/>
        </w:rPr>
        <w:footnoteRef/>
      </w:r>
      <w:r>
        <w:t xml:space="preserve"> </w:t>
      </w:r>
      <w:r w:rsidR="00A841B5">
        <w:tab/>
      </w:r>
      <w:r w:rsidR="00C21939" w:rsidRPr="00C21939">
        <w:t>Chateauneuf et al</w:t>
      </w:r>
      <w:r w:rsidR="00C21939" w:rsidRPr="000848E5">
        <w:t xml:space="preserve">, </w:t>
      </w:r>
      <w:r w:rsidR="00B66790" w:rsidRPr="00B66790">
        <w:rPr>
          <w:i/>
        </w:rPr>
        <w:t>supra</w:t>
      </w:r>
      <w:r w:rsidR="00C21939">
        <w:t xml:space="preserve"> note </w:t>
      </w:r>
      <w:r w:rsidR="00C21939">
        <w:fldChar w:fldCharType="begin"/>
      </w:r>
      <w:r w:rsidR="00C21939">
        <w:instrText xml:space="preserve"> NOTEREF _Ref201136782 \h </w:instrText>
      </w:r>
      <w:r w:rsidR="00C21939">
        <w:fldChar w:fldCharType="separate"/>
      </w:r>
      <w:r w:rsidR="0085330E">
        <w:t>129</w:t>
      </w:r>
      <w:r w:rsidR="00C21939">
        <w:fldChar w:fldCharType="end"/>
      </w:r>
      <w:r w:rsidR="0010231F">
        <w:t xml:space="preserve">, chapitre </w:t>
      </w:r>
      <w:r w:rsidR="003A5FDC">
        <w:t>5</w:t>
      </w:r>
      <w:r w:rsidR="00C21939">
        <w:t xml:space="preserve"> </w:t>
      </w:r>
      <w:r w:rsidR="00BE1078" w:rsidRPr="00BE1078">
        <w:t>à la p 1</w:t>
      </w:r>
      <w:r w:rsidR="00BE1078">
        <w:t>69</w:t>
      </w:r>
      <w:r w:rsidR="003A5FDC">
        <w:t xml:space="preserve"> (Geneviève Pagé, Doris Chatea</w:t>
      </w:r>
      <w:r w:rsidR="003A6670">
        <w:t>uneuf, Angélik Lepage</w:t>
      </w:r>
      <w:r w:rsidR="00A02913">
        <w:t>-Cabeceiras)</w:t>
      </w:r>
      <w:r w:rsidR="00BE1078" w:rsidRPr="00BE1078">
        <w:t>.</w:t>
      </w:r>
    </w:p>
  </w:footnote>
  <w:footnote w:id="143">
    <w:p w14:paraId="56C30797" w14:textId="6FDB6CD7" w:rsidR="004A1C26" w:rsidRDefault="004A1C26" w:rsidP="000057AD">
      <w:pPr>
        <w:pStyle w:val="NotesBasPage"/>
      </w:pPr>
      <w:r>
        <w:rPr>
          <w:rStyle w:val="Appelnotedebasdep"/>
        </w:rPr>
        <w:footnoteRef/>
      </w:r>
      <w:r>
        <w:t xml:space="preserve"> </w:t>
      </w:r>
      <w:r w:rsidR="00BE1078">
        <w:tab/>
      </w:r>
      <w:r w:rsidR="006E6715">
        <w:t xml:space="preserve">Gouvernement du Québec, </w:t>
      </w:r>
      <w:r w:rsidR="006E6715" w:rsidRPr="006E6715">
        <w:rPr>
          <w:i/>
          <w:iCs/>
        </w:rPr>
        <w:t>supra</w:t>
      </w:r>
      <w:r w:rsidR="006E6715">
        <w:t xml:space="preserve"> note </w:t>
      </w:r>
      <w:r w:rsidR="006E6715">
        <w:fldChar w:fldCharType="begin"/>
      </w:r>
      <w:r w:rsidR="006E6715">
        <w:instrText xml:space="preserve"> NOTEREF _Ref200534848 \h </w:instrText>
      </w:r>
      <w:r w:rsidR="006E6715">
        <w:fldChar w:fldCharType="separate"/>
      </w:r>
      <w:r w:rsidR="0085330E">
        <w:t>97</w:t>
      </w:r>
      <w:r w:rsidR="006E6715">
        <w:fldChar w:fldCharType="end"/>
      </w:r>
      <w:r w:rsidR="006E6715">
        <w:t xml:space="preserve"> à la p </w:t>
      </w:r>
      <w:r w:rsidR="0079618F">
        <w:t>15</w:t>
      </w:r>
      <w:r w:rsidR="006E6715">
        <w:t>.</w:t>
      </w:r>
    </w:p>
  </w:footnote>
  <w:footnote w:id="144">
    <w:p w14:paraId="0590830F" w14:textId="15755C7C" w:rsidR="001F7DB3" w:rsidRDefault="001F7DB3" w:rsidP="000057AD">
      <w:pPr>
        <w:pStyle w:val="NotesBasPage"/>
      </w:pPr>
      <w:r>
        <w:rPr>
          <w:rStyle w:val="Appelnotedebasdep"/>
        </w:rPr>
        <w:footnoteRef/>
      </w:r>
      <w:r>
        <w:t xml:space="preserve"> </w:t>
      </w:r>
      <w:r w:rsidR="00BE1078">
        <w:tab/>
      </w:r>
      <w:r w:rsidR="00C21939" w:rsidRPr="00C21939">
        <w:t>Chateauneuf et al</w:t>
      </w:r>
      <w:r w:rsidR="00C21939" w:rsidRPr="000848E5">
        <w:t xml:space="preserve">, </w:t>
      </w:r>
      <w:r w:rsidR="00B66790" w:rsidRPr="00B66790">
        <w:rPr>
          <w:i/>
        </w:rPr>
        <w:t>supra</w:t>
      </w:r>
      <w:r w:rsidR="00C21939">
        <w:t xml:space="preserve"> note </w:t>
      </w:r>
      <w:r w:rsidR="00C21939">
        <w:fldChar w:fldCharType="begin"/>
      </w:r>
      <w:r w:rsidR="00C21939">
        <w:instrText xml:space="preserve"> NOTEREF _Ref201136782 \h </w:instrText>
      </w:r>
      <w:r w:rsidR="00C21939">
        <w:fldChar w:fldCharType="separate"/>
      </w:r>
      <w:r w:rsidR="0085330E">
        <w:t>129</w:t>
      </w:r>
      <w:r w:rsidR="00C21939">
        <w:fldChar w:fldCharType="end"/>
      </w:r>
      <w:r w:rsidR="00C21939">
        <w:t xml:space="preserve"> </w:t>
      </w:r>
      <w:r w:rsidR="00C37A1F">
        <w:t>à la p</w:t>
      </w:r>
      <w:r w:rsidR="00C37A1F" w:rsidRPr="00C37A1F">
        <w:t xml:space="preserve"> 169</w:t>
      </w:r>
      <w:r w:rsidR="00026383">
        <w:t xml:space="preserve"> (Geneviève Pagé, Doris Chateauneuf, Angélik Lepage-Cabeceiras)</w:t>
      </w:r>
      <w:r w:rsidR="00026383" w:rsidRPr="00BE1078">
        <w:t>.</w:t>
      </w:r>
    </w:p>
  </w:footnote>
  <w:footnote w:id="145">
    <w:p w14:paraId="322EBF9F" w14:textId="3F10C9E4" w:rsidR="001F7DB3" w:rsidRDefault="001F7DB3" w:rsidP="000057AD">
      <w:pPr>
        <w:pStyle w:val="NotesBasPage"/>
      </w:pPr>
      <w:r>
        <w:rPr>
          <w:rStyle w:val="Appelnotedebasdep"/>
        </w:rPr>
        <w:footnoteRef/>
      </w:r>
      <w:r>
        <w:t xml:space="preserve"> </w:t>
      </w:r>
      <w:r w:rsidR="00BE1078">
        <w:tab/>
      </w:r>
      <w:r w:rsidR="00DB4FE8">
        <w:t>CSDEPJ</w:t>
      </w:r>
      <w:r w:rsidR="00DB4FE8">
        <w:rPr>
          <w:i/>
          <w:iCs/>
        </w:rPr>
        <w:t xml:space="preserve">, </w:t>
      </w:r>
      <w:r w:rsidR="00DB4FE8" w:rsidRPr="00F65836">
        <w:rPr>
          <w:i/>
          <w:iCs/>
        </w:rPr>
        <w:t>supra</w:t>
      </w:r>
      <w:r w:rsidR="00DB4FE8" w:rsidRPr="00F65836">
        <w:t xml:space="preserve"> note </w:t>
      </w:r>
      <w:r w:rsidR="00DB4FE8">
        <w:fldChar w:fldCharType="begin"/>
      </w:r>
      <w:r w:rsidR="00DB4FE8">
        <w:instrText xml:space="preserve"> NOTEREF _Ref200460822 \h  \* MERGEFORMAT </w:instrText>
      </w:r>
      <w:r w:rsidR="00DB4FE8">
        <w:fldChar w:fldCharType="separate"/>
      </w:r>
      <w:r w:rsidR="0085330E">
        <w:t>6</w:t>
      </w:r>
      <w:r w:rsidR="00DB4FE8">
        <w:fldChar w:fldCharType="end"/>
      </w:r>
      <w:r w:rsidR="00DB4FE8">
        <w:t xml:space="preserve"> </w:t>
      </w:r>
      <w:r w:rsidR="00130C4A">
        <w:t>à la</w:t>
      </w:r>
      <w:r w:rsidR="00DB4FE8">
        <w:t xml:space="preserve"> p </w:t>
      </w:r>
      <w:r w:rsidR="00DB4FE8" w:rsidRPr="0094623A">
        <w:t>82.</w:t>
      </w:r>
    </w:p>
  </w:footnote>
  <w:footnote w:id="146">
    <w:p w14:paraId="03C4EE1B" w14:textId="558B151C" w:rsidR="001F7DB3" w:rsidRPr="00B41C43" w:rsidRDefault="001F7DB3" w:rsidP="000057AD">
      <w:pPr>
        <w:pStyle w:val="NotesBasPage"/>
        <w:rPr>
          <w:lang w:val="en-CA"/>
        </w:rPr>
      </w:pPr>
      <w:r>
        <w:rPr>
          <w:rStyle w:val="Appelnotedebasdep"/>
        </w:rPr>
        <w:footnoteRef/>
      </w:r>
      <w:r w:rsidRPr="002B1B76">
        <w:rPr>
          <w:lang w:val="en-CA"/>
        </w:rPr>
        <w:t xml:space="preserve"> </w:t>
      </w:r>
      <w:r w:rsidR="00BE1078" w:rsidRPr="002B1B76">
        <w:rPr>
          <w:lang w:val="en-CA"/>
        </w:rPr>
        <w:tab/>
      </w:r>
      <w:r w:rsidR="007A6762">
        <w:rPr>
          <w:lang w:val="en-CA"/>
        </w:rPr>
        <w:t xml:space="preserve">Anna </w:t>
      </w:r>
      <w:r w:rsidR="0084106F" w:rsidRPr="002B1B76">
        <w:rPr>
          <w:lang w:val="en-CA"/>
        </w:rPr>
        <w:t>DiGiovanni</w:t>
      </w:r>
      <w:r w:rsidR="00C57C76" w:rsidRPr="002B1B76">
        <w:rPr>
          <w:lang w:val="en-CA"/>
        </w:rPr>
        <w:t xml:space="preserve"> et </w:t>
      </w:r>
      <w:r w:rsidR="007A6762">
        <w:rPr>
          <w:lang w:val="en-CA"/>
        </w:rPr>
        <w:t xml:space="preserve">Sarah </w:t>
      </w:r>
      <w:r w:rsidR="00C57C76" w:rsidRPr="002B1B76">
        <w:rPr>
          <w:lang w:val="en-CA"/>
        </w:rPr>
        <w:t>Font</w:t>
      </w:r>
      <w:r w:rsidR="002B1B76" w:rsidRPr="002B1B76">
        <w:rPr>
          <w:lang w:val="en-CA"/>
        </w:rPr>
        <w:t>, «</w:t>
      </w:r>
      <w:r w:rsidR="001A0FEE">
        <w:rPr>
          <w:rFonts w:ascii="Arial" w:hAnsi="Arial" w:cs="Arial"/>
          <w:lang w:val="en-CA"/>
        </w:rPr>
        <w:t> </w:t>
      </w:r>
      <w:r w:rsidR="002B1B76" w:rsidRPr="002B1B76">
        <w:rPr>
          <w:lang w:val="en-CA"/>
        </w:rPr>
        <w:t>Revisiting conventional wisdom: W hat do we know from 30 years of research on sibling placement in foster care?</w:t>
      </w:r>
      <w:r w:rsidR="001A0FEE">
        <w:rPr>
          <w:rFonts w:ascii="Arial" w:hAnsi="Arial" w:cs="Arial"/>
          <w:lang w:val="en-CA"/>
        </w:rPr>
        <w:t> </w:t>
      </w:r>
      <w:r w:rsidR="002B1B76" w:rsidRPr="002B1B76">
        <w:rPr>
          <w:rFonts w:ascii="Walbaum Heading" w:hAnsi="Walbaum Heading"/>
          <w:lang w:val="en-CA"/>
        </w:rPr>
        <w:t>»</w:t>
      </w:r>
      <w:r w:rsidR="002B1B76" w:rsidRPr="002B1B76">
        <w:rPr>
          <w:lang w:val="en-CA"/>
        </w:rPr>
        <w:t>,</w:t>
      </w:r>
      <w:r w:rsidR="00C57C76" w:rsidRPr="002B1B76">
        <w:rPr>
          <w:lang w:val="en-CA"/>
        </w:rPr>
        <w:t xml:space="preserve"> (2021</w:t>
      </w:r>
      <w:r w:rsidR="002B1B76" w:rsidRPr="002B1B76">
        <w:rPr>
          <w:lang w:val="en-CA"/>
        </w:rPr>
        <w:t xml:space="preserve">) </w:t>
      </w:r>
      <w:r w:rsidR="002B1B76" w:rsidRPr="00863DED">
        <w:rPr>
          <w:i/>
          <w:iCs/>
          <w:lang w:val="en-CA"/>
        </w:rPr>
        <w:t>Children and Youth Services Review</w:t>
      </w:r>
      <w:r w:rsidR="002B1B76" w:rsidRPr="002B1B76">
        <w:rPr>
          <w:lang w:val="en-CA"/>
        </w:rPr>
        <w:t xml:space="preserve">  126, 105943</w:t>
      </w:r>
      <w:r w:rsidR="00C57C76" w:rsidRPr="002B1B76">
        <w:rPr>
          <w:lang w:val="en-CA"/>
        </w:rPr>
        <w:t xml:space="preserve"> citée dans </w:t>
      </w:r>
      <w:r w:rsidR="00C21939" w:rsidRPr="002B1B76">
        <w:rPr>
          <w:lang w:val="en-CA"/>
        </w:rPr>
        <w:t>Chateauneuf</w:t>
      </w:r>
      <w:r w:rsidR="00C57C76" w:rsidRPr="002B1B76">
        <w:rPr>
          <w:lang w:val="en-CA"/>
        </w:rPr>
        <w:t xml:space="preserve"> et </w:t>
      </w:r>
      <w:r w:rsidR="00C21939" w:rsidRPr="002B1B76">
        <w:rPr>
          <w:lang w:val="en-CA"/>
        </w:rPr>
        <w:t xml:space="preserve">al, </w:t>
      </w:r>
      <w:r w:rsidR="00B66790" w:rsidRPr="002B1B76">
        <w:rPr>
          <w:i/>
          <w:lang w:val="en-CA"/>
        </w:rPr>
        <w:t>supra</w:t>
      </w:r>
      <w:r w:rsidR="00C21939" w:rsidRPr="002B1B76">
        <w:rPr>
          <w:lang w:val="en-CA"/>
        </w:rPr>
        <w:t xml:space="preserve"> note </w:t>
      </w:r>
      <w:r w:rsidR="00C21939">
        <w:fldChar w:fldCharType="begin"/>
      </w:r>
      <w:r w:rsidR="00C21939" w:rsidRPr="002B1B76">
        <w:rPr>
          <w:lang w:val="en-CA"/>
        </w:rPr>
        <w:instrText xml:space="preserve"> NOTEREF _Ref201136782 \h </w:instrText>
      </w:r>
      <w:r w:rsidR="00C21939">
        <w:fldChar w:fldCharType="separate"/>
      </w:r>
      <w:r w:rsidR="0085330E">
        <w:rPr>
          <w:lang w:val="en-CA"/>
        </w:rPr>
        <w:t>129</w:t>
      </w:r>
      <w:r w:rsidR="00C21939">
        <w:fldChar w:fldCharType="end"/>
      </w:r>
      <w:r w:rsidR="001D0565" w:rsidRPr="002B1B76">
        <w:rPr>
          <w:lang w:val="en-CA"/>
        </w:rPr>
        <w:t>, chapitre 5</w:t>
      </w:r>
      <w:r w:rsidR="00C57C76" w:rsidRPr="002B1B76">
        <w:rPr>
          <w:lang w:val="en-CA"/>
        </w:rPr>
        <w:t xml:space="preserve"> </w:t>
      </w:r>
      <w:r w:rsidR="0084106F" w:rsidRPr="002B1B76">
        <w:rPr>
          <w:lang w:val="en-CA"/>
        </w:rPr>
        <w:t>à la p</w:t>
      </w:r>
      <w:r w:rsidR="00C57C76" w:rsidRPr="002B1B76">
        <w:rPr>
          <w:lang w:val="en-CA"/>
        </w:rPr>
        <w:t xml:space="preserve"> 169</w:t>
      </w:r>
      <w:r w:rsidR="00026383" w:rsidRPr="002B1B76">
        <w:rPr>
          <w:lang w:val="en-CA"/>
        </w:rPr>
        <w:t>, (Geneviève Pagé, Doris Chateauneuf, Angélik Lepage-Cabeceiras).</w:t>
      </w:r>
    </w:p>
  </w:footnote>
  <w:footnote w:id="147">
    <w:p w14:paraId="180A2A10" w14:textId="7F222D93" w:rsidR="001F7DB3" w:rsidRDefault="001F7DB3" w:rsidP="000057AD">
      <w:pPr>
        <w:pStyle w:val="NotesBasPage"/>
      </w:pPr>
      <w:r>
        <w:rPr>
          <w:rStyle w:val="Appelnotedebasdep"/>
        </w:rPr>
        <w:footnoteRef/>
      </w:r>
      <w:r>
        <w:t xml:space="preserve"> </w:t>
      </w:r>
      <w:r w:rsidR="00BE1078">
        <w:tab/>
      </w:r>
      <w:r w:rsidR="008246EF">
        <w:t>CSDEPJ</w:t>
      </w:r>
      <w:r w:rsidR="008246EF">
        <w:rPr>
          <w:i/>
          <w:iCs/>
        </w:rPr>
        <w:t xml:space="preserve">, </w:t>
      </w:r>
      <w:r w:rsidR="008246EF" w:rsidRPr="00F65836">
        <w:rPr>
          <w:i/>
          <w:iCs/>
        </w:rPr>
        <w:t>supra</w:t>
      </w:r>
      <w:r w:rsidR="008246EF" w:rsidRPr="00F65836">
        <w:t xml:space="preserve"> note </w:t>
      </w:r>
      <w:r w:rsidR="008246EF">
        <w:fldChar w:fldCharType="begin"/>
      </w:r>
      <w:r w:rsidR="008246EF">
        <w:instrText xml:space="preserve"> NOTEREF _Ref200460822 \h  \* MERGEFORMAT </w:instrText>
      </w:r>
      <w:r w:rsidR="008246EF">
        <w:fldChar w:fldCharType="separate"/>
      </w:r>
      <w:r w:rsidR="0085330E">
        <w:t>6</w:t>
      </w:r>
      <w:r w:rsidR="008246EF">
        <w:fldChar w:fldCharType="end"/>
      </w:r>
      <w:r w:rsidR="008246EF">
        <w:t xml:space="preserve"> </w:t>
      </w:r>
      <w:r w:rsidR="0094623A">
        <w:t>aux pp</w:t>
      </w:r>
      <w:r w:rsidR="0094623A" w:rsidRPr="0094623A">
        <w:t xml:space="preserve"> 81-82.</w:t>
      </w:r>
    </w:p>
  </w:footnote>
  <w:footnote w:id="148">
    <w:p w14:paraId="079D2050" w14:textId="4B20DE9B" w:rsidR="006F75FD" w:rsidRDefault="006F75FD" w:rsidP="000057AD">
      <w:pPr>
        <w:pStyle w:val="NotesBasPage"/>
      </w:pPr>
      <w:r>
        <w:rPr>
          <w:rStyle w:val="Appelnotedebasdep"/>
        </w:rPr>
        <w:footnoteRef/>
      </w:r>
      <w:r>
        <w:t xml:space="preserve"> </w:t>
      </w:r>
      <w:r w:rsidR="0094623A">
        <w:tab/>
      </w:r>
      <w:r w:rsidR="00C21939" w:rsidRPr="00C21939">
        <w:t>Chateauneuf et al</w:t>
      </w:r>
      <w:r w:rsidR="00C21939" w:rsidRPr="000848E5">
        <w:t xml:space="preserve">, </w:t>
      </w:r>
      <w:r w:rsidR="00B66790" w:rsidRPr="00B66790">
        <w:rPr>
          <w:i/>
        </w:rPr>
        <w:t>supra</w:t>
      </w:r>
      <w:r w:rsidR="00C21939">
        <w:t xml:space="preserve"> note </w:t>
      </w:r>
      <w:r w:rsidR="00C21939">
        <w:fldChar w:fldCharType="begin"/>
      </w:r>
      <w:r w:rsidR="00C21939">
        <w:instrText xml:space="preserve"> NOTEREF _Ref201136782 \h </w:instrText>
      </w:r>
      <w:r w:rsidR="00C21939">
        <w:fldChar w:fldCharType="separate"/>
      </w:r>
      <w:r w:rsidR="0085330E">
        <w:t>129</w:t>
      </w:r>
      <w:r w:rsidR="00C21939">
        <w:fldChar w:fldCharType="end"/>
      </w:r>
      <w:r w:rsidR="00322ADA">
        <w:t> </w:t>
      </w:r>
      <w:r w:rsidR="00984DA2">
        <w:t xml:space="preserve">chapitre </w:t>
      </w:r>
      <w:r w:rsidR="00FB0049">
        <w:t xml:space="preserve">8 </w:t>
      </w:r>
      <w:r w:rsidR="00D90FC2">
        <w:t xml:space="preserve">à la p </w:t>
      </w:r>
      <w:r w:rsidR="00D90FC2" w:rsidRPr="00D90FC2">
        <w:t>213</w:t>
      </w:r>
      <w:r w:rsidR="00FB0049">
        <w:t xml:space="preserve"> (Doris Chateauneuf, Carmen Lavallée</w:t>
      </w:r>
      <w:r w:rsidR="00601DEF">
        <w:t>, Sonia Hélie, Geneviève Sanfaçon</w:t>
      </w:r>
      <w:r w:rsidR="00B208B9">
        <w:t>-Gagnon, Audrey Gauthier-L</w:t>
      </w:r>
      <w:r w:rsidR="00684177">
        <w:t>égaré, Alexandra Rivest-Beauregard).</w:t>
      </w:r>
    </w:p>
  </w:footnote>
  <w:footnote w:id="149">
    <w:p w14:paraId="3FE67106" w14:textId="34D7359B" w:rsidR="006F75FD" w:rsidRDefault="006F75FD" w:rsidP="000057AD">
      <w:pPr>
        <w:pStyle w:val="NotesBasPage"/>
      </w:pPr>
      <w:r>
        <w:rPr>
          <w:rStyle w:val="Appelnotedebasdep"/>
        </w:rPr>
        <w:footnoteRef/>
      </w:r>
      <w:r>
        <w:t xml:space="preserve"> </w:t>
      </w:r>
      <w:r w:rsidR="0094623A">
        <w:tab/>
      </w:r>
      <w:r w:rsidR="00D539BA" w:rsidRPr="00D539BA">
        <w:t xml:space="preserve">CSDEPJ, </w:t>
      </w:r>
      <w:r w:rsidR="00AF16DB" w:rsidRPr="00621FA1">
        <w:rPr>
          <w:i/>
          <w:iCs/>
        </w:rPr>
        <w:t>supra</w:t>
      </w:r>
      <w:r w:rsidR="00AF16DB">
        <w:t xml:space="preserve"> note </w:t>
      </w:r>
      <w:r w:rsidR="00AF16DB">
        <w:fldChar w:fldCharType="begin"/>
      </w:r>
      <w:r w:rsidR="00AF16DB">
        <w:instrText xml:space="preserve"> NOTEREF _Ref200460822 \h </w:instrText>
      </w:r>
      <w:r w:rsidR="00AF16DB">
        <w:fldChar w:fldCharType="separate"/>
      </w:r>
      <w:r w:rsidR="0085330E">
        <w:t>6</w:t>
      </w:r>
      <w:r w:rsidR="00AF16DB">
        <w:fldChar w:fldCharType="end"/>
      </w:r>
      <w:r w:rsidR="00AF16DB" w:rsidRPr="008B4589">
        <w:t xml:space="preserve"> </w:t>
      </w:r>
      <w:r w:rsidR="00D539BA">
        <w:t>à la p</w:t>
      </w:r>
      <w:r w:rsidR="00D539BA" w:rsidRPr="00D539BA">
        <w:t xml:space="preserve"> 193.</w:t>
      </w:r>
    </w:p>
  </w:footnote>
  <w:footnote w:id="150">
    <w:p w14:paraId="671683AE" w14:textId="3CCC3E24" w:rsidR="00DC1618" w:rsidRDefault="00DC1618" w:rsidP="000057AD">
      <w:pPr>
        <w:pStyle w:val="NotesBasPage"/>
      </w:pPr>
      <w:r>
        <w:rPr>
          <w:rStyle w:val="Appelnotedebasdep"/>
        </w:rPr>
        <w:footnoteRef/>
      </w:r>
      <w:r>
        <w:t xml:space="preserve"> </w:t>
      </w:r>
      <w:r w:rsidR="0094623A">
        <w:tab/>
      </w:r>
      <w:r w:rsidR="00C21939" w:rsidRPr="00C21939">
        <w:t>Chateauneuf et al</w:t>
      </w:r>
      <w:r w:rsidR="00C21939" w:rsidRPr="000848E5">
        <w:t xml:space="preserve">, </w:t>
      </w:r>
      <w:r w:rsidR="00B66790" w:rsidRPr="00B66790">
        <w:rPr>
          <w:i/>
        </w:rPr>
        <w:t>supra</w:t>
      </w:r>
      <w:r w:rsidR="00C21939">
        <w:t xml:space="preserve"> note </w:t>
      </w:r>
      <w:r w:rsidR="00C21939">
        <w:fldChar w:fldCharType="begin"/>
      </w:r>
      <w:r w:rsidR="00C21939">
        <w:instrText xml:space="preserve"> NOTEREF _Ref201136782 \h </w:instrText>
      </w:r>
      <w:r w:rsidR="00C21939">
        <w:fldChar w:fldCharType="separate"/>
      </w:r>
      <w:r w:rsidR="0085330E">
        <w:t>129</w:t>
      </w:r>
      <w:r w:rsidR="00C21939">
        <w:fldChar w:fldCharType="end"/>
      </w:r>
      <w:r w:rsidR="00322ADA">
        <w:t> </w:t>
      </w:r>
      <w:r w:rsidR="00E667FE" w:rsidRPr="00E667FE">
        <w:t>chapitre 8</w:t>
      </w:r>
      <w:r w:rsidR="00E667FE">
        <w:t xml:space="preserve"> </w:t>
      </w:r>
      <w:r w:rsidR="001E0893">
        <w:t>à la p</w:t>
      </w:r>
      <w:r w:rsidR="001E0893" w:rsidRPr="001E0893">
        <w:t xml:space="preserve"> 235</w:t>
      </w:r>
      <w:r w:rsidR="00F02FD0">
        <w:t xml:space="preserve"> (Doris Chateauneuf, Carmen Lavallée, Sonia Hélie, Geneviève Sanfaçon-Gagnon, Audrey Gauthier-Légaré, Alexandra Rivest-Beauregard).</w:t>
      </w:r>
    </w:p>
  </w:footnote>
  <w:footnote w:id="151">
    <w:p w14:paraId="701C2E70" w14:textId="6C91EF47" w:rsidR="00E329D8" w:rsidRDefault="00E329D8" w:rsidP="000057AD">
      <w:pPr>
        <w:pStyle w:val="NotesBasPage"/>
      </w:pPr>
      <w:r>
        <w:rPr>
          <w:rStyle w:val="Appelnotedebasdep"/>
        </w:rPr>
        <w:footnoteRef/>
      </w:r>
      <w:r>
        <w:t xml:space="preserve"> </w:t>
      </w:r>
      <w:r w:rsidR="0094623A">
        <w:tab/>
      </w:r>
      <w:r w:rsidR="00831F31" w:rsidRPr="00AB429E">
        <w:t>Rapport 156.1 de la LPJ -2020</w:t>
      </w:r>
      <w:r w:rsidR="00831F31">
        <w:t xml:space="preserve">, </w:t>
      </w:r>
      <w:r w:rsidR="00831F31" w:rsidRPr="00B66790">
        <w:rPr>
          <w:i/>
        </w:rPr>
        <w:t>supra</w:t>
      </w:r>
      <w:r w:rsidR="00831F31">
        <w:t xml:space="preserve"> note </w:t>
      </w:r>
      <w:r w:rsidR="00831F31">
        <w:fldChar w:fldCharType="begin"/>
      </w:r>
      <w:r w:rsidR="00831F31">
        <w:instrText xml:space="preserve"> NOTEREF _Ref200631412 \h </w:instrText>
      </w:r>
      <w:r w:rsidR="00831F31">
        <w:fldChar w:fldCharType="separate"/>
      </w:r>
      <w:r w:rsidR="0085330E">
        <w:t>3</w:t>
      </w:r>
      <w:r w:rsidR="00831F31">
        <w:fldChar w:fldCharType="end"/>
      </w:r>
      <w:r w:rsidR="00E15465" w:rsidRPr="00E15465">
        <w:t xml:space="preserve"> </w:t>
      </w:r>
      <w:r w:rsidR="00E15465">
        <w:t xml:space="preserve">à la </w:t>
      </w:r>
      <w:r w:rsidR="00E15465" w:rsidRPr="00E15465">
        <w:t>p 43.</w:t>
      </w:r>
    </w:p>
  </w:footnote>
  <w:footnote w:id="152">
    <w:p w14:paraId="18B0A38E" w14:textId="3D0996AE" w:rsidR="004E1FC5" w:rsidRDefault="004E1FC5" w:rsidP="000057AD">
      <w:pPr>
        <w:pStyle w:val="NotesBasPage"/>
      </w:pPr>
      <w:r>
        <w:rPr>
          <w:rStyle w:val="Appelnotedebasdep"/>
        </w:rPr>
        <w:footnoteRef/>
      </w:r>
      <w:r>
        <w:t xml:space="preserve"> </w:t>
      </w:r>
      <w:r w:rsidR="0094623A">
        <w:tab/>
      </w:r>
      <w:r w:rsidR="008246EF">
        <w:t>CSDEPJ</w:t>
      </w:r>
      <w:r w:rsidR="008246EF">
        <w:rPr>
          <w:i/>
          <w:iCs/>
        </w:rPr>
        <w:t xml:space="preserve">, </w:t>
      </w:r>
      <w:r w:rsidR="008246EF" w:rsidRPr="00F65836">
        <w:rPr>
          <w:i/>
          <w:iCs/>
        </w:rPr>
        <w:t>supra</w:t>
      </w:r>
      <w:r w:rsidR="008246EF" w:rsidRPr="00F65836">
        <w:t xml:space="preserve"> note </w:t>
      </w:r>
      <w:r w:rsidR="008246EF">
        <w:fldChar w:fldCharType="begin"/>
      </w:r>
      <w:r w:rsidR="008246EF">
        <w:instrText xml:space="preserve"> NOTEREF _Ref200460822 \h  \* MERGEFORMAT </w:instrText>
      </w:r>
      <w:r w:rsidR="008246EF">
        <w:fldChar w:fldCharType="separate"/>
      </w:r>
      <w:r w:rsidR="0085330E">
        <w:t>6</w:t>
      </w:r>
      <w:r w:rsidR="008246EF">
        <w:fldChar w:fldCharType="end"/>
      </w:r>
      <w:r w:rsidR="008246EF">
        <w:t xml:space="preserve"> </w:t>
      </w:r>
      <w:r w:rsidR="003C17B6">
        <w:t>à la p</w:t>
      </w:r>
      <w:r w:rsidR="003C17B6" w:rsidRPr="003C17B6">
        <w:t xml:space="preserve"> 193.</w:t>
      </w:r>
    </w:p>
  </w:footnote>
  <w:footnote w:id="153">
    <w:p w14:paraId="1B8BDF70" w14:textId="26E56315" w:rsidR="003B7147" w:rsidRDefault="003B7147" w:rsidP="000057AD">
      <w:pPr>
        <w:pStyle w:val="NotesBasPage"/>
      </w:pPr>
      <w:r>
        <w:rPr>
          <w:rStyle w:val="Appelnotedebasdep"/>
        </w:rPr>
        <w:footnoteRef/>
      </w:r>
      <w:r>
        <w:t xml:space="preserve"> </w:t>
      </w:r>
      <w:r w:rsidR="0094623A">
        <w:tab/>
      </w:r>
      <w:r w:rsidR="00C21939" w:rsidRPr="00C21939">
        <w:t>Chateauneuf et al</w:t>
      </w:r>
      <w:r w:rsidR="00C21939" w:rsidRPr="000848E5">
        <w:t xml:space="preserve">, </w:t>
      </w:r>
      <w:r w:rsidR="00B66790" w:rsidRPr="00B66790">
        <w:rPr>
          <w:i/>
        </w:rPr>
        <w:t>supra</w:t>
      </w:r>
      <w:r w:rsidR="00C21939">
        <w:t xml:space="preserve"> note </w:t>
      </w:r>
      <w:r w:rsidR="00C21939">
        <w:fldChar w:fldCharType="begin"/>
      </w:r>
      <w:r w:rsidR="00C21939">
        <w:instrText xml:space="preserve"> NOTEREF _Ref201136782 \h </w:instrText>
      </w:r>
      <w:r w:rsidR="00C21939">
        <w:fldChar w:fldCharType="separate"/>
      </w:r>
      <w:r w:rsidR="0085330E">
        <w:t>129</w:t>
      </w:r>
      <w:r w:rsidR="00C21939">
        <w:fldChar w:fldCharType="end"/>
      </w:r>
      <w:r w:rsidR="00322ADA">
        <w:t> </w:t>
      </w:r>
      <w:r w:rsidR="00E667FE" w:rsidRPr="00E667FE">
        <w:t>chapitre 8</w:t>
      </w:r>
      <w:r w:rsidR="00E667FE">
        <w:t xml:space="preserve"> </w:t>
      </w:r>
      <w:r w:rsidR="00786D52">
        <w:t>aux pp</w:t>
      </w:r>
      <w:r w:rsidR="00786D52" w:rsidRPr="00786D52">
        <w:t xml:space="preserve"> 235</w:t>
      </w:r>
      <w:r w:rsidR="00786D52">
        <w:t xml:space="preserve"> et</w:t>
      </w:r>
      <w:r w:rsidR="00786D52" w:rsidRPr="00786D52">
        <w:t xml:space="preserve"> 236</w:t>
      </w:r>
      <w:r w:rsidR="00F02FD0">
        <w:t xml:space="preserve"> (Doris Chateauneuf, Carmen Lavallée, Sonia Hélie, Geneviève Sanfaçon-Gagnon, Audrey Gauthier-Légaré, Alexandra Rivest-Beauregard)</w:t>
      </w:r>
      <w:r w:rsidR="00786D52">
        <w:t>.</w:t>
      </w:r>
    </w:p>
  </w:footnote>
  <w:footnote w:id="154">
    <w:p w14:paraId="508DC427" w14:textId="1B41A132" w:rsidR="00895B72" w:rsidRDefault="00037F54" w:rsidP="000057AD">
      <w:pPr>
        <w:pStyle w:val="NotesBasPage"/>
      </w:pPr>
      <w:r>
        <w:rPr>
          <w:rStyle w:val="Appelnotedebasdep"/>
        </w:rPr>
        <w:footnoteRef/>
      </w:r>
      <w:r>
        <w:t xml:space="preserve"> </w:t>
      </w:r>
      <w:r>
        <w:tab/>
      </w:r>
      <w:r w:rsidR="00D45420">
        <w:t>Association des c</w:t>
      </w:r>
      <w:r w:rsidR="00DF7AAE">
        <w:t>entres</w:t>
      </w:r>
      <w:r w:rsidR="00D45420">
        <w:t xml:space="preserve"> jeuness</w:t>
      </w:r>
      <w:r w:rsidR="00DF7AAE">
        <w:t>e</w:t>
      </w:r>
      <w:r w:rsidR="00D45420">
        <w:t xml:space="preserve"> du </w:t>
      </w:r>
      <w:r w:rsidR="00DF7AAE">
        <w:t xml:space="preserve">Québec, </w:t>
      </w:r>
      <w:r w:rsidR="00DF7AAE" w:rsidRPr="008D6BA7">
        <w:rPr>
          <w:i/>
          <w:iCs/>
        </w:rPr>
        <w:t>Cadre de référence – Un projet de vie, des racines pour la vie</w:t>
      </w:r>
      <w:r w:rsidR="00DF7AAE">
        <w:t xml:space="preserve">, </w:t>
      </w:r>
      <w:r w:rsidR="00933A91">
        <w:t>2008,</w:t>
      </w:r>
      <w:r w:rsidR="00895B72">
        <w:t xml:space="preserve"> en ligne : </w:t>
      </w:r>
      <w:hyperlink r:id="rId16" w:history="1">
        <w:r w:rsidR="00895B72" w:rsidRPr="00CF5482">
          <w:rPr>
            <w:rStyle w:val="Lienhypertexte"/>
          </w:rPr>
          <w:t>http://www.santecom.qc.ca/BibliothequeVirtuelle/CCSMTL/9782893940793.pdf</w:t>
        </w:r>
      </w:hyperlink>
    </w:p>
  </w:footnote>
  <w:footnote w:id="155">
    <w:p w14:paraId="18E07090" w14:textId="0CFDB92E" w:rsidR="00037F54" w:rsidRDefault="00037F54" w:rsidP="000057AD">
      <w:pPr>
        <w:pStyle w:val="NotesBasPage"/>
      </w:pPr>
      <w:r>
        <w:rPr>
          <w:rStyle w:val="Appelnotedebasdep"/>
        </w:rPr>
        <w:footnoteRef/>
      </w:r>
      <w:r>
        <w:t xml:space="preserve"> </w:t>
      </w:r>
      <w:r>
        <w:tab/>
      </w:r>
      <w:r w:rsidR="008246EF">
        <w:t>CSDEPJ</w:t>
      </w:r>
      <w:r w:rsidR="008246EF">
        <w:rPr>
          <w:i/>
          <w:iCs/>
        </w:rPr>
        <w:t xml:space="preserve">, </w:t>
      </w:r>
      <w:r w:rsidR="008246EF" w:rsidRPr="00F65836">
        <w:rPr>
          <w:i/>
          <w:iCs/>
        </w:rPr>
        <w:t>supra</w:t>
      </w:r>
      <w:r w:rsidR="008246EF" w:rsidRPr="00F65836">
        <w:t xml:space="preserve"> note </w:t>
      </w:r>
      <w:r w:rsidR="008246EF">
        <w:fldChar w:fldCharType="begin"/>
      </w:r>
      <w:r w:rsidR="008246EF">
        <w:instrText xml:space="preserve"> NOTEREF _Ref200460822 \h  \* MERGEFORMAT </w:instrText>
      </w:r>
      <w:r w:rsidR="008246EF">
        <w:fldChar w:fldCharType="separate"/>
      </w:r>
      <w:r w:rsidR="0085330E">
        <w:t>6</w:t>
      </w:r>
      <w:r w:rsidR="008246EF">
        <w:fldChar w:fldCharType="end"/>
      </w:r>
      <w:r w:rsidR="00CB3D8B" w:rsidRPr="00CB3D8B">
        <w:t xml:space="preserve"> </w:t>
      </w:r>
      <w:r w:rsidR="00CB3D8B">
        <w:t>à la p</w:t>
      </w:r>
      <w:r w:rsidR="00CB3D8B" w:rsidRPr="00CB3D8B">
        <w:t xml:space="preserve"> 214.</w:t>
      </w:r>
    </w:p>
  </w:footnote>
  <w:footnote w:id="156">
    <w:p w14:paraId="2A8B7BDA" w14:textId="2EAB73BD" w:rsidR="00B81D50" w:rsidRPr="00B81D50" w:rsidRDefault="00037F54" w:rsidP="000057AD">
      <w:pPr>
        <w:pStyle w:val="NotesBasPage"/>
      </w:pPr>
      <w:r>
        <w:rPr>
          <w:rStyle w:val="Appelnotedebasdep"/>
        </w:rPr>
        <w:footnoteRef/>
      </w:r>
      <w:r>
        <w:t xml:space="preserve"> </w:t>
      </w:r>
      <w:r>
        <w:tab/>
      </w:r>
      <w:r w:rsidR="00386732" w:rsidRPr="00386732">
        <w:t>Notons qu’aucune mesure de suivi n’est mentionnée dans le rapport de suivi.</w:t>
      </w:r>
      <w:r w:rsidR="009369A8" w:rsidRPr="009369A8">
        <w:t xml:space="preserve"> </w:t>
      </w:r>
      <w:r w:rsidR="006E092E">
        <w:t xml:space="preserve">Comité de suivi CSDEPJ, </w:t>
      </w:r>
      <w:r w:rsidR="009369A8" w:rsidRPr="00D51CE8">
        <w:rPr>
          <w:i/>
          <w:iCs/>
        </w:rPr>
        <w:t>Rapport d’analyse du Bilan 2021-2023 du Plan d’action gouvernemental S’engager pour nos enfants</w:t>
      </w:r>
      <w:r w:rsidR="006E092E" w:rsidRPr="00D51CE8">
        <w:rPr>
          <w:i/>
          <w:iCs/>
        </w:rPr>
        <w:t xml:space="preserve"> </w:t>
      </w:r>
      <w:r w:rsidR="009369A8" w:rsidRPr="00D51CE8">
        <w:rPr>
          <w:i/>
          <w:iCs/>
        </w:rPr>
        <w:t>Sur la base des documents publics relatifs à la réponse gouvernementale aux recommandations de la Commission spéciale sur les droits des enfants et la protection de la jeunesse (CSDEPJ)</w:t>
      </w:r>
      <w:r w:rsidR="006E092E">
        <w:t xml:space="preserve">, </w:t>
      </w:r>
      <w:r w:rsidR="006E092E" w:rsidRPr="00B81D50">
        <w:t>2024</w:t>
      </w:r>
      <w:r w:rsidR="00B81D50" w:rsidRPr="00B81D50">
        <w:t>, en ligne :</w:t>
      </w:r>
      <w:r w:rsidR="00B81D50">
        <w:t xml:space="preserve"> </w:t>
      </w:r>
      <w:hyperlink r:id="rId17" w:history="1">
        <w:r w:rsidR="00B81D50" w:rsidRPr="00B81D50">
          <w:rPr>
            <w:rStyle w:val="Lienhypertexte"/>
          </w:rPr>
          <w:t>https://suivi-csdepj.org/media/q4zdjbtd/mai-2024_comite-suivi-csdepj_rapport-anayse-bilan2021-2023.pdf</w:t>
        </w:r>
      </w:hyperlink>
    </w:p>
  </w:footnote>
  <w:footnote w:id="157">
    <w:p w14:paraId="6D03D6A6" w14:textId="664293F6" w:rsidR="00037F54" w:rsidRDefault="00037F54" w:rsidP="000057AD">
      <w:pPr>
        <w:pStyle w:val="NotesBasPage"/>
      </w:pPr>
      <w:r>
        <w:rPr>
          <w:rStyle w:val="Appelnotedebasdep"/>
        </w:rPr>
        <w:footnoteRef/>
      </w:r>
      <w:r>
        <w:t xml:space="preserve"> </w:t>
      </w:r>
      <w:r>
        <w:tab/>
      </w:r>
      <w:r w:rsidR="00F84204" w:rsidRPr="00F84204">
        <w:t xml:space="preserve">Gouvernement du </w:t>
      </w:r>
      <w:r w:rsidR="00F84204" w:rsidRPr="002F0296">
        <w:t xml:space="preserve">Québec, </w:t>
      </w:r>
      <w:r w:rsidR="00B66790" w:rsidRPr="002F0296">
        <w:rPr>
          <w:i/>
          <w:iCs/>
        </w:rPr>
        <w:t>supra</w:t>
      </w:r>
      <w:r w:rsidR="00F84204" w:rsidRPr="002F0296">
        <w:t xml:space="preserve"> note</w:t>
      </w:r>
      <w:r w:rsidR="002F0296" w:rsidRPr="002F0296">
        <w:t xml:space="preserve"> </w:t>
      </w:r>
      <w:r w:rsidR="002F0296" w:rsidRPr="002F0296">
        <w:fldChar w:fldCharType="begin"/>
      </w:r>
      <w:r w:rsidR="002F0296" w:rsidRPr="002F0296">
        <w:instrText xml:space="preserve"> NOTEREF _Ref200534848 \h </w:instrText>
      </w:r>
      <w:r w:rsidR="002F0296">
        <w:instrText xml:space="preserve"> \* MERGEFORMAT </w:instrText>
      </w:r>
      <w:r w:rsidR="002F0296" w:rsidRPr="002F0296">
        <w:fldChar w:fldCharType="separate"/>
      </w:r>
      <w:r w:rsidR="0085330E">
        <w:t>97</w:t>
      </w:r>
      <w:r w:rsidR="002F0296" w:rsidRPr="002F0296">
        <w:fldChar w:fldCharType="end"/>
      </w:r>
      <w:r w:rsidR="00F84204" w:rsidRPr="002F0296">
        <w:t>.</w:t>
      </w:r>
    </w:p>
  </w:footnote>
  <w:footnote w:id="158">
    <w:p w14:paraId="1F7D73FD" w14:textId="524D466C" w:rsidR="000B28B4" w:rsidRPr="000E2D8B" w:rsidRDefault="000B28B4" w:rsidP="000057AD">
      <w:pPr>
        <w:pStyle w:val="NotesBasPage"/>
        <w:rPr>
          <w:lang w:val="en-CA"/>
        </w:rPr>
      </w:pPr>
      <w:r>
        <w:rPr>
          <w:rStyle w:val="Appelnotedebasdep"/>
        </w:rPr>
        <w:footnoteRef/>
      </w:r>
      <w:r w:rsidRPr="000E2D8B">
        <w:rPr>
          <w:lang w:val="en-CA"/>
        </w:rPr>
        <w:t xml:space="preserve"> </w:t>
      </w:r>
      <w:r w:rsidR="005F717B" w:rsidRPr="000E2D8B">
        <w:rPr>
          <w:lang w:val="en-CA"/>
        </w:rPr>
        <w:tab/>
      </w:r>
      <w:r w:rsidR="006E2D39" w:rsidRPr="000E2D8B">
        <w:rPr>
          <w:lang w:val="en-CA"/>
        </w:rPr>
        <w:t>LPJ, art 29</w:t>
      </w:r>
      <w:r w:rsidR="00322ADA">
        <w:rPr>
          <w:lang w:val="en-CA"/>
        </w:rPr>
        <w:t> </w:t>
      </w:r>
      <w:r w:rsidR="006E2D39" w:rsidRPr="000E2D8B">
        <w:rPr>
          <w:lang w:val="en-CA"/>
        </w:rPr>
        <w:t>al. 1, b).</w:t>
      </w:r>
    </w:p>
  </w:footnote>
  <w:footnote w:id="159">
    <w:p w14:paraId="133BF063" w14:textId="1F165FFC" w:rsidR="000B28B4" w:rsidRPr="000E2D8B" w:rsidRDefault="000B28B4" w:rsidP="000057AD">
      <w:pPr>
        <w:pStyle w:val="NotesBasPage"/>
        <w:rPr>
          <w:lang w:val="en-CA"/>
        </w:rPr>
      </w:pPr>
      <w:r>
        <w:rPr>
          <w:rStyle w:val="Appelnotedebasdep"/>
        </w:rPr>
        <w:footnoteRef/>
      </w:r>
      <w:r w:rsidRPr="000E2D8B">
        <w:rPr>
          <w:lang w:val="en-CA"/>
        </w:rPr>
        <w:t xml:space="preserve"> </w:t>
      </w:r>
      <w:r w:rsidR="005F717B" w:rsidRPr="000E2D8B">
        <w:rPr>
          <w:lang w:val="en-CA"/>
        </w:rPr>
        <w:tab/>
      </w:r>
      <w:r w:rsidR="000E2D8B" w:rsidRPr="000E2D8B">
        <w:rPr>
          <w:lang w:val="en-CA"/>
        </w:rPr>
        <w:t>LPJ, art 30.6 al. 1, a).</w:t>
      </w:r>
    </w:p>
  </w:footnote>
  <w:footnote w:id="160">
    <w:p w14:paraId="5CED5002" w14:textId="7C625A2E" w:rsidR="004E547A" w:rsidRPr="00FC31F6" w:rsidRDefault="004E547A" w:rsidP="000057AD">
      <w:pPr>
        <w:pStyle w:val="NotesBasPage"/>
      </w:pPr>
      <w:r>
        <w:rPr>
          <w:rStyle w:val="Appelnotedebasdep"/>
        </w:rPr>
        <w:footnoteRef/>
      </w:r>
      <w:r w:rsidRPr="00FC31F6">
        <w:t xml:space="preserve"> </w:t>
      </w:r>
      <w:r w:rsidR="005F717B" w:rsidRPr="00FC31F6">
        <w:tab/>
      </w:r>
      <w:r w:rsidR="00FC31F6">
        <w:tab/>
      </w:r>
      <w:r w:rsidR="001A4FEA" w:rsidRPr="009672C2">
        <w:t xml:space="preserve">Gouvernement du Québec, </w:t>
      </w:r>
      <w:r w:rsidR="0020613D">
        <w:rPr>
          <w:i/>
          <w:iCs/>
        </w:rPr>
        <w:t xml:space="preserve">supra </w:t>
      </w:r>
      <w:r w:rsidR="0020613D" w:rsidRPr="0020613D">
        <w:t>note</w:t>
      </w:r>
      <w:r w:rsidR="0020613D">
        <w:t xml:space="preserve"> </w:t>
      </w:r>
      <w:r w:rsidR="0020613D">
        <w:fldChar w:fldCharType="begin"/>
      </w:r>
      <w:r w:rsidR="0020613D">
        <w:instrText xml:space="preserve"> NOTEREF _Ref201330036 \h </w:instrText>
      </w:r>
      <w:r w:rsidR="0020613D">
        <w:fldChar w:fldCharType="separate"/>
      </w:r>
      <w:r w:rsidR="0085330E">
        <w:t>34</w:t>
      </w:r>
      <w:r w:rsidR="0020613D">
        <w:fldChar w:fldCharType="end"/>
      </w:r>
      <w:r w:rsidR="00285C6D">
        <w:t>.</w:t>
      </w:r>
    </w:p>
  </w:footnote>
  <w:footnote w:id="161">
    <w:p w14:paraId="17FDAD84" w14:textId="4F70F1D3" w:rsidR="00115F53" w:rsidRDefault="00115F53" w:rsidP="000057AD">
      <w:pPr>
        <w:pStyle w:val="NotesBasPage"/>
      </w:pPr>
      <w:r>
        <w:rPr>
          <w:rStyle w:val="Appelnotedebasdep"/>
        </w:rPr>
        <w:footnoteRef/>
      </w:r>
      <w:r w:rsidR="00A878DB">
        <w:t xml:space="preserve"> </w:t>
      </w:r>
      <w:r w:rsidR="00A878DB">
        <w:tab/>
      </w:r>
      <w:r w:rsidR="00A878DB" w:rsidRPr="00A878DB">
        <w:t xml:space="preserve">TRAJUD, </w:t>
      </w:r>
      <w:r w:rsidR="00A878DB" w:rsidRPr="00A878DB">
        <w:rPr>
          <w:i/>
          <w:iCs/>
        </w:rPr>
        <w:t>supra</w:t>
      </w:r>
      <w:r w:rsidR="00A878DB" w:rsidRPr="00A878DB">
        <w:t xml:space="preserve"> note</w:t>
      </w:r>
      <w:r w:rsidR="00AD0A6D">
        <w:t> </w:t>
      </w:r>
      <w:r w:rsidR="00A878DB" w:rsidRPr="00A878DB">
        <w:fldChar w:fldCharType="begin"/>
      </w:r>
      <w:r w:rsidR="00A878DB" w:rsidRPr="00A878DB">
        <w:instrText xml:space="preserve"> NOTEREF _Ref201155908 \h </w:instrText>
      </w:r>
      <w:r w:rsidR="00A878DB">
        <w:instrText xml:space="preserve"> \* MERGEFORMAT </w:instrText>
      </w:r>
      <w:r w:rsidR="00A878DB" w:rsidRPr="00A878DB">
        <w:fldChar w:fldCharType="separate"/>
      </w:r>
      <w:r w:rsidR="0085330E">
        <w:t>128</w:t>
      </w:r>
      <w:r w:rsidR="00A878DB" w:rsidRPr="00A878DB">
        <w:fldChar w:fldCharType="end"/>
      </w:r>
      <w:r w:rsidR="00A878DB" w:rsidRPr="00A878DB">
        <w:t xml:space="preserve"> </w:t>
      </w:r>
      <w:r w:rsidR="00AD0A6D">
        <w:t xml:space="preserve">aux </w:t>
      </w:r>
      <w:r w:rsidR="00A878DB" w:rsidRPr="00A878DB">
        <w:t>p</w:t>
      </w:r>
      <w:r w:rsidR="00A878DB">
        <w:t>p</w:t>
      </w:r>
      <w:r w:rsidR="00AD0A6D">
        <w:t> </w:t>
      </w:r>
      <w:r w:rsidR="00A878DB">
        <w:t>82-</w:t>
      </w:r>
      <w:r w:rsidR="00383880">
        <w:t>84.</w:t>
      </w:r>
    </w:p>
  </w:footnote>
  <w:footnote w:id="162">
    <w:p w14:paraId="4CE0E31C" w14:textId="58B4734E" w:rsidR="00115F53" w:rsidRDefault="00115F53" w:rsidP="000057AD">
      <w:pPr>
        <w:pStyle w:val="NotesBasPage"/>
      </w:pPr>
      <w:r>
        <w:rPr>
          <w:rStyle w:val="Appelnotedebasdep"/>
        </w:rPr>
        <w:footnoteRef/>
      </w:r>
      <w:r>
        <w:t xml:space="preserve"> </w:t>
      </w:r>
      <w:r w:rsidR="00E667FE">
        <w:tab/>
      </w:r>
      <w:r w:rsidR="00E667FE" w:rsidRPr="00E667FE">
        <w:rPr>
          <w:i/>
          <w:iCs/>
        </w:rPr>
        <w:t>Idem</w:t>
      </w:r>
      <w:r w:rsidR="003F2898">
        <w:t xml:space="preserve"> </w:t>
      </w:r>
      <w:r w:rsidR="00DB5133">
        <w:t>à la p</w:t>
      </w:r>
      <w:r w:rsidR="00AD0A6D">
        <w:t> </w:t>
      </w:r>
      <w:r w:rsidR="00DB5133" w:rsidRPr="00DB5133">
        <w:t>214.</w:t>
      </w:r>
    </w:p>
  </w:footnote>
  <w:footnote w:id="163">
    <w:p w14:paraId="5963E218" w14:textId="26B40D4C" w:rsidR="00115F53" w:rsidRDefault="00115F53" w:rsidP="000057AD">
      <w:pPr>
        <w:pStyle w:val="NotesBasPage"/>
      </w:pPr>
      <w:r>
        <w:rPr>
          <w:rStyle w:val="Appelnotedebasdep"/>
        </w:rPr>
        <w:footnoteRef/>
      </w:r>
      <w:r>
        <w:t xml:space="preserve"> </w:t>
      </w:r>
      <w:r w:rsidR="00B80190">
        <w:tab/>
      </w:r>
      <w:r w:rsidR="002D692E" w:rsidRPr="002D692E">
        <w:t>CSDEPJ</w:t>
      </w:r>
      <w:r w:rsidR="00A0308B">
        <w:t xml:space="preserve">, </w:t>
      </w:r>
      <w:r w:rsidR="00A0308B" w:rsidRPr="00621FA1">
        <w:rPr>
          <w:i/>
          <w:iCs/>
        </w:rPr>
        <w:t>supra</w:t>
      </w:r>
      <w:r w:rsidR="00A0308B">
        <w:t xml:space="preserve"> note</w:t>
      </w:r>
      <w:r w:rsidR="00AD0A6D">
        <w:t> </w:t>
      </w:r>
      <w:r w:rsidR="00A0308B">
        <w:fldChar w:fldCharType="begin"/>
      </w:r>
      <w:r w:rsidR="00A0308B">
        <w:instrText xml:space="preserve"> NOTEREF _Ref200460822 \h </w:instrText>
      </w:r>
      <w:r w:rsidR="00A0308B">
        <w:fldChar w:fldCharType="separate"/>
      </w:r>
      <w:r w:rsidR="0085330E">
        <w:t>6</w:t>
      </w:r>
      <w:r w:rsidR="00A0308B">
        <w:fldChar w:fldCharType="end"/>
      </w:r>
      <w:r w:rsidR="00A0308B">
        <w:t>, chapitre 6.</w:t>
      </w:r>
    </w:p>
  </w:footnote>
  <w:footnote w:id="164">
    <w:p w14:paraId="6AFCFBE9" w14:textId="0E8FDB5C" w:rsidR="00115F53" w:rsidRDefault="00115F53" w:rsidP="000057AD">
      <w:pPr>
        <w:pStyle w:val="NotesBasPage"/>
      </w:pPr>
      <w:r>
        <w:rPr>
          <w:rStyle w:val="Appelnotedebasdep"/>
        </w:rPr>
        <w:footnoteRef/>
      </w:r>
      <w:r>
        <w:t xml:space="preserve"> </w:t>
      </w:r>
      <w:r w:rsidR="00B80190">
        <w:tab/>
      </w:r>
      <w:bookmarkStart w:id="104" w:name="_Hlk200545848"/>
      <w:r w:rsidR="008539C7" w:rsidRPr="008539C7">
        <w:t>TRAJUD,</w:t>
      </w:r>
      <w:r w:rsidR="001B560D">
        <w:t xml:space="preserve"> </w:t>
      </w:r>
      <w:r w:rsidR="00B66790" w:rsidRPr="00B66790">
        <w:rPr>
          <w:i/>
          <w:iCs/>
        </w:rPr>
        <w:t>supra</w:t>
      </w:r>
      <w:r w:rsidR="001B560D">
        <w:t xml:space="preserve"> note</w:t>
      </w:r>
      <w:r w:rsidR="00AD0A6D">
        <w:t> </w:t>
      </w:r>
      <w:r w:rsidR="00A41D43">
        <w:fldChar w:fldCharType="begin"/>
      </w:r>
      <w:r w:rsidR="00A41D43">
        <w:instrText xml:space="preserve"> NOTEREF _Ref201155908 \h </w:instrText>
      </w:r>
      <w:r w:rsidR="00A41D43">
        <w:fldChar w:fldCharType="separate"/>
      </w:r>
      <w:r w:rsidR="0085330E">
        <w:t>128</w:t>
      </w:r>
      <w:r w:rsidR="00A41D43">
        <w:fldChar w:fldCharType="end"/>
      </w:r>
      <w:r w:rsidR="001B560D">
        <w:t xml:space="preserve"> à la </w:t>
      </w:r>
      <w:r w:rsidR="00A079E7">
        <w:t>p</w:t>
      </w:r>
      <w:bookmarkEnd w:id="104"/>
      <w:r w:rsidR="008539C7" w:rsidRPr="008539C7">
        <w:t>13.</w:t>
      </w:r>
    </w:p>
  </w:footnote>
  <w:footnote w:id="165">
    <w:p w14:paraId="4DF92D8D" w14:textId="6990C848" w:rsidR="005A46D4" w:rsidRDefault="005A46D4" w:rsidP="000057AD">
      <w:pPr>
        <w:pStyle w:val="NotesBasPage"/>
      </w:pPr>
      <w:r w:rsidRPr="007844ED">
        <w:rPr>
          <w:rStyle w:val="Appelnotedebasdep"/>
        </w:rPr>
        <w:footnoteRef/>
      </w:r>
      <w:r w:rsidRPr="007844ED">
        <w:t xml:space="preserve"> </w:t>
      </w:r>
      <w:r w:rsidRPr="007844ED">
        <w:tab/>
      </w:r>
      <w:r w:rsidR="00D15A01">
        <w:t xml:space="preserve">Commission des droits de la personne et des droits de la jeunesse, Lettre au </w:t>
      </w:r>
      <w:r w:rsidR="00AC6EAE">
        <w:t>m</w:t>
      </w:r>
      <w:r w:rsidR="00AC6EAE" w:rsidRPr="00AC6EAE">
        <w:t>inistre responsable des Services sociaux</w:t>
      </w:r>
      <w:r w:rsidR="00AC6EAE">
        <w:t xml:space="preserve"> et au </w:t>
      </w:r>
      <w:r w:rsidR="00520FBD">
        <w:t>ministre</w:t>
      </w:r>
      <w:r w:rsidR="00AC6EAE">
        <w:t xml:space="preserve"> de la Justice ayant pour </w:t>
      </w:r>
      <w:r w:rsidR="003D7162">
        <w:t>objet</w:t>
      </w:r>
      <w:r w:rsidR="002C71EE">
        <w:t xml:space="preserve"> : </w:t>
      </w:r>
      <w:r w:rsidR="003D7162" w:rsidRPr="002C71EE">
        <w:rPr>
          <w:i/>
          <w:iCs/>
        </w:rPr>
        <w:t>Enquête de notre propre initiative concernant l’intensité de service offert avant l’atteinte des délais maximaux de placement et concernant le respect des droits des enfants dans le cadre de visites supervisées en Mauricie−Centre-du-Québec</w:t>
      </w:r>
      <w:r w:rsidR="00C21170">
        <w:t xml:space="preserve">, 2025, </w:t>
      </w:r>
      <w:r>
        <w:t>(</w:t>
      </w:r>
      <w:r w:rsidRPr="007844ED">
        <w:t>recommandation 3</w:t>
      </w:r>
      <w:r>
        <w:t>)</w:t>
      </w:r>
      <w:r w:rsidRPr="007844ED">
        <w:t>.</w:t>
      </w:r>
    </w:p>
  </w:footnote>
  <w:footnote w:id="166">
    <w:p w14:paraId="4C5CA213" w14:textId="6C005AE7" w:rsidR="00985F54" w:rsidRDefault="00985F54" w:rsidP="000057AD">
      <w:pPr>
        <w:pStyle w:val="NotesBasPage"/>
      </w:pPr>
      <w:r>
        <w:rPr>
          <w:rStyle w:val="Appelnotedebasdep"/>
        </w:rPr>
        <w:footnoteRef/>
      </w:r>
      <w:r>
        <w:t xml:space="preserve"> </w:t>
      </w:r>
      <w:r w:rsidR="009F53F3">
        <w:tab/>
      </w:r>
      <w:r w:rsidR="003B7360" w:rsidRPr="003B7360">
        <w:t xml:space="preserve">CSDEPJ, </w:t>
      </w:r>
      <w:r w:rsidR="00C21170" w:rsidRPr="00C21170">
        <w:rPr>
          <w:i/>
          <w:iCs/>
        </w:rPr>
        <w:t>supra</w:t>
      </w:r>
      <w:r w:rsidR="00C21170">
        <w:t xml:space="preserve"> note </w:t>
      </w:r>
      <w:r w:rsidR="00C21170">
        <w:fldChar w:fldCharType="begin"/>
      </w:r>
      <w:r w:rsidR="00C21170">
        <w:instrText xml:space="preserve"> NOTEREF _Ref200460822 \h </w:instrText>
      </w:r>
      <w:r w:rsidR="00C21170">
        <w:fldChar w:fldCharType="separate"/>
      </w:r>
      <w:r w:rsidR="0085330E">
        <w:t>6</w:t>
      </w:r>
      <w:r w:rsidR="00C21170">
        <w:fldChar w:fldCharType="end"/>
      </w:r>
      <w:r w:rsidR="00C21170">
        <w:t xml:space="preserve"> </w:t>
      </w:r>
      <w:r w:rsidR="003B7360" w:rsidRPr="003B7360">
        <w:t>à la p 214</w:t>
      </w:r>
      <w:r w:rsidR="00C95EDE">
        <w:t>.</w:t>
      </w:r>
    </w:p>
  </w:footnote>
  <w:footnote w:id="167">
    <w:p w14:paraId="20A2059D" w14:textId="5C56B717" w:rsidR="00985F54" w:rsidRDefault="00985F54" w:rsidP="000057AD">
      <w:pPr>
        <w:pStyle w:val="NotesBasPage"/>
      </w:pPr>
      <w:r>
        <w:rPr>
          <w:rStyle w:val="Appelnotedebasdep"/>
        </w:rPr>
        <w:footnoteRef/>
      </w:r>
      <w:r>
        <w:t xml:space="preserve"> </w:t>
      </w:r>
      <w:r w:rsidR="009F53F3">
        <w:tab/>
      </w:r>
      <w:r w:rsidR="00C21170" w:rsidRPr="00C21170">
        <w:rPr>
          <w:i/>
          <w:iCs/>
        </w:rPr>
        <w:t>Idem</w:t>
      </w:r>
      <w:r w:rsidR="00B01918" w:rsidRPr="00B01918">
        <w:t xml:space="preserve"> à la p 232</w:t>
      </w:r>
    </w:p>
  </w:footnote>
  <w:footnote w:id="168">
    <w:p w14:paraId="5FB71C81" w14:textId="699B1948" w:rsidR="00985F54" w:rsidRDefault="00985F54" w:rsidP="000057AD">
      <w:pPr>
        <w:pStyle w:val="NotesBasPage"/>
      </w:pPr>
      <w:r>
        <w:rPr>
          <w:rStyle w:val="Appelnotedebasdep"/>
        </w:rPr>
        <w:footnoteRef/>
      </w:r>
      <w:r>
        <w:t xml:space="preserve"> </w:t>
      </w:r>
      <w:r w:rsidR="009F53F3">
        <w:tab/>
      </w:r>
      <w:r w:rsidR="00C21170" w:rsidRPr="00C21170">
        <w:rPr>
          <w:i/>
          <w:iCs/>
        </w:rPr>
        <w:t>Idem</w:t>
      </w:r>
      <w:r w:rsidR="00B57F47" w:rsidRPr="00B57F47">
        <w:t xml:space="preserve"> à la p 187.</w:t>
      </w:r>
    </w:p>
  </w:footnote>
  <w:footnote w:id="169">
    <w:p w14:paraId="17C4F14D" w14:textId="0C3BF203" w:rsidR="00985F54" w:rsidRDefault="00985F54" w:rsidP="000057AD">
      <w:pPr>
        <w:pStyle w:val="NotesBasPage"/>
      </w:pPr>
      <w:r>
        <w:rPr>
          <w:rStyle w:val="Appelnotedebasdep"/>
        </w:rPr>
        <w:footnoteRef/>
      </w:r>
      <w:r>
        <w:t xml:space="preserve"> </w:t>
      </w:r>
      <w:r w:rsidR="009F53F3">
        <w:tab/>
      </w:r>
      <w:r w:rsidR="00C21170" w:rsidRPr="00C21170">
        <w:rPr>
          <w:i/>
          <w:iCs/>
        </w:rPr>
        <w:t>Idem</w:t>
      </w:r>
      <w:r w:rsidR="00973D5B" w:rsidRPr="00973D5B">
        <w:t xml:space="preserve"> à la p 232.</w:t>
      </w:r>
    </w:p>
  </w:footnote>
  <w:footnote w:id="170">
    <w:p w14:paraId="0329839D" w14:textId="7DAE3E29" w:rsidR="00985F54" w:rsidRDefault="00985F54" w:rsidP="000057AD">
      <w:pPr>
        <w:pStyle w:val="NotesBasPage"/>
      </w:pPr>
      <w:r>
        <w:rPr>
          <w:rStyle w:val="Appelnotedebasdep"/>
        </w:rPr>
        <w:footnoteRef/>
      </w:r>
      <w:r>
        <w:t xml:space="preserve"> </w:t>
      </w:r>
      <w:r w:rsidR="009F53F3">
        <w:tab/>
      </w:r>
      <w:r w:rsidR="00EC54BE" w:rsidRPr="00EC54BE">
        <w:t xml:space="preserve">Voir notamment </w:t>
      </w:r>
      <w:r w:rsidR="007355B5">
        <w:t xml:space="preserve">Commission des droits de la personne et des droits de la jeunesse, </w:t>
      </w:r>
      <w:r w:rsidR="007355B5" w:rsidRPr="004739A0">
        <w:rPr>
          <w:i/>
          <w:iCs/>
        </w:rPr>
        <w:t>Mémoire à la Commission de la santé et des services sociaux de l’Assemblée nationale - Projet de loi n° 37, Loi sur le commissaire au bien-être et aux droits des enfants</w:t>
      </w:r>
      <w:r w:rsidR="007355B5">
        <w:t xml:space="preserve">, </w:t>
      </w:r>
      <w:r w:rsidR="00F271BF">
        <w:t>Samuel Blouin et M</w:t>
      </w:r>
      <w:r w:rsidR="00F271BF" w:rsidRPr="00F271BF">
        <w:rPr>
          <w:vertAlign w:val="superscript"/>
        </w:rPr>
        <w:t>e</w:t>
      </w:r>
      <w:r w:rsidR="00F271BF">
        <w:t xml:space="preserve"> Karina Montminy, 2024, </w:t>
      </w:r>
      <w:r w:rsidR="00EC54BE">
        <w:t>aux pp</w:t>
      </w:r>
      <w:r w:rsidR="00EC54BE" w:rsidRPr="00EC54BE">
        <w:t xml:space="preserve"> 26-27.</w:t>
      </w:r>
      <w:r w:rsidR="00C14ADF">
        <w:t xml:space="preserve"> </w:t>
      </w:r>
    </w:p>
  </w:footnote>
  <w:footnote w:id="171">
    <w:p w14:paraId="6713A9E0" w14:textId="01328A2D" w:rsidR="00985F54" w:rsidRDefault="00985F54" w:rsidP="000057AD">
      <w:pPr>
        <w:pStyle w:val="NotesBasPage"/>
      </w:pPr>
      <w:r>
        <w:rPr>
          <w:rStyle w:val="Appelnotedebasdep"/>
        </w:rPr>
        <w:footnoteRef/>
      </w:r>
      <w:r>
        <w:t xml:space="preserve"> </w:t>
      </w:r>
      <w:r w:rsidR="009F53F3">
        <w:tab/>
      </w:r>
      <w:r w:rsidR="007740A2" w:rsidRPr="007740A2">
        <w:t xml:space="preserve">Comité des droits de l’enfant, </w:t>
      </w:r>
      <w:r w:rsidR="007740A2" w:rsidRPr="007740A2">
        <w:rPr>
          <w:i/>
          <w:iCs/>
        </w:rPr>
        <w:t>Observation générale n° 12 (2009) sur le droit de l’enfant d’être entendu</w:t>
      </w:r>
      <w:r w:rsidR="007740A2" w:rsidRPr="007740A2">
        <w:t>, Doc. N.U.</w:t>
      </w:r>
      <w:r w:rsidR="0046392D">
        <w:t> </w:t>
      </w:r>
      <w:r w:rsidR="007740A2" w:rsidRPr="007740A2">
        <w:t>CRC/C/GC/12, aux paras 40 et suiv.</w:t>
      </w:r>
    </w:p>
  </w:footnote>
  <w:footnote w:id="172">
    <w:p w14:paraId="7EC1A217" w14:textId="5056392C" w:rsidR="00985F54" w:rsidRDefault="00985F54" w:rsidP="000057AD">
      <w:pPr>
        <w:pStyle w:val="NotesBasPage"/>
      </w:pPr>
      <w:r>
        <w:rPr>
          <w:rStyle w:val="Appelnotedebasdep"/>
        </w:rPr>
        <w:footnoteRef/>
      </w:r>
      <w:r>
        <w:t xml:space="preserve"> </w:t>
      </w:r>
      <w:r w:rsidR="009F53F3">
        <w:tab/>
      </w:r>
      <w:r w:rsidR="001836DA" w:rsidRPr="00563FF3">
        <w:rPr>
          <w:i/>
          <w:iCs/>
        </w:rPr>
        <w:t>Idem</w:t>
      </w:r>
      <w:r w:rsidR="001836DA">
        <w:t xml:space="preserve"> au para 21.</w:t>
      </w:r>
    </w:p>
  </w:footnote>
  <w:footnote w:id="173">
    <w:p w14:paraId="308F7CD3" w14:textId="157CCD54" w:rsidR="009F53F3" w:rsidRDefault="009F53F3" w:rsidP="000057AD">
      <w:pPr>
        <w:pStyle w:val="NotesBasPage"/>
      </w:pPr>
      <w:r>
        <w:rPr>
          <w:rStyle w:val="Appelnotedebasdep"/>
        </w:rPr>
        <w:footnoteRef/>
      </w:r>
      <w:r>
        <w:t xml:space="preserve"> </w:t>
      </w:r>
      <w:r w:rsidR="001836DA">
        <w:tab/>
      </w:r>
      <w:r w:rsidR="001836DA" w:rsidRPr="00563FF3">
        <w:rPr>
          <w:i/>
          <w:iCs/>
        </w:rPr>
        <w:t>Idem</w:t>
      </w:r>
      <w:r w:rsidR="001836DA">
        <w:t xml:space="preserve"> au para </w:t>
      </w:r>
      <w:r w:rsidR="003C2271">
        <w:t>134 e).</w:t>
      </w:r>
    </w:p>
  </w:footnote>
  <w:footnote w:id="174">
    <w:p w14:paraId="63DE5732" w14:textId="411A6BFA" w:rsidR="009F53F3" w:rsidRDefault="009F53F3" w:rsidP="000057AD">
      <w:pPr>
        <w:pStyle w:val="NotesBasPage"/>
      </w:pPr>
      <w:r>
        <w:rPr>
          <w:rStyle w:val="Appelnotedebasdep"/>
        </w:rPr>
        <w:footnoteRef/>
      </w:r>
      <w:r>
        <w:t xml:space="preserve"> </w:t>
      </w:r>
      <w:r w:rsidR="00563FF3">
        <w:tab/>
      </w:r>
      <w:r w:rsidR="00620930">
        <w:t xml:space="preserve">Chaire </w:t>
      </w:r>
      <w:r w:rsidR="003D3A9C">
        <w:t xml:space="preserve">– Réseau </w:t>
      </w:r>
      <w:r w:rsidR="00620930">
        <w:t xml:space="preserve">de recherche </w:t>
      </w:r>
      <w:r w:rsidR="003D3A9C">
        <w:t>sur la jeunesse du Québec</w:t>
      </w:r>
      <w:r w:rsidR="00620930">
        <w:t xml:space="preserve">, </w:t>
      </w:r>
      <w:r w:rsidR="00A6284B" w:rsidRPr="003D3A9C">
        <w:rPr>
          <w:i/>
          <w:iCs/>
        </w:rPr>
        <w:t>s</w:t>
      </w:r>
      <w:r w:rsidR="00620930" w:rsidRPr="003D3A9C">
        <w:rPr>
          <w:i/>
          <w:iCs/>
        </w:rPr>
        <w:t>upra</w:t>
      </w:r>
      <w:r w:rsidR="00620930">
        <w:t xml:space="preserve"> note</w:t>
      </w:r>
      <w:r w:rsidR="003D3A9C">
        <w:t xml:space="preserve"> </w:t>
      </w:r>
      <w:r w:rsidR="00620930">
        <w:fldChar w:fldCharType="begin"/>
      </w:r>
      <w:r w:rsidR="00620930">
        <w:instrText xml:space="preserve"> NOTEREF _Ref201323447 \h </w:instrText>
      </w:r>
      <w:r w:rsidR="00620930">
        <w:fldChar w:fldCharType="separate"/>
      </w:r>
      <w:r w:rsidR="0085330E">
        <w:t>49</w:t>
      </w:r>
      <w:r w:rsidR="00620930">
        <w:fldChar w:fldCharType="end"/>
      </w:r>
      <w:r w:rsidR="00A6284B">
        <w:t xml:space="preserve"> aux pp </w:t>
      </w:r>
      <w:r w:rsidR="00DE2D9B">
        <w:t>81 et suiv.</w:t>
      </w:r>
    </w:p>
  </w:footnote>
  <w:footnote w:id="175">
    <w:p w14:paraId="6F219BDE" w14:textId="690FCC4C" w:rsidR="00E922D9" w:rsidRDefault="00E922D9" w:rsidP="000057AD">
      <w:pPr>
        <w:pStyle w:val="NotesBasPage"/>
      </w:pPr>
      <w:r>
        <w:rPr>
          <w:rStyle w:val="Appelnotedebasdep"/>
        </w:rPr>
        <w:footnoteRef/>
      </w:r>
      <w:r>
        <w:t xml:space="preserve"> </w:t>
      </w:r>
      <w:r w:rsidR="00F82A30">
        <w:tab/>
      </w:r>
      <w:r w:rsidR="004B36E5" w:rsidRPr="004B36E5">
        <w:t>CSDEPJ</w:t>
      </w:r>
      <w:r w:rsidR="004B36E5">
        <w:t xml:space="preserve">, </w:t>
      </w:r>
      <w:r w:rsidR="004B36E5" w:rsidRPr="00630B95">
        <w:rPr>
          <w:i/>
          <w:iCs/>
        </w:rPr>
        <w:t>supra</w:t>
      </w:r>
      <w:r w:rsidR="004B36E5" w:rsidRPr="00630B95">
        <w:t xml:space="preserve"> note </w:t>
      </w:r>
      <w:r w:rsidR="004B36E5" w:rsidRPr="00630B95">
        <w:fldChar w:fldCharType="begin"/>
      </w:r>
      <w:r w:rsidR="004B36E5" w:rsidRPr="00630B95">
        <w:instrText xml:space="preserve"> NOTEREF _Ref200460822 \h </w:instrText>
      </w:r>
      <w:r w:rsidR="00630B95">
        <w:instrText xml:space="preserve"> \* MERGEFORMAT </w:instrText>
      </w:r>
      <w:r w:rsidR="004B36E5" w:rsidRPr="00630B95">
        <w:fldChar w:fldCharType="separate"/>
      </w:r>
      <w:r w:rsidR="0085330E">
        <w:t>6</w:t>
      </w:r>
      <w:r w:rsidR="004B36E5" w:rsidRPr="00630B95">
        <w:fldChar w:fldCharType="end"/>
      </w:r>
      <w:r w:rsidR="004B36E5" w:rsidRPr="00630B95">
        <w:t xml:space="preserve"> aux</w:t>
      </w:r>
      <w:r w:rsidR="00F82A30" w:rsidRPr="00630B95">
        <w:t xml:space="preserve"> </w:t>
      </w:r>
      <w:r w:rsidR="00563FF3" w:rsidRPr="00630B95">
        <w:t>pp</w:t>
      </w:r>
      <w:r w:rsidR="00F82A30" w:rsidRPr="00630B95">
        <w:t xml:space="preserve"> 230</w:t>
      </w:r>
      <w:r w:rsidR="00563FF3" w:rsidRPr="00630B95">
        <w:t xml:space="preserve"> et </w:t>
      </w:r>
      <w:r w:rsidR="00F82A30" w:rsidRPr="00630B95">
        <w:t>231</w:t>
      </w:r>
      <w:r w:rsidR="00630B95" w:rsidRPr="00630B95">
        <w:t>.</w:t>
      </w:r>
    </w:p>
  </w:footnote>
  <w:footnote w:id="176">
    <w:p w14:paraId="49872339" w14:textId="6836B45A" w:rsidR="00C5658C" w:rsidRDefault="00C5658C" w:rsidP="000057AD">
      <w:pPr>
        <w:pStyle w:val="NotesBasPage"/>
      </w:pPr>
      <w:r>
        <w:rPr>
          <w:rStyle w:val="Appelnotedebasdep"/>
        </w:rPr>
        <w:footnoteRef/>
      </w:r>
      <w:r>
        <w:t xml:space="preserve"> </w:t>
      </w:r>
      <w:r w:rsidR="00D22938">
        <w:tab/>
      </w:r>
      <w:r w:rsidR="00B45042" w:rsidRPr="00B45042">
        <w:t>Comité des droits de l’enfant</w:t>
      </w:r>
      <w:r w:rsidR="00B45042" w:rsidRPr="004B36E5">
        <w:t xml:space="preserve">, </w:t>
      </w:r>
      <w:r w:rsidR="00B45042" w:rsidRPr="00D07109">
        <w:rPr>
          <w:i/>
          <w:iCs/>
        </w:rPr>
        <w:t>supra</w:t>
      </w:r>
      <w:r w:rsidR="00B45042" w:rsidRPr="004B36E5">
        <w:t xml:space="preserve"> note </w:t>
      </w:r>
      <w:r w:rsidR="00B45042" w:rsidRPr="004B36E5">
        <w:fldChar w:fldCharType="begin"/>
      </w:r>
      <w:r w:rsidR="00B45042" w:rsidRPr="004B36E5">
        <w:instrText xml:space="preserve"> NOTEREF _Ref200548792 \h </w:instrText>
      </w:r>
      <w:r w:rsidR="000057AD">
        <w:instrText xml:space="preserve"> \* MERGEFORMAT </w:instrText>
      </w:r>
      <w:r w:rsidR="00B45042" w:rsidRPr="004B36E5">
        <w:fldChar w:fldCharType="separate"/>
      </w:r>
      <w:r w:rsidR="0085330E">
        <w:t>170</w:t>
      </w:r>
      <w:r w:rsidR="00B45042" w:rsidRPr="004B36E5">
        <w:fldChar w:fldCharType="end"/>
      </w:r>
      <w:r w:rsidR="00B45042" w:rsidRPr="004B36E5">
        <w:t xml:space="preserve"> aux paras</w:t>
      </w:r>
      <w:r w:rsidR="00B45042" w:rsidRPr="00B45042">
        <w:t xml:space="preserve"> 32 et 36</w:t>
      </w:r>
      <w:r w:rsidR="00D16B99">
        <w:rPr>
          <w:rFonts w:ascii="Arial" w:hAnsi="Arial" w:cs="Arial"/>
        </w:rPr>
        <w:t> </w:t>
      </w:r>
      <w:r w:rsidR="00B45042">
        <w:t>; B</w:t>
      </w:r>
      <w:r w:rsidR="00B45042" w:rsidRPr="00B45042">
        <w:t xml:space="preserve">arreau du Québec, </w:t>
      </w:r>
      <w:r w:rsidR="00B45042" w:rsidRPr="00B45042">
        <w:rPr>
          <w:i/>
          <w:iCs/>
        </w:rPr>
        <w:t>Mémoire La représentation des enfants par avocat dix ans plus tard</w:t>
      </w:r>
      <w:r w:rsidR="00B45042" w:rsidRPr="00B45042">
        <w:t xml:space="preserve">, 2006, recommandation 35, </w:t>
      </w:r>
      <w:r w:rsidR="00B45042">
        <w:t>e</w:t>
      </w:r>
      <w:r w:rsidR="00B45042" w:rsidRPr="00B45042">
        <w:t>n lign</w:t>
      </w:r>
      <w:r w:rsidR="00B45042">
        <w:t xml:space="preserve">e : </w:t>
      </w:r>
      <w:hyperlink r:id="rId18" w:history="1">
        <w:r w:rsidR="00923ACF" w:rsidRPr="00CF5482">
          <w:rPr>
            <w:rStyle w:val="Lienhypertexte"/>
          </w:rPr>
          <w:t>https://collections.banq.qc.ca/ark:/52327/bs61009</w:t>
        </w:r>
      </w:hyperlink>
      <w:r w:rsidR="00B45042" w:rsidRPr="00B45042">
        <w:t>.</w:t>
      </w:r>
    </w:p>
  </w:footnote>
  <w:footnote w:id="177">
    <w:p w14:paraId="14BED344" w14:textId="5BDC6B12" w:rsidR="00E922D9" w:rsidRDefault="00E922D9" w:rsidP="000057AD">
      <w:pPr>
        <w:pStyle w:val="NotesBasPage"/>
      </w:pPr>
      <w:r>
        <w:rPr>
          <w:rStyle w:val="Appelnotedebasdep"/>
        </w:rPr>
        <w:footnoteRef/>
      </w:r>
      <w:r>
        <w:t xml:space="preserve"> </w:t>
      </w:r>
      <w:r w:rsidR="00D22938">
        <w:tab/>
      </w:r>
      <w:r w:rsidR="003A7EB5" w:rsidRPr="003A7EB5">
        <w:rPr>
          <w:i/>
          <w:iCs/>
        </w:rPr>
        <w:t>Idem</w:t>
      </w:r>
      <w:r w:rsidR="00690D9E">
        <w:t xml:space="preserve"> (recommandation 36).</w:t>
      </w:r>
    </w:p>
  </w:footnote>
  <w:footnote w:id="178">
    <w:p w14:paraId="134115B8" w14:textId="5FE8F8F2" w:rsidR="00C5658C" w:rsidRDefault="00C5658C" w:rsidP="000057AD">
      <w:pPr>
        <w:pStyle w:val="NotesBasPage"/>
      </w:pPr>
      <w:r>
        <w:rPr>
          <w:rStyle w:val="Appelnotedebasdep"/>
        </w:rPr>
        <w:footnoteRef/>
      </w:r>
      <w:r>
        <w:t xml:space="preserve"> </w:t>
      </w:r>
      <w:r w:rsidR="00D22938">
        <w:tab/>
      </w:r>
      <w:r w:rsidR="00386A90" w:rsidRPr="00386A90">
        <w:t>CSDEPJ,</w:t>
      </w:r>
      <w:r w:rsidR="009A0853">
        <w:t xml:space="preserve"> </w:t>
      </w:r>
      <w:r w:rsidR="009A0853" w:rsidRPr="00B66790">
        <w:rPr>
          <w:i/>
        </w:rPr>
        <w:t>supra</w:t>
      </w:r>
      <w:r w:rsidR="009A0853">
        <w:t xml:space="preserve"> note </w:t>
      </w:r>
      <w:r w:rsidR="009A0853">
        <w:fldChar w:fldCharType="begin"/>
      </w:r>
      <w:r w:rsidR="009A0853">
        <w:instrText xml:space="preserve"> NOTEREF _Ref200460822 \h </w:instrText>
      </w:r>
      <w:r w:rsidR="009A0853">
        <w:fldChar w:fldCharType="separate"/>
      </w:r>
      <w:r w:rsidR="0085330E">
        <w:t>6</w:t>
      </w:r>
      <w:r w:rsidR="009A0853">
        <w:fldChar w:fldCharType="end"/>
      </w:r>
      <w:r w:rsidR="00386A90" w:rsidRPr="00386A90">
        <w:t xml:space="preserve"> à la p 236</w:t>
      </w:r>
      <w:r w:rsidR="00386A90">
        <w:t>.</w:t>
      </w:r>
    </w:p>
  </w:footnote>
  <w:footnote w:id="179">
    <w:p w14:paraId="1C150B8F" w14:textId="2C237E34" w:rsidR="00C5658C" w:rsidRDefault="00C5658C" w:rsidP="000057AD">
      <w:pPr>
        <w:pStyle w:val="NotesBasPage"/>
      </w:pPr>
      <w:r>
        <w:rPr>
          <w:rStyle w:val="Appelnotedebasdep"/>
        </w:rPr>
        <w:footnoteRef/>
      </w:r>
      <w:r>
        <w:t xml:space="preserve"> </w:t>
      </w:r>
      <w:r w:rsidR="00D22938">
        <w:tab/>
      </w:r>
      <w:r w:rsidR="009A0853" w:rsidRPr="009A0853">
        <w:rPr>
          <w:i/>
          <w:iCs/>
        </w:rPr>
        <w:t>Idem</w:t>
      </w:r>
      <w:r w:rsidR="007707E8" w:rsidRPr="007707E8">
        <w:t xml:space="preserve"> à la p 240</w:t>
      </w:r>
      <w:r w:rsidR="007707E8">
        <w:t>.</w:t>
      </w:r>
    </w:p>
  </w:footnote>
  <w:footnote w:id="180">
    <w:p w14:paraId="42BEDA06" w14:textId="5BC28932" w:rsidR="000B00B0" w:rsidRDefault="000B00B0" w:rsidP="000057AD">
      <w:pPr>
        <w:pStyle w:val="NotesBasPage"/>
      </w:pPr>
      <w:r>
        <w:rPr>
          <w:rStyle w:val="Appelnotedebasdep"/>
        </w:rPr>
        <w:footnoteRef/>
      </w:r>
      <w:r>
        <w:t xml:space="preserve"> </w:t>
      </w:r>
      <w:r w:rsidR="007707E8">
        <w:tab/>
      </w:r>
      <w:r w:rsidR="009A0853" w:rsidRPr="009A0853">
        <w:rPr>
          <w:i/>
          <w:iCs/>
        </w:rPr>
        <w:t>Idem</w:t>
      </w:r>
      <w:r w:rsidR="006565E5" w:rsidRPr="006565E5">
        <w:t xml:space="preserve"> </w:t>
      </w:r>
      <w:r w:rsidR="006565E5">
        <w:t>à la p</w:t>
      </w:r>
      <w:r w:rsidR="006565E5" w:rsidRPr="006565E5">
        <w:t xml:space="preserve"> 236</w:t>
      </w:r>
    </w:p>
  </w:footnote>
  <w:footnote w:id="181">
    <w:p w14:paraId="0AE9789D" w14:textId="5B601EA2" w:rsidR="000B00B0" w:rsidRDefault="000B00B0" w:rsidP="000057AD">
      <w:pPr>
        <w:pStyle w:val="NotesBasPage"/>
      </w:pPr>
      <w:r>
        <w:rPr>
          <w:rStyle w:val="Appelnotedebasdep"/>
        </w:rPr>
        <w:footnoteRef/>
      </w:r>
      <w:r>
        <w:t xml:space="preserve"> </w:t>
      </w:r>
      <w:r w:rsidR="007707E8">
        <w:tab/>
      </w:r>
      <w:r w:rsidR="009A0853" w:rsidRPr="009A0853">
        <w:rPr>
          <w:i/>
          <w:iCs/>
        </w:rPr>
        <w:t>Idem</w:t>
      </w:r>
      <w:r w:rsidR="009A0853">
        <w:t xml:space="preserve"> </w:t>
      </w:r>
      <w:r w:rsidR="001B3D0E">
        <w:t>à la p</w:t>
      </w:r>
      <w:r w:rsidR="001B3D0E" w:rsidRPr="001B3D0E">
        <w:t xml:space="preserve"> 237.</w:t>
      </w:r>
    </w:p>
  </w:footnote>
  <w:footnote w:id="182">
    <w:p w14:paraId="342F48E1" w14:textId="1EECB546" w:rsidR="00D22938" w:rsidRDefault="00D22938" w:rsidP="000057AD">
      <w:pPr>
        <w:pStyle w:val="NotesBasPage"/>
      </w:pPr>
      <w:r>
        <w:rPr>
          <w:rStyle w:val="Appelnotedebasdep"/>
        </w:rPr>
        <w:footnoteRef/>
      </w:r>
      <w:r>
        <w:t xml:space="preserve"> </w:t>
      </w:r>
      <w:r w:rsidR="007707E8">
        <w:tab/>
      </w:r>
      <w:r w:rsidR="009C4076" w:rsidRPr="008539C7">
        <w:t>TRAJUD,</w:t>
      </w:r>
      <w:r w:rsidR="009C4076">
        <w:t xml:space="preserve"> </w:t>
      </w:r>
      <w:r w:rsidR="009C4076" w:rsidRPr="009C4076">
        <w:rPr>
          <w:i/>
          <w:iCs/>
        </w:rPr>
        <w:t>supra</w:t>
      </w:r>
      <w:r w:rsidR="009C4076">
        <w:t xml:space="preserve"> note </w:t>
      </w:r>
      <w:r w:rsidR="004B0B11">
        <w:fldChar w:fldCharType="begin"/>
      </w:r>
      <w:r w:rsidR="004B0B11">
        <w:instrText xml:space="preserve"> NOTEREF _Ref201155908 \h </w:instrText>
      </w:r>
      <w:r w:rsidR="004B0B11">
        <w:fldChar w:fldCharType="separate"/>
      </w:r>
      <w:r w:rsidR="0085330E">
        <w:t>128</w:t>
      </w:r>
      <w:r w:rsidR="004B0B11">
        <w:fldChar w:fldCharType="end"/>
      </w:r>
      <w:r w:rsidR="009C4076">
        <w:t xml:space="preserve"> à la p</w:t>
      </w:r>
      <w:r w:rsidR="009C4076" w:rsidRPr="009C4076">
        <w:t xml:space="preserve"> 83.</w:t>
      </w:r>
    </w:p>
  </w:footnote>
  <w:footnote w:id="183">
    <w:p w14:paraId="4D90E343" w14:textId="7B1FA174" w:rsidR="000A0072" w:rsidRPr="00207754" w:rsidRDefault="000A0072" w:rsidP="000057AD">
      <w:pPr>
        <w:pStyle w:val="NotesBasPage"/>
      </w:pPr>
      <w:r>
        <w:rPr>
          <w:rStyle w:val="Appelnotedebasdep"/>
        </w:rPr>
        <w:footnoteRef/>
      </w:r>
      <w:r>
        <w:t xml:space="preserve"> </w:t>
      </w:r>
      <w:r>
        <w:tab/>
        <w:t>CSDEPJ</w:t>
      </w:r>
      <w:r w:rsidRPr="002252D5">
        <w:t xml:space="preserve">, </w:t>
      </w:r>
      <w:r w:rsidR="009A0853" w:rsidRPr="009A0853">
        <w:rPr>
          <w:i/>
          <w:iCs/>
        </w:rPr>
        <w:t>supra</w:t>
      </w:r>
      <w:r w:rsidR="009A0853">
        <w:t xml:space="preserve"> note </w:t>
      </w:r>
      <w:r w:rsidR="009A0853">
        <w:fldChar w:fldCharType="begin"/>
      </w:r>
      <w:r w:rsidR="009A0853">
        <w:instrText xml:space="preserve"> NOTEREF _Ref200460822 \h </w:instrText>
      </w:r>
      <w:r w:rsidR="009A0853">
        <w:fldChar w:fldCharType="separate"/>
      </w:r>
      <w:r w:rsidR="0085330E">
        <w:t>6</w:t>
      </w:r>
      <w:r w:rsidR="009A0853">
        <w:fldChar w:fldCharType="end"/>
      </w:r>
      <w:r w:rsidR="009A0853">
        <w:t xml:space="preserve"> </w:t>
      </w:r>
      <w:r>
        <w:t>à la</w:t>
      </w:r>
      <w:r w:rsidRPr="002252D5">
        <w:t xml:space="preserve"> p </w:t>
      </w:r>
      <w:r w:rsidRPr="00207754">
        <w:t>190.</w:t>
      </w:r>
    </w:p>
  </w:footnote>
  <w:footnote w:id="184">
    <w:p w14:paraId="4A6B6B96" w14:textId="1D593999" w:rsidR="000A0072" w:rsidRDefault="000A0072" w:rsidP="000057AD">
      <w:pPr>
        <w:pStyle w:val="NotesBasPage"/>
      </w:pPr>
      <w:r>
        <w:rPr>
          <w:rStyle w:val="Appelnotedebasdep"/>
        </w:rPr>
        <w:footnoteRef/>
      </w:r>
      <w:r>
        <w:t xml:space="preserve">  </w:t>
      </w:r>
      <w:r w:rsidRPr="0072157B">
        <w:tab/>
      </w:r>
      <w:bookmarkStart w:id="111" w:name="_Hlk200549442"/>
      <w:r>
        <w:t xml:space="preserve">Commission des droits de la personne et des droits de la jeunesse, </w:t>
      </w:r>
      <w:r w:rsidRPr="000A0072">
        <w:rPr>
          <w:i/>
          <w:iCs/>
        </w:rPr>
        <w:t>supra</w:t>
      </w:r>
      <w:r>
        <w:t xml:space="preserve"> note </w:t>
      </w:r>
      <w:bookmarkEnd w:id="111"/>
      <w:r w:rsidR="00872BEB">
        <w:fldChar w:fldCharType="begin"/>
      </w:r>
      <w:r w:rsidR="00872BEB">
        <w:instrText xml:space="preserve"> NOTEREF _Ref201069813 \h </w:instrText>
      </w:r>
      <w:r w:rsidR="00872BEB">
        <w:fldChar w:fldCharType="separate"/>
      </w:r>
      <w:r w:rsidR="0085330E">
        <w:t>91</w:t>
      </w:r>
      <w:r w:rsidR="00872BEB">
        <w:fldChar w:fldCharType="end"/>
      </w:r>
      <w:r w:rsidR="00A818A1">
        <w:t>.</w:t>
      </w:r>
    </w:p>
  </w:footnote>
  <w:footnote w:id="185">
    <w:p w14:paraId="160B4910" w14:textId="31A4B3A6" w:rsidR="000A0072" w:rsidRPr="0072157B" w:rsidRDefault="000A0072" w:rsidP="000057AD">
      <w:pPr>
        <w:pStyle w:val="NotesBasPage"/>
      </w:pPr>
      <w:r w:rsidRPr="0072157B">
        <w:rPr>
          <w:rStyle w:val="Appelnotedebasdep"/>
        </w:rPr>
        <w:footnoteRef/>
      </w:r>
      <w:r w:rsidRPr="0072157B">
        <w:t xml:space="preserve"> </w:t>
      </w:r>
      <w:r>
        <w:tab/>
        <w:t xml:space="preserve">Commission des droits de la personne et des droits de la jeunesse, </w:t>
      </w:r>
      <w:r w:rsidRPr="000A0072">
        <w:rPr>
          <w:i/>
          <w:iCs/>
        </w:rPr>
        <w:t>supra</w:t>
      </w:r>
      <w:r>
        <w:t xml:space="preserve"> note </w:t>
      </w:r>
      <w:r w:rsidR="00444F7F">
        <w:fldChar w:fldCharType="begin"/>
      </w:r>
      <w:r w:rsidR="00444F7F">
        <w:instrText xml:space="preserve"> NOTEREF _Ref200549359 \h </w:instrText>
      </w:r>
      <w:r w:rsidR="00444F7F">
        <w:fldChar w:fldCharType="separate"/>
      </w:r>
      <w:r w:rsidR="0085330E">
        <w:t>164</w:t>
      </w:r>
      <w:r w:rsidR="00444F7F">
        <w:fldChar w:fldCharType="end"/>
      </w:r>
      <w:r w:rsidR="00923B9B">
        <w:t>.</w:t>
      </w:r>
    </w:p>
  </w:footnote>
  <w:footnote w:id="186">
    <w:p w14:paraId="75B95519" w14:textId="2F67C1CD" w:rsidR="00540905" w:rsidRDefault="00540905" w:rsidP="00540905">
      <w:pPr>
        <w:pStyle w:val="NotesBasPage"/>
      </w:pPr>
      <w:r>
        <w:rPr>
          <w:rStyle w:val="Appelnotedebasdep"/>
        </w:rPr>
        <w:footnoteRef/>
      </w:r>
      <w:r>
        <w:t xml:space="preserve"> </w:t>
      </w:r>
      <w:r>
        <w:tab/>
        <w:t xml:space="preserve">Commission des droits de la personne et des droits de la jeunesse, </w:t>
      </w:r>
      <w:r w:rsidRPr="000A0072">
        <w:rPr>
          <w:i/>
          <w:iCs/>
        </w:rPr>
        <w:t>supra</w:t>
      </w:r>
      <w:r>
        <w:t xml:space="preserve"> not</w:t>
      </w:r>
      <w:r w:rsidRPr="005B5A8E">
        <w:t xml:space="preserve">e </w:t>
      </w:r>
      <w:r w:rsidR="005B5A8E" w:rsidRPr="005B5A8E">
        <w:fldChar w:fldCharType="begin"/>
      </w:r>
      <w:r w:rsidR="005B5A8E" w:rsidRPr="005B5A8E">
        <w:instrText xml:space="preserve"> NOTEREF _Ref201069813 \h </w:instrText>
      </w:r>
      <w:r w:rsidR="005B5A8E">
        <w:instrText xml:space="preserve"> \* MERGEFORMAT </w:instrText>
      </w:r>
      <w:r w:rsidR="005B5A8E" w:rsidRPr="005B5A8E">
        <w:fldChar w:fldCharType="separate"/>
      </w:r>
      <w:r w:rsidR="0085330E">
        <w:t>91</w:t>
      </w:r>
      <w:r w:rsidR="005B5A8E" w:rsidRPr="005B5A8E">
        <w:fldChar w:fldCharType="end"/>
      </w:r>
      <w:r>
        <w:t xml:space="preserve"> (recommandation 6).</w:t>
      </w:r>
    </w:p>
  </w:footnote>
  <w:footnote w:id="187">
    <w:p w14:paraId="49FEB00C" w14:textId="404D7B9A" w:rsidR="000A0072" w:rsidRDefault="000A0072" w:rsidP="000057AD">
      <w:pPr>
        <w:pStyle w:val="NotesBasPage"/>
      </w:pPr>
      <w:r>
        <w:rPr>
          <w:rStyle w:val="Appelnotedebasdep"/>
        </w:rPr>
        <w:footnoteRef/>
      </w:r>
      <w:r>
        <w:t xml:space="preserve"> </w:t>
      </w:r>
      <w:r>
        <w:tab/>
      </w:r>
      <w:r w:rsidR="009A0853">
        <w:t>CSDEPJ</w:t>
      </w:r>
      <w:r w:rsidR="009A0853" w:rsidRPr="002252D5">
        <w:t xml:space="preserve">, </w:t>
      </w:r>
      <w:r w:rsidR="009A0853" w:rsidRPr="009A0853">
        <w:rPr>
          <w:i/>
          <w:iCs/>
        </w:rPr>
        <w:t>supra</w:t>
      </w:r>
      <w:r w:rsidR="009A0853">
        <w:t xml:space="preserve"> note </w:t>
      </w:r>
      <w:r w:rsidR="009A0853">
        <w:fldChar w:fldCharType="begin"/>
      </w:r>
      <w:r w:rsidR="009A0853">
        <w:instrText xml:space="preserve"> NOTEREF _Ref200460822 \h </w:instrText>
      </w:r>
      <w:r w:rsidR="009A0853">
        <w:fldChar w:fldCharType="separate"/>
      </w:r>
      <w:r w:rsidR="0085330E">
        <w:t>6</w:t>
      </w:r>
      <w:r w:rsidR="009A0853">
        <w:fldChar w:fldCharType="end"/>
      </w:r>
      <w:r w:rsidR="009A0853">
        <w:t xml:space="preserve"> </w:t>
      </w:r>
      <w:r w:rsidR="00923B9B">
        <w:t>à la p</w:t>
      </w:r>
      <w:r w:rsidRPr="00B454C7">
        <w:t xml:space="preserve"> 370.</w:t>
      </w:r>
    </w:p>
  </w:footnote>
  <w:footnote w:id="188">
    <w:p w14:paraId="4AB48FE7" w14:textId="1362EA8F" w:rsidR="000A0072" w:rsidRDefault="000A0072" w:rsidP="000057AD">
      <w:pPr>
        <w:pStyle w:val="NotesBasPage"/>
      </w:pPr>
      <w:r>
        <w:rPr>
          <w:rStyle w:val="Appelnotedebasdep"/>
        </w:rPr>
        <w:footnoteRef/>
      </w:r>
      <w:r>
        <w:t xml:space="preserve"> </w:t>
      </w:r>
      <w:r w:rsidR="00923B9B">
        <w:tab/>
      </w:r>
      <w:r w:rsidRPr="00923B9B">
        <w:rPr>
          <w:i/>
          <w:iCs/>
        </w:rPr>
        <w:t>Idem</w:t>
      </w:r>
      <w:r>
        <w:t>.</w:t>
      </w:r>
    </w:p>
  </w:footnote>
  <w:footnote w:id="189">
    <w:p w14:paraId="0C017F11" w14:textId="289F6D56" w:rsidR="000A0072" w:rsidRPr="00C1746D" w:rsidRDefault="000A0072" w:rsidP="000057AD">
      <w:pPr>
        <w:pStyle w:val="NotesBasPage"/>
      </w:pPr>
      <w:r w:rsidRPr="00C1746D">
        <w:rPr>
          <w:rStyle w:val="Appelnotedebasdep"/>
        </w:rPr>
        <w:footnoteRef/>
      </w:r>
      <w:r w:rsidRPr="00C1746D">
        <w:t xml:space="preserve"> </w:t>
      </w:r>
      <w:r w:rsidR="00923B9B">
        <w:tab/>
      </w:r>
      <w:r w:rsidRPr="00C1746D">
        <w:t>Rapport 156.1</w:t>
      </w:r>
      <w:r w:rsidR="00322ADA">
        <w:t> </w:t>
      </w:r>
      <w:r w:rsidRPr="00C1746D">
        <w:t>LPJ</w:t>
      </w:r>
      <w:r>
        <w:t xml:space="preserve"> 2020</w:t>
      </w:r>
      <w:r w:rsidRPr="00C1746D">
        <w:t xml:space="preserve">, </w:t>
      </w:r>
      <w:r>
        <w:t>constat n</w:t>
      </w:r>
      <w:r w:rsidRPr="00C1746D">
        <w:rPr>
          <w:vertAlign w:val="superscript"/>
        </w:rPr>
        <w:t xml:space="preserve">o </w:t>
      </w:r>
      <w:r>
        <w:t>23.</w:t>
      </w:r>
    </w:p>
  </w:footnote>
  <w:footnote w:id="190">
    <w:p w14:paraId="3074631A" w14:textId="5E11100B" w:rsidR="000A0072" w:rsidRDefault="000A0072" w:rsidP="000057AD">
      <w:pPr>
        <w:pStyle w:val="NotesBasPage"/>
      </w:pPr>
      <w:r>
        <w:rPr>
          <w:rStyle w:val="Appelnotedebasdep"/>
        </w:rPr>
        <w:footnoteRef/>
      </w:r>
      <w:r>
        <w:t xml:space="preserve"> </w:t>
      </w:r>
      <w:r w:rsidR="00923B9B">
        <w:tab/>
      </w:r>
      <w:r w:rsidRPr="00923B9B">
        <w:rPr>
          <w:i/>
          <w:iCs/>
        </w:rPr>
        <w:t>Idem</w:t>
      </w:r>
      <w:r w:rsidRPr="00C1746D">
        <w:t>, recommandation 9.</w:t>
      </w:r>
    </w:p>
  </w:footnote>
  <w:footnote w:id="191">
    <w:p w14:paraId="414AC857" w14:textId="3F027F9C" w:rsidR="000A0072" w:rsidRDefault="000A0072" w:rsidP="000057AD">
      <w:pPr>
        <w:pStyle w:val="NotesBasPage"/>
      </w:pPr>
      <w:r>
        <w:rPr>
          <w:rStyle w:val="Appelnotedebasdep"/>
        </w:rPr>
        <w:footnoteRef/>
      </w:r>
      <w:r>
        <w:t xml:space="preserve"> </w:t>
      </w:r>
      <w:r w:rsidR="00923B9B">
        <w:tab/>
      </w:r>
      <w:r w:rsidR="00923B9B" w:rsidRPr="008539C7">
        <w:t>TRAJUD,</w:t>
      </w:r>
      <w:r w:rsidR="00923B9B">
        <w:t xml:space="preserve"> </w:t>
      </w:r>
      <w:r w:rsidR="00B66790" w:rsidRPr="00B66790">
        <w:rPr>
          <w:i/>
          <w:iCs/>
        </w:rPr>
        <w:t>supra</w:t>
      </w:r>
      <w:r w:rsidR="00923B9B">
        <w:t xml:space="preserve"> note </w:t>
      </w:r>
      <w:r w:rsidR="00ED20C7">
        <w:fldChar w:fldCharType="begin"/>
      </w:r>
      <w:r w:rsidR="00ED20C7">
        <w:instrText xml:space="preserve"> NOTEREF _Ref201155908 \h </w:instrText>
      </w:r>
      <w:r w:rsidR="00ED20C7">
        <w:fldChar w:fldCharType="separate"/>
      </w:r>
      <w:r w:rsidR="0085330E">
        <w:t>128</w:t>
      </w:r>
      <w:r w:rsidR="00ED20C7">
        <w:fldChar w:fldCharType="end"/>
      </w:r>
      <w:r w:rsidR="00923B9B">
        <w:t xml:space="preserve"> à la </w:t>
      </w:r>
      <w:r>
        <w:t>p 85.</w:t>
      </w:r>
    </w:p>
  </w:footnote>
  <w:footnote w:id="192">
    <w:p w14:paraId="6CF48227" w14:textId="025B5E9C" w:rsidR="000A0072" w:rsidRPr="009F5F90" w:rsidRDefault="000A0072" w:rsidP="000057AD">
      <w:pPr>
        <w:pStyle w:val="NotesBasPage"/>
        <w:rPr>
          <w:lang w:val="fr-FR"/>
        </w:rPr>
      </w:pPr>
      <w:r>
        <w:rPr>
          <w:rStyle w:val="Appelnotedebasdep"/>
        </w:rPr>
        <w:footnoteRef/>
      </w:r>
      <w:r>
        <w:t xml:space="preserve"> </w:t>
      </w:r>
      <w:r w:rsidR="00923B9B">
        <w:tab/>
      </w:r>
      <w:r w:rsidR="009A46B2">
        <w:t xml:space="preserve">Commission des droits de la personne et des droits de la jeunesse, </w:t>
      </w:r>
      <w:r w:rsidR="000200CF" w:rsidRPr="007B6379">
        <w:rPr>
          <w:i/>
          <w:iCs/>
        </w:rPr>
        <w:t>Orientations pour les enfants et les jeunes pris en charge par le système de protection de la jeunesse ou assujettis au système de justice pénale pour les adolescents</w:t>
      </w:r>
      <w:r w:rsidR="00B44D24">
        <w:t xml:space="preserve">, 2022, </w:t>
      </w:r>
      <w:r w:rsidR="009A46B2">
        <w:t>(</w:t>
      </w:r>
      <w:r w:rsidRPr="009F5F90">
        <w:t>orientation 2</w:t>
      </w:r>
      <w:r w:rsidR="009A46B2">
        <w:t>)</w:t>
      </w:r>
      <w:r w:rsidRPr="009F5F90">
        <w:t>.</w:t>
      </w:r>
    </w:p>
  </w:footnote>
  <w:footnote w:id="193">
    <w:p w14:paraId="7B31F61E" w14:textId="6992BCC7" w:rsidR="000A0072" w:rsidRDefault="000A0072" w:rsidP="000057AD">
      <w:pPr>
        <w:pStyle w:val="NotesBasPage"/>
      </w:pPr>
      <w:r>
        <w:rPr>
          <w:rStyle w:val="Appelnotedebasdep"/>
        </w:rPr>
        <w:footnoteRef/>
      </w:r>
      <w:r>
        <w:t xml:space="preserve"> </w:t>
      </w:r>
      <w:r w:rsidR="00637EA9">
        <w:tab/>
      </w:r>
      <w:r w:rsidR="00607D82">
        <w:t>CSDEPJ</w:t>
      </w:r>
      <w:r w:rsidR="00607D82" w:rsidRPr="002252D5">
        <w:t xml:space="preserve">, </w:t>
      </w:r>
      <w:r w:rsidR="00607D82" w:rsidRPr="009A0853">
        <w:rPr>
          <w:i/>
          <w:iCs/>
        </w:rPr>
        <w:t>supra</w:t>
      </w:r>
      <w:r w:rsidR="00607D82">
        <w:t xml:space="preserve"> note </w:t>
      </w:r>
      <w:r w:rsidR="00607D82">
        <w:fldChar w:fldCharType="begin"/>
      </w:r>
      <w:r w:rsidR="00607D82">
        <w:instrText xml:space="preserve"> NOTEREF _Ref200460822 \h </w:instrText>
      </w:r>
      <w:r w:rsidR="00607D82">
        <w:fldChar w:fldCharType="separate"/>
      </w:r>
      <w:r w:rsidR="0085330E">
        <w:t>6</w:t>
      </w:r>
      <w:r w:rsidR="00607D82">
        <w:fldChar w:fldCharType="end"/>
      </w:r>
      <w:r w:rsidR="00607D82">
        <w:t xml:space="preserve"> </w:t>
      </w:r>
      <w:r w:rsidR="00637EA9">
        <w:t xml:space="preserve">à la </w:t>
      </w:r>
      <w:r w:rsidRPr="00B454C7">
        <w:t>p</w:t>
      </w:r>
      <w:r>
        <w:t xml:space="preserve"> 89.</w:t>
      </w:r>
    </w:p>
  </w:footnote>
  <w:footnote w:id="194">
    <w:p w14:paraId="74044BA3" w14:textId="7B7D8B08" w:rsidR="00BA7A52" w:rsidRDefault="00BA7A52" w:rsidP="000057AD">
      <w:pPr>
        <w:pStyle w:val="NotesBasPage"/>
      </w:pPr>
      <w:r w:rsidRPr="004B6550">
        <w:rPr>
          <w:rStyle w:val="Appelnotedebasdep"/>
        </w:rPr>
        <w:footnoteRef/>
      </w:r>
      <w:r w:rsidRPr="004B6550">
        <w:t xml:space="preserve"> </w:t>
      </w:r>
      <w:r>
        <w:tab/>
      </w:r>
      <w:r w:rsidR="00607D82" w:rsidRPr="00607D82">
        <w:rPr>
          <w:i/>
          <w:iCs/>
        </w:rPr>
        <w:t>Idem</w:t>
      </w:r>
      <w:r w:rsidRPr="004B6550">
        <w:t xml:space="preserve"> </w:t>
      </w:r>
      <w:r>
        <w:t xml:space="preserve">à la </w:t>
      </w:r>
      <w:r w:rsidRPr="00B454C7">
        <w:t>p</w:t>
      </w:r>
      <w:r w:rsidRPr="004B6550">
        <w:t xml:space="preserve"> 93.</w:t>
      </w:r>
    </w:p>
  </w:footnote>
  <w:footnote w:id="195">
    <w:p w14:paraId="63D6927D" w14:textId="62508CB2" w:rsidR="00BA7A52" w:rsidRDefault="00BA7A52" w:rsidP="000057AD">
      <w:pPr>
        <w:pStyle w:val="NotesBasPage"/>
      </w:pPr>
      <w:r>
        <w:rPr>
          <w:rStyle w:val="Appelnotedebasdep"/>
        </w:rPr>
        <w:footnoteRef/>
      </w:r>
      <w:r>
        <w:t xml:space="preserve"> </w:t>
      </w:r>
      <w:r>
        <w:tab/>
      </w:r>
      <w:r w:rsidR="00607D82" w:rsidRPr="00607D82">
        <w:rPr>
          <w:i/>
          <w:iCs/>
        </w:rPr>
        <w:t>Idem</w:t>
      </w:r>
      <w:r w:rsidRPr="004B6550">
        <w:t xml:space="preserve"> </w:t>
      </w:r>
      <w:r>
        <w:t xml:space="preserve">à la </w:t>
      </w:r>
      <w:r w:rsidRPr="00B454C7">
        <w:t>p</w:t>
      </w:r>
      <w:r w:rsidRPr="004B6550">
        <w:t xml:space="preserve"> 9</w:t>
      </w:r>
      <w:r>
        <w:t>4</w:t>
      </w:r>
      <w:r w:rsidR="00607D82">
        <w:t xml:space="preserve"> et </w:t>
      </w:r>
      <w:r>
        <w:t>95.</w:t>
      </w:r>
    </w:p>
  </w:footnote>
  <w:footnote w:id="196">
    <w:p w14:paraId="39BEC35E" w14:textId="77356FC7" w:rsidR="00BA7A52" w:rsidRDefault="00BA7A52" w:rsidP="000057AD">
      <w:pPr>
        <w:pStyle w:val="NotesBasPage"/>
      </w:pPr>
      <w:r>
        <w:rPr>
          <w:rStyle w:val="Appelnotedebasdep"/>
        </w:rPr>
        <w:footnoteRef/>
      </w:r>
      <w:r>
        <w:t xml:space="preserve"> </w:t>
      </w:r>
      <w:r>
        <w:tab/>
      </w:r>
      <w:r w:rsidR="00607D82" w:rsidRPr="00607D82">
        <w:rPr>
          <w:i/>
          <w:iCs/>
        </w:rPr>
        <w:t>Idem</w:t>
      </w:r>
      <w:r w:rsidR="00607D82">
        <w:t xml:space="preserve"> </w:t>
      </w:r>
      <w:r>
        <w:t xml:space="preserve">à la </w:t>
      </w:r>
      <w:r w:rsidRPr="00B454C7">
        <w:t>p</w:t>
      </w:r>
      <w:r w:rsidRPr="004B6550">
        <w:t xml:space="preserve"> </w:t>
      </w:r>
      <w:r>
        <w:t>103</w:t>
      </w:r>
      <w:r w:rsidR="00607D82">
        <w:t>.</w:t>
      </w:r>
    </w:p>
  </w:footnote>
  <w:footnote w:id="197">
    <w:p w14:paraId="6659AD96" w14:textId="578C951D" w:rsidR="00BA7A52" w:rsidRPr="00B86A12" w:rsidRDefault="00BA7A52" w:rsidP="000057AD">
      <w:pPr>
        <w:pStyle w:val="NotesBasPage"/>
      </w:pPr>
      <w:r w:rsidRPr="004D38C3">
        <w:rPr>
          <w:rStyle w:val="Appelnotedebasdep"/>
        </w:rPr>
        <w:footnoteRef/>
      </w:r>
      <w:r w:rsidRPr="00B86A12">
        <w:t xml:space="preserve"> </w:t>
      </w:r>
      <w:r w:rsidRPr="00B86A12">
        <w:tab/>
      </w:r>
      <w:r>
        <w:t>Voir notamment </w:t>
      </w:r>
      <w:r w:rsidRPr="00B86A12">
        <w:t xml:space="preserve">: </w:t>
      </w:r>
      <w:r w:rsidRPr="00BA7A52">
        <w:t>Commission des droits de la personne et des droits de la jeunesse</w:t>
      </w:r>
      <w:r w:rsidRPr="00B86A12">
        <w:t xml:space="preserve">, </w:t>
      </w:r>
      <w:r w:rsidRPr="008E61FE">
        <w:rPr>
          <w:i/>
          <w:iCs/>
        </w:rPr>
        <w:t>Enquête systémique sur les services dispensés aux enfants en famille d’accueil de la région de la Mauricie et du Centre-du-Québec pour la période du 1</w:t>
      </w:r>
      <w:r w:rsidRPr="008E61FE">
        <w:rPr>
          <w:i/>
          <w:iCs/>
          <w:vertAlign w:val="superscript"/>
        </w:rPr>
        <w:t>er</w:t>
      </w:r>
      <w:r w:rsidR="00220FCC">
        <w:rPr>
          <w:i/>
          <w:iCs/>
        </w:rPr>
        <w:t> </w:t>
      </w:r>
      <w:r w:rsidRPr="008E61FE">
        <w:rPr>
          <w:i/>
          <w:iCs/>
        </w:rPr>
        <w:t>janvier 2013 au 31</w:t>
      </w:r>
      <w:r w:rsidR="00220FCC">
        <w:rPr>
          <w:i/>
          <w:iCs/>
        </w:rPr>
        <w:t> </w:t>
      </w:r>
      <w:r w:rsidRPr="008E61FE">
        <w:rPr>
          <w:i/>
          <w:iCs/>
        </w:rPr>
        <w:t>décembre 2016</w:t>
      </w:r>
      <w:r w:rsidRPr="00B86A12">
        <w:t>, 2019.</w:t>
      </w:r>
    </w:p>
  </w:footnote>
  <w:footnote w:id="198">
    <w:p w14:paraId="1965356D" w14:textId="4E832659" w:rsidR="00BA7A52" w:rsidRDefault="00BA7A52" w:rsidP="000057AD">
      <w:pPr>
        <w:pStyle w:val="NotesBasPage"/>
      </w:pPr>
      <w:r>
        <w:rPr>
          <w:rStyle w:val="Appelnotedebasdep"/>
        </w:rPr>
        <w:footnoteRef/>
      </w:r>
      <w:r>
        <w:t xml:space="preserve"> </w:t>
      </w:r>
      <w:r>
        <w:tab/>
      </w:r>
      <w:r w:rsidR="00DD060B" w:rsidRPr="00DD060B">
        <w:t>CSDEPJ</w:t>
      </w:r>
      <w:r w:rsidR="00E374D7" w:rsidRPr="00DD060B">
        <w:t xml:space="preserve">, </w:t>
      </w:r>
      <w:r w:rsidR="00265D99" w:rsidRPr="002432E4">
        <w:rPr>
          <w:i/>
          <w:iCs/>
        </w:rPr>
        <w:t>supra</w:t>
      </w:r>
      <w:r w:rsidR="00265D99">
        <w:t xml:space="preserve"> note </w:t>
      </w:r>
      <w:r w:rsidR="00265D99">
        <w:fldChar w:fldCharType="begin"/>
      </w:r>
      <w:r w:rsidR="00265D99">
        <w:instrText xml:space="preserve"> NOTEREF _Ref200460822 \h </w:instrText>
      </w:r>
      <w:r w:rsidR="00265D99">
        <w:fldChar w:fldCharType="separate"/>
      </w:r>
      <w:r w:rsidR="0085330E">
        <w:t>6</w:t>
      </w:r>
      <w:r w:rsidR="00265D99">
        <w:fldChar w:fldCharType="end"/>
      </w:r>
      <w:r w:rsidR="00265D99">
        <w:t xml:space="preserve"> </w:t>
      </w:r>
      <w:r w:rsidRPr="00DD060B">
        <w:t>à la p 90.</w:t>
      </w:r>
    </w:p>
  </w:footnote>
  <w:footnote w:id="199">
    <w:p w14:paraId="5ABF5995" w14:textId="2ED30CB7" w:rsidR="00BA7A52" w:rsidRDefault="00BA7A52" w:rsidP="000057AD">
      <w:pPr>
        <w:pStyle w:val="NotesBasPage"/>
      </w:pPr>
      <w:r>
        <w:rPr>
          <w:rStyle w:val="Appelnotedebasdep"/>
        </w:rPr>
        <w:footnoteRef/>
      </w:r>
      <w:r>
        <w:t xml:space="preserve"> </w:t>
      </w:r>
      <w:r>
        <w:tab/>
      </w:r>
      <w:r w:rsidR="00E374D7" w:rsidRPr="00E374D7">
        <w:rPr>
          <w:i/>
          <w:iCs/>
        </w:rPr>
        <w:t>Idem</w:t>
      </w:r>
      <w:r>
        <w:t xml:space="preserve"> aux pp 91 et 96.</w:t>
      </w:r>
    </w:p>
  </w:footnote>
  <w:footnote w:id="200">
    <w:p w14:paraId="79DC91CD" w14:textId="28BDAFA8" w:rsidR="00BA7A52" w:rsidRDefault="00BA7A52" w:rsidP="000057AD">
      <w:pPr>
        <w:pStyle w:val="NotesBasPage"/>
      </w:pPr>
      <w:r>
        <w:rPr>
          <w:rStyle w:val="Appelnotedebasdep"/>
        </w:rPr>
        <w:footnoteRef/>
      </w:r>
      <w:r>
        <w:t xml:space="preserve">  </w:t>
      </w:r>
      <w:r>
        <w:tab/>
      </w:r>
      <w:r w:rsidR="00E374D7" w:rsidRPr="00FF2196">
        <w:t>Commission des droits de la personne et des droits de la jeunesse</w:t>
      </w:r>
      <w:r w:rsidRPr="00FF2196">
        <w:t>,</w:t>
      </w:r>
      <w:r w:rsidR="0002400B" w:rsidRPr="00FF2196">
        <w:t xml:space="preserve"> </w:t>
      </w:r>
      <w:r w:rsidR="00E11C99">
        <w:rPr>
          <w:i/>
          <w:iCs/>
        </w:rPr>
        <w:t xml:space="preserve">supra </w:t>
      </w:r>
      <w:r w:rsidR="00E11C99" w:rsidRPr="00E11C99">
        <w:t xml:space="preserve">note </w:t>
      </w:r>
      <w:r w:rsidR="00BF2C66">
        <w:fldChar w:fldCharType="begin"/>
      </w:r>
      <w:r w:rsidR="00BF2C66">
        <w:instrText xml:space="preserve"> NOTEREF _Ref200631089 \h </w:instrText>
      </w:r>
      <w:r w:rsidR="00BF2C66">
        <w:fldChar w:fldCharType="separate"/>
      </w:r>
      <w:r w:rsidR="0085330E">
        <w:t>86</w:t>
      </w:r>
      <w:r w:rsidR="00BF2C66">
        <w:fldChar w:fldCharType="end"/>
      </w:r>
      <w:r w:rsidRPr="00FF2196">
        <w:t xml:space="preserve"> </w:t>
      </w:r>
      <w:r w:rsidR="00473C4B" w:rsidRPr="00FF2196">
        <w:t xml:space="preserve">à la p </w:t>
      </w:r>
      <w:r w:rsidRPr="00FF2196">
        <w:t>64</w:t>
      </w:r>
      <w:r w:rsidR="00473C4B" w:rsidRPr="00FF2196">
        <w:t>.</w:t>
      </w:r>
    </w:p>
  </w:footnote>
  <w:footnote w:id="201">
    <w:p w14:paraId="2A265FF2" w14:textId="70A56E15" w:rsidR="00BA7A52" w:rsidRDefault="00BA7A52" w:rsidP="000057AD">
      <w:pPr>
        <w:pStyle w:val="NotesBasPage"/>
      </w:pPr>
      <w:r>
        <w:rPr>
          <w:rStyle w:val="Appelnotedebasdep"/>
        </w:rPr>
        <w:footnoteRef/>
      </w:r>
      <w:r>
        <w:t xml:space="preserve"> </w:t>
      </w:r>
      <w:r>
        <w:tab/>
      </w:r>
      <w:r w:rsidRPr="00C1746D">
        <w:t>Rapport 156.1</w:t>
      </w:r>
      <w:r w:rsidR="00F86671">
        <w:t> </w:t>
      </w:r>
      <w:r w:rsidRPr="00C1746D">
        <w:t>LPJ</w:t>
      </w:r>
      <w:r>
        <w:t xml:space="preserve"> 2020</w:t>
      </w:r>
      <w:r w:rsidRPr="00C1746D">
        <w:t xml:space="preserve">, </w:t>
      </w:r>
      <w:r w:rsidR="00094B56">
        <w:t>à la p</w:t>
      </w:r>
      <w:r>
        <w:t xml:space="preserve"> 97.</w:t>
      </w:r>
    </w:p>
  </w:footnote>
  <w:footnote w:id="202">
    <w:p w14:paraId="1D3B9298" w14:textId="1DE33C96" w:rsidR="00BA7A52" w:rsidRPr="003176DC" w:rsidRDefault="00BA7A52" w:rsidP="000057AD">
      <w:pPr>
        <w:pStyle w:val="NotesBasPage"/>
      </w:pPr>
      <w:r>
        <w:rPr>
          <w:rStyle w:val="Appelnotedebasdep"/>
        </w:rPr>
        <w:footnoteRef/>
      </w:r>
      <w:r>
        <w:t xml:space="preserve"> </w:t>
      </w:r>
      <w:r>
        <w:tab/>
      </w:r>
      <w:r w:rsidR="00094B56" w:rsidRPr="00094B56">
        <w:rPr>
          <w:i/>
          <w:iCs/>
        </w:rPr>
        <w:t>Idem.</w:t>
      </w:r>
    </w:p>
  </w:footnote>
  <w:footnote w:id="203">
    <w:p w14:paraId="1173963B" w14:textId="34F29276" w:rsidR="00BA7A52" w:rsidRDefault="00BA7A52" w:rsidP="000057AD">
      <w:pPr>
        <w:pStyle w:val="NotesBasPage"/>
      </w:pPr>
      <w:r>
        <w:rPr>
          <w:rStyle w:val="Appelnotedebasdep"/>
        </w:rPr>
        <w:footnoteRef/>
      </w:r>
      <w:r>
        <w:t xml:space="preserve"> </w:t>
      </w:r>
      <w:r>
        <w:tab/>
      </w:r>
      <w:r w:rsidR="00CB0C3D">
        <w:t>CSDEPJ</w:t>
      </w:r>
      <w:r w:rsidR="00CB0C3D">
        <w:rPr>
          <w:i/>
          <w:iCs/>
        </w:rPr>
        <w:t xml:space="preserve">, </w:t>
      </w:r>
      <w:r w:rsidR="00CB0C3D" w:rsidRPr="00F65836">
        <w:rPr>
          <w:i/>
          <w:iCs/>
        </w:rPr>
        <w:t>supra</w:t>
      </w:r>
      <w:r w:rsidR="00CB0C3D" w:rsidRPr="00F65836">
        <w:t xml:space="preserve"> note </w:t>
      </w:r>
      <w:r w:rsidR="00CB0C3D">
        <w:fldChar w:fldCharType="begin"/>
      </w:r>
      <w:r w:rsidR="00CB0C3D">
        <w:instrText xml:space="preserve"> NOTEREF _Ref200460822 \h  \* MERGEFORMAT </w:instrText>
      </w:r>
      <w:r w:rsidR="00CB0C3D">
        <w:fldChar w:fldCharType="separate"/>
      </w:r>
      <w:r w:rsidR="0085330E">
        <w:t>6</w:t>
      </w:r>
      <w:r w:rsidR="00CB0C3D">
        <w:fldChar w:fldCharType="end"/>
      </w:r>
      <w:r w:rsidR="00FA4AA4">
        <w:t xml:space="preserve"> à la p</w:t>
      </w:r>
      <w:r>
        <w:t xml:space="preserve"> 397.</w:t>
      </w:r>
    </w:p>
  </w:footnote>
  <w:footnote w:id="204">
    <w:p w14:paraId="1A571414" w14:textId="319807D5" w:rsidR="00BA7A52" w:rsidRDefault="00BA7A52" w:rsidP="000057AD">
      <w:pPr>
        <w:pStyle w:val="NotesBasPage"/>
      </w:pPr>
      <w:r>
        <w:rPr>
          <w:rStyle w:val="Appelnotedebasdep"/>
        </w:rPr>
        <w:footnoteRef/>
      </w:r>
      <w:r>
        <w:t xml:space="preserve"> </w:t>
      </w:r>
      <w:r>
        <w:tab/>
      </w:r>
      <w:r w:rsidR="00FA4AA4" w:rsidRPr="00FA4AA4">
        <w:rPr>
          <w:i/>
          <w:iCs/>
        </w:rPr>
        <w:t>Idem</w:t>
      </w:r>
      <w:r w:rsidR="00FA4AA4">
        <w:t xml:space="preserve"> à la p</w:t>
      </w:r>
      <w:r>
        <w:t xml:space="preserve"> 412</w:t>
      </w:r>
      <w:r w:rsidR="00094B56">
        <w:t>.</w:t>
      </w:r>
      <w:r>
        <w:t xml:space="preserve"> </w:t>
      </w:r>
    </w:p>
  </w:footnote>
  <w:footnote w:id="205">
    <w:p w14:paraId="19A9F10D" w14:textId="7F9E8F2A" w:rsidR="00BA7A52" w:rsidRDefault="00BA7A52" w:rsidP="000057AD">
      <w:pPr>
        <w:pStyle w:val="NotesBasPage"/>
      </w:pPr>
      <w:r>
        <w:rPr>
          <w:rStyle w:val="Appelnotedebasdep"/>
        </w:rPr>
        <w:footnoteRef/>
      </w:r>
      <w:r w:rsidR="004E5966">
        <w:t xml:space="preserve"> </w:t>
      </w:r>
      <w:r w:rsidR="004E5966">
        <w:tab/>
      </w:r>
      <w:r w:rsidR="004E5966" w:rsidRPr="004E5966">
        <w:rPr>
          <w:i/>
          <w:iCs/>
        </w:rPr>
        <w:t>Protection de la jeunesse — 25723</w:t>
      </w:r>
      <w:r w:rsidR="004E5966">
        <w:t xml:space="preserve">, </w:t>
      </w:r>
      <w:r w:rsidRPr="00337490">
        <w:t>2025</w:t>
      </w:r>
      <w:r w:rsidR="00F86671">
        <w:t> </w:t>
      </w:r>
      <w:r w:rsidRPr="00337490">
        <w:t xml:space="preserve">QCCA 377, </w:t>
      </w:r>
      <w:r>
        <w:t xml:space="preserve">demande d’autorisation </w:t>
      </w:r>
      <w:r w:rsidRPr="00337490">
        <w:t>d’appel à la CSC.</w:t>
      </w:r>
    </w:p>
  </w:footnote>
  <w:footnote w:id="206">
    <w:p w14:paraId="27913287" w14:textId="119193BE" w:rsidR="00BA7A52" w:rsidRPr="00B86A12" w:rsidRDefault="00BA7A52" w:rsidP="000057AD">
      <w:pPr>
        <w:pStyle w:val="NotesBasPage"/>
      </w:pPr>
      <w:r w:rsidRPr="004D38C3">
        <w:rPr>
          <w:rStyle w:val="Appelnotedebasdep"/>
        </w:rPr>
        <w:footnoteRef/>
      </w:r>
      <w:r w:rsidRPr="00B86A12">
        <w:rPr>
          <w:rFonts w:ascii="Arial" w:hAnsi="Arial"/>
        </w:rPr>
        <w:t xml:space="preserve"> </w:t>
      </w:r>
      <w:r w:rsidRPr="00B86A12">
        <w:rPr>
          <w:rFonts w:ascii="Arial" w:hAnsi="Arial"/>
        </w:rPr>
        <w:tab/>
      </w:r>
      <w:r w:rsidRPr="00447320">
        <w:t xml:space="preserve">Commission des droits de la personne et des droits de la jeunesse, </w:t>
      </w:r>
      <w:r w:rsidR="00903C65">
        <w:rPr>
          <w:i/>
          <w:iCs/>
        </w:rPr>
        <w:t xml:space="preserve">supra </w:t>
      </w:r>
      <w:r w:rsidR="00903C65" w:rsidRPr="00903C65">
        <w:t>no</w:t>
      </w:r>
      <w:r w:rsidR="00903C65" w:rsidRPr="00990A53">
        <w:t>te</w:t>
      </w:r>
      <w:r w:rsidR="00903C65" w:rsidRPr="00990A53">
        <w:rPr>
          <w:rFonts w:eastAsia="Arial"/>
        </w:rPr>
        <w:t xml:space="preserve"> </w:t>
      </w:r>
      <w:r w:rsidR="00990A53" w:rsidRPr="00990A53">
        <w:rPr>
          <w:rFonts w:eastAsia="Arial"/>
        </w:rPr>
        <w:fldChar w:fldCharType="begin"/>
      </w:r>
      <w:r w:rsidR="00990A53" w:rsidRPr="00990A53">
        <w:rPr>
          <w:rFonts w:eastAsia="Arial"/>
        </w:rPr>
        <w:instrText xml:space="preserve"> NOTEREF _Ref200631089 \h </w:instrText>
      </w:r>
      <w:r w:rsidR="00990A53">
        <w:rPr>
          <w:rFonts w:eastAsia="Arial"/>
        </w:rPr>
        <w:instrText xml:space="preserve"> \* MERGEFORMAT </w:instrText>
      </w:r>
      <w:r w:rsidR="00990A53" w:rsidRPr="00990A53">
        <w:rPr>
          <w:rFonts w:eastAsia="Arial"/>
        </w:rPr>
      </w:r>
      <w:r w:rsidR="00990A53" w:rsidRPr="00990A53">
        <w:rPr>
          <w:rFonts w:eastAsia="Arial"/>
        </w:rPr>
        <w:fldChar w:fldCharType="separate"/>
      </w:r>
      <w:r w:rsidR="0085330E">
        <w:rPr>
          <w:rFonts w:eastAsia="Arial"/>
        </w:rPr>
        <w:t>86</w:t>
      </w:r>
      <w:r w:rsidR="00990A53" w:rsidRPr="00990A53">
        <w:rPr>
          <w:rFonts w:eastAsia="Arial"/>
        </w:rPr>
        <w:fldChar w:fldCharType="end"/>
      </w:r>
      <w:r w:rsidR="00903C65">
        <w:rPr>
          <w:rFonts w:eastAsia="Arial"/>
        </w:rPr>
        <w:t xml:space="preserve"> à la </w:t>
      </w:r>
      <w:r w:rsidR="00426097">
        <w:rPr>
          <w:rFonts w:eastAsia="Arial"/>
        </w:rPr>
        <w:t>65</w:t>
      </w:r>
      <w:r w:rsidRPr="00447320">
        <w:rPr>
          <w:rFonts w:eastAsia="Arial"/>
        </w:rPr>
        <w:t>.</w:t>
      </w:r>
    </w:p>
  </w:footnote>
  <w:footnote w:id="207">
    <w:p w14:paraId="084C1E5E" w14:textId="429EC340" w:rsidR="00BA7A52" w:rsidRDefault="00BA7A52" w:rsidP="000057AD">
      <w:pPr>
        <w:pStyle w:val="NotesBasPage"/>
      </w:pPr>
      <w:r>
        <w:rPr>
          <w:rStyle w:val="Appelnotedebasdep"/>
        </w:rPr>
        <w:footnoteRef/>
      </w:r>
      <w:r>
        <w:t xml:space="preserve">  </w:t>
      </w:r>
      <w:r>
        <w:tab/>
      </w:r>
      <w:r w:rsidRPr="00CA237D">
        <w:t>Emmanuelle B</w:t>
      </w:r>
      <w:r w:rsidR="002C6802" w:rsidRPr="00CA237D">
        <w:t xml:space="preserve">ernheim </w:t>
      </w:r>
      <w:r w:rsidRPr="00CA237D">
        <w:t>et Maryline C</w:t>
      </w:r>
      <w:r w:rsidR="002C6802" w:rsidRPr="00CA237D">
        <w:t>oupienne</w:t>
      </w:r>
      <w:r w:rsidRPr="00CA237D">
        <w:t>, «</w:t>
      </w:r>
      <w:r w:rsidR="00D96428">
        <w:rPr>
          <w:rFonts w:ascii="Arial" w:hAnsi="Arial" w:cs="Arial"/>
        </w:rPr>
        <w:t> </w:t>
      </w:r>
      <w:r w:rsidRPr="00CA237D">
        <w:t>Faire valoir ses droits à la Chambre de la jeunesse</w:t>
      </w:r>
      <w:r w:rsidR="00914C42">
        <w:t> </w:t>
      </w:r>
      <w:r w:rsidRPr="00CA237D">
        <w:t>: État des lieux des barrières structurelles à l’accès à la justice des familles</w:t>
      </w:r>
      <w:r w:rsidR="00D96428">
        <w:rPr>
          <w:rFonts w:ascii="Arial" w:hAnsi="Arial" w:cs="Arial"/>
        </w:rPr>
        <w:t> </w:t>
      </w:r>
      <w:r w:rsidRPr="00CA237D">
        <w:t>», 32</w:t>
      </w:r>
      <w:r w:rsidR="00F86671">
        <w:t> </w:t>
      </w:r>
      <w:r w:rsidRPr="002C6802">
        <w:rPr>
          <w:i/>
          <w:iCs/>
        </w:rPr>
        <w:t>Can. J. Fam. L</w:t>
      </w:r>
      <w:r w:rsidRPr="00CA237D">
        <w:t xml:space="preserve">. 237 (2019), </w:t>
      </w:r>
      <w:r w:rsidR="001B6F01">
        <w:t>à la p</w:t>
      </w:r>
      <w:r w:rsidRPr="00CA237D">
        <w:t xml:space="preserve"> 256.</w:t>
      </w:r>
    </w:p>
  </w:footnote>
  <w:footnote w:id="208">
    <w:p w14:paraId="6B35ADE6" w14:textId="3E5247AF" w:rsidR="00BA7A52" w:rsidRPr="007973DC" w:rsidRDefault="00BA7A52" w:rsidP="000057AD">
      <w:pPr>
        <w:pStyle w:val="NotesBasPage"/>
      </w:pPr>
      <w:r>
        <w:rPr>
          <w:rStyle w:val="Appelnotedebasdep"/>
        </w:rPr>
        <w:footnoteRef/>
      </w:r>
      <w:r w:rsidRPr="007973DC">
        <w:t xml:space="preserve"> </w:t>
      </w:r>
      <w:r w:rsidRPr="007973DC">
        <w:tab/>
      </w:r>
      <w:r w:rsidRPr="001B6F01">
        <w:rPr>
          <w:i/>
          <w:iCs/>
        </w:rPr>
        <w:t>Idem</w:t>
      </w:r>
      <w:r w:rsidRPr="007973DC">
        <w:t>.</w:t>
      </w:r>
    </w:p>
  </w:footnote>
  <w:footnote w:id="209">
    <w:p w14:paraId="51AA245A" w14:textId="0E0C9DB7" w:rsidR="00EC7F5A" w:rsidRPr="007973DC" w:rsidRDefault="00260BC3" w:rsidP="000057AD">
      <w:pPr>
        <w:pStyle w:val="NotesBasPage"/>
      </w:pPr>
      <w:r>
        <w:rPr>
          <w:rStyle w:val="Appelnotedebasdep"/>
        </w:rPr>
        <w:footnoteRef/>
      </w:r>
      <w:r w:rsidRPr="007973DC">
        <w:t xml:space="preserve"> </w:t>
      </w:r>
      <w:r w:rsidR="00E47921">
        <w:tab/>
      </w:r>
      <w:r w:rsidR="00EC7F5A">
        <w:t xml:space="preserve">Gouvernement du Québec, </w:t>
      </w:r>
      <w:r w:rsidR="006D28C8" w:rsidRPr="003A76EA">
        <w:rPr>
          <w:i/>
          <w:iCs/>
        </w:rPr>
        <w:t>Services de proximité pour les jeunes en difficulté et leur famille</w:t>
      </w:r>
      <w:r w:rsidR="006D28C8">
        <w:t xml:space="preserve">, 2025, en ligne : </w:t>
      </w:r>
      <w:hyperlink r:id="rId19" w:history="1">
        <w:r w:rsidR="00394811" w:rsidRPr="00CF5482">
          <w:rPr>
            <w:rStyle w:val="Lienhypertexte"/>
          </w:rPr>
          <w:t>https://www.quebec.ca/famille-et-soutien-aux-personnes/enfance/services-jeunes-difficulte-famille/services-proximite-jeunes-difficulte-famille</w:t>
        </w:r>
      </w:hyperlink>
    </w:p>
  </w:footnote>
  <w:footnote w:id="210">
    <w:p w14:paraId="6FAC055D" w14:textId="087E9B05" w:rsidR="00D51287" w:rsidRPr="007973DC" w:rsidRDefault="00D51287" w:rsidP="000057AD">
      <w:pPr>
        <w:pStyle w:val="NotesBasPage"/>
      </w:pPr>
      <w:r>
        <w:rPr>
          <w:rStyle w:val="Appelnotedebasdep"/>
        </w:rPr>
        <w:footnoteRef/>
      </w:r>
      <w:r w:rsidRPr="007973DC">
        <w:t xml:space="preserve">  </w:t>
      </w:r>
      <w:r w:rsidRPr="007973DC">
        <w:tab/>
      </w:r>
      <w:r w:rsidR="00CD31E9">
        <w:t>CSDEPJ</w:t>
      </w:r>
      <w:r w:rsidR="00CD31E9">
        <w:rPr>
          <w:i/>
          <w:iCs/>
        </w:rPr>
        <w:t xml:space="preserve">, </w:t>
      </w:r>
      <w:r w:rsidR="00CD31E9" w:rsidRPr="00F65836">
        <w:rPr>
          <w:i/>
          <w:iCs/>
        </w:rPr>
        <w:t>supra</w:t>
      </w:r>
      <w:r w:rsidR="00CD31E9" w:rsidRPr="00F65836">
        <w:t xml:space="preserve"> note </w:t>
      </w:r>
      <w:r w:rsidR="00CD31E9">
        <w:fldChar w:fldCharType="begin"/>
      </w:r>
      <w:r w:rsidR="00CD31E9">
        <w:instrText xml:space="preserve"> NOTEREF _Ref200460822 \h  \* MERGEFORMAT </w:instrText>
      </w:r>
      <w:r w:rsidR="00CD31E9">
        <w:fldChar w:fldCharType="separate"/>
      </w:r>
      <w:r w:rsidR="0085330E">
        <w:t>6</w:t>
      </w:r>
      <w:r w:rsidR="00CD31E9">
        <w:fldChar w:fldCharType="end"/>
      </w:r>
      <w:r w:rsidR="00FA4AA4">
        <w:t xml:space="preserve"> </w:t>
      </w:r>
      <w:r>
        <w:t>à la</w:t>
      </w:r>
      <w:r w:rsidRPr="007973DC">
        <w:t xml:space="preserve"> p 133.</w:t>
      </w:r>
    </w:p>
  </w:footnote>
  <w:footnote w:id="211">
    <w:p w14:paraId="3556A364" w14:textId="67EC5F4B" w:rsidR="00D51287" w:rsidRPr="007973DC" w:rsidRDefault="00D51287" w:rsidP="000057AD">
      <w:pPr>
        <w:pStyle w:val="NotesBasPage"/>
      </w:pPr>
      <w:r>
        <w:rPr>
          <w:rStyle w:val="Appelnotedebasdep"/>
        </w:rPr>
        <w:footnoteRef/>
      </w:r>
      <w:r w:rsidRPr="007973DC">
        <w:t xml:space="preserve"> </w:t>
      </w:r>
      <w:r w:rsidRPr="007973DC">
        <w:tab/>
      </w:r>
      <w:r w:rsidR="00C538D5" w:rsidRPr="00C538D5">
        <w:rPr>
          <w:i/>
          <w:iCs/>
        </w:rPr>
        <w:t>Idem</w:t>
      </w:r>
      <w:r w:rsidRPr="007973DC">
        <w:t xml:space="preserve"> </w:t>
      </w:r>
      <w:r>
        <w:t>à la</w:t>
      </w:r>
      <w:r w:rsidRPr="007973DC">
        <w:t xml:space="preserve"> p 181.</w:t>
      </w:r>
    </w:p>
  </w:footnote>
  <w:footnote w:id="212">
    <w:p w14:paraId="57C70EAA" w14:textId="77777777" w:rsidR="00D51287" w:rsidRDefault="00D51287" w:rsidP="000057AD">
      <w:pPr>
        <w:pStyle w:val="NotesBasPage"/>
      </w:pPr>
      <w:r>
        <w:rPr>
          <w:rStyle w:val="Appelnotedebasdep"/>
        </w:rPr>
        <w:footnoteRef/>
      </w:r>
      <w:r>
        <w:t xml:space="preserve"> </w:t>
      </w:r>
      <w:r>
        <w:tab/>
      </w:r>
      <w:r w:rsidRPr="000051F9">
        <w:t>Centre de recherche JEFAR</w:t>
      </w:r>
      <w:r>
        <w:t xml:space="preserve">, </w:t>
      </w:r>
      <w:r w:rsidRPr="00163815">
        <w:rPr>
          <w:i/>
        </w:rPr>
        <w:t>Les impacts de la nouvelle Loi sur la protection de la jeunesse</w:t>
      </w:r>
      <w:r>
        <w:rPr>
          <w:i/>
        </w:rPr>
        <w:t> </w:t>
      </w:r>
      <w:r w:rsidRPr="00163815">
        <w:rPr>
          <w:i/>
        </w:rPr>
        <w:t>: un premier bilan</w:t>
      </w:r>
      <w:r>
        <w:t>, Daniel Turcotte et al, Université Laval, 2011, p 56.</w:t>
      </w:r>
    </w:p>
  </w:footnote>
  <w:footnote w:id="213">
    <w:p w14:paraId="54B7C833" w14:textId="6D8BB044" w:rsidR="003050F6" w:rsidRDefault="003050F6" w:rsidP="00DB5325">
      <w:pPr>
        <w:pStyle w:val="NotesBasPage"/>
      </w:pPr>
      <w:r>
        <w:rPr>
          <w:rStyle w:val="Appelnotedebasdep"/>
        </w:rPr>
        <w:footnoteRef/>
      </w:r>
      <w:r>
        <w:t xml:space="preserve"> </w:t>
      </w:r>
      <w:r>
        <w:tab/>
      </w:r>
      <w:r w:rsidR="0039214F" w:rsidRPr="00655E7E">
        <w:rPr>
          <w:i/>
          <w:iCs/>
        </w:rPr>
        <w:t>Idem</w:t>
      </w:r>
      <w:r w:rsidR="0039214F">
        <w:t xml:space="preserve"> à la p</w:t>
      </w:r>
      <w:r w:rsidR="003C4D8E">
        <w:t>.</w:t>
      </w:r>
      <w:r w:rsidR="007B4CD5">
        <w:t xml:space="preserve"> 66.</w:t>
      </w:r>
    </w:p>
  </w:footnote>
  <w:footnote w:id="214">
    <w:p w14:paraId="0A8A79B6" w14:textId="36429029" w:rsidR="00D51287" w:rsidRDefault="00D51287" w:rsidP="000057AD">
      <w:pPr>
        <w:pStyle w:val="NotesBasPage"/>
      </w:pPr>
      <w:r>
        <w:rPr>
          <w:rStyle w:val="Appelnotedebasdep"/>
        </w:rPr>
        <w:footnoteRef/>
      </w:r>
      <w:r>
        <w:t xml:space="preserve">  </w:t>
      </w:r>
      <w:r w:rsidRPr="0072157B">
        <w:tab/>
      </w:r>
      <w:r w:rsidR="00B631BB" w:rsidRPr="00447320">
        <w:t>Commission des droits de la personne et des droits de la jeunesse</w:t>
      </w:r>
      <w:r w:rsidR="00B631BB">
        <w:t xml:space="preserve">, </w:t>
      </w:r>
      <w:r w:rsidR="00B631BB" w:rsidRPr="00655E7E">
        <w:rPr>
          <w:i/>
          <w:iCs/>
        </w:rPr>
        <w:t>s</w:t>
      </w:r>
      <w:r w:rsidRPr="00655E7E">
        <w:rPr>
          <w:i/>
          <w:iCs/>
        </w:rPr>
        <w:t>upra</w:t>
      </w:r>
      <w:r w:rsidR="00B631BB">
        <w:t xml:space="preserve"> note </w:t>
      </w:r>
      <w:r w:rsidR="00990A53">
        <w:fldChar w:fldCharType="begin"/>
      </w:r>
      <w:r w:rsidR="00990A53">
        <w:instrText xml:space="preserve"> NOTEREF _Ref201069813 \h </w:instrText>
      </w:r>
      <w:r w:rsidR="00990A53">
        <w:fldChar w:fldCharType="separate"/>
      </w:r>
      <w:r w:rsidR="0085330E">
        <w:t>91</w:t>
      </w:r>
      <w:r w:rsidR="00990A53">
        <w:fldChar w:fldCharType="end"/>
      </w:r>
      <w:r w:rsidR="00BA48B9">
        <w:t xml:space="preserve"> à la</w:t>
      </w:r>
      <w:r>
        <w:t xml:space="preserve"> p. 5.</w:t>
      </w:r>
    </w:p>
  </w:footnote>
  <w:footnote w:id="215">
    <w:p w14:paraId="4C1DB019" w14:textId="6609D2AD" w:rsidR="00C93C75" w:rsidRDefault="00D51287" w:rsidP="000057AD">
      <w:pPr>
        <w:pStyle w:val="NotesBasPage"/>
      </w:pPr>
      <w:r>
        <w:rPr>
          <w:rStyle w:val="Appelnotedebasdep"/>
        </w:rPr>
        <w:footnoteRef/>
      </w:r>
      <w:r>
        <w:t xml:space="preserve"> </w:t>
      </w:r>
      <w:r>
        <w:tab/>
      </w:r>
      <w:r w:rsidR="00BA48B9">
        <w:t>Gouvernement du Québec</w:t>
      </w:r>
      <w:r w:rsidR="00BA48B9" w:rsidRPr="003A76EA">
        <w:rPr>
          <w:i/>
          <w:iCs/>
        </w:rPr>
        <w:t xml:space="preserve">, </w:t>
      </w:r>
      <w:r w:rsidR="00C93C75" w:rsidRPr="003A76EA">
        <w:rPr>
          <w:i/>
          <w:iCs/>
        </w:rPr>
        <w:t>Personnes handicapées</w:t>
      </w:r>
      <w:r w:rsidR="00C93C75">
        <w:t xml:space="preserve">, 2025, en ligne : </w:t>
      </w:r>
      <w:hyperlink r:id="rId20" w:history="1">
        <w:r w:rsidR="00C93C75" w:rsidRPr="00CF5482">
          <w:rPr>
            <w:rStyle w:val="Lienhypertexte"/>
          </w:rPr>
          <w:t>https://www.quebec.ca/personnes-handicapees</w:t>
        </w:r>
      </w:hyperlink>
      <w:r w:rsidR="00C93C75">
        <w:t>.</w:t>
      </w:r>
    </w:p>
  </w:footnote>
  <w:footnote w:id="216">
    <w:p w14:paraId="6AF60E90" w14:textId="7161D373" w:rsidR="00ED3D0E" w:rsidRPr="00063342" w:rsidRDefault="00ED3D0E" w:rsidP="000057AD">
      <w:pPr>
        <w:pStyle w:val="NotesBasPage"/>
      </w:pPr>
      <w:r>
        <w:rPr>
          <w:rStyle w:val="Appelnotedebasdep"/>
        </w:rPr>
        <w:footnoteRef/>
      </w:r>
      <w:r>
        <w:t xml:space="preserve"> </w:t>
      </w:r>
      <w:r>
        <w:tab/>
      </w:r>
      <w:r w:rsidR="00320EC0" w:rsidRPr="00C21939">
        <w:t>Chateauneuf et al</w:t>
      </w:r>
      <w:r w:rsidR="00320EC0" w:rsidRPr="000848E5">
        <w:t xml:space="preserve">, </w:t>
      </w:r>
      <w:r w:rsidR="00320EC0" w:rsidRPr="00B66790">
        <w:rPr>
          <w:i/>
        </w:rPr>
        <w:t>supra</w:t>
      </w:r>
      <w:r w:rsidR="00320EC0">
        <w:t xml:space="preserve"> note </w:t>
      </w:r>
      <w:r w:rsidR="00320EC0" w:rsidRPr="00063342">
        <w:fldChar w:fldCharType="begin"/>
      </w:r>
      <w:r w:rsidR="00320EC0" w:rsidRPr="00063342">
        <w:instrText xml:space="preserve"> NOTEREF _Ref201136782 \h </w:instrText>
      </w:r>
      <w:r w:rsidR="00063342">
        <w:instrText xml:space="preserve"> \* MERGEFORMAT </w:instrText>
      </w:r>
      <w:r w:rsidR="00320EC0" w:rsidRPr="00063342">
        <w:fldChar w:fldCharType="separate"/>
      </w:r>
      <w:r w:rsidR="0085330E">
        <w:t>129</w:t>
      </w:r>
      <w:r w:rsidR="00320EC0" w:rsidRPr="00063342">
        <w:fldChar w:fldCharType="end"/>
      </w:r>
      <w:r w:rsidR="00F86671">
        <w:t> </w:t>
      </w:r>
      <w:r w:rsidR="00320EC0">
        <w:t>ch</w:t>
      </w:r>
      <w:r w:rsidR="00644C2D">
        <w:t>apitre</w:t>
      </w:r>
      <w:r w:rsidR="00320EC0">
        <w:t xml:space="preserve"> 9 à la </w:t>
      </w:r>
      <w:r w:rsidRPr="00E72E30">
        <w:t>p 290</w:t>
      </w:r>
      <w:r w:rsidR="00821D8E" w:rsidRPr="00E72E30">
        <w:t xml:space="preserve"> (</w:t>
      </w:r>
      <w:r w:rsidR="00E72E30" w:rsidRPr="00E72E30">
        <w:t>Vanessa Lecompte</w:t>
      </w:r>
      <w:r w:rsidR="00E72E30">
        <w:t xml:space="preserve"> et </w:t>
      </w:r>
      <w:r w:rsidR="00323657">
        <w:t xml:space="preserve">Katherine </w:t>
      </w:r>
      <w:r w:rsidR="00323657" w:rsidRPr="00063342">
        <w:t>Pa</w:t>
      </w:r>
      <w:r w:rsidR="00063342" w:rsidRPr="00063342">
        <w:t>scuzzo).</w:t>
      </w:r>
    </w:p>
  </w:footnote>
  <w:footnote w:id="217">
    <w:p w14:paraId="7C998951" w14:textId="19D32E62" w:rsidR="00ED3D0E" w:rsidRDefault="00ED3D0E" w:rsidP="000057AD">
      <w:pPr>
        <w:pStyle w:val="NotesBasPage"/>
      </w:pPr>
      <w:r w:rsidRPr="00063342">
        <w:rPr>
          <w:rStyle w:val="Appelnotedebasdep"/>
        </w:rPr>
        <w:footnoteRef/>
      </w:r>
      <w:r w:rsidRPr="00063342">
        <w:t xml:space="preserve"> </w:t>
      </w:r>
      <w:r w:rsidRPr="00063342">
        <w:tab/>
      </w:r>
      <w:r w:rsidR="00063342" w:rsidRPr="00063342">
        <w:rPr>
          <w:i/>
          <w:iCs/>
        </w:rPr>
        <w:t>Idem</w:t>
      </w:r>
      <w:r w:rsidRPr="00063342">
        <w:t xml:space="preserve"> à la </w:t>
      </w:r>
      <w:r w:rsidR="006B6597" w:rsidRPr="00063342">
        <w:t>p</w:t>
      </w:r>
      <w:r w:rsidRPr="00063342">
        <w:t xml:space="preserve"> 289.</w:t>
      </w:r>
    </w:p>
  </w:footnote>
  <w:footnote w:id="218">
    <w:p w14:paraId="2935F4EB" w14:textId="1AFBE629" w:rsidR="00ED3D0E" w:rsidRDefault="00ED3D0E" w:rsidP="001E6180">
      <w:pPr>
        <w:pStyle w:val="NotesBasPage"/>
      </w:pPr>
      <w:r>
        <w:rPr>
          <w:rStyle w:val="Appelnotedebasdep"/>
        </w:rPr>
        <w:footnoteRef/>
      </w:r>
      <w:r>
        <w:t xml:space="preserve"> </w:t>
      </w:r>
      <w:r>
        <w:tab/>
      </w:r>
      <w:bookmarkStart w:id="120" w:name="_Hlk200618047"/>
      <w:r w:rsidRPr="00693CA0">
        <w:t>Commission des droits de la personne et des droits de la jeunesse</w:t>
      </w:r>
      <w:r w:rsidR="00693CA0" w:rsidRPr="00693CA0">
        <w:t xml:space="preserve">, </w:t>
      </w:r>
      <w:r w:rsidR="00693CA0" w:rsidRPr="00693CA0">
        <w:rPr>
          <w:i/>
          <w:iCs/>
        </w:rPr>
        <w:t>supra</w:t>
      </w:r>
      <w:r w:rsidR="00693CA0" w:rsidRPr="00693CA0">
        <w:t xml:space="preserve"> no</w:t>
      </w:r>
      <w:r w:rsidR="00693CA0" w:rsidRPr="000651E0">
        <w:t xml:space="preserve">te </w:t>
      </w:r>
      <w:r w:rsidR="000651E0" w:rsidRPr="000651E0">
        <w:fldChar w:fldCharType="begin"/>
      </w:r>
      <w:r w:rsidR="000651E0" w:rsidRPr="000651E0">
        <w:instrText xml:space="preserve"> NOTEREF _Ref200617995 \h </w:instrText>
      </w:r>
      <w:r w:rsidR="000651E0">
        <w:instrText xml:space="preserve"> \* MERGEFORMAT </w:instrText>
      </w:r>
      <w:r w:rsidR="000651E0" w:rsidRPr="000651E0">
        <w:fldChar w:fldCharType="separate"/>
      </w:r>
      <w:r w:rsidR="0085330E">
        <w:t>73</w:t>
      </w:r>
      <w:r w:rsidR="000651E0" w:rsidRPr="000651E0">
        <w:fldChar w:fldCharType="end"/>
      </w:r>
      <w:r w:rsidR="00693CA0" w:rsidRPr="00693CA0">
        <w:t xml:space="preserve"> à la p</w:t>
      </w:r>
      <w:r w:rsidRPr="00693CA0">
        <w:t xml:space="preserve"> 31.</w:t>
      </w:r>
      <w:r>
        <w:t xml:space="preserve"> </w:t>
      </w:r>
      <w:bookmarkEnd w:id="120"/>
    </w:p>
  </w:footnote>
  <w:footnote w:id="219">
    <w:p w14:paraId="20250F8D" w14:textId="022B5E92" w:rsidR="00B82F76" w:rsidRPr="00063342" w:rsidRDefault="00B82F76" w:rsidP="000057AD">
      <w:pPr>
        <w:pStyle w:val="NotesBasPage"/>
      </w:pPr>
      <w:r>
        <w:rPr>
          <w:rStyle w:val="Appelnotedebasdep"/>
        </w:rPr>
        <w:footnoteRef/>
      </w:r>
      <w:r w:rsidRPr="00063342">
        <w:t xml:space="preserve"> </w:t>
      </w:r>
      <w:r w:rsidRPr="00063342">
        <w:tab/>
      </w:r>
      <w:r w:rsidR="00063342" w:rsidRPr="00063342">
        <w:t xml:space="preserve">Chateauneuf et al, </w:t>
      </w:r>
      <w:r w:rsidR="00063342" w:rsidRPr="00063342">
        <w:rPr>
          <w:i/>
        </w:rPr>
        <w:t>supra</w:t>
      </w:r>
      <w:r w:rsidR="00063342" w:rsidRPr="00063342">
        <w:t xml:space="preserve"> note </w:t>
      </w:r>
      <w:r w:rsidR="00063342" w:rsidRPr="00063342">
        <w:fldChar w:fldCharType="begin"/>
      </w:r>
      <w:r w:rsidR="00063342" w:rsidRPr="00063342">
        <w:instrText xml:space="preserve"> NOTEREF _Ref201136782 \h </w:instrText>
      </w:r>
      <w:r w:rsidR="00063342">
        <w:instrText xml:space="preserve"> \* MERGEFORMAT </w:instrText>
      </w:r>
      <w:r w:rsidR="00063342" w:rsidRPr="00063342">
        <w:fldChar w:fldCharType="separate"/>
      </w:r>
      <w:r w:rsidR="0085330E">
        <w:t>129</w:t>
      </w:r>
      <w:r w:rsidR="00063342" w:rsidRPr="00063342">
        <w:fldChar w:fldCharType="end"/>
      </w:r>
      <w:r w:rsidR="00F86671">
        <w:t> </w:t>
      </w:r>
      <w:r w:rsidR="00063342" w:rsidRPr="00063342">
        <w:t>ch</w:t>
      </w:r>
      <w:r w:rsidR="00644C2D">
        <w:t>apitre</w:t>
      </w:r>
      <w:r w:rsidR="00063342" w:rsidRPr="00063342">
        <w:t xml:space="preserve"> 9 à la p 290 (Vanessa Lecompte et Katherine Pascuzzo)</w:t>
      </w:r>
      <w:r w:rsidRPr="00063342">
        <w:t>.</w:t>
      </w:r>
    </w:p>
  </w:footnote>
  <w:footnote w:id="220">
    <w:p w14:paraId="48D251E3" w14:textId="4FB42CFC" w:rsidR="00B82F76" w:rsidRPr="00063342" w:rsidRDefault="00B82F76" w:rsidP="000057AD">
      <w:pPr>
        <w:pStyle w:val="NotesBasPage"/>
      </w:pPr>
      <w:r w:rsidRPr="00063342">
        <w:rPr>
          <w:rStyle w:val="Appelnotedebasdep"/>
        </w:rPr>
        <w:footnoteRef/>
      </w:r>
      <w:r w:rsidRPr="00063342">
        <w:t xml:space="preserve"> </w:t>
      </w:r>
      <w:r w:rsidRPr="00063342">
        <w:tab/>
      </w:r>
      <w:r w:rsidR="00063342" w:rsidRPr="00063342">
        <w:rPr>
          <w:i/>
          <w:iCs/>
        </w:rPr>
        <w:t>Idem</w:t>
      </w:r>
      <w:r w:rsidRPr="00063342">
        <w:t xml:space="preserve"> </w:t>
      </w:r>
      <w:r w:rsidR="00AA747D" w:rsidRPr="00063342">
        <w:t xml:space="preserve">à la p </w:t>
      </w:r>
      <w:r w:rsidRPr="00063342">
        <w:t>289.</w:t>
      </w:r>
    </w:p>
  </w:footnote>
  <w:footnote w:id="221">
    <w:p w14:paraId="479C5E1C" w14:textId="1F306202" w:rsidR="00B82F76" w:rsidRPr="00C538D5" w:rsidRDefault="00B82F76" w:rsidP="000057AD">
      <w:pPr>
        <w:pStyle w:val="NotesBasPage"/>
        <w:rPr>
          <w:highlight w:val="yellow"/>
        </w:rPr>
      </w:pPr>
      <w:r w:rsidRPr="00063342">
        <w:rPr>
          <w:rStyle w:val="Appelnotedebasdep"/>
        </w:rPr>
        <w:footnoteRef/>
      </w:r>
      <w:r w:rsidRPr="00063342">
        <w:t xml:space="preserve"> </w:t>
      </w:r>
      <w:r w:rsidRPr="00063342">
        <w:tab/>
      </w:r>
      <w:r w:rsidR="00063342" w:rsidRPr="00063342">
        <w:rPr>
          <w:i/>
          <w:iCs/>
        </w:rPr>
        <w:t>Idem</w:t>
      </w:r>
      <w:r w:rsidRPr="00063342">
        <w:t xml:space="preserve"> </w:t>
      </w:r>
      <w:r w:rsidR="00AA747D" w:rsidRPr="00063342">
        <w:t xml:space="preserve">à la p </w:t>
      </w:r>
      <w:r w:rsidRPr="00063342">
        <w:t>290.</w:t>
      </w:r>
    </w:p>
  </w:footnote>
  <w:footnote w:id="222">
    <w:p w14:paraId="5D63DB5A" w14:textId="217CD1BE" w:rsidR="00805216" w:rsidRPr="00063342" w:rsidRDefault="00805216" w:rsidP="000057AD">
      <w:pPr>
        <w:pStyle w:val="NotesBasPage"/>
      </w:pPr>
      <w:r w:rsidRPr="00063342">
        <w:rPr>
          <w:rStyle w:val="Appelnotedebasdep"/>
        </w:rPr>
        <w:footnoteRef/>
      </w:r>
      <w:r w:rsidRPr="00063342">
        <w:t xml:space="preserve"> </w:t>
      </w:r>
      <w:r w:rsidRPr="00063342">
        <w:tab/>
      </w:r>
      <w:r w:rsidR="00063342" w:rsidRPr="00063342">
        <w:rPr>
          <w:i/>
          <w:iCs/>
        </w:rPr>
        <w:t>Idem</w:t>
      </w:r>
      <w:r w:rsidR="00625171" w:rsidRPr="00063342">
        <w:t xml:space="preserve"> à la </w:t>
      </w:r>
      <w:r w:rsidRPr="00063342">
        <w:t>p. 289.</w:t>
      </w:r>
    </w:p>
  </w:footnote>
  <w:footnote w:id="223">
    <w:p w14:paraId="5AE305E7" w14:textId="73FC176C" w:rsidR="00805216" w:rsidRDefault="00805216" w:rsidP="000057AD">
      <w:pPr>
        <w:pStyle w:val="NotesBasPage"/>
      </w:pPr>
      <w:r w:rsidRPr="00063342">
        <w:rPr>
          <w:rStyle w:val="Appelnotedebasdep"/>
        </w:rPr>
        <w:footnoteRef/>
      </w:r>
      <w:r w:rsidRPr="00063342">
        <w:t xml:space="preserve"> </w:t>
      </w:r>
      <w:r w:rsidRPr="00063342">
        <w:tab/>
      </w:r>
      <w:r w:rsidRPr="002F3889">
        <w:rPr>
          <w:i/>
          <w:iCs/>
        </w:rPr>
        <w:t>Idem</w:t>
      </w:r>
      <w:r w:rsidR="000651E0">
        <w:t>.</w:t>
      </w:r>
    </w:p>
  </w:footnote>
  <w:footnote w:id="224">
    <w:p w14:paraId="52665292" w14:textId="755731E3" w:rsidR="00805216" w:rsidRDefault="00805216" w:rsidP="000057AD">
      <w:pPr>
        <w:pStyle w:val="NotesBasPage"/>
      </w:pPr>
      <w:r>
        <w:rPr>
          <w:rStyle w:val="Appelnotedebasdep"/>
        </w:rPr>
        <w:footnoteRef/>
      </w:r>
      <w:r>
        <w:t xml:space="preserve">  </w:t>
      </w:r>
      <w:r>
        <w:tab/>
      </w:r>
      <w:r w:rsidR="008C4CA4">
        <w:t xml:space="preserve">Gouvernement du Québec, </w:t>
      </w:r>
      <w:r w:rsidR="00B66790" w:rsidRPr="00B66790">
        <w:rPr>
          <w:i/>
          <w:iCs/>
        </w:rPr>
        <w:t>supra</w:t>
      </w:r>
      <w:r w:rsidR="008C4CA4">
        <w:t xml:space="preserve"> note </w:t>
      </w:r>
      <w:r w:rsidR="00B844D7">
        <w:fldChar w:fldCharType="begin"/>
      </w:r>
      <w:r w:rsidR="00B844D7">
        <w:instrText xml:space="preserve"> NOTEREF _Ref200534848 \h </w:instrText>
      </w:r>
      <w:r w:rsidR="00B844D7">
        <w:fldChar w:fldCharType="separate"/>
      </w:r>
      <w:r w:rsidR="0085330E">
        <w:t>97</w:t>
      </w:r>
      <w:r w:rsidR="00B844D7">
        <w:fldChar w:fldCharType="end"/>
      </w:r>
      <w:r w:rsidR="008C4CA4">
        <w:t xml:space="preserve"> à la</w:t>
      </w:r>
      <w:r>
        <w:t xml:space="preserve"> p 17.</w:t>
      </w:r>
    </w:p>
  </w:footnote>
  <w:footnote w:id="225">
    <w:p w14:paraId="3E60690A" w14:textId="7A3CC2EE" w:rsidR="00E95AD0" w:rsidRDefault="00E95AD0" w:rsidP="000057AD">
      <w:pPr>
        <w:pStyle w:val="NotesBasPage"/>
      </w:pPr>
      <w:r>
        <w:rPr>
          <w:rStyle w:val="Appelnotedebasdep"/>
        </w:rPr>
        <w:footnoteRef/>
      </w:r>
      <w:r>
        <w:t xml:space="preserve"> </w:t>
      </w:r>
      <w:r>
        <w:tab/>
      </w:r>
      <w:r w:rsidRPr="002F3889">
        <w:rPr>
          <w:i/>
          <w:iCs/>
        </w:rPr>
        <w:t>Idem</w:t>
      </w:r>
      <w:r w:rsidR="00C636EF">
        <w:t>.</w:t>
      </w:r>
    </w:p>
  </w:footnote>
  <w:footnote w:id="226">
    <w:p w14:paraId="13AA8CB6" w14:textId="06ABD0E8" w:rsidR="00E95AD0" w:rsidRDefault="00E95AD0" w:rsidP="000057AD">
      <w:pPr>
        <w:pStyle w:val="NotesBasPage"/>
      </w:pPr>
      <w:r>
        <w:rPr>
          <w:rStyle w:val="Appelnotedebasdep"/>
        </w:rPr>
        <w:footnoteRef/>
      </w:r>
      <w:r>
        <w:t xml:space="preserve"> </w:t>
      </w:r>
      <w:r>
        <w:tab/>
      </w:r>
      <w:r w:rsidR="005360E4" w:rsidRPr="00C21939">
        <w:t>Chateauneuf et al</w:t>
      </w:r>
      <w:r w:rsidR="005360E4" w:rsidRPr="000848E5">
        <w:t xml:space="preserve">, </w:t>
      </w:r>
      <w:r w:rsidR="005360E4" w:rsidRPr="00B66790">
        <w:rPr>
          <w:i/>
        </w:rPr>
        <w:t>supra</w:t>
      </w:r>
      <w:r w:rsidR="005360E4">
        <w:t xml:space="preserve"> note </w:t>
      </w:r>
      <w:r w:rsidR="005360E4">
        <w:fldChar w:fldCharType="begin"/>
      </w:r>
      <w:r w:rsidR="005360E4">
        <w:instrText xml:space="preserve"> NOTEREF _Ref201136782 \h </w:instrText>
      </w:r>
      <w:r w:rsidR="005360E4">
        <w:fldChar w:fldCharType="separate"/>
      </w:r>
      <w:r w:rsidR="0085330E">
        <w:t>129</w:t>
      </w:r>
      <w:r w:rsidR="005360E4">
        <w:fldChar w:fldCharType="end"/>
      </w:r>
      <w:r w:rsidR="00F86671">
        <w:t> </w:t>
      </w:r>
      <w:r w:rsidR="005360E4">
        <w:t xml:space="preserve">chapitre 12 à la </w:t>
      </w:r>
      <w:r w:rsidR="00644C2D">
        <w:t xml:space="preserve">p </w:t>
      </w:r>
      <w:r w:rsidRPr="00625171">
        <w:t>363.</w:t>
      </w:r>
    </w:p>
  </w:footnote>
  <w:footnote w:id="227">
    <w:p w14:paraId="3FC5109C" w14:textId="4A0D2BBB" w:rsidR="00B84F0E" w:rsidRDefault="00B84F0E" w:rsidP="000057AD">
      <w:pPr>
        <w:pStyle w:val="NotesBasPage"/>
      </w:pPr>
      <w:r>
        <w:rPr>
          <w:rStyle w:val="Appelnotedebasdep"/>
        </w:rPr>
        <w:footnoteRef/>
      </w:r>
      <w:r>
        <w:t xml:space="preserve">  </w:t>
      </w:r>
      <w:r>
        <w:tab/>
      </w:r>
      <w:r w:rsidR="00CD31E9">
        <w:t>CSDEPJ</w:t>
      </w:r>
      <w:r w:rsidR="00CD31E9">
        <w:rPr>
          <w:i/>
          <w:iCs/>
        </w:rPr>
        <w:t xml:space="preserve">, </w:t>
      </w:r>
      <w:r w:rsidR="00CD31E9" w:rsidRPr="00F65836">
        <w:rPr>
          <w:i/>
          <w:iCs/>
        </w:rPr>
        <w:t>supra</w:t>
      </w:r>
      <w:r w:rsidR="00CD31E9" w:rsidRPr="00F65836">
        <w:t xml:space="preserve"> note </w:t>
      </w:r>
      <w:r w:rsidR="00CD31E9">
        <w:fldChar w:fldCharType="begin"/>
      </w:r>
      <w:r w:rsidR="00CD31E9">
        <w:instrText xml:space="preserve"> NOTEREF _Ref200460822 \h  \* MERGEFORMAT </w:instrText>
      </w:r>
      <w:r w:rsidR="00CD31E9">
        <w:fldChar w:fldCharType="separate"/>
      </w:r>
      <w:r w:rsidR="0085330E">
        <w:t>6</w:t>
      </w:r>
      <w:r w:rsidR="00CD31E9">
        <w:fldChar w:fldCharType="end"/>
      </w:r>
      <w:r>
        <w:t xml:space="preserve"> </w:t>
      </w:r>
      <w:r w:rsidR="00B334AE">
        <w:t>à la p</w:t>
      </w:r>
      <w:r>
        <w:t xml:space="preserve"> 46.</w:t>
      </w:r>
    </w:p>
  </w:footnote>
  <w:footnote w:id="228">
    <w:p w14:paraId="061B0D96" w14:textId="36794A8D" w:rsidR="00B84F0E" w:rsidRPr="00B86A12" w:rsidRDefault="00B84F0E" w:rsidP="000057AD">
      <w:pPr>
        <w:pStyle w:val="NotesBasPage"/>
      </w:pPr>
      <w:r w:rsidRPr="00B86A12">
        <w:rPr>
          <w:rStyle w:val="Appelnotedebasdep"/>
        </w:rPr>
        <w:footnoteRef/>
      </w:r>
      <w:r w:rsidRPr="00B86A12">
        <w:tab/>
      </w:r>
      <w:r w:rsidRPr="00C113BE">
        <w:t>C</w:t>
      </w:r>
      <w:r w:rsidRPr="0042480D">
        <w:t>ommission des droits de la personne et des droits de la jeunesse</w:t>
      </w:r>
      <w:r w:rsidRPr="00B86A12">
        <w:t xml:space="preserve">, </w:t>
      </w:r>
      <w:r w:rsidRPr="003B2BFC">
        <w:rPr>
          <w:i/>
          <w:iCs/>
        </w:rPr>
        <w:t>Avis sur la détermination des modalités de contacts entre l’enfant et les membres de sa famille immédiate lorsqu’une ordonnance d’hébergement en vertu de l’article 91 de la Loi sur la protection de la jeunesse est émise</w:t>
      </w:r>
      <w:r w:rsidRPr="00B86A12">
        <w:t xml:space="preserve">, 2015, </w:t>
      </w:r>
      <w:r w:rsidR="00A460CF">
        <w:t>e</w:t>
      </w:r>
      <w:r w:rsidRPr="00B86A12">
        <w:t>n ligne</w:t>
      </w:r>
      <w:r w:rsidR="00A460CF">
        <w:t xml:space="preserve"> : </w:t>
      </w:r>
      <w:hyperlink r:id="rId21" w:history="1">
        <w:r w:rsidR="000845E6" w:rsidRPr="00CF5482">
          <w:rPr>
            <w:rStyle w:val="Lienhypertexte"/>
            <w:rFonts w:cs="Arial"/>
          </w:rPr>
          <w:t>http://www.cdpdj.qc.ca/Publications/avis_contacts_hebergement_article91_LPJ.pdf</w:t>
        </w:r>
      </w:hyperlink>
    </w:p>
  </w:footnote>
  <w:footnote w:id="229">
    <w:p w14:paraId="56E4EFF5" w14:textId="7AA3B593" w:rsidR="00B84F0E" w:rsidRDefault="00B84F0E" w:rsidP="000057AD">
      <w:pPr>
        <w:pStyle w:val="NotesBasPage"/>
      </w:pPr>
      <w:r>
        <w:rPr>
          <w:rStyle w:val="Appelnotedebasdep"/>
        </w:rPr>
        <w:footnoteRef/>
      </w:r>
      <w:r>
        <w:t xml:space="preserve"> </w:t>
      </w:r>
      <w:r>
        <w:tab/>
      </w:r>
      <w:r w:rsidRPr="00310203">
        <w:t xml:space="preserve">Commission des droits de la personne et des droits de la jeunesse, </w:t>
      </w:r>
      <w:r w:rsidR="00693CA0" w:rsidRPr="00693CA0">
        <w:rPr>
          <w:i/>
          <w:iCs/>
        </w:rPr>
        <w:t>supra</w:t>
      </w:r>
      <w:r w:rsidR="00693CA0" w:rsidRPr="00693CA0">
        <w:t xml:space="preserve"> note </w:t>
      </w:r>
      <w:r w:rsidR="0019474B">
        <w:fldChar w:fldCharType="begin"/>
      </w:r>
      <w:r w:rsidR="0019474B">
        <w:instrText xml:space="preserve"> NOTEREF _Ref200617995 \h </w:instrText>
      </w:r>
      <w:r w:rsidR="0019474B">
        <w:fldChar w:fldCharType="separate"/>
      </w:r>
      <w:r w:rsidR="0085330E">
        <w:t>73</w:t>
      </w:r>
      <w:r w:rsidR="0019474B">
        <w:fldChar w:fldCharType="end"/>
      </w:r>
      <w:r w:rsidR="00100C1D">
        <w:t xml:space="preserve"> </w:t>
      </w:r>
      <w:r w:rsidR="00693CA0" w:rsidRPr="00693CA0">
        <w:t>à la</w:t>
      </w:r>
      <w:r w:rsidR="00693CA0">
        <w:t xml:space="preserve"> </w:t>
      </w:r>
      <w:r w:rsidRPr="00310203">
        <w:t>p 32.</w:t>
      </w:r>
    </w:p>
  </w:footnote>
  <w:footnote w:id="230">
    <w:p w14:paraId="27D67A40" w14:textId="5B9EB93A" w:rsidR="00B84F0E" w:rsidRDefault="00B84F0E" w:rsidP="000057AD">
      <w:pPr>
        <w:pStyle w:val="NotesBasPage"/>
      </w:pPr>
      <w:r>
        <w:rPr>
          <w:rStyle w:val="Appelnotedebasdep"/>
        </w:rPr>
        <w:footnoteRef/>
      </w:r>
      <w:r>
        <w:t xml:space="preserve">  </w:t>
      </w:r>
      <w:r>
        <w:tab/>
      </w:r>
      <w:r w:rsidR="00CD31E9">
        <w:t>CSDEPJ</w:t>
      </w:r>
      <w:r w:rsidR="00CD31E9">
        <w:rPr>
          <w:i/>
          <w:iCs/>
        </w:rPr>
        <w:t xml:space="preserve">, </w:t>
      </w:r>
      <w:r w:rsidR="00CD31E9" w:rsidRPr="00F65836">
        <w:rPr>
          <w:i/>
          <w:iCs/>
        </w:rPr>
        <w:t>supra</w:t>
      </w:r>
      <w:r w:rsidR="00CD31E9" w:rsidRPr="00F65836">
        <w:t xml:space="preserve"> note </w:t>
      </w:r>
      <w:r w:rsidR="00CD31E9">
        <w:fldChar w:fldCharType="begin"/>
      </w:r>
      <w:r w:rsidR="00CD31E9">
        <w:instrText xml:space="preserve"> NOTEREF _Ref200460822 \h  \* MERGEFORMAT </w:instrText>
      </w:r>
      <w:r w:rsidR="00CD31E9">
        <w:fldChar w:fldCharType="separate"/>
      </w:r>
      <w:r w:rsidR="0085330E">
        <w:t>6</w:t>
      </w:r>
      <w:r w:rsidR="00CD31E9">
        <w:fldChar w:fldCharType="end"/>
      </w:r>
      <w:r w:rsidR="00CF1ACF">
        <w:t xml:space="preserve"> </w:t>
      </w:r>
      <w:r w:rsidR="00A460CF">
        <w:t>à la p</w:t>
      </w:r>
      <w:r>
        <w:t xml:space="preserve"> 197.</w:t>
      </w:r>
    </w:p>
  </w:footnote>
  <w:footnote w:id="231">
    <w:p w14:paraId="6A1CA078" w14:textId="473AE84C" w:rsidR="00B84F0E" w:rsidRDefault="00B84F0E" w:rsidP="000057AD">
      <w:pPr>
        <w:pStyle w:val="NotesBasPage"/>
      </w:pPr>
      <w:r>
        <w:rPr>
          <w:rStyle w:val="Appelnotedebasdep"/>
        </w:rPr>
        <w:footnoteRef/>
      </w:r>
      <w:r>
        <w:t xml:space="preserve"> </w:t>
      </w:r>
      <w:r>
        <w:tab/>
      </w:r>
      <w:r w:rsidR="00CD31E9" w:rsidRPr="00CD31E9">
        <w:rPr>
          <w:i/>
          <w:iCs/>
        </w:rPr>
        <w:t>Idem</w:t>
      </w:r>
      <w:r w:rsidR="00B334AE">
        <w:t xml:space="preserve"> à la</w:t>
      </w:r>
      <w:r>
        <w:t xml:space="preserve"> p 204.</w:t>
      </w:r>
    </w:p>
  </w:footnote>
  <w:footnote w:id="232">
    <w:p w14:paraId="674516C6" w14:textId="4C650047" w:rsidR="00B84F0E" w:rsidRPr="00D24935" w:rsidRDefault="00B84F0E" w:rsidP="000057AD">
      <w:pPr>
        <w:pStyle w:val="NotesBasPage"/>
        <w:rPr>
          <w:lang w:val="en-CA"/>
        </w:rPr>
      </w:pPr>
      <w:r>
        <w:rPr>
          <w:rStyle w:val="Appelnotedebasdep"/>
        </w:rPr>
        <w:footnoteRef/>
      </w:r>
      <w:r>
        <w:t xml:space="preserve"> </w:t>
      </w:r>
      <w:r>
        <w:tab/>
      </w:r>
      <w:r w:rsidR="00024624">
        <w:t>Marie-Pierre Joly, Marie-France Blais</w:t>
      </w:r>
      <w:r w:rsidRPr="00D24935">
        <w:t xml:space="preserve">, </w:t>
      </w:r>
      <w:r w:rsidR="00512556">
        <w:t>Marie-Andrée Poirier et a</w:t>
      </w:r>
      <w:r w:rsidR="008246EF">
        <w:t>l</w:t>
      </w:r>
      <w:r w:rsidR="00512556">
        <w:t xml:space="preserve">, </w:t>
      </w:r>
      <w:r w:rsidRPr="006A114C">
        <w:t xml:space="preserve">(2022). </w:t>
      </w:r>
      <w:r w:rsidR="00512556">
        <w:rPr>
          <w:lang w:val="en-CA"/>
        </w:rPr>
        <w:t>«</w:t>
      </w:r>
      <w:r w:rsidR="001A0FEE">
        <w:rPr>
          <w:rFonts w:ascii="Arial" w:hAnsi="Arial" w:cs="Arial"/>
          <w:lang w:val="en-CA"/>
        </w:rPr>
        <w:t> </w:t>
      </w:r>
      <w:r w:rsidRPr="00D24935">
        <w:rPr>
          <w:lang w:val="en-CA"/>
        </w:rPr>
        <w:t>Practitioners’ views on the effects of the</w:t>
      </w:r>
      <w:r w:rsidR="00A02BC1">
        <w:rPr>
          <w:lang w:val="en-CA"/>
        </w:rPr>
        <w:t xml:space="preserve"> </w:t>
      </w:r>
      <w:r w:rsidR="00A02BC1" w:rsidRPr="00A02BC1">
        <w:rPr>
          <w:lang w:val="en-CA"/>
        </w:rPr>
        <w:t>"</w:t>
      </w:r>
      <w:r w:rsidRPr="00D24935">
        <w:rPr>
          <w:lang w:val="en-CA"/>
        </w:rPr>
        <w:t>For caring supervised visitation in child welfare</w:t>
      </w:r>
      <w:r w:rsidR="008246EF" w:rsidRPr="008246EF">
        <w:rPr>
          <w:lang w:val="en-CA"/>
        </w:rPr>
        <w:t>"</w:t>
      </w:r>
      <w:r w:rsidRPr="00D24935">
        <w:rPr>
          <w:lang w:val="en-CA"/>
        </w:rPr>
        <w:t xml:space="preserve"> training</w:t>
      </w:r>
      <w:r w:rsidR="00F02A29">
        <w:rPr>
          <w:rFonts w:ascii="Arial" w:hAnsi="Arial" w:cs="Arial"/>
          <w:lang w:val="en-CA"/>
        </w:rPr>
        <w:t> </w:t>
      </w:r>
      <w:r w:rsidR="00512556">
        <w:rPr>
          <w:rFonts w:ascii="Walbaum Heading" w:hAnsi="Walbaum Heading"/>
          <w:lang w:val="en-CA"/>
        </w:rPr>
        <w:t>»</w:t>
      </w:r>
      <w:r w:rsidRPr="00D24935">
        <w:rPr>
          <w:lang w:val="en-CA"/>
        </w:rPr>
        <w:t xml:space="preserve">, </w:t>
      </w:r>
      <w:r w:rsidR="00512556">
        <w:rPr>
          <w:lang w:val="en-CA"/>
        </w:rPr>
        <w:t xml:space="preserve">(2022) </w:t>
      </w:r>
      <w:r w:rsidRPr="00512556">
        <w:rPr>
          <w:i/>
          <w:iCs/>
          <w:lang w:val="en-CA"/>
        </w:rPr>
        <w:t>Child Abuse &amp; Neglect</w:t>
      </w:r>
      <w:r w:rsidR="00512556">
        <w:rPr>
          <w:lang w:val="en-CA"/>
        </w:rPr>
        <w:t xml:space="preserve"> </w:t>
      </w:r>
      <w:r w:rsidRPr="00D24935">
        <w:rPr>
          <w:lang w:val="en-CA"/>
        </w:rPr>
        <w:t>130 105167</w:t>
      </w:r>
      <w:r>
        <w:rPr>
          <w:lang w:val="en-CA"/>
        </w:rPr>
        <w:t xml:space="preserve">, cité dans </w:t>
      </w:r>
      <w:r w:rsidR="00F73B14" w:rsidRPr="00F73B14">
        <w:rPr>
          <w:lang w:val="en-CA"/>
        </w:rPr>
        <w:t xml:space="preserve">Chateauneuf et al, </w:t>
      </w:r>
      <w:r w:rsidR="00F73B14" w:rsidRPr="00F73B14">
        <w:rPr>
          <w:i/>
          <w:lang w:val="en-CA"/>
        </w:rPr>
        <w:t>supra</w:t>
      </w:r>
      <w:r w:rsidR="00F73B14" w:rsidRPr="00F73B14">
        <w:rPr>
          <w:lang w:val="en-CA"/>
        </w:rPr>
        <w:t xml:space="preserve"> note </w:t>
      </w:r>
      <w:r w:rsidR="00F73B14" w:rsidRPr="00063342">
        <w:fldChar w:fldCharType="begin"/>
      </w:r>
      <w:r w:rsidR="00F73B14" w:rsidRPr="00F73B14">
        <w:rPr>
          <w:lang w:val="en-CA"/>
        </w:rPr>
        <w:instrText xml:space="preserve"> NOTEREF _Ref201136782 \h  \* MERGEFORMAT </w:instrText>
      </w:r>
      <w:r w:rsidR="00F73B14" w:rsidRPr="00063342">
        <w:fldChar w:fldCharType="separate"/>
      </w:r>
      <w:r w:rsidR="0085330E">
        <w:rPr>
          <w:lang w:val="en-CA"/>
        </w:rPr>
        <w:t>129</w:t>
      </w:r>
      <w:r w:rsidR="00F73B14" w:rsidRPr="00063342">
        <w:fldChar w:fldCharType="end"/>
      </w:r>
      <w:r w:rsidR="00F86671">
        <w:rPr>
          <w:lang w:val="en-CA"/>
        </w:rPr>
        <w:t> </w:t>
      </w:r>
      <w:r w:rsidR="00F73B14" w:rsidRPr="00F73B14">
        <w:rPr>
          <w:lang w:val="en-CA"/>
        </w:rPr>
        <w:t>ch</w:t>
      </w:r>
      <w:r w:rsidR="00E26DF1">
        <w:rPr>
          <w:lang w:val="en-CA"/>
        </w:rPr>
        <w:t>apitre</w:t>
      </w:r>
      <w:r w:rsidR="00F73B14" w:rsidRPr="00F73B14">
        <w:rPr>
          <w:lang w:val="en-CA"/>
        </w:rPr>
        <w:t xml:space="preserve"> 9</w:t>
      </w:r>
      <w:r w:rsidR="00512556">
        <w:rPr>
          <w:lang w:val="en-CA"/>
        </w:rPr>
        <w:t xml:space="preserve"> à la p</w:t>
      </w:r>
      <w:r>
        <w:rPr>
          <w:lang w:val="en-CA"/>
        </w:rPr>
        <w:t xml:space="preserve"> 291</w:t>
      </w:r>
      <w:r w:rsidR="00F73B14" w:rsidRPr="00F73B14">
        <w:rPr>
          <w:lang w:val="en-CA"/>
        </w:rPr>
        <w:t xml:space="preserve"> (Vanessa Lecompte et Katherine Pascuzzo).</w:t>
      </w:r>
    </w:p>
  </w:footnote>
  <w:footnote w:id="233">
    <w:p w14:paraId="2746FBE7" w14:textId="77777777" w:rsidR="008C1425" w:rsidRDefault="008C1425" w:rsidP="000057AD">
      <w:pPr>
        <w:pStyle w:val="NotesBasPage"/>
      </w:pPr>
      <w:r w:rsidRPr="009D5830">
        <w:rPr>
          <w:rStyle w:val="Appelnotedebasdep"/>
        </w:rPr>
        <w:footnoteRef/>
      </w:r>
      <w:r w:rsidRPr="009D5830">
        <w:t xml:space="preserve"> </w:t>
      </w:r>
      <w:r>
        <w:tab/>
      </w:r>
      <w:r w:rsidRPr="009D5830">
        <w:t>Commission de vérité et de réconciliation du Canada</w:t>
      </w:r>
      <w:r w:rsidRPr="00C808AB">
        <w:t xml:space="preserve">, </w:t>
      </w:r>
      <w:r w:rsidRPr="00C24028">
        <w:rPr>
          <w:i/>
          <w:iCs/>
        </w:rPr>
        <w:t>Honorer la vérité, réconcilier pour l’avenir : sommaire du rapport final de la Commission de vérité et réconciliation du Canada</w:t>
      </w:r>
      <w:r w:rsidRPr="009D5830">
        <w:t>, Montréal, McGill-Queen’s University Press, 2015</w:t>
      </w:r>
      <w:r>
        <w:rPr>
          <w:rFonts w:ascii="Arial" w:hAnsi="Arial" w:cs="Arial"/>
        </w:rPr>
        <w:t> </w:t>
      </w:r>
      <w:r w:rsidRPr="009D5830">
        <w:t>; Tara Hahmann, Hyunji Lee et Sylvie Godin, «</w:t>
      </w:r>
      <w:r>
        <w:rPr>
          <w:rFonts w:ascii="Arial" w:hAnsi="Arial" w:cs="Arial"/>
        </w:rPr>
        <w:t> </w:t>
      </w:r>
      <w:r w:rsidRPr="009D5830">
        <w:t>Enfants autochtones en famille d’accueil vivant dans des ménages privés : taux et caractéstiques sociodémographiques des enfants en famille d’accueil et des ménages</w:t>
      </w:r>
      <w:r>
        <w:rPr>
          <w:rFonts w:ascii="Arial" w:hAnsi="Arial" w:cs="Arial"/>
        </w:rPr>
        <w:t> </w:t>
      </w:r>
      <w:r w:rsidRPr="009D5830">
        <w:t>», Statistique Canada, 2024</w:t>
      </w:r>
      <w:r>
        <w:rPr>
          <w:rFonts w:ascii="Arial" w:hAnsi="Arial" w:cs="Arial"/>
        </w:rPr>
        <w:t> </w:t>
      </w:r>
      <w:r w:rsidRPr="009D5830">
        <w:t>; Commission des droits de la personne et des droits de la jeunesse</w:t>
      </w:r>
      <w:r w:rsidRPr="00C808AB">
        <w:t xml:space="preserve">, </w:t>
      </w:r>
      <w:r w:rsidRPr="00C24028">
        <w:rPr>
          <w:i/>
          <w:iCs/>
        </w:rPr>
        <w:t>Bilan de la mise en œuvre des recommandations du Rapport de la consultation sur le profilage racial et ses conséquences</w:t>
      </w:r>
      <w:r w:rsidRPr="009D5830">
        <w:t>, 2020, aux pp 199-226</w:t>
      </w:r>
      <w:r>
        <w:rPr>
          <w:rFonts w:ascii="Arial" w:hAnsi="Arial" w:cs="Arial"/>
        </w:rPr>
        <w:t> </w:t>
      </w:r>
      <w:r w:rsidRPr="009D5830">
        <w:t>; Alicia Boatswain-Kyte, Barbara Francia Dejean et Maryam Kiakho, «</w:t>
      </w:r>
      <w:r>
        <w:rPr>
          <w:rFonts w:ascii="Arial" w:hAnsi="Arial" w:cs="Arial"/>
        </w:rPr>
        <w:t> </w:t>
      </w:r>
      <w:r w:rsidRPr="009D5830">
        <w:t>Racisme anti-Noir, profilage racial et système de protection de la jeunesse au Québec</w:t>
      </w:r>
      <w:r>
        <w:rPr>
          <w:rFonts w:ascii="Arial" w:hAnsi="Arial" w:cs="Arial"/>
        </w:rPr>
        <w:t> </w:t>
      </w:r>
      <w:r w:rsidRPr="009D5830">
        <w:t>» (2023) 33 :</w:t>
      </w:r>
      <w:r>
        <w:t xml:space="preserve"> </w:t>
      </w:r>
      <w:r w:rsidRPr="009D5830">
        <w:t xml:space="preserve">2 </w:t>
      </w:r>
      <w:r w:rsidRPr="00C808AB">
        <w:t>Nouvelles pratique sociales</w:t>
      </w:r>
      <w:r w:rsidRPr="009D5830">
        <w:t xml:space="preserve"> 54-75</w:t>
      </w:r>
      <w:r>
        <w:t>.</w:t>
      </w:r>
    </w:p>
  </w:footnote>
  <w:footnote w:id="234">
    <w:p w14:paraId="693A9B97" w14:textId="7CBEF38E" w:rsidR="008C1425" w:rsidRDefault="008C1425" w:rsidP="000057AD">
      <w:pPr>
        <w:pStyle w:val="NotesBasPage"/>
      </w:pPr>
      <w:r>
        <w:rPr>
          <w:rStyle w:val="Appelnotedebasdep"/>
        </w:rPr>
        <w:footnoteRef/>
      </w:r>
      <w:r>
        <w:t xml:space="preserve"> </w:t>
      </w:r>
      <w:r>
        <w:tab/>
      </w:r>
      <w:r w:rsidR="00CD31E9">
        <w:t>CSDEPJ</w:t>
      </w:r>
      <w:r w:rsidR="00CD31E9">
        <w:rPr>
          <w:i/>
          <w:iCs/>
        </w:rPr>
        <w:t xml:space="preserve">, </w:t>
      </w:r>
      <w:r w:rsidR="00CD31E9" w:rsidRPr="00F65836">
        <w:rPr>
          <w:i/>
          <w:iCs/>
        </w:rPr>
        <w:t>supra</w:t>
      </w:r>
      <w:r w:rsidR="00CD31E9" w:rsidRPr="00F65836">
        <w:t xml:space="preserve"> note </w:t>
      </w:r>
      <w:r w:rsidR="00CD31E9">
        <w:fldChar w:fldCharType="begin"/>
      </w:r>
      <w:r w:rsidR="00CD31E9">
        <w:instrText xml:space="preserve"> NOTEREF _Ref200460822 \h  \* MERGEFORMAT </w:instrText>
      </w:r>
      <w:r w:rsidR="00CD31E9">
        <w:fldChar w:fldCharType="separate"/>
      </w:r>
      <w:r w:rsidR="0085330E">
        <w:t>6</w:t>
      </w:r>
      <w:r w:rsidR="00CD31E9">
        <w:fldChar w:fldCharType="end"/>
      </w:r>
      <w:r w:rsidR="00CD31E9">
        <w:t xml:space="preserve">, </w:t>
      </w:r>
      <w:r w:rsidRPr="00A562DD">
        <w:t>chapitre 9</w:t>
      </w:r>
      <w:r w:rsidR="00822EA4">
        <w:t xml:space="preserve"> </w:t>
      </w:r>
      <w:r w:rsidR="0070791B">
        <w:rPr>
          <w:rFonts w:ascii="Arial" w:hAnsi="Arial" w:cs="Arial"/>
        </w:rPr>
        <w:t>«</w:t>
      </w:r>
      <w:r w:rsidR="00F02A29">
        <w:rPr>
          <w:rFonts w:ascii="Arial" w:hAnsi="Arial" w:cs="Arial"/>
        </w:rPr>
        <w:t> </w:t>
      </w:r>
      <w:r w:rsidRPr="00A562DD">
        <w:t>Passer à l’action pour les enfants autochtones</w:t>
      </w:r>
      <w:r>
        <w:rPr>
          <w:rFonts w:ascii="Arial" w:hAnsi="Arial" w:cs="Arial"/>
        </w:rPr>
        <w:t> </w:t>
      </w:r>
      <w:r w:rsidRPr="00A562DD">
        <w:t>»</w:t>
      </w:r>
      <w:r w:rsidR="00C808AB">
        <w:t xml:space="preserve"> aux p</w:t>
      </w:r>
      <w:r w:rsidRPr="00A562DD">
        <w:t>p 277-299.</w:t>
      </w:r>
    </w:p>
  </w:footnote>
  <w:footnote w:id="235">
    <w:p w14:paraId="086FE56C" w14:textId="113CDF07" w:rsidR="008C1425" w:rsidRDefault="008C1425" w:rsidP="000057AD">
      <w:pPr>
        <w:pStyle w:val="NotesBasPage"/>
      </w:pPr>
      <w:r w:rsidRPr="00615211">
        <w:rPr>
          <w:rStyle w:val="Appelnotedebasdep"/>
        </w:rPr>
        <w:footnoteRef/>
      </w:r>
      <w:r w:rsidRPr="00615211">
        <w:t xml:space="preserve"> </w:t>
      </w:r>
      <w:r>
        <w:tab/>
      </w:r>
      <w:r w:rsidR="00CD31E9" w:rsidRPr="00CD31E9">
        <w:rPr>
          <w:i/>
          <w:iCs/>
        </w:rPr>
        <w:t>Idem</w:t>
      </w:r>
      <w:r w:rsidRPr="00615211">
        <w:t xml:space="preserve"> </w:t>
      </w:r>
      <w:r w:rsidR="00C808AB">
        <w:t>à la p</w:t>
      </w:r>
      <w:r w:rsidRPr="00615211">
        <w:t xml:space="preserve"> 301.</w:t>
      </w:r>
    </w:p>
  </w:footnote>
  <w:footnote w:id="236">
    <w:p w14:paraId="47C1137C" w14:textId="77777777" w:rsidR="008C1425" w:rsidRDefault="008C1425" w:rsidP="000057AD">
      <w:pPr>
        <w:pStyle w:val="Notedebasdepage"/>
        <w:ind w:left="426" w:hanging="426"/>
        <w:jc w:val="left"/>
      </w:pPr>
      <w:r>
        <w:rPr>
          <w:rStyle w:val="Appelnotedebasdep"/>
        </w:rPr>
        <w:footnoteRef/>
      </w:r>
      <w:r>
        <w:t xml:space="preserve"> </w:t>
      </w:r>
      <w:r>
        <w:tab/>
      </w:r>
      <w:r w:rsidRPr="0026459C">
        <w:rPr>
          <w:sz w:val="18"/>
          <w:szCs w:val="18"/>
        </w:rPr>
        <w:t xml:space="preserve">Léger et Observatoire des communautés noires du Québec, </w:t>
      </w:r>
      <w:r w:rsidRPr="00C808AB">
        <w:rPr>
          <w:i/>
          <w:iCs/>
          <w:sz w:val="18"/>
          <w:szCs w:val="18"/>
        </w:rPr>
        <w:t xml:space="preserve">Portrait des communautés noires du </w:t>
      </w:r>
      <w:r w:rsidRPr="00E26DF1">
        <w:rPr>
          <w:i/>
          <w:iCs/>
          <w:sz w:val="18"/>
          <w:szCs w:val="18"/>
        </w:rPr>
        <w:t>Québec</w:t>
      </w:r>
      <w:r w:rsidRPr="00C808AB">
        <w:rPr>
          <w:sz w:val="18"/>
          <w:szCs w:val="18"/>
        </w:rPr>
        <w:t>, Rapport</w:t>
      </w:r>
      <w:r w:rsidRPr="0026459C">
        <w:rPr>
          <w:sz w:val="18"/>
          <w:szCs w:val="18"/>
        </w:rPr>
        <w:t>, 2025, à la p 34.</w:t>
      </w:r>
    </w:p>
  </w:footnote>
  <w:footnote w:id="237">
    <w:p w14:paraId="4CEE459D" w14:textId="47EB8F7A" w:rsidR="00EF177F" w:rsidRDefault="00EF177F" w:rsidP="00EF177F">
      <w:pPr>
        <w:pStyle w:val="NotesBasPage"/>
      </w:pPr>
      <w:r>
        <w:rPr>
          <w:rStyle w:val="Appelnotedebasdep"/>
        </w:rPr>
        <w:footnoteRef/>
      </w:r>
      <w:r>
        <w:t xml:space="preserve"> </w:t>
      </w:r>
      <w:r>
        <w:tab/>
      </w:r>
      <w:r w:rsidR="00B46C1D">
        <w:t>LPJ, chapitre V.1</w:t>
      </w:r>
      <w:r w:rsidR="00302A0F">
        <w:t>.</w:t>
      </w:r>
    </w:p>
  </w:footnote>
  <w:footnote w:id="238">
    <w:p w14:paraId="2FF1271A" w14:textId="41F615BD" w:rsidR="008C1425" w:rsidRDefault="008C1425" w:rsidP="005360E4">
      <w:pPr>
        <w:pStyle w:val="NotesBasPage"/>
      </w:pPr>
      <w:r>
        <w:rPr>
          <w:rStyle w:val="Appelnotedebasdep"/>
        </w:rPr>
        <w:footnoteRef/>
      </w:r>
      <w:r>
        <w:t xml:space="preserve"> </w:t>
      </w:r>
      <w:r>
        <w:tab/>
      </w:r>
      <w:r w:rsidR="00CD31E9">
        <w:t>CSDEPJ</w:t>
      </w:r>
      <w:r w:rsidR="00CD31E9">
        <w:rPr>
          <w:i/>
          <w:iCs/>
        </w:rPr>
        <w:t xml:space="preserve">, </w:t>
      </w:r>
      <w:r w:rsidR="00CD31E9" w:rsidRPr="00F65836">
        <w:rPr>
          <w:i/>
          <w:iCs/>
        </w:rPr>
        <w:t>supra</w:t>
      </w:r>
      <w:r w:rsidR="00CD31E9" w:rsidRPr="00F65836">
        <w:t xml:space="preserve"> note </w:t>
      </w:r>
      <w:r w:rsidR="00CD31E9">
        <w:fldChar w:fldCharType="begin"/>
      </w:r>
      <w:r w:rsidR="00CD31E9">
        <w:instrText xml:space="preserve"> NOTEREF _Ref200460822 \h  \* MERGEFORMAT </w:instrText>
      </w:r>
      <w:r w:rsidR="00CD31E9">
        <w:fldChar w:fldCharType="separate"/>
      </w:r>
      <w:r w:rsidR="0085330E">
        <w:t>6</w:t>
      </w:r>
      <w:r w:rsidR="00CD31E9">
        <w:fldChar w:fldCharType="end"/>
      </w:r>
      <w:r w:rsidR="00CD31E9">
        <w:t xml:space="preserve"> à la </w:t>
      </w:r>
      <w:r w:rsidRPr="00EE731B">
        <w:t>p 45.</w:t>
      </w:r>
      <w:r w:rsidRPr="002D402C">
        <w:t xml:space="preserve"> </w:t>
      </w:r>
    </w:p>
  </w:footnote>
  <w:footnote w:id="239">
    <w:p w14:paraId="714D2778" w14:textId="541586D0" w:rsidR="004E3551" w:rsidRDefault="008C1425" w:rsidP="005360E4">
      <w:pPr>
        <w:pStyle w:val="NotesBasPage"/>
      </w:pPr>
      <w:r>
        <w:rPr>
          <w:rStyle w:val="Appelnotedebasdep"/>
        </w:rPr>
        <w:footnoteRef/>
      </w:r>
      <w:r>
        <w:t xml:space="preserve"> </w:t>
      </w:r>
      <w:r>
        <w:tab/>
      </w:r>
      <w:r w:rsidR="007446FB">
        <w:t>Commission des droits de la personne et des droits de la jeunesse,</w:t>
      </w:r>
      <w:r w:rsidR="007446FB" w:rsidRPr="007446FB">
        <w:t xml:space="preserve"> </w:t>
      </w:r>
      <w:r w:rsidR="000057AD" w:rsidRPr="000057AD">
        <w:rPr>
          <w:i/>
          <w:iCs/>
        </w:rPr>
        <w:t xml:space="preserve">Bilan </w:t>
      </w:r>
      <w:r w:rsidR="007446FB" w:rsidRPr="000057AD">
        <w:rPr>
          <w:i/>
          <w:iCs/>
        </w:rPr>
        <w:t>de la mise en œuvre des recommandations</w:t>
      </w:r>
      <w:r w:rsidR="000057AD" w:rsidRPr="000057AD">
        <w:rPr>
          <w:i/>
          <w:iCs/>
        </w:rPr>
        <w:t xml:space="preserve"> </w:t>
      </w:r>
      <w:r w:rsidR="007446FB" w:rsidRPr="000057AD">
        <w:rPr>
          <w:i/>
          <w:iCs/>
        </w:rPr>
        <w:t>du Rapport portant sur les services de protection de la jeunesse au Nunavik</w:t>
      </w:r>
      <w:r w:rsidR="000057AD">
        <w:t>, 2024, à la p 27, en ligne</w:t>
      </w:r>
      <w:r w:rsidR="004E3551">
        <w:t xml:space="preserve"> : </w:t>
      </w:r>
      <w:hyperlink r:id="rId22" w:history="1">
        <w:r w:rsidR="004E3551" w:rsidRPr="00D63359">
          <w:rPr>
            <w:rStyle w:val="Lienhypertexte"/>
          </w:rPr>
          <w:t>https://www.cdpdj.qc.ca/storage/app/media/publications/rapport-nunavik-2024-FR.pdf</w:t>
        </w:r>
      </w:hyperlink>
    </w:p>
  </w:footnote>
  <w:footnote w:id="240">
    <w:p w14:paraId="31C11A2E" w14:textId="37C1DFC5" w:rsidR="008C1425" w:rsidRDefault="008C1425" w:rsidP="005360E4">
      <w:pPr>
        <w:pStyle w:val="NotesBasPage"/>
      </w:pPr>
      <w:r>
        <w:rPr>
          <w:rStyle w:val="Appelnotedebasdep"/>
        </w:rPr>
        <w:footnoteRef/>
      </w:r>
      <w:r>
        <w:t xml:space="preserve"> </w:t>
      </w:r>
      <w:r>
        <w:tab/>
      </w:r>
      <w:r w:rsidR="00E11C99" w:rsidRPr="00FF2196">
        <w:t xml:space="preserve">Commission des droits de la personne et des droits de la jeunesse, </w:t>
      </w:r>
      <w:r w:rsidR="00E11C99">
        <w:rPr>
          <w:i/>
          <w:iCs/>
        </w:rPr>
        <w:t xml:space="preserve">supra </w:t>
      </w:r>
      <w:r w:rsidR="00E11C99" w:rsidRPr="00E11C99">
        <w:t xml:space="preserve">note </w:t>
      </w:r>
      <w:r w:rsidR="002977E8">
        <w:fldChar w:fldCharType="begin"/>
      </w:r>
      <w:r w:rsidR="002977E8">
        <w:instrText xml:space="preserve"> NOTEREF _Ref200631089 \h </w:instrText>
      </w:r>
      <w:r w:rsidR="002977E8">
        <w:fldChar w:fldCharType="separate"/>
      </w:r>
      <w:r w:rsidR="0085330E">
        <w:t>86</w:t>
      </w:r>
      <w:r w:rsidR="002977E8">
        <w:fldChar w:fldCharType="end"/>
      </w:r>
      <w:r w:rsidR="00282BD4">
        <w:t xml:space="preserve"> </w:t>
      </w:r>
      <w:r w:rsidR="00E11C99" w:rsidRPr="00FF2196">
        <w:t xml:space="preserve">à la p </w:t>
      </w:r>
      <w:r w:rsidRPr="002C78DD">
        <w:t>35.</w:t>
      </w:r>
    </w:p>
  </w:footnote>
  <w:footnote w:id="241">
    <w:p w14:paraId="581613C7" w14:textId="4BBABA64" w:rsidR="008C1425" w:rsidRDefault="008C1425" w:rsidP="005360E4">
      <w:pPr>
        <w:pStyle w:val="NotesBasPage"/>
      </w:pPr>
      <w:r>
        <w:rPr>
          <w:rStyle w:val="Appelnotedebasdep"/>
        </w:rPr>
        <w:footnoteRef/>
      </w:r>
      <w:r>
        <w:t xml:space="preserve"> </w:t>
      </w:r>
      <w:r>
        <w:tab/>
      </w:r>
      <w:r w:rsidRPr="00601132">
        <w:rPr>
          <w:i/>
          <w:iCs/>
        </w:rPr>
        <w:t>Idem</w:t>
      </w:r>
      <w:r w:rsidR="00601132">
        <w:rPr>
          <w:i/>
          <w:iCs/>
        </w:rPr>
        <w:t>.</w:t>
      </w:r>
    </w:p>
  </w:footnote>
  <w:footnote w:id="242">
    <w:p w14:paraId="6201948E" w14:textId="5CE0E046" w:rsidR="008C1425" w:rsidRDefault="008C1425" w:rsidP="000057AD">
      <w:pPr>
        <w:pStyle w:val="NotesBasPage"/>
      </w:pPr>
      <w:r>
        <w:rPr>
          <w:rStyle w:val="Appelnotedebasdep"/>
        </w:rPr>
        <w:footnoteRef/>
      </w:r>
      <w:r>
        <w:t xml:space="preserve"> </w:t>
      </w:r>
      <w:r>
        <w:tab/>
        <w:t xml:space="preserve">Commission des droits de la personne et des droits de la jeunesse, </w:t>
      </w:r>
      <w:r w:rsidR="00EE6B25" w:rsidRPr="00EE6B25">
        <w:rPr>
          <w:i/>
          <w:iCs/>
        </w:rPr>
        <w:t>supra</w:t>
      </w:r>
      <w:r w:rsidR="00EE6B25">
        <w:t xml:space="preserve"> note </w:t>
      </w:r>
      <w:r w:rsidR="002C1B5E">
        <w:fldChar w:fldCharType="begin"/>
      </w:r>
      <w:r w:rsidR="002C1B5E">
        <w:instrText xml:space="preserve"> NOTEREF _Ref200617995 \h </w:instrText>
      </w:r>
      <w:r w:rsidR="002C1B5E">
        <w:fldChar w:fldCharType="separate"/>
      </w:r>
      <w:r w:rsidR="0085330E">
        <w:t>73</w:t>
      </w:r>
      <w:r w:rsidR="002C1B5E">
        <w:fldChar w:fldCharType="end"/>
      </w:r>
      <w:r>
        <w:t xml:space="preserve"> aux pp 25</w:t>
      </w:r>
      <w:r w:rsidR="00EE6B25">
        <w:t xml:space="preserve"> et </w:t>
      </w:r>
      <w:r>
        <w:t>224</w:t>
      </w:r>
      <w:r>
        <w:rPr>
          <w:rFonts w:ascii="Arial" w:hAnsi="Arial" w:cs="Arial"/>
        </w:rPr>
        <w:t> </w:t>
      </w:r>
      <w:r>
        <w:t xml:space="preserve">; Commission des droits de la personne et des droits de la jeunesse, </w:t>
      </w:r>
      <w:r w:rsidRPr="00EE6B25">
        <w:rPr>
          <w:i/>
          <w:iCs/>
        </w:rPr>
        <w:t>Bilan de la mise en œuvre des recommandations du rapport de la consultation de la Commission des droits de la personne et des droits de la jeunesse sur le profilage racial et ses conséquences</w:t>
      </w:r>
      <w:r>
        <w:t>, 2020, à la p 226</w:t>
      </w:r>
      <w:r>
        <w:rPr>
          <w:rFonts w:ascii="Arial" w:hAnsi="Arial" w:cs="Arial"/>
        </w:rPr>
        <w:t> </w:t>
      </w:r>
      <w:r>
        <w:t xml:space="preserve">; Commission des droits de la personne et des droits de la jeunesse, </w:t>
      </w:r>
      <w:r w:rsidR="00A260CB" w:rsidRPr="00A260CB">
        <w:rPr>
          <w:i/>
          <w:iCs/>
        </w:rPr>
        <w:t xml:space="preserve">supra </w:t>
      </w:r>
      <w:r w:rsidR="00A260CB">
        <w:t xml:space="preserve">note </w:t>
      </w:r>
      <w:r w:rsidR="008A5331">
        <w:fldChar w:fldCharType="begin"/>
      </w:r>
      <w:r w:rsidR="008A5331">
        <w:instrText xml:space="preserve"> NOTEREF _Ref200618745 \h </w:instrText>
      </w:r>
      <w:r w:rsidR="008A5331">
        <w:fldChar w:fldCharType="separate"/>
      </w:r>
      <w:r w:rsidR="0085330E">
        <w:t>238</w:t>
      </w:r>
      <w:r w:rsidR="008A5331">
        <w:fldChar w:fldCharType="end"/>
      </w:r>
      <w:r>
        <w:t xml:space="preserve"> aux pp 35-38; Commission des droits de la personne et des droits de la jeunesse, </w:t>
      </w:r>
      <w:r w:rsidRPr="00A260CB">
        <w:rPr>
          <w:i/>
          <w:iCs/>
        </w:rPr>
        <w:t>Mémoire à la Commission des institutions de l’Assemblée nationale, Projet de loi n</w:t>
      </w:r>
      <w:r w:rsidRPr="00A260CB">
        <w:rPr>
          <w:i/>
          <w:iCs/>
          <w:vertAlign w:val="superscript"/>
        </w:rPr>
        <w:t>o</w:t>
      </w:r>
      <w:r w:rsidRPr="00A260CB">
        <w:rPr>
          <w:i/>
          <w:iCs/>
        </w:rPr>
        <w:t xml:space="preserve"> 32, Loi instaurant l’approche de sécurisation culturelle au sein du Réseau de la santé et des services sociaux</w:t>
      </w:r>
      <w:r>
        <w:t>, 2023, aux pp 8-9.</w:t>
      </w:r>
    </w:p>
  </w:footnote>
  <w:footnote w:id="243">
    <w:p w14:paraId="71ACEE90" w14:textId="7A209103" w:rsidR="008C1425" w:rsidRDefault="008C1425" w:rsidP="000057AD">
      <w:pPr>
        <w:pStyle w:val="NotesBasPage"/>
      </w:pPr>
      <w:r w:rsidRPr="00941ACF">
        <w:rPr>
          <w:rStyle w:val="Appelnotedebasdep"/>
        </w:rPr>
        <w:footnoteRef/>
      </w:r>
      <w:r w:rsidRPr="00941ACF">
        <w:t xml:space="preserve"> </w:t>
      </w:r>
      <w:r>
        <w:tab/>
      </w:r>
      <w:r w:rsidRPr="00601132">
        <w:rPr>
          <w:i/>
          <w:iCs/>
        </w:rPr>
        <w:t xml:space="preserve">Loi concernant les enfants, les jeunes et les familles des Premières Nations, des </w:t>
      </w:r>
      <w:r w:rsidR="00F02C33" w:rsidRPr="00601132">
        <w:rPr>
          <w:i/>
          <w:iCs/>
        </w:rPr>
        <w:t>Inuit</w:t>
      </w:r>
      <w:r w:rsidR="0070791B" w:rsidRPr="00601132">
        <w:rPr>
          <w:i/>
          <w:iCs/>
        </w:rPr>
        <w:t>s</w:t>
      </w:r>
      <w:r w:rsidRPr="00601132">
        <w:rPr>
          <w:i/>
          <w:iCs/>
        </w:rPr>
        <w:t xml:space="preserve"> et des Métis</w:t>
      </w:r>
      <w:r w:rsidRPr="00941ACF">
        <w:t>, L.C. 2019, c 24</w:t>
      </w:r>
      <w:r>
        <w:t>.</w:t>
      </w:r>
    </w:p>
  </w:footnote>
  <w:footnote w:id="244">
    <w:p w14:paraId="1249087F" w14:textId="7F6815D3" w:rsidR="008C1425" w:rsidRDefault="008C1425" w:rsidP="000057AD">
      <w:pPr>
        <w:pStyle w:val="NotesBasPage"/>
      </w:pPr>
      <w:r>
        <w:rPr>
          <w:rStyle w:val="Appelnotedebasdep"/>
        </w:rPr>
        <w:footnoteRef/>
      </w:r>
      <w:r w:rsidR="00CD41D1">
        <w:tab/>
        <w:t xml:space="preserve">Gouvernement du Québec, </w:t>
      </w:r>
      <w:r w:rsidR="00B66790" w:rsidRPr="00B66790">
        <w:rPr>
          <w:i/>
          <w:iCs/>
        </w:rPr>
        <w:t>su</w:t>
      </w:r>
      <w:r w:rsidR="00B66790" w:rsidRPr="008C1C94">
        <w:rPr>
          <w:i/>
          <w:iCs/>
        </w:rPr>
        <w:t>pra</w:t>
      </w:r>
      <w:r w:rsidR="00CD41D1" w:rsidRPr="008C1C94">
        <w:t xml:space="preserve"> note</w:t>
      </w:r>
      <w:r w:rsidR="008C3CF7">
        <w:t xml:space="preserve"> </w:t>
      </w:r>
      <w:r w:rsidR="00A8566C">
        <w:fldChar w:fldCharType="begin"/>
      </w:r>
      <w:r w:rsidR="00A8566C">
        <w:instrText xml:space="preserve"> NOTEREF _Ref200618835 \h </w:instrText>
      </w:r>
      <w:r w:rsidR="00A8566C">
        <w:fldChar w:fldCharType="separate"/>
      </w:r>
      <w:r w:rsidR="0085330E">
        <w:t>134</w:t>
      </w:r>
      <w:r w:rsidR="00A8566C">
        <w:fldChar w:fldCharType="end"/>
      </w:r>
      <w:r w:rsidR="00CD41D1" w:rsidRPr="008C1C94">
        <w:t>.</w:t>
      </w:r>
    </w:p>
  </w:footnote>
  <w:footnote w:id="245">
    <w:p w14:paraId="16D79F1F" w14:textId="2438EFEF" w:rsidR="008C1425" w:rsidRDefault="008C1425" w:rsidP="00CD41D1">
      <w:pPr>
        <w:pStyle w:val="NotesBasPage"/>
      </w:pPr>
      <w:r>
        <w:rPr>
          <w:rStyle w:val="Appelnotedebasdep"/>
        </w:rPr>
        <w:footnoteRef/>
      </w:r>
      <w:r>
        <w:t xml:space="preserve"> </w:t>
      </w:r>
      <w:r>
        <w:tab/>
      </w:r>
      <w:r w:rsidR="00CD41D1" w:rsidRPr="006834E1">
        <w:t>Commission d’enquête sur les relations entre les autochtones et certains services publics</w:t>
      </w:r>
      <w:r w:rsidRPr="006834E1">
        <w:t xml:space="preserve">, </w:t>
      </w:r>
      <w:r w:rsidR="005B2324" w:rsidRPr="005B2324">
        <w:rPr>
          <w:i/>
          <w:iCs/>
        </w:rPr>
        <w:t>supra</w:t>
      </w:r>
      <w:r w:rsidR="005B2324">
        <w:t xml:space="preserve"> note </w:t>
      </w:r>
      <w:r w:rsidR="005B2324">
        <w:fldChar w:fldCharType="begin"/>
      </w:r>
      <w:r w:rsidR="005B2324">
        <w:instrText xml:space="preserve"> NOTEREF _Ref200618937 \h </w:instrText>
      </w:r>
      <w:r w:rsidR="005B2324">
        <w:fldChar w:fldCharType="separate"/>
      </w:r>
      <w:r w:rsidR="0085330E">
        <w:t>98</w:t>
      </w:r>
      <w:r w:rsidR="005B2324">
        <w:fldChar w:fldCharType="end"/>
      </w:r>
      <w:r w:rsidR="005B2324">
        <w:t xml:space="preserve"> à la p</w:t>
      </w:r>
      <w:r w:rsidRPr="006834E1">
        <w:t xml:space="preserve"> 331</w:t>
      </w:r>
      <w:r w:rsidR="0020661E">
        <w:t>.</w:t>
      </w:r>
    </w:p>
  </w:footnote>
  <w:footnote w:id="246">
    <w:p w14:paraId="69001777" w14:textId="24B78309" w:rsidR="008C1425" w:rsidRDefault="008C1425" w:rsidP="00CD41D1">
      <w:pPr>
        <w:pStyle w:val="NotesBasPage"/>
      </w:pPr>
      <w:r w:rsidRPr="00ED1020">
        <w:rPr>
          <w:rStyle w:val="Appelnotedebasdep"/>
        </w:rPr>
        <w:footnoteRef/>
      </w:r>
      <w:r w:rsidRPr="00446CCF">
        <w:t xml:space="preserve"> </w:t>
      </w:r>
      <w:r>
        <w:tab/>
      </w:r>
      <w:r w:rsidR="00C203DE">
        <w:t xml:space="preserve">Protecteur du citoyen, </w:t>
      </w:r>
      <w:r w:rsidR="00F439FD">
        <w:t>«</w:t>
      </w:r>
      <w:r w:rsidR="00501D97">
        <w:rPr>
          <w:rFonts w:ascii="Arial" w:hAnsi="Arial" w:cs="Arial"/>
        </w:rPr>
        <w:t> </w:t>
      </w:r>
      <w:r w:rsidR="00F439FD" w:rsidRPr="00F439FD">
        <w:t>Suivi de la commission Viens – Le Protecteur du citoyen annonce un rapport sur la protection de la jeunesse en milieu autochtone</w:t>
      </w:r>
      <w:r w:rsidR="00501D97">
        <w:rPr>
          <w:rFonts w:ascii="Arial" w:hAnsi="Arial" w:cs="Arial"/>
        </w:rPr>
        <w:t> </w:t>
      </w:r>
      <w:r w:rsidR="00F439FD">
        <w:rPr>
          <w:rFonts w:ascii="Walbaum Heading" w:hAnsi="Walbaum Heading"/>
        </w:rPr>
        <w:t>»</w:t>
      </w:r>
      <w:r w:rsidR="00F439FD">
        <w:t>, communiqué, 2025, en ligne :</w:t>
      </w:r>
      <w:r w:rsidR="00492AF4" w:rsidRPr="00492AF4">
        <w:t xml:space="preserve"> </w:t>
      </w:r>
      <w:hyperlink r:id="rId23" w:history="1">
        <w:r w:rsidR="00492AF4" w:rsidRPr="00D63359">
          <w:rPr>
            <w:rStyle w:val="Lienhypertexte"/>
          </w:rPr>
          <w:t>https://protecteurducitoyen.qc.ca/fr/nouvelles/communiques/commissions-viens-rapport-protection-jeunesse-autochtone</w:t>
        </w:r>
      </w:hyperlink>
      <w:r w:rsidR="00F439FD">
        <w:t xml:space="preserve"> </w:t>
      </w:r>
    </w:p>
  </w:footnote>
  <w:footnote w:id="247">
    <w:p w14:paraId="4BD2C53B" w14:textId="0EF14C05" w:rsidR="00F545B4" w:rsidRDefault="008C1425" w:rsidP="00501D97">
      <w:pPr>
        <w:pStyle w:val="NotesBasPage"/>
      </w:pPr>
      <w:r>
        <w:rPr>
          <w:rStyle w:val="Appelnotedebasdep"/>
        </w:rPr>
        <w:footnoteRef/>
      </w:r>
      <w:r>
        <w:t xml:space="preserve"> </w:t>
      </w:r>
      <w:r>
        <w:tab/>
      </w:r>
      <w:r>
        <w:tab/>
      </w:r>
      <w:r w:rsidRPr="00B9098F">
        <w:t>Pour plus d’information sur ce projet voir :</w:t>
      </w:r>
      <w:r w:rsidR="00E40F4C">
        <w:t xml:space="preserve"> </w:t>
      </w:r>
      <w:r w:rsidR="0081254F">
        <w:t xml:space="preserve">Bureau de la communauté haïtienne de Montréal, </w:t>
      </w:r>
      <w:r w:rsidR="00CF4E75" w:rsidRPr="008C1C94">
        <w:rPr>
          <w:i/>
        </w:rPr>
        <w:t>OPTION PROTECTION- U</w:t>
      </w:r>
      <w:r w:rsidR="00072933" w:rsidRPr="008C1C94">
        <w:rPr>
          <w:i/>
        </w:rPr>
        <w:t>n partenariat au service de la communauté</w:t>
      </w:r>
      <w:r w:rsidR="00072933">
        <w:t xml:space="preserve">, en ligne : </w:t>
      </w:r>
      <w:hyperlink r:id="rId24" w:history="1">
        <w:r w:rsidR="00F545B4" w:rsidRPr="00D63359">
          <w:rPr>
            <w:rStyle w:val="Lienhypertexte"/>
          </w:rPr>
          <w:t>https://www.bchm.ca/dpj-2/</w:t>
        </w:r>
      </w:hyperlink>
    </w:p>
  </w:footnote>
  <w:footnote w:id="248">
    <w:p w14:paraId="43ADDE19" w14:textId="2C3B807B" w:rsidR="008B362D" w:rsidRDefault="000F5584" w:rsidP="000F5584">
      <w:pPr>
        <w:pStyle w:val="NotesBasPage"/>
      </w:pPr>
      <w:r>
        <w:rPr>
          <w:rStyle w:val="Appelnotedebasdep"/>
        </w:rPr>
        <w:footnoteRef/>
      </w:r>
      <w:r>
        <w:t xml:space="preserve"> </w:t>
      </w:r>
      <w:r>
        <w:tab/>
      </w:r>
      <w:r w:rsidR="001078CA" w:rsidRPr="001078CA">
        <w:t xml:space="preserve">Maison internationale de la </w:t>
      </w:r>
      <w:r w:rsidR="00735652">
        <w:t>R</w:t>
      </w:r>
      <w:r w:rsidR="001078CA" w:rsidRPr="001078CA">
        <w:t>ive-</w:t>
      </w:r>
      <w:r w:rsidR="00735652">
        <w:t>S</w:t>
      </w:r>
      <w:r w:rsidR="001078CA" w:rsidRPr="001078CA">
        <w:t>ud</w:t>
      </w:r>
      <w:r w:rsidR="001078CA">
        <w:t xml:space="preserve">, </w:t>
      </w:r>
      <w:r w:rsidR="00735652" w:rsidRPr="00735652">
        <w:rPr>
          <w:i/>
          <w:iCs/>
        </w:rPr>
        <w:t>Protection de la Jeunesse</w:t>
      </w:r>
      <w:r w:rsidR="00735652" w:rsidRPr="00735652">
        <w:t xml:space="preserve">, </w:t>
      </w:r>
      <w:r w:rsidR="00735652">
        <w:t xml:space="preserve">2025, en ligne : </w:t>
      </w:r>
      <w:hyperlink r:id="rId25" w:history="1">
        <w:r w:rsidR="008B362D" w:rsidRPr="00E335CC">
          <w:rPr>
            <w:rStyle w:val="Lienhypertexte"/>
          </w:rPr>
          <w:t>https://mirs.qc.ca/protection-de-la-jeunesse/</w:t>
        </w:r>
      </w:hyperlink>
    </w:p>
  </w:footnote>
  <w:footnote w:id="249">
    <w:p w14:paraId="30BA4980" w14:textId="77777777" w:rsidR="008C1425" w:rsidRDefault="008C1425" w:rsidP="000057AD">
      <w:pPr>
        <w:pStyle w:val="NotesBasPage"/>
      </w:pPr>
      <w:r>
        <w:rPr>
          <w:rStyle w:val="Appelnotedebasdep"/>
        </w:rPr>
        <w:footnoteRef/>
      </w:r>
      <w:r>
        <w:t xml:space="preserve"> </w:t>
      </w:r>
      <w:r>
        <w:tab/>
      </w:r>
      <w:r>
        <w:tab/>
        <w:t xml:space="preserve">Commission des droits de la personne et des droits de la jeunesse, </w:t>
      </w:r>
      <w:r w:rsidRPr="00501D97">
        <w:rPr>
          <w:i/>
          <w:iCs/>
        </w:rPr>
        <w:t>Stratégie de lutte contre le racisme et la discrimination systémiques</w:t>
      </w:r>
      <w:r>
        <w:t>, à la p 17.</w:t>
      </w:r>
    </w:p>
  </w:footnote>
  <w:footnote w:id="250">
    <w:p w14:paraId="75A292BB" w14:textId="496976BC" w:rsidR="008C1425" w:rsidRDefault="008C1425" w:rsidP="000057AD">
      <w:pPr>
        <w:pStyle w:val="NotesBasPage"/>
      </w:pPr>
      <w:r>
        <w:rPr>
          <w:rStyle w:val="Appelnotedebasdep"/>
        </w:rPr>
        <w:footnoteRef/>
      </w:r>
      <w:r>
        <w:t xml:space="preserve"> </w:t>
      </w:r>
      <w:r>
        <w:tab/>
      </w:r>
      <w:r w:rsidRPr="00501D97">
        <w:rPr>
          <w:i/>
          <w:iCs/>
        </w:rPr>
        <w:tab/>
      </w:r>
      <w:r w:rsidR="00501D97" w:rsidRPr="00501D97">
        <w:rPr>
          <w:i/>
          <w:iCs/>
        </w:rPr>
        <w:t>Idem</w:t>
      </w:r>
      <w:r>
        <w:t xml:space="preserve"> à la p 8.</w:t>
      </w:r>
    </w:p>
  </w:footnote>
  <w:footnote w:id="251">
    <w:p w14:paraId="0ABBED3A" w14:textId="18FE058E" w:rsidR="00B95CFA" w:rsidRPr="007E55C6" w:rsidRDefault="008C1425" w:rsidP="00CB4E03">
      <w:pPr>
        <w:pStyle w:val="NotesBasPage"/>
      </w:pPr>
      <w:r>
        <w:rPr>
          <w:rStyle w:val="Appelnotedebasdep"/>
        </w:rPr>
        <w:footnoteRef/>
      </w:r>
      <w:r>
        <w:t xml:space="preserve"> </w:t>
      </w:r>
      <w:r>
        <w:tab/>
      </w:r>
      <w:r w:rsidR="00CB4E03">
        <w:tab/>
        <w:t xml:space="preserve">Commission des droits de la personne et des droits de la jeunesse, </w:t>
      </w:r>
      <w:r w:rsidR="00CB4E03" w:rsidRPr="00B95CFA">
        <w:rPr>
          <w:i/>
          <w:iCs/>
        </w:rPr>
        <w:t>Orientations concernant les droits des Premières Nations et des Inuit</w:t>
      </w:r>
      <w:r w:rsidR="00CB4E03">
        <w:t>, 2025, en ligne</w:t>
      </w:r>
      <w:r w:rsidR="00B95CFA">
        <w:t xml:space="preserve"> : </w:t>
      </w:r>
      <w:hyperlink r:id="rId26" w:history="1">
        <w:r w:rsidR="00F545B4" w:rsidRPr="00D63359">
          <w:rPr>
            <w:rStyle w:val="Lienhypertexte"/>
          </w:rPr>
          <w:t>https://www.cdpdj.qc.ca/storage/app/media/publications/2025-04-07-Orientations-concernant-les%20droits-des-Premieres-Nations-et-des-Inuit-VF.pdf</w:t>
        </w:r>
      </w:hyperlink>
    </w:p>
  </w:footnote>
  <w:footnote w:id="252">
    <w:p w14:paraId="09B079B3" w14:textId="79B913AB" w:rsidR="002F0F23" w:rsidRDefault="002F0F23" w:rsidP="002F0F23">
      <w:pPr>
        <w:pStyle w:val="NotesBasPage"/>
      </w:pPr>
      <w:r>
        <w:rPr>
          <w:rStyle w:val="Appelnotedebasdep"/>
        </w:rPr>
        <w:footnoteRef/>
      </w:r>
      <w:r>
        <w:t xml:space="preserve"> </w:t>
      </w:r>
      <w:r>
        <w:tab/>
      </w:r>
      <w:bookmarkStart w:id="124" w:name="_Hlk201154469"/>
      <w:r w:rsidR="009712D9" w:rsidRPr="00C21939">
        <w:t>Chateauneuf et al</w:t>
      </w:r>
      <w:r w:rsidR="009712D9" w:rsidRPr="000848E5">
        <w:t xml:space="preserve">, </w:t>
      </w:r>
      <w:r w:rsidR="00B66790" w:rsidRPr="00B66790">
        <w:rPr>
          <w:i/>
        </w:rPr>
        <w:t>supra</w:t>
      </w:r>
      <w:r w:rsidR="009712D9">
        <w:t xml:space="preserve"> note </w:t>
      </w:r>
      <w:r w:rsidR="009712D9">
        <w:fldChar w:fldCharType="begin"/>
      </w:r>
      <w:r w:rsidR="009712D9">
        <w:instrText xml:space="preserve"> NOTEREF _Ref201136782 \h </w:instrText>
      </w:r>
      <w:r w:rsidR="009712D9">
        <w:fldChar w:fldCharType="separate"/>
      </w:r>
      <w:r w:rsidR="0085330E">
        <w:t>129</w:t>
      </w:r>
      <w:r w:rsidR="009712D9">
        <w:fldChar w:fldCharType="end"/>
      </w:r>
      <w:r w:rsidR="00596A23">
        <w:t>, chapitre 12</w:t>
      </w:r>
      <w:r w:rsidR="009712D9">
        <w:t xml:space="preserve"> à la </w:t>
      </w:r>
      <w:bookmarkEnd w:id="124"/>
      <w:r w:rsidR="008534C5" w:rsidRPr="00B61497">
        <w:rPr>
          <w:lang w:val="fr-FR"/>
        </w:rPr>
        <w:t>p</w:t>
      </w:r>
      <w:r w:rsidR="00993C4A">
        <w:rPr>
          <w:lang w:val="fr-FR"/>
        </w:rPr>
        <w:t xml:space="preserve"> </w:t>
      </w:r>
      <w:r w:rsidR="008534C5">
        <w:rPr>
          <w:lang w:val="fr-FR"/>
        </w:rPr>
        <w:t>327</w:t>
      </w:r>
      <w:r w:rsidR="004F463A">
        <w:rPr>
          <w:lang w:val="fr-FR"/>
        </w:rPr>
        <w:t xml:space="preserve"> </w:t>
      </w:r>
      <w:r w:rsidR="004F463A">
        <w:t>(Joannie Laporte, Geneviève Pagé, Rosita Vargas Diaz, Josée Lemieux, Marie-Noëlle Lagacé)</w:t>
      </w:r>
      <w:r w:rsidR="001D0565">
        <w:t>.</w:t>
      </w:r>
    </w:p>
  </w:footnote>
  <w:footnote w:id="253">
    <w:p w14:paraId="52397057" w14:textId="1496EFE5" w:rsidR="002F0F23" w:rsidRDefault="002F0F23" w:rsidP="002F0F23">
      <w:pPr>
        <w:pStyle w:val="NotesBasPage"/>
      </w:pPr>
      <w:r>
        <w:rPr>
          <w:rStyle w:val="Appelnotedebasdep"/>
        </w:rPr>
        <w:footnoteRef/>
      </w:r>
      <w:r>
        <w:t xml:space="preserve"> </w:t>
      </w:r>
      <w:r>
        <w:tab/>
      </w:r>
      <w:r w:rsidR="008534C5" w:rsidRPr="004803C4">
        <w:rPr>
          <w:i/>
          <w:iCs/>
        </w:rPr>
        <w:t>Idem</w:t>
      </w:r>
      <w:r w:rsidR="004803C4">
        <w:rPr>
          <w:i/>
          <w:iCs/>
        </w:rPr>
        <w:t>.</w:t>
      </w:r>
    </w:p>
  </w:footnote>
  <w:footnote w:id="254">
    <w:p w14:paraId="009788CF" w14:textId="51B21EF3" w:rsidR="002F0F23" w:rsidRPr="00133172" w:rsidRDefault="002F0F23" w:rsidP="002F0F23">
      <w:pPr>
        <w:pStyle w:val="NotesBasPage"/>
        <w:rPr>
          <w:lang w:val="fr-FR"/>
        </w:rPr>
      </w:pPr>
      <w:r>
        <w:rPr>
          <w:rStyle w:val="Appelnotedebasdep"/>
        </w:rPr>
        <w:footnoteRef/>
      </w:r>
      <w:r>
        <w:t xml:space="preserve"> </w:t>
      </w:r>
      <w:r>
        <w:tab/>
      </w:r>
      <w:r w:rsidR="008828D4" w:rsidRPr="008828D4">
        <w:rPr>
          <w:i/>
          <w:lang w:val="fr-FR"/>
        </w:rPr>
        <w:t>Idem</w:t>
      </w:r>
      <w:r w:rsidR="00993C4A">
        <w:rPr>
          <w:lang w:val="fr-FR"/>
        </w:rPr>
        <w:t xml:space="preserve"> </w:t>
      </w:r>
      <w:r w:rsidR="001D0565">
        <w:rPr>
          <w:lang w:val="fr-FR"/>
        </w:rPr>
        <w:t>c</w:t>
      </w:r>
      <w:r w:rsidR="00BB695B">
        <w:rPr>
          <w:lang w:val="fr-FR"/>
        </w:rPr>
        <w:t>h</w:t>
      </w:r>
      <w:r w:rsidR="00C50AD8">
        <w:rPr>
          <w:lang w:val="fr-FR"/>
        </w:rPr>
        <w:t>apitre</w:t>
      </w:r>
      <w:r w:rsidR="001D0565">
        <w:rPr>
          <w:lang w:val="fr-FR"/>
        </w:rPr>
        <w:t xml:space="preserve"> 5 à la </w:t>
      </w:r>
      <w:r w:rsidR="00993C4A">
        <w:rPr>
          <w:lang w:val="fr-FR"/>
        </w:rPr>
        <w:t>p</w:t>
      </w:r>
      <w:r w:rsidRPr="00B61497">
        <w:rPr>
          <w:lang w:val="fr-FR"/>
        </w:rPr>
        <w:t xml:space="preserve"> 169</w:t>
      </w:r>
      <w:r w:rsidR="001D0565">
        <w:rPr>
          <w:lang w:val="fr-FR"/>
        </w:rPr>
        <w:t xml:space="preserve"> </w:t>
      </w:r>
      <w:r w:rsidR="001D0565">
        <w:t>(Geneviève Pagé, Doris Chateauneuf, Angélik Lepage-Cabeceiras)</w:t>
      </w:r>
      <w:r w:rsidR="001D0565" w:rsidRPr="00BE1078">
        <w:t>.</w:t>
      </w:r>
    </w:p>
  </w:footnote>
  <w:footnote w:id="255">
    <w:p w14:paraId="50682073" w14:textId="13724CC5" w:rsidR="002F0F23" w:rsidRDefault="002F0F23" w:rsidP="003A76EA">
      <w:pPr>
        <w:pStyle w:val="NotesBasPage"/>
      </w:pPr>
      <w:r>
        <w:rPr>
          <w:rStyle w:val="Appelnotedebasdep"/>
        </w:rPr>
        <w:footnoteRef/>
      </w:r>
      <w:r>
        <w:t xml:space="preserve"> </w:t>
      </w:r>
      <w:r>
        <w:tab/>
      </w:r>
      <w:r w:rsidR="00C6297C">
        <w:t>Commission des d</w:t>
      </w:r>
      <w:r w:rsidR="007E6114">
        <w:t xml:space="preserve">roits de la personne et des droits de la jeunesse, </w:t>
      </w:r>
      <w:r w:rsidR="007E6114" w:rsidRPr="00665CBC">
        <w:rPr>
          <w:i/>
          <w:iCs/>
        </w:rPr>
        <w:t xml:space="preserve">supra </w:t>
      </w:r>
      <w:r w:rsidR="007E6114">
        <w:t xml:space="preserve">note </w:t>
      </w:r>
      <w:r w:rsidR="007E6114">
        <w:fldChar w:fldCharType="begin"/>
      </w:r>
      <w:r w:rsidR="007E6114">
        <w:instrText xml:space="preserve"> NOTEREF _Ref201323046 \h </w:instrText>
      </w:r>
      <w:r w:rsidR="007E6114">
        <w:fldChar w:fldCharType="separate"/>
      </w:r>
      <w:r w:rsidR="0085330E">
        <w:t>169</w:t>
      </w:r>
      <w:r w:rsidR="007E6114">
        <w:fldChar w:fldCharType="end"/>
      </w:r>
      <w:r w:rsidR="00665CBC">
        <w:t xml:space="preserve"> aux pp 27-30.</w:t>
      </w:r>
    </w:p>
  </w:footnote>
  <w:footnote w:id="256">
    <w:p w14:paraId="331B7FA8" w14:textId="3C970537" w:rsidR="002F0F23" w:rsidRDefault="002F0F23" w:rsidP="002F0F23">
      <w:pPr>
        <w:pStyle w:val="NotesBasPage"/>
      </w:pPr>
      <w:r>
        <w:rPr>
          <w:rStyle w:val="Appelnotedebasdep"/>
        </w:rPr>
        <w:footnoteRef/>
      </w:r>
      <w:r w:rsidR="00993C4A">
        <w:tab/>
      </w:r>
      <w:r w:rsidR="0034556F">
        <w:tab/>
      </w:r>
      <w:r w:rsidR="00E9776A">
        <w:t>Chaire-Réseau</w:t>
      </w:r>
      <w:r w:rsidR="00817220">
        <w:t xml:space="preserve"> de recherche sur la jeunesse au Québec</w:t>
      </w:r>
      <w:r w:rsidR="006F6A95">
        <w:t xml:space="preserve">, 2025, en ligne : </w:t>
      </w:r>
      <w:hyperlink r:id="rId27" w:history="1">
        <w:r w:rsidR="00487598" w:rsidRPr="00D974CF">
          <w:rPr>
            <w:rStyle w:val="Lienhypertexte"/>
          </w:rPr>
          <w:t>https://chairejeunesse.ca/</w:t>
        </w:r>
      </w:hyperlink>
    </w:p>
  </w:footnote>
  <w:footnote w:id="257">
    <w:p w14:paraId="4EF5BB7F" w14:textId="0842C8F7" w:rsidR="002F0F23" w:rsidRDefault="002F0F23" w:rsidP="002F0F23">
      <w:pPr>
        <w:pStyle w:val="NotesBasPage"/>
      </w:pPr>
      <w:r>
        <w:rPr>
          <w:rStyle w:val="Appelnotedebasdep"/>
        </w:rPr>
        <w:footnoteRef/>
      </w:r>
      <w:r>
        <w:t xml:space="preserve"> </w:t>
      </w:r>
      <w:r>
        <w:tab/>
      </w:r>
      <w:r w:rsidRPr="00970CAD">
        <w:t xml:space="preserve">Comité des droits de l’enfant, </w:t>
      </w:r>
      <w:r w:rsidRPr="00D7432B">
        <w:rPr>
          <w:i/>
          <w:iCs/>
        </w:rPr>
        <w:t>Observations finales sur les troisième et quatrième rapports périodiques du Canada, soumis en un seul document, adoptées par le Comité à sa soixante et unième session</w:t>
      </w:r>
      <w:r w:rsidRPr="00970CAD">
        <w:t>, Doc. N.U.</w:t>
      </w:r>
      <w:r w:rsidR="0046392D">
        <w:t> </w:t>
      </w:r>
      <w:r w:rsidRPr="00970CAD">
        <w:t xml:space="preserve">CRC/C/CAN/CO/3-4 (2012), </w:t>
      </w:r>
      <w:r>
        <w:t>au para</w:t>
      </w:r>
      <w:r w:rsidRPr="00970CAD">
        <w:t xml:space="preserve"> </w:t>
      </w:r>
      <w:r>
        <w:t>20.</w:t>
      </w:r>
    </w:p>
  </w:footnote>
  <w:footnote w:id="258">
    <w:p w14:paraId="4426E295" w14:textId="1BB45624" w:rsidR="002F0F23" w:rsidRDefault="002F0F23" w:rsidP="002F0F23">
      <w:pPr>
        <w:pStyle w:val="NotesBasPage"/>
      </w:pPr>
      <w:r>
        <w:rPr>
          <w:rStyle w:val="Appelnotedebasdep"/>
        </w:rPr>
        <w:footnoteRef/>
      </w:r>
      <w:r>
        <w:t xml:space="preserve"> </w:t>
      </w:r>
      <w:r>
        <w:tab/>
        <w:t>CSDEPJ,</w:t>
      </w:r>
      <w:r w:rsidR="0034556F">
        <w:t xml:space="preserve"> </w:t>
      </w:r>
      <w:r w:rsidR="0034556F" w:rsidRPr="00B66790">
        <w:rPr>
          <w:i/>
        </w:rPr>
        <w:t>supra</w:t>
      </w:r>
      <w:r w:rsidR="0034556F">
        <w:t xml:space="preserve"> note </w:t>
      </w:r>
      <w:r w:rsidR="0034556F">
        <w:fldChar w:fldCharType="begin"/>
      </w:r>
      <w:r w:rsidR="0034556F">
        <w:instrText xml:space="preserve"> NOTEREF _Ref200460822 \h </w:instrText>
      </w:r>
      <w:r w:rsidR="0034556F">
        <w:fldChar w:fldCharType="separate"/>
      </w:r>
      <w:r w:rsidR="0085330E">
        <w:t>6</w:t>
      </w:r>
      <w:r w:rsidR="0034556F">
        <w:fldChar w:fldCharType="end"/>
      </w:r>
      <w:r w:rsidR="008113A9">
        <w:t xml:space="preserve"> </w:t>
      </w:r>
      <w:r w:rsidR="009C23E5">
        <w:t>aux pp</w:t>
      </w:r>
      <w:r>
        <w:t xml:space="preserve"> 389-391.</w:t>
      </w:r>
    </w:p>
  </w:footnote>
  <w:footnote w:id="259">
    <w:p w14:paraId="22CF5A1A" w14:textId="301DA2F4" w:rsidR="002F0F23" w:rsidRDefault="002F0F23" w:rsidP="002F0F23">
      <w:pPr>
        <w:pStyle w:val="NotesBasPage"/>
      </w:pPr>
      <w:r>
        <w:rPr>
          <w:rStyle w:val="Appelnotedebasdep"/>
        </w:rPr>
        <w:footnoteRef/>
      </w:r>
      <w:r>
        <w:t xml:space="preserve"> </w:t>
      </w:r>
      <w:r>
        <w:tab/>
      </w:r>
      <w:r w:rsidRPr="006834E1">
        <w:t xml:space="preserve">Commission d’enquête sur les relations entre les autochtones et certains services publics, </w:t>
      </w:r>
      <w:r w:rsidRPr="005B2324">
        <w:rPr>
          <w:i/>
          <w:iCs/>
        </w:rPr>
        <w:t>supra</w:t>
      </w:r>
      <w:r>
        <w:t xml:space="preserve"> note </w:t>
      </w:r>
      <w:r w:rsidR="000B2C21">
        <w:fldChar w:fldCharType="begin"/>
      </w:r>
      <w:r w:rsidR="000B2C21">
        <w:instrText xml:space="preserve"> NOTEREF _Ref200618937 \h </w:instrText>
      </w:r>
      <w:r w:rsidR="000B2C21">
        <w:fldChar w:fldCharType="separate"/>
      </w:r>
      <w:r w:rsidR="0085330E">
        <w:t>98</w:t>
      </w:r>
      <w:r w:rsidR="000B2C21">
        <w:fldChar w:fldCharType="end"/>
      </w:r>
      <w:r>
        <w:t xml:space="preserve"> à la </w:t>
      </w:r>
      <w:r w:rsidRPr="00064DBF">
        <w:t>p 473.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04217" w14:textId="58150C76" w:rsidR="005F0F9A" w:rsidRDefault="005F0F9A">
    <w:pPr>
      <w:pStyle w:val="En-tte"/>
    </w:pPr>
    <w:r>
      <w:rPr>
        <w:noProof/>
      </w:rPr>
      <mc:AlternateContent>
        <mc:Choice Requires="wps">
          <w:drawing>
            <wp:anchor distT="0" distB="0" distL="0" distR="0" simplePos="0" relativeHeight="251658248" behindDoc="0" locked="0" layoutInCell="1" allowOverlap="1" wp14:anchorId="6F0B0FF9" wp14:editId="04CC0CED">
              <wp:simplePos x="635" y="635"/>
              <wp:positionH relativeFrom="page">
                <wp:align>right</wp:align>
              </wp:positionH>
              <wp:positionV relativeFrom="page">
                <wp:align>top</wp:align>
              </wp:positionV>
              <wp:extent cx="1892300" cy="333375"/>
              <wp:effectExtent l="0" t="0" r="0" b="9525"/>
              <wp:wrapNone/>
              <wp:docPr id="920588803" name="Zone de texte 2" descr="Document à diffusion restreint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892300" cy="333375"/>
                      </a:xfrm>
                      <a:prstGeom prst="rect">
                        <a:avLst/>
                      </a:prstGeom>
                      <a:noFill/>
                      <a:ln>
                        <a:noFill/>
                      </a:ln>
                    </wps:spPr>
                    <wps:txbx>
                      <w:txbxContent>
                        <w:p w14:paraId="134CFB6D" w14:textId="0B563215" w:rsidR="005F0F9A" w:rsidRPr="005F0F9A" w:rsidRDefault="005F0F9A" w:rsidP="005F0F9A">
                          <w:pPr>
                            <w:rPr>
                              <w:rFonts w:ascii="Calibri" w:eastAsia="Calibri" w:hAnsi="Calibri" w:cs="Calibri"/>
                              <w:noProof/>
                              <w:color w:val="000000"/>
                              <w:sz w:val="20"/>
                              <w:szCs w:val="20"/>
                            </w:rPr>
                          </w:pPr>
                          <w:r w:rsidRPr="005F0F9A">
                            <w:rPr>
                              <w:rFonts w:ascii="Calibri" w:eastAsia="Calibri" w:hAnsi="Calibri" w:cs="Calibri"/>
                              <w:noProof/>
                              <w:color w:val="000000"/>
                              <w:sz w:val="20"/>
                              <w:szCs w:val="20"/>
                            </w:rPr>
                            <w:t>Document à diffusion restreinte</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F0B0FF9" id="_x0000_t202" coordsize="21600,21600" o:spt="202" path="m,l,21600r21600,l21600,xe">
              <v:stroke joinstyle="miter"/>
              <v:path gradientshapeok="t" o:connecttype="rect"/>
            </v:shapetype>
            <v:shape id="Zone de texte 2" o:spid="_x0000_s1026" type="#_x0000_t202" alt="Document à diffusion restreinte" style="position:absolute;left:0;text-align:left;margin-left:97.8pt;margin-top:0;width:149pt;height:26.25pt;z-index:25165824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" filled="f" stroked="f">
              <v:textbox style="mso-fit-shape-to-text:t" inset="0,15pt,20pt,0">
                <w:txbxContent>
                  <w:p w14:paraId="134CFB6D" w14:textId="0B563215" w:rsidR="005F0F9A" w:rsidRPr="005F0F9A" w:rsidRDefault="005F0F9A" w:rsidP="005F0F9A">
                    <w:pPr>
                      <w:rPr>
                        <w:rFonts w:ascii="Calibri" w:eastAsia="Calibri" w:hAnsi="Calibri" w:cs="Calibri"/>
                        <w:noProof/>
                        <w:color w:val="000000"/>
                        <w:sz w:val="20"/>
                        <w:szCs w:val="20"/>
                      </w:rPr>
                    </w:pPr>
                    <w:r w:rsidRPr="005F0F9A">
                      <w:rPr>
                        <w:rFonts w:ascii="Calibri" w:eastAsia="Calibri" w:hAnsi="Calibri" w:cs="Calibri"/>
                        <w:noProof/>
                        <w:color w:val="000000"/>
                        <w:sz w:val="20"/>
                        <w:szCs w:val="20"/>
                      </w:rPr>
                      <w:t>Document à diffusion restreinte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92548" w14:textId="2601BE7E" w:rsidR="00276DCD" w:rsidRDefault="00276DCD">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1A3AF" w14:textId="2BF5A3B8" w:rsidR="00795B1F" w:rsidRPr="00A37BF4" w:rsidRDefault="00E66125" w:rsidP="00484D83">
    <w:pPr>
      <w:jc w:val="right"/>
      <w:rPr>
        <w:noProof/>
        <w:sz w:val="16"/>
        <w:szCs w:val="16"/>
      </w:rPr>
    </w:pPr>
    <w:r w:rsidRPr="00A37BF4">
      <w:rPr>
        <w:noProof/>
        <w:sz w:val="16"/>
        <w:szCs w:val="16"/>
      </w:rPr>
      <w:drawing>
        <wp:anchor distT="0" distB="0" distL="114300" distR="114300" simplePos="0" relativeHeight="251658246" behindDoc="0" locked="0" layoutInCell="1" allowOverlap="1" wp14:anchorId="2D3A4E56" wp14:editId="1F5AAC36">
          <wp:simplePos x="0" y="0"/>
          <wp:positionH relativeFrom="column">
            <wp:posOffset>0</wp:posOffset>
          </wp:positionH>
          <wp:positionV relativeFrom="paragraph">
            <wp:posOffset>-635</wp:posOffset>
          </wp:positionV>
          <wp:extent cx="331200" cy="331200"/>
          <wp:effectExtent l="0" t="0" r="0" b="0"/>
          <wp:wrapNone/>
          <wp:docPr id="96567356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46810" name="Imag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1200"/>
                  </a:xfrm>
                  <a:prstGeom prst="rect">
                    <a:avLst/>
                  </a:prstGeom>
                  <a:noFill/>
                </pic:spPr>
              </pic:pic>
            </a:graphicData>
          </a:graphic>
          <wp14:sizeRelH relativeFrom="page">
            <wp14:pctWidth>0</wp14:pctWidth>
          </wp14:sizeRelH>
          <wp14:sizeRelV relativeFrom="page">
            <wp14:pctHeight>0</wp14:pctHeight>
          </wp14:sizeRelV>
        </wp:anchor>
      </w:drawing>
    </w:r>
    <w:r w:rsidRPr="00A37BF4">
      <w:rPr>
        <w:noProof/>
        <w:sz w:val="16"/>
        <w:szCs w:val="16"/>
      </w:rPr>
      <w:t>Évaluation de la mise en œuvre des</w:t>
    </w:r>
    <w:r w:rsidR="00484D83" w:rsidRPr="00A37BF4">
      <w:rPr>
        <w:noProof/>
        <w:sz w:val="16"/>
        <w:szCs w:val="16"/>
      </w:rPr>
      <w:t xml:space="preserve"> </w:t>
    </w:r>
    <w:r w:rsidRPr="00A37BF4">
      <w:rPr>
        <w:noProof/>
        <w:sz w:val="16"/>
        <w:szCs w:val="16"/>
      </w:rPr>
      <w:t xml:space="preserve">dispositions de la </w:t>
    </w:r>
    <w:r w:rsidRPr="00966527">
      <w:rPr>
        <w:i/>
        <w:sz w:val="16"/>
        <w:szCs w:val="16"/>
      </w:rPr>
      <w:t>Loi sur la protection</w:t>
    </w:r>
    <w:r w:rsidR="00484D83" w:rsidRPr="00966527">
      <w:rPr>
        <w:i/>
        <w:sz w:val="16"/>
        <w:szCs w:val="16"/>
      </w:rPr>
      <w:t xml:space="preserve"> </w:t>
    </w:r>
    <w:r w:rsidRPr="00966527">
      <w:rPr>
        <w:i/>
        <w:sz w:val="16"/>
        <w:szCs w:val="16"/>
      </w:rPr>
      <w:t>de la jeunesse</w:t>
    </w:r>
    <w:r w:rsidRPr="00A37BF4">
      <w:rPr>
        <w:noProof/>
        <w:sz w:val="16"/>
        <w:szCs w:val="16"/>
      </w:rPr>
      <w:t xml:space="preserve"> relatives à la stabilité </w:t>
    </w:r>
  </w:p>
  <w:p w14:paraId="29501203" w14:textId="21DC3481" w:rsidR="0098108A" w:rsidRPr="00A37BF4" w:rsidRDefault="003C6B51" w:rsidP="00484D83">
    <w:pPr>
      <w:jc w:val="right"/>
      <w:rPr>
        <w:color w:val="202C4B"/>
        <w:sz w:val="16"/>
        <w:szCs w:val="16"/>
      </w:rPr>
    </w:pPr>
    <w:r w:rsidRPr="00A37BF4">
      <w:rPr>
        <w:noProof/>
        <w:sz w:val="16"/>
        <w:szCs w:val="16"/>
      </w:rPr>
      <w:t>des liens et des conditions de vie</w:t>
    </w:r>
    <w:r w:rsidR="00484D83" w:rsidRPr="00A37BF4">
      <w:rPr>
        <w:noProof/>
        <w:sz w:val="16"/>
        <w:szCs w:val="16"/>
      </w:rPr>
      <w:t xml:space="preserve"> </w:t>
    </w:r>
    <w:r w:rsidRPr="00A37BF4">
      <w:rPr>
        <w:noProof/>
        <w:sz w:val="16"/>
        <w:szCs w:val="16"/>
      </w:rPr>
      <w:t>des enfants confiés à un milieu de</w:t>
    </w:r>
    <w:r w:rsidR="00C04AC4" w:rsidRPr="00A37BF4">
      <w:rPr>
        <w:noProof/>
        <w:sz w:val="16"/>
        <w:szCs w:val="16"/>
      </w:rPr>
      <w:t xml:space="preserve"> </w:t>
    </w:r>
    <w:r w:rsidRPr="00A37BF4">
      <w:rPr>
        <w:noProof/>
        <w:sz w:val="16"/>
        <w:szCs w:val="16"/>
      </w:rPr>
      <w:t>vie substitut</w:t>
    </w:r>
    <w:r w:rsidR="00C04AC4" w:rsidRPr="00A37BF4">
      <w:rPr>
        <w:noProof/>
        <w:sz w:val="16"/>
        <w:szCs w:val="16"/>
      </w:rPr>
      <w:t xml:space="preserve"> </w:t>
    </w:r>
    <w:r w:rsidRPr="00A37BF4">
      <w:rPr>
        <w:noProof/>
        <w:sz w:val="16"/>
        <w:szCs w:val="16"/>
      </w:rPr>
      <w:t>jusqu’à la majorité :</w:t>
    </w:r>
    <w:r w:rsidR="00C04AC4" w:rsidRPr="00A37BF4">
      <w:rPr>
        <w:noProof/>
        <w:sz w:val="16"/>
        <w:szCs w:val="16"/>
      </w:rPr>
      <w:t xml:space="preserve"> </w:t>
    </w:r>
    <w:r w:rsidRPr="00A37BF4">
      <w:rPr>
        <w:noProof/>
        <w:sz w:val="16"/>
        <w:szCs w:val="16"/>
      </w:rPr>
      <w:t>regard sur la jurisprudence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14ED7" w14:textId="2C07101C" w:rsidR="00276DCD" w:rsidRDefault="00276DCD">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259E3" w14:textId="6F1E6FC4" w:rsidR="00276DCD" w:rsidRDefault="00276DCD">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CDEB2" w14:textId="7DB2AAC2" w:rsidR="00C04AC4" w:rsidRPr="00C04AC4" w:rsidRDefault="00C04AC4" w:rsidP="00C04AC4">
    <w:pPr>
      <w:jc w:val="right"/>
      <w:rPr>
        <w:noProof/>
        <w:sz w:val="16"/>
        <w:szCs w:val="16"/>
      </w:rPr>
    </w:pPr>
    <w:r w:rsidRPr="00C04AC4">
      <w:rPr>
        <w:noProof/>
        <w:sz w:val="16"/>
        <w:szCs w:val="16"/>
      </w:rPr>
      <w:drawing>
        <wp:anchor distT="0" distB="0" distL="114300" distR="114300" simplePos="0" relativeHeight="251658251" behindDoc="0" locked="0" layoutInCell="1" allowOverlap="1" wp14:anchorId="706EFB10" wp14:editId="6CA28BA5">
          <wp:simplePos x="0" y="0"/>
          <wp:positionH relativeFrom="column">
            <wp:posOffset>0</wp:posOffset>
          </wp:positionH>
          <wp:positionV relativeFrom="paragraph">
            <wp:posOffset>-635</wp:posOffset>
          </wp:positionV>
          <wp:extent cx="331200" cy="331200"/>
          <wp:effectExtent l="0" t="0" r="0" b="0"/>
          <wp:wrapNone/>
          <wp:docPr id="767575545"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46810" name="Imag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1200"/>
                  </a:xfrm>
                  <a:prstGeom prst="rect">
                    <a:avLst/>
                  </a:prstGeom>
                  <a:noFill/>
                </pic:spPr>
              </pic:pic>
            </a:graphicData>
          </a:graphic>
          <wp14:sizeRelH relativeFrom="page">
            <wp14:pctWidth>0</wp14:pctWidth>
          </wp14:sizeRelH>
          <wp14:sizeRelV relativeFrom="page">
            <wp14:pctHeight>0</wp14:pctHeight>
          </wp14:sizeRelV>
        </wp:anchor>
      </w:drawing>
    </w:r>
    <w:r w:rsidRPr="00C04AC4">
      <w:rPr>
        <w:noProof/>
        <w:sz w:val="16"/>
        <w:szCs w:val="16"/>
      </w:rPr>
      <w:t xml:space="preserve">Évaluation de la mise en œuvre des dispositions de la </w:t>
    </w:r>
    <w:r w:rsidRPr="00621BA7">
      <w:rPr>
        <w:i/>
        <w:sz w:val="16"/>
        <w:szCs w:val="16"/>
      </w:rPr>
      <w:t>Loi sur la protection de la jeunesse</w:t>
    </w:r>
    <w:r w:rsidRPr="00C04AC4">
      <w:rPr>
        <w:noProof/>
        <w:sz w:val="16"/>
        <w:szCs w:val="16"/>
      </w:rPr>
      <w:t xml:space="preserve"> relatives à la stabilité </w:t>
    </w:r>
  </w:p>
  <w:p w14:paraId="38E2D0BF" w14:textId="693BE05E" w:rsidR="006549D4" w:rsidRPr="00C04AC4" w:rsidRDefault="00C04AC4" w:rsidP="00C04AC4">
    <w:pPr>
      <w:jc w:val="right"/>
      <w:rPr>
        <w:color w:val="202C4B"/>
        <w:sz w:val="16"/>
        <w:szCs w:val="16"/>
      </w:rPr>
    </w:pPr>
    <w:r w:rsidRPr="00C04AC4">
      <w:rPr>
        <w:noProof/>
        <w:sz w:val="16"/>
        <w:szCs w:val="16"/>
      </w:rPr>
      <w:t>des liens et des conditions de vie des enfants confiés à un milieu de vie substitut jusqu’à la majorité : regard sur la jurisprudence</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48F55" w14:textId="09968950" w:rsidR="00276DCD" w:rsidRDefault="00276DCD">
    <w:pPr>
      <w:pStyle w:val="En-tt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C679E" w14:textId="286617A1" w:rsidR="00276DCD" w:rsidRDefault="00276DCD">
    <w:pPr>
      <w:pStyle w:val="En-tt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594A4" w14:textId="5725C4E7" w:rsidR="00A57AD2" w:rsidRPr="00A37BF4" w:rsidRDefault="00A57AD2" w:rsidP="00A57AD2">
    <w:pPr>
      <w:jc w:val="right"/>
      <w:rPr>
        <w:noProof/>
        <w:sz w:val="16"/>
        <w:szCs w:val="16"/>
      </w:rPr>
    </w:pPr>
    <w:r w:rsidRPr="00A37BF4">
      <w:rPr>
        <w:noProof/>
        <w:sz w:val="16"/>
        <w:szCs w:val="16"/>
      </w:rPr>
      <w:drawing>
        <wp:anchor distT="0" distB="0" distL="114300" distR="114300" simplePos="0" relativeHeight="251658253" behindDoc="0" locked="0" layoutInCell="1" allowOverlap="1" wp14:anchorId="736203D9" wp14:editId="123A82DD">
          <wp:simplePos x="0" y="0"/>
          <wp:positionH relativeFrom="column">
            <wp:posOffset>0</wp:posOffset>
          </wp:positionH>
          <wp:positionV relativeFrom="paragraph">
            <wp:posOffset>-635</wp:posOffset>
          </wp:positionV>
          <wp:extent cx="331200" cy="331200"/>
          <wp:effectExtent l="0" t="0" r="0" b="0"/>
          <wp:wrapNone/>
          <wp:docPr id="1781358166"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46810" name="Imag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1200"/>
                  </a:xfrm>
                  <a:prstGeom prst="rect">
                    <a:avLst/>
                  </a:prstGeom>
                  <a:noFill/>
                </pic:spPr>
              </pic:pic>
            </a:graphicData>
          </a:graphic>
          <wp14:sizeRelH relativeFrom="page">
            <wp14:pctWidth>0</wp14:pctWidth>
          </wp14:sizeRelH>
          <wp14:sizeRelV relativeFrom="page">
            <wp14:pctHeight>0</wp14:pctHeight>
          </wp14:sizeRelV>
        </wp:anchor>
      </w:drawing>
    </w:r>
    <w:r w:rsidRPr="00A37BF4">
      <w:rPr>
        <w:noProof/>
        <w:sz w:val="16"/>
        <w:szCs w:val="16"/>
      </w:rPr>
      <w:t xml:space="preserve">Évaluation de la mise en œuvre des dispositions de la </w:t>
    </w:r>
    <w:r w:rsidRPr="00966527">
      <w:rPr>
        <w:i/>
        <w:sz w:val="16"/>
        <w:szCs w:val="16"/>
      </w:rPr>
      <w:t>Loi sur la protection de la jeunesse</w:t>
    </w:r>
    <w:r w:rsidRPr="00A37BF4">
      <w:rPr>
        <w:noProof/>
        <w:sz w:val="16"/>
        <w:szCs w:val="16"/>
      </w:rPr>
      <w:t xml:space="preserve"> relatives à la stabilité </w:t>
    </w:r>
  </w:p>
  <w:p w14:paraId="5A6840B7" w14:textId="6FA54CB5" w:rsidR="00276DCD" w:rsidRDefault="00A57AD2" w:rsidP="00A57AD2">
    <w:pPr>
      <w:jc w:val="right"/>
    </w:pPr>
    <w:r w:rsidRPr="00A37BF4">
      <w:rPr>
        <w:noProof/>
        <w:sz w:val="16"/>
        <w:szCs w:val="16"/>
      </w:rPr>
      <w:t>des liens et des conditions de vie des enfants confiés à un milieu de vie substitut jusqu’à la majorité : regard sur la jurisprudence</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C40DC" w14:textId="4A4DDEB8" w:rsidR="00276DCD" w:rsidRDefault="00276DC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64EA5" w14:textId="3A8BDEB7" w:rsidR="006549D4" w:rsidRPr="006549D4" w:rsidRDefault="00777CA1" w:rsidP="006549D4">
    <w:pPr>
      <w:suppressAutoHyphens w:val="0"/>
      <w:autoSpaceDE/>
      <w:autoSpaceDN/>
      <w:adjustRightInd/>
      <w:jc w:val="center"/>
      <w:textAlignment w:val="auto"/>
      <w:rPr>
        <w:color w:val="202C4B"/>
        <w:sz w:val="18"/>
        <w:szCs w:val="18"/>
      </w:rPr>
    </w:pPr>
    <w:r w:rsidRPr="00CB0776">
      <w:rPr>
        <w:b/>
        <w:bCs/>
        <w:smallCaps/>
        <w:noProof/>
        <w:color w:val="953D89"/>
        <w:sz w:val="18"/>
      </w:rPr>
      <w:drawing>
        <wp:anchor distT="0" distB="0" distL="114300" distR="114300" simplePos="0" relativeHeight="251658240" behindDoc="0" locked="0" layoutInCell="1" allowOverlap="1" wp14:anchorId="68C80DD8" wp14:editId="2DDEDA5F">
          <wp:simplePos x="0" y="0"/>
          <wp:positionH relativeFrom="column">
            <wp:posOffset>0</wp:posOffset>
          </wp:positionH>
          <wp:positionV relativeFrom="paragraph">
            <wp:posOffset>-635</wp:posOffset>
          </wp:positionV>
          <wp:extent cx="331200" cy="331200"/>
          <wp:effectExtent l="0" t="0" r="0" b="0"/>
          <wp:wrapNone/>
          <wp:docPr id="1182846810"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46810" name="Imag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1200"/>
                  </a:xfrm>
                  <a:prstGeom prst="rect">
                    <a:avLst/>
                  </a:prstGeom>
                  <a:noFill/>
                </pic:spPr>
              </pic:pic>
            </a:graphicData>
          </a:graphic>
          <wp14:sizeRelH relativeFrom="page">
            <wp14:pctWidth>0</wp14:pctWidth>
          </wp14:sizeRelH>
          <wp14:sizeRelV relativeFrom="page">
            <wp14:pctHeight>0</wp14:pctHeight>
          </wp14:sizeRelV>
        </wp:anchor>
      </w:drawing>
    </w:r>
  </w:p>
  <w:p w14:paraId="03A190E9" w14:textId="7711DE41" w:rsidR="00227ED3" w:rsidRPr="006549D4" w:rsidRDefault="006549D4" w:rsidP="006549D4">
    <w:pPr>
      <w:tabs>
        <w:tab w:val="left" w:pos="4000"/>
        <w:tab w:val="right" w:pos="9972"/>
      </w:tabs>
      <w:suppressAutoHyphens w:val="0"/>
      <w:autoSpaceDE/>
      <w:autoSpaceDN/>
      <w:adjustRightInd/>
      <w:textAlignment w:val="auto"/>
      <w:rPr>
        <w:color w:val="202C4B"/>
        <w:sz w:val="18"/>
        <w:szCs w:val="18"/>
      </w:rPr>
    </w:pPr>
    <w:r>
      <w:rPr>
        <w:color w:val="202C4B"/>
        <w:sz w:val="18"/>
        <w:szCs w:val="18"/>
      </w:rPr>
      <w:tab/>
    </w:r>
    <w:r>
      <w:rPr>
        <w:color w:val="202C4B"/>
        <w:sz w:val="18"/>
        <w:szCs w:val="1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A7217" w14:textId="030B003E" w:rsidR="00952F93" w:rsidRPr="007535EA" w:rsidRDefault="003B5EBA" w:rsidP="000973BC">
    <w:pPr>
      <w:pStyle w:val="En-tte"/>
      <w:rPr>
        <w:noProof/>
        <w:color w:val="000F42"/>
        <w:sz w:val="28"/>
        <w:szCs w:val="28"/>
      </w:rPr>
    </w:pPr>
    <w:r w:rsidRPr="007535EA">
      <w:rPr>
        <w:noProof/>
        <w:color w:val="000F42"/>
        <w:sz w:val="28"/>
        <w:szCs w:val="28"/>
      </w:rPr>
      <w:drawing>
        <wp:anchor distT="0" distB="0" distL="114300" distR="114300" simplePos="0" relativeHeight="251658249" behindDoc="0" locked="0" layoutInCell="1" allowOverlap="1" wp14:anchorId="465CB51B" wp14:editId="52C988E8">
          <wp:simplePos x="0" y="0"/>
          <wp:positionH relativeFrom="column">
            <wp:posOffset>4286250</wp:posOffset>
          </wp:positionH>
          <wp:positionV relativeFrom="paragraph">
            <wp:posOffset>-318135</wp:posOffset>
          </wp:positionV>
          <wp:extent cx="2324976" cy="995792"/>
          <wp:effectExtent l="0" t="0" r="0" b="0"/>
          <wp:wrapNone/>
          <wp:docPr id="1296577225"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836518" name="Image 3">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24976" cy="9957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35EA">
      <w:rPr>
        <w:noProof/>
        <w:color w:val="000F42"/>
        <w:sz w:val="28"/>
        <w:szCs w:val="28"/>
      </w:rPr>
      <w:t>Rapport</w:t>
    </w:r>
  </w:p>
  <w:p w14:paraId="3EC5D780" w14:textId="53DCCE98" w:rsidR="00952F93" w:rsidRPr="000973BC" w:rsidRDefault="003B5EBA" w:rsidP="00FB315B">
    <w:pPr>
      <w:pStyle w:val="En-tte"/>
      <w:tabs>
        <w:tab w:val="left" w:pos="8940"/>
      </w:tabs>
    </w:pPr>
    <w:r w:rsidRPr="007535EA">
      <w:rPr>
        <w:noProof/>
        <w:color w:val="000F42"/>
        <w:sz w:val="28"/>
        <w:szCs w:val="28"/>
      </w:rPr>
      <w:t>Juin</w:t>
    </w:r>
    <w:r w:rsidR="00615A72" w:rsidRPr="007535EA">
      <w:rPr>
        <w:noProof/>
        <w:color w:val="000F42"/>
        <w:sz w:val="28"/>
        <w:szCs w:val="28"/>
      </w:rPr>
      <w:t xml:space="preserve"> </w:t>
    </w:r>
    <w:r w:rsidR="003863FA" w:rsidRPr="007535EA">
      <w:rPr>
        <w:noProof/>
        <w:color w:val="000F42"/>
        <w:sz w:val="28"/>
        <w:szCs w:val="28"/>
      </w:rPr>
      <w:t>2025</w:t>
    </w:r>
    <w:r w:rsidR="0098108A">
      <w:rPr>
        <w:noProof/>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A5419" w14:textId="4F012108" w:rsidR="00276DCD" w:rsidRDefault="00276DCD">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379BD" w14:textId="795D0758" w:rsidR="00276DCD" w:rsidRDefault="00276DCD">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AED60" w14:textId="22EBE6C7" w:rsidR="0098108A" w:rsidRPr="000973BC" w:rsidRDefault="0098108A" w:rsidP="000973BC">
    <w:pPr>
      <w:pStyle w:val="En-tte"/>
    </w:pPr>
    <w:r w:rsidRPr="00CB0776">
      <w:rPr>
        <w:b/>
        <w:bCs/>
        <w:smallCaps/>
        <w:noProof/>
        <w:color w:val="953D89"/>
        <w:sz w:val="18"/>
      </w:rPr>
      <w:drawing>
        <wp:anchor distT="0" distB="0" distL="114300" distR="114300" simplePos="0" relativeHeight="251658247" behindDoc="0" locked="0" layoutInCell="1" allowOverlap="1" wp14:anchorId="733C7E01" wp14:editId="7780DA9E">
          <wp:simplePos x="0" y="0"/>
          <wp:positionH relativeFrom="column">
            <wp:posOffset>0</wp:posOffset>
          </wp:positionH>
          <wp:positionV relativeFrom="paragraph">
            <wp:posOffset>-635</wp:posOffset>
          </wp:positionV>
          <wp:extent cx="331200" cy="331200"/>
          <wp:effectExtent l="0" t="0" r="0" b="0"/>
          <wp:wrapNone/>
          <wp:docPr id="1849084358"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46810" name="Imag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1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8ED0E" w14:textId="07C6FA7E" w:rsidR="00276DCD" w:rsidRDefault="00276DCD">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0EDE1" w14:textId="77845D95" w:rsidR="00276DCD" w:rsidRDefault="0060368F">
    <w:pPr>
      <w:pStyle w:val="En-tte"/>
    </w:pPr>
    <w:r w:rsidRPr="00CB0776">
      <w:rPr>
        <w:b/>
        <w:bCs/>
        <w:smallCaps/>
        <w:noProof/>
        <w:color w:val="953D89"/>
        <w:sz w:val="18"/>
      </w:rPr>
      <w:drawing>
        <wp:anchor distT="0" distB="0" distL="114300" distR="114300" simplePos="0" relativeHeight="251658252" behindDoc="0" locked="0" layoutInCell="1" allowOverlap="1" wp14:anchorId="71F59D44" wp14:editId="769F3661">
          <wp:simplePos x="0" y="0"/>
          <wp:positionH relativeFrom="column">
            <wp:posOffset>0</wp:posOffset>
          </wp:positionH>
          <wp:positionV relativeFrom="paragraph">
            <wp:posOffset>-635</wp:posOffset>
          </wp:positionV>
          <wp:extent cx="331200" cy="331200"/>
          <wp:effectExtent l="0" t="0" r="0" b="0"/>
          <wp:wrapNone/>
          <wp:docPr id="1389512841"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46810" name="Imag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1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4C9DC" w14:textId="00EFBA34" w:rsidR="00276DCD" w:rsidRDefault="00276DC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36A1346"/>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10C6EF2C"/>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745C4D30"/>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D32E1556"/>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41C0CCDA"/>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D4C7E1E"/>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1CE5DE6"/>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35C499E"/>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386B00"/>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501A8C2E"/>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B6959FE"/>
    <w:multiLevelType w:val="hybridMultilevel"/>
    <w:tmpl w:val="DD20C148"/>
    <w:lvl w:ilvl="0" w:tplc="72C0CC5C">
      <w:start w:val="1"/>
      <w:numFmt w:val="bullet"/>
      <w:pStyle w:val="Paragraphedeliste"/>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0DDD00E2"/>
    <w:multiLevelType w:val="hybridMultilevel"/>
    <w:tmpl w:val="0B5062DE"/>
    <w:lvl w:ilvl="0" w:tplc="6E7CF9DE">
      <w:start w:val="1"/>
      <w:numFmt w:val="upperLetter"/>
      <w:pStyle w:val="Titre5"/>
      <w:lvlText w:val="%1."/>
      <w:lvlJc w:val="left"/>
      <w:pPr>
        <w:ind w:left="720" w:hanging="360"/>
      </w:pPr>
      <w:rPr>
        <w:rFonts w:ascii="Aptos" w:hAnsi="Aptos" w:hint="default"/>
        <w:b/>
        <w:i w:val="0"/>
        <w:caps w:val="0"/>
        <w:strike w:val="0"/>
        <w:dstrike w:val="0"/>
        <w:vanish w:val="0"/>
        <w:sz w:val="24"/>
        <w:szCs w:val="22"/>
        <w:u w:color="953D89"/>
        <w:vertAlign w:val="baseli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169E5DF8"/>
    <w:multiLevelType w:val="multilevel"/>
    <w:tmpl w:val="EACAC44C"/>
    <w:lvl w:ilvl="0">
      <w:start w:val="1"/>
      <w:numFmt w:val="decimal"/>
      <w:lvlText w:val="%1."/>
      <w:lvlJc w:val="left"/>
      <w:pPr>
        <w:ind w:left="720" w:hanging="360"/>
      </w:pPr>
      <w:rPr>
        <w:rFonts w:ascii="Aptos" w:hAnsi="Aptos" w:hint="default"/>
        <w:b w:val="0"/>
        <w:bCs/>
        <w:i w:val="0"/>
        <w:caps w:val="0"/>
        <w:strike w:val="0"/>
        <w:dstrike w:val="0"/>
        <w:vanish w:val="0"/>
        <w:sz w:val="22"/>
        <w:szCs w:val="22"/>
        <w:u w:color="953D89"/>
        <w:vertAlign w:val="baseline"/>
      </w:rPr>
    </w:lvl>
    <w:lvl w:ilvl="1">
      <w:start w:val="2"/>
      <w:numFmt w:val="decimal"/>
      <w:isLgl/>
      <w:lvlText w:val="%1.%2"/>
      <w:lvlJc w:val="left"/>
      <w:pPr>
        <w:ind w:left="849" w:hanging="489"/>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CFA5A5E"/>
    <w:multiLevelType w:val="hybridMultilevel"/>
    <w:tmpl w:val="C68ECA64"/>
    <w:lvl w:ilvl="0" w:tplc="D11244DE">
      <w:start w:val="1"/>
      <w:numFmt w:val="bullet"/>
      <w:lvlText w:val="­"/>
      <w:lvlJc w:val="left"/>
      <w:pPr>
        <w:ind w:left="1428" w:hanging="360"/>
      </w:pPr>
      <w:rPr>
        <w:rFonts w:ascii="Courier New" w:hAnsi="Courier New" w:hint="default"/>
        <w:caps w:val="0"/>
        <w:strike w:val="0"/>
        <w:dstrike w:val="0"/>
        <w:vanish w:val="0"/>
        <w:color w:val="001042"/>
        <w:vertAlign w:val="baseline"/>
      </w:rPr>
    </w:lvl>
    <w:lvl w:ilvl="1" w:tplc="FFFFFFFF">
      <w:start w:val="1"/>
      <w:numFmt w:val="bullet"/>
      <w:lvlText w:val="o"/>
      <w:lvlJc w:val="left"/>
      <w:pPr>
        <w:ind w:left="2148" w:hanging="360"/>
      </w:pPr>
      <w:rPr>
        <w:rFonts w:ascii="Courier New" w:hAnsi="Courier New" w:cs="Courier New" w:hint="default"/>
      </w:rPr>
    </w:lvl>
    <w:lvl w:ilvl="2" w:tplc="FFFFFFFF">
      <w:numFmt w:val="bullet"/>
      <w:lvlText w:val="•"/>
      <w:lvlJc w:val="left"/>
      <w:pPr>
        <w:ind w:left="2938" w:hanging="430"/>
      </w:pPr>
      <w:rPr>
        <w:rFonts w:ascii="Calibri" w:eastAsia="Times New Roman" w:hAnsi="Calibri" w:cs="Calibri"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4" w15:restartNumberingAfterBreak="0">
    <w:nsid w:val="1DFE6278"/>
    <w:multiLevelType w:val="hybridMultilevel"/>
    <w:tmpl w:val="B998B43E"/>
    <w:lvl w:ilvl="0" w:tplc="32789262">
      <w:start w:val="1"/>
      <w:numFmt w:val="bullet"/>
      <w:lvlText w:val=""/>
      <w:lvlJc w:val="left"/>
      <w:pPr>
        <w:ind w:left="1428" w:hanging="360"/>
      </w:pPr>
      <w:rPr>
        <w:rFonts w:ascii="Wingdings" w:hAnsi="Wingdings" w:hint="default"/>
        <w:caps w:val="0"/>
        <w:strike w:val="0"/>
        <w:dstrike w:val="0"/>
        <w:vanish w:val="0"/>
        <w:color w:val="auto"/>
        <w:vertAlign w:val="baseline"/>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15" w15:restartNumberingAfterBreak="0">
    <w:nsid w:val="26695011"/>
    <w:multiLevelType w:val="hybridMultilevel"/>
    <w:tmpl w:val="AF7A65EC"/>
    <w:lvl w:ilvl="0" w:tplc="4D3C7708">
      <w:start w:val="1"/>
      <w:numFmt w:val="decimal"/>
      <w:lvlText w:val="%1."/>
      <w:lvlJc w:val="left"/>
      <w:pPr>
        <w:ind w:left="720" w:hanging="360"/>
      </w:pPr>
      <w:rPr>
        <w:rFonts w:hint="default"/>
        <w:caps/>
        <w:strike w:val="0"/>
        <w:dstrike w:val="0"/>
        <w:vanish w:val="0"/>
        <w:vertAlign w:val="baseli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302B134A"/>
    <w:multiLevelType w:val="hybridMultilevel"/>
    <w:tmpl w:val="65CCCB74"/>
    <w:lvl w:ilvl="0" w:tplc="D11244DE">
      <w:start w:val="1"/>
      <w:numFmt w:val="bullet"/>
      <w:lvlText w:val="­"/>
      <w:lvlJc w:val="left"/>
      <w:pPr>
        <w:ind w:left="1428" w:hanging="360"/>
      </w:pPr>
      <w:rPr>
        <w:rFonts w:ascii="Courier New" w:hAnsi="Courier New" w:hint="default"/>
        <w:caps w:val="0"/>
        <w:strike w:val="0"/>
        <w:dstrike w:val="0"/>
        <w:vanish w:val="0"/>
        <w:color w:val="001042"/>
        <w:vertAlign w:val="baseline"/>
      </w:rPr>
    </w:lvl>
    <w:lvl w:ilvl="1" w:tplc="FFFFFFFF">
      <w:start w:val="1"/>
      <w:numFmt w:val="bullet"/>
      <w:lvlText w:val="o"/>
      <w:lvlJc w:val="left"/>
      <w:pPr>
        <w:ind w:left="2148" w:hanging="360"/>
      </w:pPr>
      <w:rPr>
        <w:rFonts w:ascii="Courier New" w:hAnsi="Courier New" w:cs="Courier New" w:hint="default"/>
      </w:rPr>
    </w:lvl>
    <w:lvl w:ilvl="2" w:tplc="FFFFFFFF">
      <w:numFmt w:val="bullet"/>
      <w:lvlText w:val="•"/>
      <w:lvlJc w:val="left"/>
      <w:pPr>
        <w:ind w:left="2938" w:hanging="430"/>
      </w:pPr>
      <w:rPr>
        <w:rFonts w:ascii="Calibri" w:eastAsia="Times New Roman" w:hAnsi="Calibri" w:cs="Calibri" w:hint="default"/>
      </w:rPr>
    </w:lvl>
    <w:lvl w:ilvl="3" w:tplc="FFFFFFFF">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7" w15:restartNumberingAfterBreak="0">
    <w:nsid w:val="3D0B20D2"/>
    <w:multiLevelType w:val="hybridMultilevel"/>
    <w:tmpl w:val="B5C84068"/>
    <w:lvl w:ilvl="0" w:tplc="511AEB94">
      <w:start w:val="1"/>
      <w:numFmt w:val="decimal"/>
      <w:pStyle w:val="Puces"/>
      <w:lvlText w:val="1.%1"/>
      <w:lvlJc w:val="left"/>
      <w:pPr>
        <w:ind w:left="720" w:hanging="360"/>
      </w:pPr>
      <w:rPr>
        <w:rFonts w:hint="default"/>
        <w:b/>
        <w:i w:val="0"/>
        <w:caps w:val="0"/>
        <w:strike w:val="0"/>
        <w:dstrike w:val="0"/>
        <w:vanish w:val="0"/>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F76272C"/>
    <w:multiLevelType w:val="hybridMultilevel"/>
    <w:tmpl w:val="28BAF080"/>
    <w:lvl w:ilvl="0" w:tplc="EF5C2484">
      <w:start w:val="1"/>
      <w:numFmt w:val="bullet"/>
      <w:pStyle w:val="puces0"/>
      <w:lvlText w:val=""/>
      <w:lvlJc w:val="left"/>
      <w:pPr>
        <w:ind w:left="1428" w:hanging="360"/>
      </w:pPr>
      <w:rPr>
        <w:rFonts w:ascii="Wingdings" w:hAnsi="Wingdings" w:hint="default"/>
        <w:caps w:val="0"/>
        <w:strike w:val="0"/>
        <w:dstrike w:val="0"/>
        <w:vanish w:val="0"/>
        <w:color w:val="001042"/>
        <w:vertAlign w:val="baseline"/>
      </w:rPr>
    </w:lvl>
    <w:lvl w:ilvl="1" w:tplc="0C0C0003">
      <w:start w:val="1"/>
      <w:numFmt w:val="bullet"/>
      <w:lvlText w:val="o"/>
      <w:lvlJc w:val="left"/>
      <w:pPr>
        <w:ind w:left="2148" w:hanging="360"/>
      </w:pPr>
      <w:rPr>
        <w:rFonts w:ascii="Courier New" w:hAnsi="Courier New" w:cs="Courier New" w:hint="default"/>
      </w:rPr>
    </w:lvl>
    <w:lvl w:ilvl="2" w:tplc="86EC94DE">
      <w:numFmt w:val="bullet"/>
      <w:lvlText w:val="•"/>
      <w:lvlJc w:val="left"/>
      <w:pPr>
        <w:ind w:left="2938" w:hanging="430"/>
      </w:pPr>
      <w:rPr>
        <w:rFonts w:ascii="Calibri" w:eastAsia="Times New Roman" w:hAnsi="Calibri" w:cs="Calibri" w:hint="default"/>
      </w:rPr>
    </w:lvl>
    <w:lvl w:ilvl="3" w:tplc="0C0C000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19" w15:restartNumberingAfterBreak="0">
    <w:nsid w:val="561826AF"/>
    <w:multiLevelType w:val="hybridMultilevel"/>
    <w:tmpl w:val="3D263454"/>
    <w:lvl w:ilvl="0" w:tplc="0916F3F6">
      <w:start w:val="1"/>
      <w:numFmt w:val="upperRoman"/>
      <w:pStyle w:val="Titre4"/>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5AA47D93"/>
    <w:multiLevelType w:val="multilevel"/>
    <w:tmpl w:val="59688604"/>
    <w:lvl w:ilvl="0">
      <w:start w:val="1"/>
      <w:numFmt w:val="decimal"/>
      <w:pStyle w:val="Titre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7D21146"/>
    <w:multiLevelType w:val="hybridMultilevel"/>
    <w:tmpl w:val="6CDA6724"/>
    <w:lvl w:ilvl="0" w:tplc="620CEE0A">
      <w:start w:val="1"/>
      <w:numFmt w:val="upperLetter"/>
      <w:lvlText w:val="%1."/>
      <w:lvlJc w:val="left"/>
      <w:pPr>
        <w:ind w:left="1636" w:hanging="360"/>
      </w:pPr>
      <w:rPr>
        <w:rFonts w:asciiTheme="minorHAnsi" w:hAnsiTheme="minorHAnsi" w:hint="default"/>
        <w:u w:val="none"/>
      </w:rPr>
    </w:lvl>
    <w:lvl w:ilvl="1" w:tplc="0C0C0019" w:tentative="1">
      <w:start w:val="1"/>
      <w:numFmt w:val="lowerLetter"/>
      <w:lvlText w:val="%2."/>
      <w:lvlJc w:val="left"/>
      <w:pPr>
        <w:ind w:left="2356" w:hanging="360"/>
      </w:pPr>
    </w:lvl>
    <w:lvl w:ilvl="2" w:tplc="0C0C001B" w:tentative="1">
      <w:start w:val="1"/>
      <w:numFmt w:val="lowerRoman"/>
      <w:lvlText w:val="%3."/>
      <w:lvlJc w:val="right"/>
      <w:pPr>
        <w:ind w:left="3076" w:hanging="180"/>
      </w:pPr>
    </w:lvl>
    <w:lvl w:ilvl="3" w:tplc="0C0C000F" w:tentative="1">
      <w:start w:val="1"/>
      <w:numFmt w:val="decimal"/>
      <w:lvlText w:val="%4."/>
      <w:lvlJc w:val="left"/>
      <w:pPr>
        <w:ind w:left="3796" w:hanging="360"/>
      </w:pPr>
    </w:lvl>
    <w:lvl w:ilvl="4" w:tplc="0C0C0019" w:tentative="1">
      <w:start w:val="1"/>
      <w:numFmt w:val="lowerLetter"/>
      <w:lvlText w:val="%5."/>
      <w:lvlJc w:val="left"/>
      <w:pPr>
        <w:ind w:left="4516" w:hanging="360"/>
      </w:pPr>
    </w:lvl>
    <w:lvl w:ilvl="5" w:tplc="0C0C001B" w:tentative="1">
      <w:start w:val="1"/>
      <w:numFmt w:val="lowerRoman"/>
      <w:lvlText w:val="%6."/>
      <w:lvlJc w:val="right"/>
      <w:pPr>
        <w:ind w:left="5236" w:hanging="180"/>
      </w:pPr>
    </w:lvl>
    <w:lvl w:ilvl="6" w:tplc="0C0C000F" w:tentative="1">
      <w:start w:val="1"/>
      <w:numFmt w:val="decimal"/>
      <w:lvlText w:val="%7."/>
      <w:lvlJc w:val="left"/>
      <w:pPr>
        <w:ind w:left="5956" w:hanging="360"/>
      </w:pPr>
    </w:lvl>
    <w:lvl w:ilvl="7" w:tplc="0C0C0019" w:tentative="1">
      <w:start w:val="1"/>
      <w:numFmt w:val="lowerLetter"/>
      <w:lvlText w:val="%8."/>
      <w:lvlJc w:val="left"/>
      <w:pPr>
        <w:ind w:left="6676" w:hanging="360"/>
      </w:pPr>
    </w:lvl>
    <w:lvl w:ilvl="8" w:tplc="0C0C001B" w:tentative="1">
      <w:start w:val="1"/>
      <w:numFmt w:val="lowerRoman"/>
      <w:lvlText w:val="%9."/>
      <w:lvlJc w:val="right"/>
      <w:pPr>
        <w:ind w:left="7396" w:hanging="180"/>
      </w:pPr>
    </w:lvl>
  </w:abstractNum>
  <w:num w:numId="1" w16cid:durableId="154492991">
    <w:abstractNumId w:val="10"/>
  </w:num>
  <w:num w:numId="2" w16cid:durableId="1418746173">
    <w:abstractNumId w:val="17"/>
  </w:num>
  <w:num w:numId="3" w16cid:durableId="4947441">
    <w:abstractNumId w:val="20"/>
  </w:num>
  <w:num w:numId="4" w16cid:durableId="1875773774">
    <w:abstractNumId w:val="12"/>
  </w:num>
  <w:num w:numId="5" w16cid:durableId="968432961">
    <w:abstractNumId w:val="11"/>
  </w:num>
  <w:num w:numId="6" w16cid:durableId="1896307226">
    <w:abstractNumId w:val="11"/>
    <w:lvlOverride w:ilvl="0">
      <w:startOverride w:val="1"/>
    </w:lvlOverride>
  </w:num>
  <w:num w:numId="7" w16cid:durableId="321927666">
    <w:abstractNumId w:val="11"/>
    <w:lvlOverride w:ilvl="0">
      <w:startOverride w:val="1"/>
    </w:lvlOverride>
  </w:num>
  <w:num w:numId="8" w16cid:durableId="1831630987">
    <w:abstractNumId w:val="11"/>
    <w:lvlOverride w:ilvl="0">
      <w:startOverride w:val="1"/>
    </w:lvlOverride>
  </w:num>
  <w:num w:numId="9" w16cid:durableId="1578051715">
    <w:abstractNumId w:val="11"/>
    <w:lvlOverride w:ilvl="0">
      <w:startOverride w:val="1"/>
    </w:lvlOverride>
  </w:num>
  <w:num w:numId="10" w16cid:durableId="245766415">
    <w:abstractNumId w:val="18"/>
  </w:num>
  <w:num w:numId="11" w16cid:durableId="126969252">
    <w:abstractNumId w:val="11"/>
    <w:lvlOverride w:ilvl="0">
      <w:startOverride w:val="1"/>
    </w:lvlOverride>
  </w:num>
  <w:num w:numId="12" w16cid:durableId="415446791">
    <w:abstractNumId w:val="19"/>
  </w:num>
  <w:num w:numId="13" w16cid:durableId="1519854437">
    <w:abstractNumId w:val="14"/>
  </w:num>
  <w:num w:numId="14" w16cid:durableId="1326472185">
    <w:abstractNumId w:val="15"/>
  </w:num>
  <w:num w:numId="15" w16cid:durableId="828518303">
    <w:abstractNumId w:val="16"/>
  </w:num>
  <w:num w:numId="16" w16cid:durableId="42215732">
    <w:abstractNumId w:val="13"/>
  </w:num>
  <w:num w:numId="17" w16cid:durableId="20862112">
    <w:abstractNumId w:val="21"/>
  </w:num>
  <w:num w:numId="18" w16cid:durableId="1669552935">
    <w:abstractNumId w:val="11"/>
  </w:num>
  <w:num w:numId="19" w16cid:durableId="2111125967">
    <w:abstractNumId w:val="11"/>
    <w:lvlOverride w:ilvl="0">
      <w:startOverride w:val="1"/>
    </w:lvlOverride>
  </w:num>
  <w:num w:numId="20" w16cid:durableId="1068186808">
    <w:abstractNumId w:val="11"/>
    <w:lvlOverride w:ilvl="0">
      <w:startOverride w:val="1"/>
    </w:lvlOverride>
  </w:num>
  <w:num w:numId="21" w16cid:durableId="842473147">
    <w:abstractNumId w:val="11"/>
  </w:num>
  <w:num w:numId="22" w16cid:durableId="2080058498">
    <w:abstractNumId w:val="11"/>
    <w:lvlOverride w:ilvl="0">
      <w:startOverride w:val="1"/>
    </w:lvlOverride>
  </w:num>
  <w:num w:numId="23" w16cid:durableId="83117729">
    <w:abstractNumId w:val="11"/>
  </w:num>
  <w:num w:numId="24" w16cid:durableId="1416706482">
    <w:abstractNumId w:val="11"/>
  </w:num>
  <w:num w:numId="25" w16cid:durableId="14618492">
    <w:abstractNumId w:val="11"/>
  </w:num>
  <w:num w:numId="26" w16cid:durableId="994258305">
    <w:abstractNumId w:val="11"/>
  </w:num>
  <w:num w:numId="27" w16cid:durableId="1380393892">
    <w:abstractNumId w:val="11"/>
  </w:num>
  <w:num w:numId="28" w16cid:durableId="1522545027">
    <w:abstractNumId w:val="11"/>
  </w:num>
  <w:num w:numId="29" w16cid:durableId="1058824592">
    <w:abstractNumId w:val="11"/>
  </w:num>
  <w:num w:numId="30" w16cid:durableId="660085787">
    <w:abstractNumId w:val="11"/>
  </w:num>
  <w:num w:numId="31" w16cid:durableId="581375392">
    <w:abstractNumId w:val="11"/>
  </w:num>
  <w:num w:numId="32" w16cid:durableId="1388995932">
    <w:abstractNumId w:val="11"/>
  </w:num>
  <w:num w:numId="33" w16cid:durableId="634143257">
    <w:abstractNumId w:val="11"/>
  </w:num>
  <w:num w:numId="34" w16cid:durableId="1139762079">
    <w:abstractNumId w:val="11"/>
  </w:num>
  <w:num w:numId="35" w16cid:durableId="962734326">
    <w:abstractNumId w:val="11"/>
  </w:num>
  <w:num w:numId="36" w16cid:durableId="495612232">
    <w:abstractNumId w:val="11"/>
  </w:num>
  <w:num w:numId="37" w16cid:durableId="1505782252">
    <w:abstractNumId w:val="8"/>
  </w:num>
  <w:num w:numId="38" w16cid:durableId="526910960">
    <w:abstractNumId w:val="3"/>
  </w:num>
  <w:num w:numId="39" w16cid:durableId="915480879">
    <w:abstractNumId w:val="2"/>
  </w:num>
  <w:num w:numId="40" w16cid:durableId="1434782376">
    <w:abstractNumId w:val="1"/>
  </w:num>
  <w:num w:numId="41" w16cid:durableId="1259674150">
    <w:abstractNumId w:val="0"/>
  </w:num>
  <w:num w:numId="42" w16cid:durableId="1003507811">
    <w:abstractNumId w:val="9"/>
  </w:num>
  <w:num w:numId="43" w16cid:durableId="334377844">
    <w:abstractNumId w:val="7"/>
  </w:num>
  <w:num w:numId="44" w16cid:durableId="2049716417">
    <w:abstractNumId w:val="6"/>
  </w:num>
  <w:num w:numId="45" w16cid:durableId="1002470570">
    <w:abstractNumId w:val="5"/>
  </w:num>
  <w:num w:numId="46" w16cid:durableId="1904099315">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om5+ql06B0BzcC74MYwxVQg+49gG9bZZlHH0cKd3Cwve2EKnVWvkX7xMk7nXJQmws+qUvhBHcX7RPydsUrgb7g==" w:salt="fV0kqshDcQgSUui162j1mg=="/>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9D"/>
    <w:rsid w:val="00000365"/>
    <w:rsid w:val="000004AB"/>
    <w:rsid w:val="000005AF"/>
    <w:rsid w:val="000009AF"/>
    <w:rsid w:val="00000B2C"/>
    <w:rsid w:val="00000B49"/>
    <w:rsid w:val="00000BD6"/>
    <w:rsid w:val="00000E2B"/>
    <w:rsid w:val="00000F08"/>
    <w:rsid w:val="00000FCD"/>
    <w:rsid w:val="00001013"/>
    <w:rsid w:val="0000102A"/>
    <w:rsid w:val="000010C3"/>
    <w:rsid w:val="00001237"/>
    <w:rsid w:val="000017C2"/>
    <w:rsid w:val="00001902"/>
    <w:rsid w:val="00001A60"/>
    <w:rsid w:val="00001EFF"/>
    <w:rsid w:val="00002030"/>
    <w:rsid w:val="000023D1"/>
    <w:rsid w:val="000024B2"/>
    <w:rsid w:val="0000298B"/>
    <w:rsid w:val="00002A86"/>
    <w:rsid w:val="00002BFC"/>
    <w:rsid w:val="00002DDE"/>
    <w:rsid w:val="00002F9C"/>
    <w:rsid w:val="00003046"/>
    <w:rsid w:val="000032C1"/>
    <w:rsid w:val="00003461"/>
    <w:rsid w:val="00003472"/>
    <w:rsid w:val="000034F4"/>
    <w:rsid w:val="0000385A"/>
    <w:rsid w:val="00003BBA"/>
    <w:rsid w:val="00003C4D"/>
    <w:rsid w:val="00003E0A"/>
    <w:rsid w:val="00003E7C"/>
    <w:rsid w:val="00003E7F"/>
    <w:rsid w:val="000040DE"/>
    <w:rsid w:val="0000434E"/>
    <w:rsid w:val="00004484"/>
    <w:rsid w:val="000044AA"/>
    <w:rsid w:val="00004516"/>
    <w:rsid w:val="00004AAE"/>
    <w:rsid w:val="00004BA3"/>
    <w:rsid w:val="00004CA7"/>
    <w:rsid w:val="00004D57"/>
    <w:rsid w:val="00004E1F"/>
    <w:rsid w:val="00004F24"/>
    <w:rsid w:val="000050F8"/>
    <w:rsid w:val="0000562C"/>
    <w:rsid w:val="0000563D"/>
    <w:rsid w:val="000057AD"/>
    <w:rsid w:val="00005CB7"/>
    <w:rsid w:val="00005D32"/>
    <w:rsid w:val="00005DA5"/>
    <w:rsid w:val="00005DB3"/>
    <w:rsid w:val="00006179"/>
    <w:rsid w:val="00006279"/>
    <w:rsid w:val="000063E4"/>
    <w:rsid w:val="0000646A"/>
    <w:rsid w:val="0000656E"/>
    <w:rsid w:val="0000661E"/>
    <w:rsid w:val="0000669F"/>
    <w:rsid w:val="000067FB"/>
    <w:rsid w:val="00006A5D"/>
    <w:rsid w:val="00006B72"/>
    <w:rsid w:val="00006BDE"/>
    <w:rsid w:val="00006C50"/>
    <w:rsid w:val="00006D18"/>
    <w:rsid w:val="00006F9F"/>
    <w:rsid w:val="00007010"/>
    <w:rsid w:val="0000712D"/>
    <w:rsid w:val="0000729D"/>
    <w:rsid w:val="000072A9"/>
    <w:rsid w:val="000074D6"/>
    <w:rsid w:val="00007831"/>
    <w:rsid w:val="00007A2F"/>
    <w:rsid w:val="00007B29"/>
    <w:rsid w:val="00007B59"/>
    <w:rsid w:val="00007C6C"/>
    <w:rsid w:val="00010109"/>
    <w:rsid w:val="000105A2"/>
    <w:rsid w:val="0001075A"/>
    <w:rsid w:val="00010942"/>
    <w:rsid w:val="00010ACC"/>
    <w:rsid w:val="00010B72"/>
    <w:rsid w:val="000111F8"/>
    <w:rsid w:val="00011302"/>
    <w:rsid w:val="00011311"/>
    <w:rsid w:val="00011363"/>
    <w:rsid w:val="000113CD"/>
    <w:rsid w:val="000114A1"/>
    <w:rsid w:val="00011566"/>
    <w:rsid w:val="00011746"/>
    <w:rsid w:val="00011A1F"/>
    <w:rsid w:val="00011CE1"/>
    <w:rsid w:val="00011F9D"/>
    <w:rsid w:val="000123E2"/>
    <w:rsid w:val="000124AF"/>
    <w:rsid w:val="00012617"/>
    <w:rsid w:val="00012915"/>
    <w:rsid w:val="00012A1D"/>
    <w:rsid w:val="00012C43"/>
    <w:rsid w:val="0001314A"/>
    <w:rsid w:val="000131D3"/>
    <w:rsid w:val="000132F9"/>
    <w:rsid w:val="0001330A"/>
    <w:rsid w:val="00013371"/>
    <w:rsid w:val="00013457"/>
    <w:rsid w:val="0001355A"/>
    <w:rsid w:val="00013849"/>
    <w:rsid w:val="00013874"/>
    <w:rsid w:val="000139CF"/>
    <w:rsid w:val="00013B6D"/>
    <w:rsid w:val="00013BAF"/>
    <w:rsid w:val="00013BBA"/>
    <w:rsid w:val="00013D93"/>
    <w:rsid w:val="00013DA7"/>
    <w:rsid w:val="00013EC0"/>
    <w:rsid w:val="00014338"/>
    <w:rsid w:val="00014396"/>
    <w:rsid w:val="000143CB"/>
    <w:rsid w:val="0001487C"/>
    <w:rsid w:val="00014994"/>
    <w:rsid w:val="00014A18"/>
    <w:rsid w:val="00014A45"/>
    <w:rsid w:val="00014B90"/>
    <w:rsid w:val="00014C1A"/>
    <w:rsid w:val="00014F41"/>
    <w:rsid w:val="000150DA"/>
    <w:rsid w:val="000152E4"/>
    <w:rsid w:val="000152FF"/>
    <w:rsid w:val="000153A2"/>
    <w:rsid w:val="000153E0"/>
    <w:rsid w:val="000153FF"/>
    <w:rsid w:val="00015674"/>
    <w:rsid w:val="000156A0"/>
    <w:rsid w:val="000158E3"/>
    <w:rsid w:val="00015A03"/>
    <w:rsid w:val="00015D6A"/>
    <w:rsid w:val="00015EEB"/>
    <w:rsid w:val="000161DA"/>
    <w:rsid w:val="00016288"/>
    <w:rsid w:val="00016363"/>
    <w:rsid w:val="000166E7"/>
    <w:rsid w:val="00016A41"/>
    <w:rsid w:val="00016B50"/>
    <w:rsid w:val="00016BEC"/>
    <w:rsid w:val="00016F38"/>
    <w:rsid w:val="00017181"/>
    <w:rsid w:val="000176E3"/>
    <w:rsid w:val="00017BED"/>
    <w:rsid w:val="00017E89"/>
    <w:rsid w:val="00017F9B"/>
    <w:rsid w:val="00020016"/>
    <w:rsid w:val="0002004C"/>
    <w:rsid w:val="000200CF"/>
    <w:rsid w:val="000203C8"/>
    <w:rsid w:val="000203F8"/>
    <w:rsid w:val="0002062D"/>
    <w:rsid w:val="000206A4"/>
    <w:rsid w:val="000206BD"/>
    <w:rsid w:val="00020891"/>
    <w:rsid w:val="00020A46"/>
    <w:rsid w:val="00020D28"/>
    <w:rsid w:val="00020D98"/>
    <w:rsid w:val="00020ED1"/>
    <w:rsid w:val="00021064"/>
    <w:rsid w:val="000210A9"/>
    <w:rsid w:val="00021167"/>
    <w:rsid w:val="00021416"/>
    <w:rsid w:val="000215DD"/>
    <w:rsid w:val="00021614"/>
    <w:rsid w:val="0002166A"/>
    <w:rsid w:val="00021AE2"/>
    <w:rsid w:val="00021E82"/>
    <w:rsid w:val="00022076"/>
    <w:rsid w:val="00022135"/>
    <w:rsid w:val="00022444"/>
    <w:rsid w:val="00022584"/>
    <w:rsid w:val="000225B7"/>
    <w:rsid w:val="00022718"/>
    <w:rsid w:val="000228D8"/>
    <w:rsid w:val="00022ADB"/>
    <w:rsid w:val="00022C44"/>
    <w:rsid w:val="00022D11"/>
    <w:rsid w:val="00022E13"/>
    <w:rsid w:val="00022F18"/>
    <w:rsid w:val="00023076"/>
    <w:rsid w:val="0002312E"/>
    <w:rsid w:val="00023139"/>
    <w:rsid w:val="0002379A"/>
    <w:rsid w:val="000237D4"/>
    <w:rsid w:val="00023869"/>
    <w:rsid w:val="00023A4D"/>
    <w:rsid w:val="00023B6B"/>
    <w:rsid w:val="00023B75"/>
    <w:rsid w:val="00023B82"/>
    <w:rsid w:val="00023BDE"/>
    <w:rsid w:val="00023CC8"/>
    <w:rsid w:val="00023DFD"/>
    <w:rsid w:val="00023EA0"/>
    <w:rsid w:val="0002400B"/>
    <w:rsid w:val="000243DE"/>
    <w:rsid w:val="0002446A"/>
    <w:rsid w:val="00024491"/>
    <w:rsid w:val="000244B6"/>
    <w:rsid w:val="00024529"/>
    <w:rsid w:val="00024614"/>
    <w:rsid w:val="00024624"/>
    <w:rsid w:val="00024643"/>
    <w:rsid w:val="00024748"/>
    <w:rsid w:val="000247A0"/>
    <w:rsid w:val="000247A8"/>
    <w:rsid w:val="00024C47"/>
    <w:rsid w:val="00024E5D"/>
    <w:rsid w:val="00025046"/>
    <w:rsid w:val="00025289"/>
    <w:rsid w:val="00025414"/>
    <w:rsid w:val="000256A5"/>
    <w:rsid w:val="000257AA"/>
    <w:rsid w:val="00025AC7"/>
    <w:rsid w:val="00025AD2"/>
    <w:rsid w:val="00025BDB"/>
    <w:rsid w:val="00025CD0"/>
    <w:rsid w:val="00025D3F"/>
    <w:rsid w:val="00025D5E"/>
    <w:rsid w:val="00025E67"/>
    <w:rsid w:val="00026084"/>
    <w:rsid w:val="0002616A"/>
    <w:rsid w:val="000261C1"/>
    <w:rsid w:val="00026306"/>
    <w:rsid w:val="00026383"/>
    <w:rsid w:val="0002682B"/>
    <w:rsid w:val="0002687D"/>
    <w:rsid w:val="00026AC6"/>
    <w:rsid w:val="00026E0B"/>
    <w:rsid w:val="00026E13"/>
    <w:rsid w:val="00026E92"/>
    <w:rsid w:val="00026FE9"/>
    <w:rsid w:val="00027581"/>
    <w:rsid w:val="00027641"/>
    <w:rsid w:val="0002766D"/>
    <w:rsid w:val="00027767"/>
    <w:rsid w:val="000279E9"/>
    <w:rsid w:val="00027A00"/>
    <w:rsid w:val="00027A33"/>
    <w:rsid w:val="00027C12"/>
    <w:rsid w:val="00027FE8"/>
    <w:rsid w:val="0003011E"/>
    <w:rsid w:val="000301EF"/>
    <w:rsid w:val="000304F0"/>
    <w:rsid w:val="0003060E"/>
    <w:rsid w:val="00030631"/>
    <w:rsid w:val="0003088B"/>
    <w:rsid w:val="0003095D"/>
    <w:rsid w:val="00030B7E"/>
    <w:rsid w:val="00030CD6"/>
    <w:rsid w:val="000314C9"/>
    <w:rsid w:val="00031556"/>
    <w:rsid w:val="0003161A"/>
    <w:rsid w:val="00031750"/>
    <w:rsid w:val="000319BA"/>
    <w:rsid w:val="00031A7C"/>
    <w:rsid w:val="00032236"/>
    <w:rsid w:val="000323BE"/>
    <w:rsid w:val="0003266B"/>
    <w:rsid w:val="0003280A"/>
    <w:rsid w:val="0003286F"/>
    <w:rsid w:val="00032ACB"/>
    <w:rsid w:val="00032C43"/>
    <w:rsid w:val="00032C73"/>
    <w:rsid w:val="00032D24"/>
    <w:rsid w:val="00032E3F"/>
    <w:rsid w:val="00032EEA"/>
    <w:rsid w:val="00032F1D"/>
    <w:rsid w:val="0003300D"/>
    <w:rsid w:val="00033128"/>
    <w:rsid w:val="0003318B"/>
    <w:rsid w:val="0003342D"/>
    <w:rsid w:val="0003378E"/>
    <w:rsid w:val="00033882"/>
    <w:rsid w:val="000338E4"/>
    <w:rsid w:val="000339D0"/>
    <w:rsid w:val="00033B87"/>
    <w:rsid w:val="00033C5B"/>
    <w:rsid w:val="00034151"/>
    <w:rsid w:val="00034177"/>
    <w:rsid w:val="0003423A"/>
    <w:rsid w:val="00034374"/>
    <w:rsid w:val="00034524"/>
    <w:rsid w:val="00034777"/>
    <w:rsid w:val="00034B99"/>
    <w:rsid w:val="00034C25"/>
    <w:rsid w:val="00034EC8"/>
    <w:rsid w:val="000350CB"/>
    <w:rsid w:val="00035143"/>
    <w:rsid w:val="000351B8"/>
    <w:rsid w:val="00035265"/>
    <w:rsid w:val="000352BD"/>
    <w:rsid w:val="0003534F"/>
    <w:rsid w:val="0003538E"/>
    <w:rsid w:val="000355A4"/>
    <w:rsid w:val="00035765"/>
    <w:rsid w:val="00035790"/>
    <w:rsid w:val="0003590A"/>
    <w:rsid w:val="00035910"/>
    <w:rsid w:val="000359B8"/>
    <w:rsid w:val="00035D4D"/>
    <w:rsid w:val="00035DBC"/>
    <w:rsid w:val="0003611E"/>
    <w:rsid w:val="0003616E"/>
    <w:rsid w:val="0003657F"/>
    <w:rsid w:val="00036D32"/>
    <w:rsid w:val="00036F44"/>
    <w:rsid w:val="000370E8"/>
    <w:rsid w:val="00037627"/>
    <w:rsid w:val="000376D4"/>
    <w:rsid w:val="00037B76"/>
    <w:rsid w:val="00037DFF"/>
    <w:rsid w:val="00037F54"/>
    <w:rsid w:val="000401A7"/>
    <w:rsid w:val="000404E7"/>
    <w:rsid w:val="00040532"/>
    <w:rsid w:val="000406A5"/>
    <w:rsid w:val="000407CD"/>
    <w:rsid w:val="0004088D"/>
    <w:rsid w:val="00040ABC"/>
    <w:rsid w:val="00040B19"/>
    <w:rsid w:val="00040B36"/>
    <w:rsid w:val="00040C3E"/>
    <w:rsid w:val="00040DBE"/>
    <w:rsid w:val="00040EA4"/>
    <w:rsid w:val="00040EC3"/>
    <w:rsid w:val="00040EF8"/>
    <w:rsid w:val="00041047"/>
    <w:rsid w:val="000411D8"/>
    <w:rsid w:val="000414B4"/>
    <w:rsid w:val="00041536"/>
    <w:rsid w:val="00041873"/>
    <w:rsid w:val="0004197A"/>
    <w:rsid w:val="00041D79"/>
    <w:rsid w:val="0004201A"/>
    <w:rsid w:val="0004252A"/>
    <w:rsid w:val="0004255D"/>
    <w:rsid w:val="000425D7"/>
    <w:rsid w:val="000426D7"/>
    <w:rsid w:val="000427BC"/>
    <w:rsid w:val="000427C7"/>
    <w:rsid w:val="000427EF"/>
    <w:rsid w:val="000428C0"/>
    <w:rsid w:val="00042E37"/>
    <w:rsid w:val="00042F92"/>
    <w:rsid w:val="000431C8"/>
    <w:rsid w:val="0004330B"/>
    <w:rsid w:val="00043542"/>
    <w:rsid w:val="0004379B"/>
    <w:rsid w:val="000437F4"/>
    <w:rsid w:val="000437FF"/>
    <w:rsid w:val="000438CF"/>
    <w:rsid w:val="00043979"/>
    <w:rsid w:val="0004397D"/>
    <w:rsid w:val="00043BA3"/>
    <w:rsid w:val="00043C45"/>
    <w:rsid w:val="00043CDE"/>
    <w:rsid w:val="00043E0A"/>
    <w:rsid w:val="00043E8B"/>
    <w:rsid w:val="00043F73"/>
    <w:rsid w:val="000440E5"/>
    <w:rsid w:val="000441E8"/>
    <w:rsid w:val="0004430A"/>
    <w:rsid w:val="00044371"/>
    <w:rsid w:val="000444E7"/>
    <w:rsid w:val="000444F9"/>
    <w:rsid w:val="00044524"/>
    <w:rsid w:val="0004458D"/>
    <w:rsid w:val="00044781"/>
    <w:rsid w:val="000448D9"/>
    <w:rsid w:val="00044A93"/>
    <w:rsid w:val="00044EFF"/>
    <w:rsid w:val="00044F68"/>
    <w:rsid w:val="00045018"/>
    <w:rsid w:val="00045042"/>
    <w:rsid w:val="00045053"/>
    <w:rsid w:val="00045560"/>
    <w:rsid w:val="00045770"/>
    <w:rsid w:val="000459C1"/>
    <w:rsid w:val="00045A8A"/>
    <w:rsid w:val="00045B47"/>
    <w:rsid w:val="00045C64"/>
    <w:rsid w:val="00045CA7"/>
    <w:rsid w:val="00045CE1"/>
    <w:rsid w:val="00045D2F"/>
    <w:rsid w:val="00045EF7"/>
    <w:rsid w:val="00045F1A"/>
    <w:rsid w:val="000461A0"/>
    <w:rsid w:val="000461C3"/>
    <w:rsid w:val="00046313"/>
    <w:rsid w:val="00046367"/>
    <w:rsid w:val="00046519"/>
    <w:rsid w:val="00046648"/>
    <w:rsid w:val="00046918"/>
    <w:rsid w:val="00046B63"/>
    <w:rsid w:val="00046E6B"/>
    <w:rsid w:val="00046E8A"/>
    <w:rsid w:val="00046EDF"/>
    <w:rsid w:val="00047065"/>
    <w:rsid w:val="000473E0"/>
    <w:rsid w:val="0004759A"/>
    <w:rsid w:val="0004781D"/>
    <w:rsid w:val="00050223"/>
    <w:rsid w:val="0005050E"/>
    <w:rsid w:val="00050773"/>
    <w:rsid w:val="0005084E"/>
    <w:rsid w:val="00050920"/>
    <w:rsid w:val="00050C2E"/>
    <w:rsid w:val="00050DE5"/>
    <w:rsid w:val="00050E6A"/>
    <w:rsid w:val="00050EEE"/>
    <w:rsid w:val="0005103D"/>
    <w:rsid w:val="0005118D"/>
    <w:rsid w:val="0005129B"/>
    <w:rsid w:val="0005134F"/>
    <w:rsid w:val="00051516"/>
    <w:rsid w:val="0005158A"/>
    <w:rsid w:val="0005167A"/>
    <w:rsid w:val="000516EE"/>
    <w:rsid w:val="0005176A"/>
    <w:rsid w:val="0005193A"/>
    <w:rsid w:val="00051ABB"/>
    <w:rsid w:val="00051D9B"/>
    <w:rsid w:val="00051ECD"/>
    <w:rsid w:val="00052009"/>
    <w:rsid w:val="00052097"/>
    <w:rsid w:val="0005212E"/>
    <w:rsid w:val="000521FC"/>
    <w:rsid w:val="00052308"/>
    <w:rsid w:val="0005236B"/>
    <w:rsid w:val="00052641"/>
    <w:rsid w:val="0005265D"/>
    <w:rsid w:val="00052A81"/>
    <w:rsid w:val="00052ADE"/>
    <w:rsid w:val="00052BC6"/>
    <w:rsid w:val="00052BE9"/>
    <w:rsid w:val="00052EA9"/>
    <w:rsid w:val="00052FEA"/>
    <w:rsid w:val="00053180"/>
    <w:rsid w:val="00053202"/>
    <w:rsid w:val="00053279"/>
    <w:rsid w:val="00053288"/>
    <w:rsid w:val="000536CD"/>
    <w:rsid w:val="000539A2"/>
    <w:rsid w:val="000539C4"/>
    <w:rsid w:val="00053A33"/>
    <w:rsid w:val="00053B98"/>
    <w:rsid w:val="00053BFB"/>
    <w:rsid w:val="00053C2E"/>
    <w:rsid w:val="00054157"/>
    <w:rsid w:val="00054305"/>
    <w:rsid w:val="0005437A"/>
    <w:rsid w:val="000544C2"/>
    <w:rsid w:val="00054A21"/>
    <w:rsid w:val="00054C43"/>
    <w:rsid w:val="00054DC5"/>
    <w:rsid w:val="00054F87"/>
    <w:rsid w:val="000551BC"/>
    <w:rsid w:val="00055325"/>
    <w:rsid w:val="000553D2"/>
    <w:rsid w:val="0005551D"/>
    <w:rsid w:val="00055806"/>
    <w:rsid w:val="000559CA"/>
    <w:rsid w:val="000559E3"/>
    <w:rsid w:val="00055A87"/>
    <w:rsid w:val="00055AA0"/>
    <w:rsid w:val="00055BA2"/>
    <w:rsid w:val="00055E72"/>
    <w:rsid w:val="00055F67"/>
    <w:rsid w:val="00055FC5"/>
    <w:rsid w:val="00055FF9"/>
    <w:rsid w:val="000561EF"/>
    <w:rsid w:val="0005626B"/>
    <w:rsid w:val="00056347"/>
    <w:rsid w:val="00056486"/>
    <w:rsid w:val="00056781"/>
    <w:rsid w:val="00056B9B"/>
    <w:rsid w:val="00056BAC"/>
    <w:rsid w:val="00056CDE"/>
    <w:rsid w:val="00056DD7"/>
    <w:rsid w:val="00056E78"/>
    <w:rsid w:val="00056F95"/>
    <w:rsid w:val="00057126"/>
    <w:rsid w:val="00057387"/>
    <w:rsid w:val="000573CB"/>
    <w:rsid w:val="0005754B"/>
    <w:rsid w:val="00057562"/>
    <w:rsid w:val="000577C4"/>
    <w:rsid w:val="00057873"/>
    <w:rsid w:val="0005799B"/>
    <w:rsid w:val="00057E8F"/>
    <w:rsid w:val="00057EA2"/>
    <w:rsid w:val="00057FA7"/>
    <w:rsid w:val="00057FDA"/>
    <w:rsid w:val="000600E1"/>
    <w:rsid w:val="0006016E"/>
    <w:rsid w:val="000601F1"/>
    <w:rsid w:val="00060209"/>
    <w:rsid w:val="00060241"/>
    <w:rsid w:val="00060255"/>
    <w:rsid w:val="0006026B"/>
    <w:rsid w:val="000603BA"/>
    <w:rsid w:val="000604D2"/>
    <w:rsid w:val="000606C5"/>
    <w:rsid w:val="00060724"/>
    <w:rsid w:val="0006078F"/>
    <w:rsid w:val="0006099C"/>
    <w:rsid w:val="00060B55"/>
    <w:rsid w:val="00060C5E"/>
    <w:rsid w:val="00060C83"/>
    <w:rsid w:val="00060C85"/>
    <w:rsid w:val="00060E0D"/>
    <w:rsid w:val="00060EF8"/>
    <w:rsid w:val="000610DA"/>
    <w:rsid w:val="000611FB"/>
    <w:rsid w:val="00061A87"/>
    <w:rsid w:val="00061BB9"/>
    <w:rsid w:val="00061EA1"/>
    <w:rsid w:val="00061F5A"/>
    <w:rsid w:val="00061FBC"/>
    <w:rsid w:val="00062101"/>
    <w:rsid w:val="000622E3"/>
    <w:rsid w:val="0006247E"/>
    <w:rsid w:val="00062574"/>
    <w:rsid w:val="00062979"/>
    <w:rsid w:val="00062CE8"/>
    <w:rsid w:val="000630C5"/>
    <w:rsid w:val="00063188"/>
    <w:rsid w:val="00063203"/>
    <w:rsid w:val="0006322A"/>
    <w:rsid w:val="00063342"/>
    <w:rsid w:val="000633A7"/>
    <w:rsid w:val="0006353D"/>
    <w:rsid w:val="000638AB"/>
    <w:rsid w:val="000639FF"/>
    <w:rsid w:val="00063B7D"/>
    <w:rsid w:val="00063E8F"/>
    <w:rsid w:val="00064041"/>
    <w:rsid w:val="00064190"/>
    <w:rsid w:val="000641D7"/>
    <w:rsid w:val="000641E7"/>
    <w:rsid w:val="00064211"/>
    <w:rsid w:val="000645EE"/>
    <w:rsid w:val="00064AA8"/>
    <w:rsid w:val="00064B5E"/>
    <w:rsid w:val="00064C78"/>
    <w:rsid w:val="00064D5A"/>
    <w:rsid w:val="00064ED4"/>
    <w:rsid w:val="00064F9E"/>
    <w:rsid w:val="0006511A"/>
    <w:rsid w:val="000651E0"/>
    <w:rsid w:val="000653FB"/>
    <w:rsid w:val="0006542A"/>
    <w:rsid w:val="0006563D"/>
    <w:rsid w:val="000656EA"/>
    <w:rsid w:val="00065830"/>
    <w:rsid w:val="0006599E"/>
    <w:rsid w:val="00065AC4"/>
    <w:rsid w:val="00066130"/>
    <w:rsid w:val="00066360"/>
    <w:rsid w:val="0006636F"/>
    <w:rsid w:val="00066762"/>
    <w:rsid w:val="00066877"/>
    <w:rsid w:val="000668A5"/>
    <w:rsid w:val="000669AA"/>
    <w:rsid w:val="00066B94"/>
    <w:rsid w:val="00066CAA"/>
    <w:rsid w:val="00066CE2"/>
    <w:rsid w:val="00066D87"/>
    <w:rsid w:val="00066DB8"/>
    <w:rsid w:val="00066F03"/>
    <w:rsid w:val="000670F4"/>
    <w:rsid w:val="000672FE"/>
    <w:rsid w:val="00067359"/>
    <w:rsid w:val="00067499"/>
    <w:rsid w:val="00067599"/>
    <w:rsid w:val="000675A4"/>
    <w:rsid w:val="000677FC"/>
    <w:rsid w:val="000677FD"/>
    <w:rsid w:val="0006783A"/>
    <w:rsid w:val="00067A89"/>
    <w:rsid w:val="00067C95"/>
    <w:rsid w:val="00067E2A"/>
    <w:rsid w:val="00067F10"/>
    <w:rsid w:val="00067FC4"/>
    <w:rsid w:val="00067FC8"/>
    <w:rsid w:val="00070340"/>
    <w:rsid w:val="0007039E"/>
    <w:rsid w:val="000703C2"/>
    <w:rsid w:val="00070435"/>
    <w:rsid w:val="00070533"/>
    <w:rsid w:val="0007053E"/>
    <w:rsid w:val="000707E1"/>
    <w:rsid w:val="00070A64"/>
    <w:rsid w:val="00070AD8"/>
    <w:rsid w:val="00070B02"/>
    <w:rsid w:val="00070B9E"/>
    <w:rsid w:val="00070C28"/>
    <w:rsid w:val="00070D27"/>
    <w:rsid w:val="00071212"/>
    <w:rsid w:val="000713F0"/>
    <w:rsid w:val="000715A7"/>
    <w:rsid w:val="00071838"/>
    <w:rsid w:val="00071974"/>
    <w:rsid w:val="00071C0A"/>
    <w:rsid w:val="00071F2C"/>
    <w:rsid w:val="00071F9D"/>
    <w:rsid w:val="000723BD"/>
    <w:rsid w:val="000724CE"/>
    <w:rsid w:val="000725C4"/>
    <w:rsid w:val="000728A6"/>
    <w:rsid w:val="00072933"/>
    <w:rsid w:val="000729E6"/>
    <w:rsid w:val="00072A61"/>
    <w:rsid w:val="00072AA7"/>
    <w:rsid w:val="00072C7E"/>
    <w:rsid w:val="00072DB0"/>
    <w:rsid w:val="00073440"/>
    <w:rsid w:val="00073512"/>
    <w:rsid w:val="000736CB"/>
    <w:rsid w:val="0007398D"/>
    <w:rsid w:val="00073B35"/>
    <w:rsid w:val="00073C70"/>
    <w:rsid w:val="00073E27"/>
    <w:rsid w:val="00073FB7"/>
    <w:rsid w:val="00073FCB"/>
    <w:rsid w:val="000741DE"/>
    <w:rsid w:val="0007437D"/>
    <w:rsid w:val="000743FD"/>
    <w:rsid w:val="00074457"/>
    <w:rsid w:val="00074484"/>
    <w:rsid w:val="00074591"/>
    <w:rsid w:val="00074829"/>
    <w:rsid w:val="00074932"/>
    <w:rsid w:val="000749C2"/>
    <w:rsid w:val="0007504E"/>
    <w:rsid w:val="0007527B"/>
    <w:rsid w:val="00075427"/>
    <w:rsid w:val="0007548B"/>
    <w:rsid w:val="000756CA"/>
    <w:rsid w:val="000756D1"/>
    <w:rsid w:val="000757B1"/>
    <w:rsid w:val="000758B6"/>
    <w:rsid w:val="00075936"/>
    <w:rsid w:val="0007598C"/>
    <w:rsid w:val="00075A80"/>
    <w:rsid w:val="00075BE6"/>
    <w:rsid w:val="00075FF7"/>
    <w:rsid w:val="00076477"/>
    <w:rsid w:val="000765C7"/>
    <w:rsid w:val="00076891"/>
    <w:rsid w:val="000768A2"/>
    <w:rsid w:val="00076A0A"/>
    <w:rsid w:val="00076CA0"/>
    <w:rsid w:val="000770D9"/>
    <w:rsid w:val="00077911"/>
    <w:rsid w:val="00077966"/>
    <w:rsid w:val="00077B06"/>
    <w:rsid w:val="00077B8B"/>
    <w:rsid w:val="00077DF7"/>
    <w:rsid w:val="00077E23"/>
    <w:rsid w:val="0008008C"/>
    <w:rsid w:val="000801DF"/>
    <w:rsid w:val="00080353"/>
    <w:rsid w:val="00080B1B"/>
    <w:rsid w:val="00080B2A"/>
    <w:rsid w:val="00080BD2"/>
    <w:rsid w:val="00080F75"/>
    <w:rsid w:val="000816FB"/>
    <w:rsid w:val="000817D1"/>
    <w:rsid w:val="000817F2"/>
    <w:rsid w:val="000819A0"/>
    <w:rsid w:val="00081CE4"/>
    <w:rsid w:val="00081DA8"/>
    <w:rsid w:val="00081DEE"/>
    <w:rsid w:val="00082164"/>
    <w:rsid w:val="0008242A"/>
    <w:rsid w:val="000825C2"/>
    <w:rsid w:val="00082807"/>
    <w:rsid w:val="0008293A"/>
    <w:rsid w:val="00082AFD"/>
    <w:rsid w:val="00082B79"/>
    <w:rsid w:val="00082C8D"/>
    <w:rsid w:val="00082C90"/>
    <w:rsid w:val="00082D22"/>
    <w:rsid w:val="00082D7B"/>
    <w:rsid w:val="00082DF4"/>
    <w:rsid w:val="00082E51"/>
    <w:rsid w:val="00082F7C"/>
    <w:rsid w:val="0008317F"/>
    <w:rsid w:val="00083477"/>
    <w:rsid w:val="000836A6"/>
    <w:rsid w:val="000837B9"/>
    <w:rsid w:val="00083A55"/>
    <w:rsid w:val="00083B37"/>
    <w:rsid w:val="00083B90"/>
    <w:rsid w:val="00083BE0"/>
    <w:rsid w:val="00083C4D"/>
    <w:rsid w:val="00083E7F"/>
    <w:rsid w:val="00083F3B"/>
    <w:rsid w:val="00084131"/>
    <w:rsid w:val="00084148"/>
    <w:rsid w:val="0008417F"/>
    <w:rsid w:val="000842AA"/>
    <w:rsid w:val="00084597"/>
    <w:rsid w:val="000845E6"/>
    <w:rsid w:val="0008462E"/>
    <w:rsid w:val="000848E5"/>
    <w:rsid w:val="000849E5"/>
    <w:rsid w:val="00084A3B"/>
    <w:rsid w:val="000850B1"/>
    <w:rsid w:val="00085210"/>
    <w:rsid w:val="00085482"/>
    <w:rsid w:val="0008570E"/>
    <w:rsid w:val="00085E47"/>
    <w:rsid w:val="00085EBF"/>
    <w:rsid w:val="00085FCB"/>
    <w:rsid w:val="00086352"/>
    <w:rsid w:val="0008651D"/>
    <w:rsid w:val="000865F5"/>
    <w:rsid w:val="00086796"/>
    <w:rsid w:val="000868EE"/>
    <w:rsid w:val="00086916"/>
    <w:rsid w:val="00086A2F"/>
    <w:rsid w:val="00086E95"/>
    <w:rsid w:val="00087090"/>
    <w:rsid w:val="000873D2"/>
    <w:rsid w:val="000876BC"/>
    <w:rsid w:val="000877FC"/>
    <w:rsid w:val="00087B39"/>
    <w:rsid w:val="00087CD7"/>
    <w:rsid w:val="00087EC4"/>
    <w:rsid w:val="00090469"/>
    <w:rsid w:val="000904BC"/>
    <w:rsid w:val="0009074D"/>
    <w:rsid w:val="000907DA"/>
    <w:rsid w:val="000909AB"/>
    <w:rsid w:val="00090C7D"/>
    <w:rsid w:val="00090CDD"/>
    <w:rsid w:val="000910AA"/>
    <w:rsid w:val="000912AF"/>
    <w:rsid w:val="00091313"/>
    <w:rsid w:val="0009136E"/>
    <w:rsid w:val="00091373"/>
    <w:rsid w:val="000913B7"/>
    <w:rsid w:val="00091716"/>
    <w:rsid w:val="00091AA8"/>
    <w:rsid w:val="00091AF5"/>
    <w:rsid w:val="00091C57"/>
    <w:rsid w:val="00092192"/>
    <w:rsid w:val="0009223D"/>
    <w:rsid w:val="000922D1"/>
    <w:rsid w:val="000924D0"/>
    <w:rsid w:val="0009253D"/>
    <w:rsid w:val="000928FF"/>
    <w:rsid w:val="000929FE"/>
    <w:rsid w:val="00092A42"/>
    <w:rsid w:val="00092F51"/>
    <w:rsid w:val="000930B9"/>
    <w:rsid w:val="0009314D"/>
    <w:rsid w:val="0009319A"/>
    <w:rsid w:val="00093265"/>
    <w:rsid w:val="0009348E"/>
    <w:rsid w:val="000935F1"/>
    <w:rsid w:val="000935FA"/>
    <w:rsid w:val="000939C7"/>
    <w:rsid w:val="000939EB"/>
    <w:rsid w:val="000939FB"/>
    <w:rsid w:val="00093ACD"/>
    <w:rsid w:val="00093AF3"/>
    <w:rsid w:val="00093C47"/>
    <w:rsid w:val="000942E8"/>
    <w:rsid w:val="000945E5"/>
    <w:rsid w:val="000947B0"/>
    <w:rsid w:val="00094870"/>
    <w:rsid w:val="000949F7"/>
    <w:rsid w:val="00094B56"/>
    <w:rsid w:val="00094F2D"/>
    <w:rsid w:val="00094F93"/>
    <w:rsid w:val="0009557A"/>
    <w:rsid w:val="0009560C"/>
    <w:rsid w:val="000956D7"/>
    <w:rsid w:val="00095723"/>
    <w:rsid w:val="000957A9"/>
    <w:rsid w:val="00095C7A"/>
    <w:rsid w:val="00095D84"/>
    <w:rsid w:val="000960DB"/>
    <w:rsid w:val="00096151"/>
    <w:rsid w:val="0009655A"/>
    <w:rsid w:val="00096741"/>
    <w:rsid w:val="000968A6"/>
    <w:rsid w:val="00096936"/>
    <w:rsid w:val="00096AF3"/>
    <w:rsid w:val="00096B30"/>
    <w:rsid w:val="00096B80"/>
    <w:rsid w:val="00096BA6"/>
    <w:rsid w:val="00096BB7"/>
    <w:rsid w:val="00096D1F"/>
    <w:rsid w:val="00096EEE"/>
    <w:rsid w:val="0009702C"/>
    <w:rsid w:val="00097136"/>
    <w:rsid w:val="00097316"/>
    <w:rsid w:val="000973BC"/>
    <w:rsid w:val="000973EE"/>
    <w:rsid w:val="00097531"/>
    <w:rsid w:val="0009764E"/>
    <w:rsid w:val="00097754"/>
    <w:rsid w:val="00097765"/>
    <w:rsid w:val="000978D0"/>
    <w:rsid w:val="000979AE"/>
    <w:rsid w:val="00097A59"/>
    <w:rsid w:val="00097EBC"/>
    <w:rsid w:val="00097F17"/>
    <w:rsid w:val="000A006F"/>
    <w:rsid w:val="000A0072"/>
    <w:rsid w:val="000A00B6"/>
    <w:rsid w:val="000A02F1"/>
    <w:rsid w:val="000A0552"/>
    <w:rsid w:val="000A05A5"/>
    <w:rsid w:val="000A080D"/>
    <w:rsid w:val="000A08D2"/>
    <w:rsid w:val="000A0962"/>
    <w:rsid w:val="000A0C26"/>
    <w:rsid w:val="000A0D11"/>
    <w:rsid w:val="000A0D9C"/>
    <w:rsid w:val="000A0FA1"/>
    <w:rsid w:val="000A119A"/>
    <w:rsid w:val="000A138D"/>
    <w:rsid w:val="000A1560"/>
    <w:rsid w:val="000A1643"/>
    <w:rsid w:val="000A1BF1"/>
    <w:rsid w:val="000A1CD2"/>
    <w:rsid w:val="000A1F64"/>
    <w:rsid w:val="000A1FDC"/>
    <w:rsid w:val="000A203D"/>
    <w:rsid w:val="000A221A"/>
    <w:rsid w:val="000A226C"/>
    <w:rsid w:val="000A22D2"/>
    <w:rsid w:val="000A27AB"/>
    <w:rsid w:val="000A288A"/>
    <w:rsid w:val="000A28AE"/>
    <w:rsid w:val="000A28EC"/>
    <w:rsid w:val="000A2F79"/>
    <w:rsid w:val="000A2FEF"/>
    <w:rsid w:val="000A30B2"/>
    <w:rsid w:val="000A35E2"/>
    <w:rsid w:val="000A3771"/>
    <w:rsid w:val="000A383D"/>
    <w:rsid w:val="000A388D"/>
    <w:rsid w:val="000A3974"/>
    <w:rsid w:val="000A3BEC"/>
    <w:rsid w:val="000A3C4D"/>
    <w:rsid w:val="000A3C9C"/>
    <w:rsid w:val="000A3D48"/>
    <w:rsid w:val="000A3E35"/>
    <w:rsid w:val="000A42B4"/>
    <w:rsid w:val="000A43FA"/>
    <w:rsid w:val="000A4583"/>
    <w:rsid w:val="000A4631"/>
    <w:rsid w:val="000A469F"/>
    <w:rsid w:val="000A49A8"/>
    <w:rsid w:val="000A4B1E"/>
    <w:rsid w:val="000A5165"/>
    <w:rsid w:val="000A52D9"/>
    <w:rsid w:val="000A560E"/>
    <w:rsid w:val="000A56DF"/>
    <w:rsid w:val="000A597E"/>
    <w:rsid w:val="000A59FB"/>
    <w:rsid w:val="000A5A0E"/>
    <w:rsid w:val="000A5ABC"/>
    <w:rsid w:val="000A5C21"/>
    <w:rsid w:val="000A5C40"/>
    <w:rsid w:val="000A5CAE"/>
    <w:rsid w:val="000A5CE7"/>
    <w:rsid w:val="000A5F0C"/>
    <w:rsid w:val="000A60D7"/>
    <w:rsid w:val="000A621F"/>
    <w:rsid w:val="000A6420"/>
    <w:rsid w:val="000A6626"/>
    <w:rsid w:val="000A6780"/>
    <w:rsid w:val="000A6955"/>
    <w:rsid w:val="000A6AEB"/>
    <w:rsid w:val="000A6BD0"/>
    <w:rsid w:val="000A6C8F"/>
    <w:rsid w:val="000A6F66"/>
    <w:rsid w:val="000A6FFF"/>
    <w:rsid w:val="000A7242"/>
    <w:rsid w:val="000A7391"/>
    <w:rsid w:val="000A74F6"/>
    <w:rsid w:val="000A7BF6"/>
    <w:rsid w:val="000A7CD3"/>
    <w:rsid w:val="000A7D75"/>
    <w:rsid w:val="000A7E7C"/>
    <w:rsid w:val="000B00B0"/>
    <w:rsid w:val="000B021B"/>
    <w:rsid w:val="000B02BB"/>
    <w:rsid w:val="000B05D9"/>
    <w:rsid w:val="000B0684"/>
    <w:rsid w:val="000B0986"/>
    <w:rsid w:val="000B0C5B"/>
    <w:rsid w:val="000B0E32"/>
    <w:rsid w:val="000B0E4E"/>
    <w:rsid w:val="000B149B"/>
    <w:rsid w:val="000B1590"/>
    <w:rsid w:val="000B171E"/>
    <w:rsid w:val="000B1794"/>
    <w:rsid w:val="000B1AAD"/>
    <w:rsid w:val="000B1B8A"/>
    <w:rsid w:val="000B1D4E"/>
    <w:rsid w:val="000B1F8F"/>
    <w:rsid w:val="000B21BC"/>
    <w:rsid w:val="000B25B4"/>
    <w:rsid w:val="000B28B4"/>
    <w:rsid w:val="000B2963"/>
    <w:rsid w:val="000B2A9A"/>
    <w:rsid w:val="000B2AD6"/>
    <w:rsid w:val="000B2C21"/>
    <w:rsid w:val="000B3580"/>
    <w:rsid w:val="000B3600"/>
    <w:rsid w:val="000B3633"/>
    <w:rsid w:val="000B37F2"/>
    <w:rsid w:val="000B3A38"/>
    <w:rsid w:val="000B3B68"/>
    <w:rsid w:val="000B3B70"/>
    <w:rsid w:val="000B3C46"/>
    <w:rsid w:val="000B3CA3"/>
    <w:rsid w:val="000B3DBC"/>
    <w:rsid w:val="000B3E6A"/>
    <w:rsid w:val="000B3EA5"/>
    <w:rsid w:val="000B3F55"/>
    <w:rsid w:val="000B3F60"/>
    <w:rsid w:val="000B3FEC"/>
    <w:rsid w:val="000B4048"/>
    <w:rsid w:val="000B40FB"/>
    <w:rsid w:val="000B422C"/>
    <w:rsid w:val="000B4598"/>
    <w:rsid w:val="000B4670"/>
    <w:rsid w:val="000B47FA"/>
    <w:rsid w:val="000B4896"/>
    <w:rsid w:val="000B492A"/>
    <w:rsid w:val="000B4A85"/>
    <w:rsid w:val="000B4DB5"/>
    <w:rsid w:val="000B51CD"/>
    <w:rsid w:val="000B52E8"/>
    <w:rsid w:val="000B5315"/>
    <w:rsid w:val="000B53B5"/>
    <w:rsid w:val="000B564C"/>
    <w:rsid w:val="000B5A2F"/>
    <w:rsid w:val="000B5EC0"/>
    <w:rsid w:val="000B5ECE"/>
    <w:rsid w:val="000B5F02"/>
    <w:rsid w:val="000B62B1"/>
    <w:rsid w:val="000B6515"/>
    <w:rsid w:val="000B654E"/>
    <w:rsid w:val="000B6836"/>
    <w:rsid w:val="000B6B9B"/>
    <w:rsid w:val="000B70F4"/>
    <w:rsid w:val="000B7189"/>
    <w:rsid w:val="000B71A1"/>
    <w:rsid w:val="000B71D9"/>
    <w:rsid w:val="000B7212"/>
    <w:rsid w:val="000B737F"/>
    <w:rsid w:val="000B74D2"/>
    <w:rsid w:val="000B7732"/>
    <w:rsid w:val="000B775F"/>
    <w:rsid w:val="000B78D3"/>
    <w:rsid w:val="000B79D6"/>
    <w:rsid w:val="000B7A1D"/>
    <w:rsid w:val="000C00BF"/>
    <w:rsid w:val="000C0148"/>
    <w:rsid w:val="000C0676"/>
    <w:rsid w:val="000C07AF"/>
    <w:rsid w:val="000C09A9"/>
    <w:rsid w:val="000C09DA"/>
    <w:rsid w:val="000C0BDF"/>
    <w:rsid w:val="000C1052"/>
    <w:rsid w:val="000C108C"/>
    <w:rsid w:val="000C122F"/>
    <w:rsid w:val="000C1651"/>
    <w:rsid w:val="000C166F"/>
    <w:rsid w:val="000C1909"/>
    <w:rsid w:val="000C1A14"/>
    <w:rsid w:val="000C1A86"/>
    <w:rsid w:val="000C1CF5"/>
    <w:rsid w:val="000C1E19"/>
    <w:rsid w:val="000C1FCB"/>
    <w:rsid w:val="000C2173"/>
    <w:rsid w:val="000C2223"/>
    <w:rsid w:val="000C2326"/>
    <w:rsid w:val="000C2359"/>
    <w:rsid w:val="000C2573"/>
    <w:rsid w:val="000C266A"/>
    <w:rsid w:val="000C284D"/>
    <w:rsid w:val="000C2C4A"/>
    <w:rsid w:val="000C2E71"/>
    <w:rsid w:val="000C32B4"/>
    <w:rsid w:val="000C3485"/>
    <w:rsid w:val="000C3526"/>
    <w:rsid w:val="000C363E"/>
    <w:rsid w:val="000C3693"/>
    <w:rsid w:val="000C389B"/>
    <w:rsid w:val="000C38F2"/>
    <w:rsid w:val="000C399F"/>
    <w:rsid w:val="000C39A2"/>
    <w:rsid w:val="000C39CD"/>
    <w:rsid w:val="000C3A1B"/>
    <w:rsid w:val="000C3B43"/>
    <w:rsid w:val="000C3F74"/>
    <w:rsid w:val="000C4524"/>
    <w:rsid w:val="000C46B4"/>
    <w:rsid w:val="000C4845"/>
    <w:rsid w:val="000C4A7E"/>
    <w:rsid w:val="000C4BEC"/>
    <w:rsid w:val="000C4CA5"/>
    <w:rsid w:val="000C4CE2"/>
    <w:rsid w:val="000C4EDC"/>
    <w:rsid w:val="000C5096"/>
    <w:rsid w:val="000C53E0"/>
    <w:rsid w:val="000C54FC"/>
    <w:rsid w:val="000C5572"/>
    <w:rsid w:val="000C56CF"/>
    <w:rsid w:val="000C5BA6"/>
    <w:rsid w:val="000C5C70"/>
    <w:rsid w:val="000C6332"/>
    <w:rsid w:val="000C64E9"/>
    <w:rsid w:val="000C6889"/>
    <w:rsid w:val="000C68F7"/>
    <w:rsid w:val="000C6BE3"/>
    <w:rsid w:val="000C6D5A"/>
    <w:rsid w:val="000C7014"/>
    <w:rsid w:val="000C7097"/>
    <w:rsid w:val="000C70BA"/>
    <w:rsid w:val="000C72FA"/>
    <w:rsid w:val="000C7371"/>
    <w:rsid w:val="000C747F"/>
    <w:rsid w:val="000C751F"/>
    <w:rsid w:val="000C759D"/>
    <w:rsid w:val="000C79EA"/>
    <w:rsid w:val="000C7BE4"/>
    <w:rsid w:val="000C7E58"/>
    <w:rsid w:val="000C7E6C"/>
    <w:rsid w:val="000C7FA7"/>
    <w:rsid w:val="000D0032"/>
    <w:rsid w:val="000D0086"/>
    <w:rsid w:val="000D02D2"/>
    <w:rsid w:val="000D0331"/>
    <w:rsid w:val="000D0422"/>
    <w:rsid w:val="000D0514"/>
    <w:rsid w:val="000D0664"/>
    <w:rsid w:val="000D084B"/>
    <w:rsid w:val="000D0ACE"/>
    <w:rsid w:val="000D0CE7"/>
    <w:rsid w:val="000D0E4B"/>
    <w:rsid w:val="000D0F06"/>
    <w:rsid w:val="000D0FD9"/>
    <w:rsid w:val="000D1021"/>
    <w:rsid w:val="000D102F"/>
    <w:rsid w:val="000D1175"/>
    <w:rsid w:val="000D11A8"/>
    <w:rsid w:val="000D11CC"/>
    <w:rsid w:val="000D11EF"/>
    <w:rsid w:val="000D1271"/>
    <w:rsid w:val="000D13AD"/>
    <w:rsid w:val="000D14D8"/>
    <w:rsid w:val="000D156B"/>
    <w:rsid w:val="000D17C7"/>
    <w:rsid w:val="000D1B97"/>
    <w:rsid w:val="000D1C5A"/>
    <w:rsid w:val="000D1DB5"/>
    <w:rsid w:val="000D1FEC"/>
    <w:rsid w:val="000D2261"/>
    <w:rsid w:val="000D2347"/>
    <w:rsid w:val="000D23CC"/>
    <w:rsid w:val="000D2421"/>
    <w:rsid w:val="000D2660"/>
    <w:rsid w:val="000D26C6"/>
    <w:rsid w:val="000D26DA"/>
    <w:rsid w:val="000D2767"/>
    <w:rsid w:val="000D27B5"/>
    <w:rsid w:val="000D2830"/>
    <w:rsid w:val="000D2CBE"/>
    <w:rsid w:val="000D2E55"/>
    <w:rsid w:val="000D310E"/>
    <w:rsid w:val="000D32E9"/>
    <w:rsid w:val="000D3422"/>
    <w:rsid w:val="000D3471"/>
    <w:rsid w:val="000D366B"/>
    <w:rsid w:val="000D36EC"/>
    <w:rsid w:val="000D387C"/>
    <w:rsid w:val="000D3B2A"/>
    <w:rsid w:val="000D3F2F"/>
    <w:rsid w:val="000D3F8A"/>
    <w:rsid w:val="000D4003"/>
    <w:rsid w:val="000D402D"/>
    <w:rsid w:val="000D420A"/>
    <w:rsid w:val="000D42CA"/>
    <w:rsid w:val="000D446C"/>
    <w:rsid w:val="000D47D9"/>
    <w:rsid w:val="000D4C20"/>
    <w:rsid w:val="000D4C39"/>
    <w:rsid w:val="000D4C6E"/>
    <w:rsid w:val="000D4F2E"/>
    <w:rsid w:val="000D4F4A"/>
    <w:rsid w:val="000D4F7D"/>
    <w:rsid w:val="000D4FBA"/>
    <w:rsid w:val="000D536F"/>
    <w:rsid w:val="000D537D"/>
    <w:rsid w:val="000D54BE"/>
    <w:rsid w:val="000D5583"/>
    <w:rsid w:val="000D5CA3"/>
    <w:rsid w:val="000D5DFA"/>
    <w:rsid w:val="000D5EA9"/>
    <w:rsid w:val="000D64C6"/>
    <w:rsid w:val="000D64C7"/>
    <w:rsid w:val="000D66CD"/>
    <w:rsid w:val="000D66F7"/>
    <w:rsid w:val="000D674E"/>
    <w:rsid w:val="000D681E"/>
    <w:rsid w:val="000D6867"/>
    <w:rsid w:val="000D6B2D"/>
    <w:rsid w:val="000D6B4D"/>
    <w:rsid w:val="000D6D08"/>
    <w:rsid w:val="000D6D57"/>
    <w:rsid w:val="000D6EE7"/>
    <w:rsid w:val="000D6F37"/>
    <w:rsid w:val="000D701F"/>
    <w:rsid w:val="000D7085"/>
    <w:rsid w:val="000D70FB"/>
    <w:rsid w:val="000D712E"/>
    <w:rsid w:val="000D721F"/>
    <w:rsid w:val="000D748C"/>
    <w:rsid w:val="000D762A"/>
    <w:rsid w:val="000D7733"/>
    <w:rsid w:val="000D7873"/>
    <w:rsid w:val="000D79DC"/>
    <w:rsid w:val="000D7B92"/>
    <w:rsid w:val="000D7BB8"/>
    <w:rsid w:val="000D7F6B"/>
    <w:rsid w:val="000E0062"/>
    <w:rsid w:val="000E012A"/>
    <w:rsid w:val="000E031C"/>
    <w:rsid w:val="000E0372"/>
    <w:rsid w:val="000E0448"/>
    <w:rsid w:val="000E04C4"/>
    <w:rsid w:val="000E0625"/>
    <w:rsid w:val="000E063A"/>
    <w:rsid w:val="000E0734"/>
    <w:rsid w:val="000E073E"/>
    <w:rsid w:val="000E079A"/>
    <w:rsid w:val="000E0B4B"/>
    <w:rsid w:val="000E0E1A"/>
    <w:rsid w:val="000E0E7D"/>
    <w:rsid w:val="000E1105"/>
    <w:rsid w:val="000E11D4"/>
    <w:rsid w:val="000E128E"/>
    <w:rsid w:val="000E12EB"/>
    <w:rsid w:val="000E1326"/>
    <w:rsid w:val="000E1373"/>
    <w:rsid w:val="000E159B"/>
    <w:rsid w:val="000E175E"/>
    <w:rsid w:val="000E1791"/>
    <w:rsid w:val="000E1868"/>
    <w:rsid w:val="000E1B50"/>
    <w:rsid w:val="000E1FF4"/>
    <w:rsid w:val="000E213C"/>
    <w:rsid w:val="000E2170"/>
    <w:rsid w:val="000E2368"/>
    <w:rsid w:val="000E2382"/>
    <w:rsid w:val="000E24C3"/>
    <w:rsid w:val="000E2971"/>
    <w:rsid w:val="000E2A31"/>
    <w:rsid w:val="000E2AC5"/>
    <w:rsid w:val="000E2C7F"/>
    <w:rsid w:val="000E2C9C"/>
    <w:rsid w:val="000E2CE0"/>
    <w:rsid w:val="000E2D8B"/>
    <w:rsid w:val="000E3145"/>
    <w:rsid w:val="000E3198"/>
    <w:rsid w:val="000E3277"/>
    <w:rsid w:val="000E3343"/>
    <w:rsid w:val="000E33D1"/>
    <w:rsid w:val="000E33EF"/>
    <w:rsid w:val="000E3532"/>
    <w:rsid w:val="000E36D7"/>
    <w:rsid w:val="000E370B"/>
    <w:rsid w:val="000E377A"/>
    <w:rsid w:val="000E3866"/>
    <w:rsid w:val="000E3B87"/>
    <w:rsid w:val="000E3BA8"/>
    <w:rsid w:val="000E416F"/>
    <w:rsid w:val="000E4200"/>
    <w:rsid w:val="000E4354"/>
    <w:rsid w:val="000E443F"/>
    <w:rsid w:val="000E4519"/>
    <w:rsid w:val="000E46AD"/>
    <w:rsid w:val="000E481A"/>
    <w:rsid w:val="000E4864"/>
    <w:rsid w:val="000E4C1E"/>
    <w:rsid w:val="000E4D8A"/>
    <w:rsid w:val="000E4EED"/>
    <w:rsid w:val="000E4FDC"/>
    <w:rsid w:val="000E5079"/>
    <w:rsid w:val="000E51B0"/>
    <w:rsid w:val="000E5370"/>
    <w:rsid w:val="000E5514"/>
    <w:rsid w:val="000E5557"/>
    <w:rsid w:val="000E55D3"/>
    <w:rsid w:val="000E5801"/>
    <w:rsid w:val="000E5E4D"/>
    <w:rsid w:val="000E5E7C"/>
    <w:rsid w:val="000E6184"/>
    <w:rsid w:val="000E62CB"/>
    <w:rsid w:val="000E645A"/>
    <w:rsid w:val="000E6535"/>
    <w:rsid w:val="000E670A"/>
    <w:rsid w:val="000E678D"/>
    <w:rsid w:val="000E67F6"/>
    <w:rsid w:val="000E6861"/>
    <w:rsid w:val="000E6CB1"/>
    <w:rsid w:val="000E6F77"/>
    <w:rsid w:val="000E6FD5"/>
    <w:rsid w:val="000E72EF"/>
    <w:rsid w:val="000E73C9"/>
    <w:rsid w:val="000E7684"/>
    <w:rsid w:val="000E76B5"/>
    <w:rsid w:val="000E7DA1"/>
    <w:rsid w:val="000E7EC6"/>
    <w:rsid w:val="000F0014"/>
    <w:rsid w:val="000F016F"/>
    <w:rsid w:val="000F0460"/>
    <w:rsid w:val="000F053B"/>
    <w:rsid w:val="000F066C"/>
    <w:rsid w:val="000F079B"/>
    <w:rsid w:val="000F08D5"/>
    <w:rsid w:val="000F09C9"/>
    <w:rsid w:val="000F0B0C"/>
    <w:rsid w:val="000F0BAC"/>
    <w:rsid w:val="000F0D7B"/>
    <w:rsid w:val="000F0DBB"/>
    <w:rsid w:val="000F0E61"/>
    <w:rsid w:val="000F0EBB"/>
    <w:rsid w:val="000F0F19"/>
    <w:rsid w:val="000F0FDF"/>
    <w:rsid w:val="000F0FF2"/>
    <w:rsid w:val="000F101E"/>
    <w:rsid w:val="000F1059"/>
    <w:rsid w:val="000F131E"/>
    <w:rsid w:val="000F14E4"/>
    <w:rsid w:val="000F17CC"/>
    <w:rsid w:val="000F1B25"/>
    <w:rsid w:val="000F1C31"/>
    <w:rsid w:val="000F1CB3"/>
    <w:rsid w:val="000F1E37"/>
    <w:rsid w:val="000F2067"/>
    <w:rsid w:val="000F2432"/>
    <w:rsid w:val="000F24E6"/>
    <w:rsid w:val="000F25C5"/>
    <w:rsid w:val="000F2766"/>
    <w:rsid w:val="000F2CE7"/>
    <w:rsid w:val="000F2D72"/>
    <w:rsid w:val="000F2E5A"/>
    <w:rsid w:val="000F2F41"/>
    <w:rsid w:val="000F30B6"/>
    <w:rsid w:val="000F31B9"/>
    <w:rsid w:val="000F32F4"/>
    <w:rsid w:val="000F343C"/>
    <w:rsid w:val="000F34A9"/>
    <w:rsid w:val="000F3530"/>
    <w:rsid w:val="000F3635"/>
    <w:rsid w:val="000F373B"/>
    <w:rsid w:val="000F38CC"/>
    <w:rsid w:val="000F38D3"/>
    <w:rsid w:val="000F39D2"/>
    <w:rsid w:val="000F3A18"/>
    <w:rsid w:val="000F3D35"/>
    <w:rsid w:val="000F3EA9"/>
    <w:rsid w:val="000F40DC"/>
    <w:rsid w:val="000F42F0"/>
    <w:rsid w:val="000F4603"/>
    <w:rsid w:val="000F4676"/>
    <w:rsid w:val="000F46B5"/>
    <w:rsid w:val="000F47C0"/>
    <w:rsid w:val="000F48E9"/>
    <w:rsid w:val="000F4AB6"/>
    <w:rsid w:val="000F4F61"/>
    <w:rsid w:val="000F4F7E"/>
    <w:rsid w:val="000F50E6"/>
    <w:rsid w:val="000F512A"/>
    <w:rsid w:val="000F51CA"/>
    <w:rsid w:val="000F5279"/>
    <w:rsid w:val="000F5454"/>
    <w:rsid w:val="000F5584"/>
    <w:rsid w:val="000F55EB"/>
    <w:rsid w:val="000F5690"/>
    <w:rsid w:val="000F5814"/>
    <w:rsid w:val="000F581A"/>
    <w:rsid w:val="000F5C72"/>
    <w:rsid w:val="000F5C96"/>
    <w:rsid w:val="000F5EB6"/>
    <w:rsid w:val="000F5F71"/>
    <w:rsid w:val="000F62BA"/>
    <w:rsid w:val="000F6433"/>
    <w:rsid w:val="000F65F5"/>
    <w:rsid w:val="000F67F4"/>
    <w:rsid w:val="000F6B14"/>
    <w:rsid w:val="000F6BC3"/>
    <w:rsid w:val="000F6C5F"/>
    <w:rsid w:val="000F6C76"/>
    <w:rsid w:val="000F6F3D"/>
    <w:rsid w:val="000F6F50"/>
    <w:rsid w:val="000F6FF7"/>
    <w:rsid w:val="000F7316"/>
    <w:rsid w:val="000F7326"/>
    <w:rsid w:val="000F744B"/>
    <w:rsid w:val="000F7729"/>
    <w:rsid w:val="000F7847"/>
    <w:rsid w:val="000F78A1"/>
    <w:rsid w:val="000F7B5D"/>
    <w:rsid w:val="001000A6"/>
    <w:rsid w:val="0010017A"/>
    <w:rsid w:val="001001DF"/>
    <w:rsid w:val="0010020E"/>
    <w:rsid w:val="001002EF"/>
    <w:rsid w:val="001003F6"/>
    <w:rsid w:val="001005D7"/>
    <w:rsid w:val="0010067C"/>
    <w:rsid w:val="00100713"/>
    <w:rsid w:val="001007ED"/>
    <w:rsid w:val="00100870"/>
    <w:rsid w:val="001008CD"/>
    <w:rsid w:val="00100996"/>
    <w:rsid w:val="001009AE"/>
    <w:rsid w:val="00100A67"/>
    <w:rsid w:val="00100C1D"/>
    <w:rsid w:val="00100C56"/>
    <w:rsid w:val="00100DFF"/>
    <w:rsid w:val="001011CB"/>
    <w:rsid w:val="00101367"/>
    <w:rsid w:val="00101455"/>
    <w:rsid w:val="00101B0F"/>
    <w:rsid w:val="00101B1E"/>
    <w:rsid w:val="00101BE9"/>
    <w:rsid w:val="00101F61"/>
    <w:rsid w:val="00101F66"/>
    <w:rsid w:val="00101FE9"/>
    <w:rsid w:val="001020CF"/>
    <w:rsid w:val="00102191"/>
    <w:rsid w:val="00102232"/>
    <w:rsid w:val="0010225C"/>
    <w:rsid w:val="0010231F"/>
    <w:rsid w:val="00102321"/>
    <w:rsid w:val="001023B3"/>
    <w:rsid w:val="00102492"/>
    <w:rsid w:val="00102495"/>
    <w:rsid w:val="00102821"/>
    <w:rsid w:val="00102852"/>
    <w:rsid w:val="00102A10"/>
    <w:rsid w:val="00102A69"/>
    <w:rsid w:val="00102ACE"/>
    <w:rsid w:val="00102BC7"/>
    <w:rsid w:val="00102E03"/>
    <w:rsid w:val="0010322A"/>
    <w:rsid w:val="001032CC"/>
    <w:rsid w:val="0010332B"/>
    <w:rsid w:val="001035DF"/>
    <w:rsid w:val="00103781"/>
    <w:rsid w:val="001037DC"/>
    <w:rsid w:val="00103928"/>
    <w:rsid w:val="00103990"/>
    <w:rsid w:val="00103AEA"/>
    <w:rsid w:val="00103BF4"/>
    <w:rsid w:val="00103C34"/>
    <w:rsid w:val="00103CD9"/>
    <w:rsid w:val="00103CEB"/>
    <w:rsid w:val="00103D44"/>
    <w:rsid w:val="00104175"/>
    <w:rsid w:val="001041B4"/>
    <w:rsid w:val="00104347"/>
    <w:rsid w:val="00104396"/>
    <w:rsid w:val="00104A02"/>
    <w:rsid w:val="00104A0F"/>
    <w:rsid w:val="00104CAA"/>
    <w:rsid w:val="00104D45"/>
    <w:rsid w:val="00104E35"/>
    <w:rsid w:val="00104FD8"/>
    <w:rsid w:val="00105132"/>
    <w:rsid w:val="001051E1"/>
    <w:rsid w:val="00105216"/>
    <w:rsid w:val="00105408"/>
    <w:rsid w:val="00105424"/>
    <w:rsid w:val="0010566A"/>
    <w:rsid w:val="001060B5"/>
    <w:rsid w:val="001061F8"/>
    <w:rsid w:val="001062FB"/>
    <w:rsid w:val="00106403"/>
    <w:rsid w:val="00106922"/>
    <w:rsid w:val="001069B7"/>
    <w:rsid w:val="00106A90"/>
    <w:rsid w:val="00106D15"/>
    <w:rsid w:val="00106D53"/>
    <w:rsid w:val="00106E8F"/>
    <w:rsid w:val="0010710F"/>
    <w:rsid w:val="001073A3"/>
    <w:rsid w:val="00107629"/>
    <w:rsid w:val="00107831"/>
    <w:rsid w:val="001078CA"/>
    <w:rsid w:val="001079FB"/>
    <w:rsid w:val="00107BF5"/>
    <w:rsid w:val="00107EBB"/>
    <w:rsid w:val="00110106"/>
    <w:rsid w:val="001103E3"/>
    <w:rsid w:val="001104BE"/>
    <w:rsid w:val="001105DA"/>
    <w:rsid w:val="00110856"/>
    <w:rsid w:val="00110965"/>
    <w:rsid w:val="00110B09"/>
    <w:rsid w:val="00110B6D"/>
    <w:rsid w:val="00110C7F"/>
    <w:rsid w:val="00110E0E"/>
    <w:rsid w:val="00110E59"/>
    <w:rsid w:val="00110E79"/>
    <w:rsid w:val="00110F78"/>
    <w:rsid w:val="00110FE2"/>
    <w:rsid w:val="00111078"/>
    <w:rsid w:val="00111183"/>
    <w:rsid w:val="001111EC"/>
    <w:rsid w:val="001111F0"/>
    <w:rsid w:val="00111276"/>
    <w:rsid w:val="00111903"/>
    <w:rsid w:val="00111A16"/>
    <w:rsid w:val="00111A71"/>
    <w:rsid w:val="00111CBE"/>
    <w:rsid w:val="00111D38"/>
    <w:rsid w:val="00111D89"/>
    <w:rsid w:val="001122CF"/>
    <w:rsid w:val="001124EA"/>
    <w:rsid w:val="0011266E"/>
    <w:rsid w:val="00112762"/>
    <w:rsid w:val="00112955"/>
    <w:rsid w:val="00112966"/>
    <w:rsid w:val="00112B68"/>
    <w:rsid w:val="00112BED"/>
    <w:rsid w:val="00112E1F"/>
    <w:rsid w:val="00112E23"/>
    <w:rsid w:val="00112ED0"/>
    <w:rsid w:val="00112EE7"/>
    <w:rsid w:val="0011300A"/>
    <w:rsid w:val="001136A9"/>
    <w:rsid w:val="00113814"/>
    <w:rsid w:val="001138DF"/>
    <w:rsid w:val="00113937"/>
    <w:rsid w:val="001141EB"/>
    <w:rsid w:val="001144BC"/>
    <w:rsid w:val="00114580"/>
    <w:rsid w:val="00114632"/>
    <w:rsid w:val="0011464F"/>
    <w:rsid w:val="001147C7"/>
    <w:rsid w:val="001148B7"/>
    <w:rsid w:val="00114B95"/>
    <w:rsid w:val="00115100"/>
    <w:rsid w:val="001152D8"/>
    <w:rsid w:val="00115306"/>
    <w:rsid w:val="00115313"/>
    <w:rsid w:val="00115321"/>
    <w:rsid w:val="001153A7"/>
    <w:rsid w:val="001154E1"/>
    <w:rsid w:val="001156C0"/>
    <w:rsid w:val="00115877"/>
    <w:rsid w:val="00115A0E"/>
    <w:rsid w:val="00115A93"/>
    <w:rsid w:val="00115A9D"/>
    <w:rsid w:val="00115BAF"/>
    <w:rsid w:val="00115EE4"/>
    <w:rsid w:val="00115EF1"/>
    <w:rsid w:val="00115F53"/>
    <w:rsid w:val="00115FEC"/>
    <w:rsid w:val="00116171"/>
    <w:rsid w:val="001162D9"/>
    <w:rsid w:val="00116499"/>
    <w:rsid w:val="00116578"/>
    <w:rsid w:val="001166F5"/>
    <w:rsid w:val="0011671F"/>
    <w:rsid w:val="001169E6"/>
    <w:rsid w:val="00116AB5"/>
    <w:rsid w:val="00116C62"/>
    <w:rsid w:val="00116CEE"/>
    <w:rsid w:val="00116F16"/>
    <w:rsid w:val="00117158"/>
    <w:rsid w:val="0011726A"/>
    <w:rsid w:val="00117418"/>
    <w:rsid w:val="00117472"/>
    <w:rsid w:val="0011767B"/>
    <w:rsid w:val="001178FD"/>
    <w:rsid w:val="00117968"/>
    <w:rsid w:val="00117DEC"/>
    <w:rsid w:val="00117E62"/>
    <w:rsid w:val="0012002D"/>
    <w:rsid w:val="00120220"/>
    <w:rsid w:val="00120353"/>
    <w:rsid w:val="00120495"/>
    <w:rsid w:val="001204D3"/>
    <w:rsid w:val="0012051F"/>
    <w:rsid w:val="00120728"/>
    <w:rsid w:val="001208D0"/>
    <w:rsid w:val="00120A3E"/>
    <w:rsid w:val="00120A77"/>
    <w:rsid w:val="00120B4A"/>
    <w:rsid w:val="00120BC9"/>
    <w:rsid w:val="00120C33"/>
    <w:rsid w:val="00120FCB"/>
    <w:rsid w:val="001210B5"/>
    <w:rsid w:val="00121213"/>
    <w:rsid w:val="00121521"/>
    <w:rsid w:val="0012158A"/>
    <w:rsid w:val="00121596"/>
    <w:rsid w:val="001215E6"/>
    <w:rsid w:val="001216A9"/>
    <w:rsid w:val="00121765"/>
    <w:rsid w:val="00121845"/>
    <w:rsid w:val="001218D4"/>
    <w:rsid w:val="00121B73"/>
    <w:rsid w:val="00121C49"/>
    <w:rsid w:val="00121D3E"/>
    <w:rsid w:val="00121E0C"/>
    <w:rsid w:val="00121E37"/>
    <w:rsid w:val="00121E3D"/>
    <w:rsid w:val="00121EF5"/>
    <w:rsid w:val="00121F3E"/>
    <w:rsid w:val="00122269"/>
    <w:rsid w:val="001225D8"/>
    <w:rsid w:val="00122708"/>
    <w:rsid w:val="0012284B"/>
    <w:rsid w:val="00122C75"/>
    <w:rsid w:val="00122EF5"/>
    <w:rsid w:val="00122F62"/>
    <w:rsid w:val="001232B9"/>
    <w:rsid w:val="001234FA"/>
    <w:rsid w:val="0012354C"/>
    <w:rsid w:val="001237A5"/>
    <w:rsid w:val="0012385D"/>
    <w:rsid w:val="00123862"/>
    <w:rsid w:val="0012397C"/>
    <w:rsid w:val="00123AA4"/>
    <w:rsid w:val="00123BFE"/>
    <w:rsid w:val="00123ECE"/>
    <w:rsid w:val="00123FC7"/>
    <w:rsid w:val="001242A1"/>
    <w:rsid w:val="001244F1"/>
    <w:rsid w:val="00124893"/>
    <w:rsid w:val="00124916"/>
    <w:rsid w:val="00124B2F"/>
    <w:rsid w:val="00124C0E"/>
    <w:rsid w:val="00124E51"/>
    <w:rsid w:val="00124E80"/>
    <w:rsid w:val="00125107"/>
    <w:rsid w:val="00125276"/>
    <w:rsid w:val="00125479"/>
    <w:rsid w:val="00125497"/>
    <w:rsid w:val="001259EC"/>
    <w:rsid w:val="00125CF3"/>
    <w:rsid w:val="00125D21"/>
    <w:rsid w:val="00125E27"/>
    <w:rsid w:val="00125F68"/>
    <w:rsid w:val="00126167"/>
    <w:rsid w:val="00126400"/>
    <w:rsid w:val="0012646A"/>
    <w:rsid w:val="00126717"/>
    <w:rsid w:val="001268D6"/>
    <w:rsid w:val="001269F0"/>
    <w:rsid w:val="00126B1F"/>
    <w:rsid w:val="00126BCB"/>
    <w:rsid w:val="0012761A"/>
    <w:rsid w:val="00127C32"/>
    <w:rsid w:val="00127E3F"/>
    <w:rsid w:val="00127ED6"/>
    <w:rsid w:val="0013012D"/>
    <w:rsid w:val="001303C5"/>
    <w:rsid w:val="001303C7"/>
    <w:rsid w:val="001304CF"/>
    <w:rsid w:val="00130545"/>
    <w:rsid w:val="00130546"/>
    <w:rsid w:val="001307E7"/>
    <w:rsid w:val="00130873"/>
    <w:rsid w:val="00130876"/>
    <w:rsid w:val="00130C4A"/>
    <w:rsid w:val="00130D85"/>
    <w:rsid w:val="0013116D"/>
    <w:rsid w:val="001314CB"/>
    <w:rsid w:val="001314E3"/>
    <w:rsid w:val="00131A3E"/>
    <w:rsid w:val="00131CE6"/>
    <w:rsid w:val="0013211A"/>
    <w:rsid w:val="0013254A"/>
    <w:rsid w:val="001326E7"/>
    <w:rsid w:val="00132A2F"/>
    <w:rsid w:val="00132CC3"/>
    <w:rsid w:val="00132CCF"/>
    <w:rsid w:val="00132F79"/>
    <w:rsid w:val="00132FFA"/>
    <w:rsid w:val="0013307E"/>
    <w:rsid w:val="0013341E"/>
    <w:rsid w:val="00133763"/>
    <w:rsid w:val="001337B0"/>
    <w:rsid w:val="001338E5"/>
    <w:rsid w:val="00133986"/>
    <w:rsid w:val="00133E3B"/>
    <w:rsid w:val="00134077"/>
    <w:rsid w:val="00134198"/>
    <w:rsid w:val="001341AB"/>
    <w:rsid w:val="0013461D"/>
    <w:rsid w:val="00134794"/>
    <w:rsid w:val="0013479A"/>
    <w:rsid w:val="00134872"/>
    <w:rsid w:val="001348CA"/>
    <w:rsid w:val="001349DA"/>
    <w:rsid w:val="00134B21"/>
    <w:rsid w:val="00134C92"/>
    <w:rsid w:val="00134F1E"/>
    <w:rsid w:val="00134F2A"/>
    <w:rsid w:val="0013510F"/>
    <w:rsid w:val="0013526A"/>
    <w:rsid w:val="0013540B"/>
    <w:rsid w:val="00135700"/>
    <w:rsid w:val="001358C6"/>
    <w:rsid w:val="00135A5F"/>
    <w:rsid w:val="00135A68"/>
    <w:rsid w:val="00135CB8"/>
    <w:rsid w:val="00135D3D"/>
    <w:rsid w:val="00135E79"/>
    <w:rsid w:val="0013622C"/>
    <w:rsid w:val="001362C1"/>
    <w:rsid w:val="0013630F"/>
    <w:rsid w:val="0013648F"/>
    <w:rsid w:val="00136554"/>
    <w:rsid w:val="001365A5"/>
    <w:rsid w:val="0013662F"/>
    <w:rsid w:val="0013669E"/>
    <w:rsid w:val="001368E6"/>
    <w:rsid w:val="001369E8"/>
    <w:rsid w:val="00136C33"/>
    <w:rsid w:val="00136C9E"/>
    <w:rsid w:val="00136FCE"/>
    <w:rsid w:val="00137380"/>
    <w:rsid w:val="001375C8"/>
    <w:rsid w:val="001375ED"/>
    <w:rsid w:val="001376F0"/>
    <w:rsid w:val="0013774E"/>
    <w:rsid w:val="001377B4"/>
    <w:rsid w:val="00137958"/>
    <w:rsid w:val="0013796C"/>
    <w:rsid w:val="00137BBD"/>
    <w:rsid w:val="00137C8F"/>
    <w:rsid w:val="00137CB2"/>
    <w:rsid w:val="00137E40"/>
    <w:rsid w:val="0014020A"/>
    <w:rsid w:val="00140271"/>
    <w:rsid w:val="00140288"/>
    <w:rsid w:val="00140336"/>
    <w:rsid w:val="00140885"/>
    <w:rsid w:val="001409EE"/>
    <w:rsid w:val="00140AFF"/>
    <w:rsid w:val="00140C2D"/>
    <w:rsid w:val="00140CF8"/>
    <w:rsid w:val="00140D1A"/>
    <w:rsid w:val="00140F8F"/>
    <w:rsid w:val="00141116"/>
    <w:rsid w:val="00141588"/>
    <w:rsid w:val="0014171B"/>
    <w:rsid w:val="00141825"/>
    <w:rsid w:val="0014191D"/>
    <w:rsid w:val="00141B6B"/>
    <w:rsid w:val="00141DA5"/>
    <w:rsid w:val="00141EB4"/>
    <w:rsid w:val="00141F78"/>
    <w:rsid w:val="00141FDF"/>
    <w:rsid w:val="00141FFB"/>
    <w:rsid w:val="001420FB"/>
    <w:rsid w:val="00142101"/>
    <w:rsid w:val="001421A4"/>
    <w:rsid w:val="00142286"/>
    <w:rsid w:val="0014245A"/>
    <w:rsid w:val="0014256F"/>
    <w:rsid w:val="0014267B"/>
    <w:rsid w:val="0014298E"/>
    <w:rsid w:val="00142D67"/>
    <w:rsid w:val="00142E76"/>
    <w:rsid w:val="00142F0A"/>
    <w:rsid w:val="001430E2"/>
    <w:rsid w:val="00143324"/>
    <w:rsid w:val="001435FE"/>
    <w:rsid w:val="00143665"/>
    <w:rsid w:val="001437CE"/>
    <w:rsid w:val="00143D5A"/>
    <w:rsid w:val="00143F80"/>
    <w:rsid w:val="001440EE"/>
    <w:rsid w:val="0014451E"/>
    <w:rsid w:val="00144563"/>
    <w:rsid w:val="001449D5"/>
    <w:rsid w:val="00144BB1"/>
    <w:rsid w:val="00144D29"/>
    <w:rsid w:val="0014513C"/>
    <w:rsid w:val="00145171"/>
    <w:rsid w:val="00145258"/>
    <w:rsid w:val="001452A5"/>
    <w:rsid w:val="001453AF"/>
    <w:rsid w:val="001454B3"/>
    <w:rsid w:val="001454C2"/>
    <w:rsid w:val="00145635"/>
    <w:rsid w:val="0014566D"/>
    <w:rsid w:val="0014580E"/>
    <w:rsid w:val="0014589C"/>
    <w:rsid w:val="001458D0"/>
    <w:rsid w:val="001458E0"/>
    <w:rsid w:val="00145936"/>
    <w:rsid w:val="00145AE1"/>
    <w:rsid w:val="00145DA2"/>
    <w:rsid w:val="00146076"/>
    <w:rsid w:val="00146082"/>
    <w:rsid w:val="0014609E"/>
    <w:rsid w:val="00146244"/>
    <w:rsid w:val="001462EC"/>
    <w:rsid w:val="001463F4"/>
    <w:rsid w:val="001464A0"/>
    <w:rsid w:val="001465E0"/>
    <w:rsid w:val="001465ED"/>
    <w:rsid w:val="001466C2"/>
    <w:rsid w:val="001467CF"/>
    <w:rsid w:val="0014686A"/>
    <w:rsid w:val="0014690D"/>
    <w:rsid w:val="001469AD"/>
    <w:rsid w:val="00146A7D"/>
    <w:rsid w:val="00146AD9"/>
    <w:rsid w:val="00146AF7"/>
    <w:rsid w:val="00146B3C"/>
    <w:rsid w:val="00146BA8"/>
    <w:rsid w:val="00146BDD"/>
    <w:rsid w:val="0014712E"/>
    <w:rsid w:val="001472D0"/>
    <w:rsid w:val="001475A4"/>
    <w:rsid w:val="0014762A"/>
    <w:rsid w:val="00147652"/>
    <w:rsid w:val="001476E0"/>
    <w:rsid w:val="00147820"/>
    <w:rsid w:val="001479C4"/>
    <w:rsid w:val="001479E3"/>
    <w:rsid w:val="00147A19"/>
    <w:rsid w:val="00147A68"/>
    <w:rsid w:val="00147BA8"/>
    <w:rsid w:val="00147CD5"/>
    <w:rsid w:val="00147D26"/>
    <w:rsid w:val="001501CC"/>
    <w:rsid w:val="00150248"/>
    <w:rsid w:val="001502AA"/>
    <w:rsid w:val="00150335"/>
    <w:rsid w:val="00150655"/>
    <w:rsid w:val="00150A16"/>
    <w:rsid w:val="00150A59"/>
    <w:rsid w:val="00150B14"/>
    <w:rsid w:val="00150BCA"/>
    <w:rsid w:val="00150BF5"/>
    <w:rsid w:val="00150CD5"/>
    <w:rsid w:val="00150CDC"/>
    <w:rsid w:val="00150FBC"/>
    <w:rsid w:val="00151113"/>
    <w:rsid w:val="001514AB"/>
    <w:rsid w:val="00151520"/>
    <w:rsid w:val="00151645"/>
    <w:rsid w:val="0015173C"/>
    <w:rsid w:val="001517BA"/>
    <w:rsid w:val="001519B1"/>
    <w:rsid w:val="00151A24"/>
    <w:rsid w:val="00151AA5"/>
    <w:rsid w:val="00151BC7"/>
    <w:rsid w:val="00151C17"/>
    <w:rsid w:val="00151C70"/>
    <w:rsid w:val="00151CA6"/>
    <w:rsid w:val="00151D17"/>
    <w:rsid w:val="00151E28"/>
    <w:rsid w:val="00151F9D"/>
    <w:rsid w:val="00151FC2"/>
    <w:rsid w:val="00152131"/>
    <w:rsid w:val="001521A1"/>
    <w:rsid w:val="00152203"/>
    <w:rsid w:val="001523F2"/>
    <w:rsid w:val="00152517"/>
    <w:rsid w:val="00152580"/>
    <w:rsid w:val="00152621"/>
    <w:rsid w:val="0015266F"/>
    <w:rsid w:val="001526AF"/>
    <w:rsid w:val="001526DD"/>
    <w:rsid w:val="001529A8"/>
    <w:rsid w:val="00152A3A"/>
    <w:rsid w:val="00152A61"/>
    <w:rsid w:val="00152AA9"/>
    <w:rsid w:val="00152B20"/>
    <w:rsid w:val="00152B57"/>
    <w:rsid w:val="00152F5D"/>
    <w:rsid w:val="00153056"/>
    <w:rsid w:val="001532A7"/>
    <w:rsid w:val="001534D3"/>
    <w:rsid w:val="00153515"/>
    <w:rsid w:val="0015355F"/>
    <w:rsid w:val="00153717"/>
    <w:rsid w:val="00153978"/>
    <w:rsid w:val="00153CD7"/>
    <w:rsid w:val="00153E18"/>
    <w:rsid w:val="0015444B"/>
    <w:rsid w:val="001545D6"/>
    <w:rsid w:val="00154779"/>
    <w:rsid w:val="00154BA5"/>
    <w:rsid w:val="00154BE1"/>
    <w:rsid w:val="00154C2E"/>
    <w:rsid w:val="00154CBD"/>
    <w:rsid w:val="00154D88"/>
    <w:rsid w:val="00154E50"/>
    <w:rsid w:val="00154F99"/>
    <w:rsid w:val="001550F5"/>
    <w:rsid w:val="0015562C"/>
    <w:rsid w:val="0015582A"/>
    <w:rsid w:val="0015587D"/>
    <w:rsid w:val="00155D48"/>
    <w:rsid w:val="00155F01"/>
    <w:rsid w:val="00156053"/>
    <w:rsid w:val="001563F3"/>
    <w:rsid w:val="0015641E"/>
    <w:rsid w:val="00156487"/>
    <w:rsid w:val="00156525"/>
    <w:rsid w:val="00156546"/>
    <w:rsid w:val="0015669A"/>
    <w:rsid w:val="001567F1"/>
    <w:rsid w:val="00156AFD"/>
    <w:rsid w:val="00156D4B"/>
    <w:rsid w:val="00156E47"/>
    <w:rsid w:val="00156E89"/>
    <w:rsid w:val="00156F05"/>
    <w:rsid w:val="00156F74"/>
    <w:rsid w:val="00156FB1"/>
    <w:rsid w:val="0015713B"/>
    <w:rsid w:val="0015718D"/>
    <w:rsid w:val="00157230"/>
    <w:rsid w:val="001572BE"/>
    <w:rsid w:val="001573A9"/>
    <w:rsid w:val="00157462"/>
    <w:rsid w:val="001575C3"/>
    <w:rsid w:val="00157696"/>
    <w:rsid w:val="001576E1"/>
    <w:rsid w:val="0015791C"/>
    <w:rsid w:val="00157E7C"/>
    <w:rsid w:val="00157F8B"/>
    <w:rsid w:val="00160304"/>
    <w:rsid w:val="001603E6"/>
    <w:rsid w:val="0016074C"/>
    <w:rsid w:val="0016077B"/>
    <w:rsid w:val="00160801"/>
    <w:rsid w:val="00160878"/>
    <w:rsid w:val="00160BA9"/>
    <w:rsid w:val="00160C89"/>
    <w:rsid w:val="00160E5D"/>
    <w:rsid w:val="001610D2"/>
    <w:rsid w:val="001616FA"/>
    <w:rsid w:val="001618A3"/>
    <w:rsid w:val="00161B43"/>
    <w:rsid w:val="00161DD7"/>
    <w:rsid w:val="00161EEC"/>
    <w:rsid w:val="00161F99"/>
    <w:rsid w:val="00161FF5"/>
    <w:rsid w:val="001620ED"/>
    <w:rsid w:val="00162390"/>
    <w:rsid w:val="00162530"/>
    <w:rsid w:val="001626E2"/>
    <w:rsid w:val="001628C7"/>
    <w:rsid w:val="00162A56"/>
    <w:rsid w:val="00162AED"/>
    <w:rsid w:val="00162C52"/>
    <w:rsid w:val="00162C9B"/>
    <w:rsid w:val="00162FE2"/>
    <w:rsid w:val="001630AE"/>
    <w:rsid w:val="00163303"/>
    <w:rsid w:val="0016335E"/>
    <w:rsid w:val="001638CD"/>
    <w:rsid w:val="001639E0"/>
    <w:rsid w:val="00163B6B"/>
    <w:rsid w:val="00163C61"/>
    <w:rsid w:val="00163CA2"/>
    <w:rsid w:val="00163CF0"/>
    <w:rsid w:val="00163D09"/>
    <w:rsid w:val="00163DDB"/>
    <w:rsid w:val="00164033"/>
    <w:rsid w:val="001640B8"/>
    <w:rsid w:val="0016424B"/>
    <w:rsid w:val="0016432E"/>
    <w:rsid w:val="0016497A"/>
    <w:rsid w:val="00164C57"/>
    <w:rsid w:val="00164E45"/>
    <w:rsid w:val="00164EBB"/>
    <w:rsid w:val="0016504E"/>
    <w:rsid w:val="00165349"/>
    <w:rsid w:val="00165387"/>
    <w:rsid w:val="001654E5"/>
    <w:rsid w:val="0016577B"/>
    <w:rsid w:val="001657C9"/>
    <w:rsid w:val="0016585D"/>
    <w:rsid w:val="00165891"/>
    <w:rsid w:val="001658C6"/>
    <w:rsid w:val="001658DD"/>
    <w:rsid w:val="001659C2"/>
    <w:rsid w:val="00165A7F"/>
    <w:rsid w:val="00165B36"/>
    <w:rsid w:val="00165C24"/>
    <w:rsid w:val="00165D17"/>
    <w:rsid w:val="00165DC2"/>
    <w:rsid w:val="00165FC3"/>
    <w:rsid w:val="00165FE5"/>
    <w:rsid w:val="001661BD"/>
    <w:rsid w:val="0016620B"/>
    <w:rsid w:val="00166216"/>
    <w:rsid w:val="001662C0"/>
    <w:rsid w:val="0016632C"/>
    <w:rsid w:val="0016642D"/>
    <w:rsid w:val="0016646B"/>
    <w:rsid w:val="00166470"/>
    <w:rsid w:val="0016675E"/>
    <w:rsid w:val="0016676A"/>
    <w:rsid w:val="001667B2"/>
    <w:rsid w:val="0016683D"/>
    <w:rsid w:val="00166899"/>
    <w:rsid w:val="0016692F"/>
    <w:rsid w:val="0016695D"/>
    <w:rsid w:val="00166A15"/>
    <w:rsid w:val="00166A58"/>
    <w:rsid w:val="00166CA3"/>
    <w:rsid w:val="00166CA6"/>
    <w:rsid w:val="00166F25"/>
    <w:rsid w:val="001670A0"/>
    <w:rsid w:val="001671AC"/>
    <w:rsid w:val="001678F7"/>
    <w:rsid w:val="001679D9"/>
    <w:rsid w:val="00167B3A"/>
    <w:rsid w:val="00167B9E"/>
    <w:rsid w:val="00167BC2"/>
    <w:rsid w:val="00167CBC"/>
    <w:rsid w:val="00167CF0"/>
    <w:rsid w:val="00167DF5"/>
    <w:rsid w:val="0017013C"/>
    <w:rsid w:val="00170242"/>
    <w:rsid w:val="0017036F"/>
    <w:rsid w:val="001703D4"/>
    <w:rsid w:val="00170544"/>
    <w:rsid w:val="00170654"/>
    <w:rsid w:val="00170983"/>
    <w:rsid w:val="001709FB"/>
    <w:rsid w:val="00170C2B"/>
    <w:rsid w:val="00170D08"/>
    <w:rsid w:val="00170E31"/>
    <w:rsid w:val="00170FB3"/>
    <w:rsid w:val="00170FC8"/>
    <w:rsid w:val="00170FEA"/>
    <w:rsid w:val="001710D9"/>
    <w:rsid w:val="001711B5"/>
    <w:rsid w:val="00171280"/>
    <w:rsid w:val="0017133C"/>
    <w:rsid w:val="00171426"/>
    <w:rsid w:val="0017144A"/>
    <w:rsid w:val="001714C6"/>
    <w:rsid w:val="001718AB"/>
    <w:rsid w:val="001718F2"/>
    <w:rsid w:val="0017196F"/>
    <w:rsid w:val="00171AC1"/>
    <w:rsid w:val="00171BC9"/>
    <w:rsid w:val="00171EC1"/>
    <w:rsid w:val="0017204A"/>
    <w:rsid w:val="00172323"/>
    <w:rsid w:val="001723E2"/>
    <w:rsid w:val="001723F2"/>
    <w:rsid w:val="001724E0"/>
    <w:rsid w:val="0017256B"/>
    <w:rsid w:val="0017283D"/>
    <w:rsid w:val="001729AF"/>
    <w:rsid w:val="00172A8F"/>
    <w:rsid w:val="00172CAB"/>
    <w:rsid w:val="0017302A"/>
    <w:rsid w:val="00173035"/>
    <w:rsid w:val="001730D2"/>
    <w:rsid w:val="0017318F"/>
    <w:rsid w:val="001736DB"/>
    <w:rsid w:val="001738BD"/>
    <w:rsid w:val="001738FA"/>
    <w:rsid w:val="00173A69"/>
    <w:rsid w:val="00173DDB"/>
    <w:rsid w:val="00173EAD"/>
    <w:rsid w:val="00173EAF"/>
    <w:rsid w:val="00173EC3"/>
    <w:rsid w:val="00173FE9"/>
    <w:rsid w:val="0017439F"/>
    <w:rsid w:val="001745C7"/>
    <w:rsid w:val="00174787"/>
    <w:rsid w:val="00174BCB"/>
    <w:rsid w:val="00174BDC"/>
    <w:rsid w:val="00174D97"/>
    <w:rsid w:val="0017527D"/>
    <w:rsid w:val="001752B8"/>
    <w:rsid w:val="001754E9"/>
    <w:rsid w:val="00175552"/>
    <w:rsid w:val="00175648"/>
    <w:rsid w:val="00175735"/>
    <w:rsid w:val="00175825"/>
    <w:rsid w:val="00175929"/>
    <w:rsid w:val="00175BBE"/>
    <w:rsid w:val="00175D28"/>
    <w:rsid w:val="001762D3"/>
    <w:rsid w:val="0017643C"/>
    <w:rsid w:val="0017671B"/>
    <w:rsid w:val="0017677C"/>
    <w:rsid w:val="0017684F"/>
    <w:rsid w:val="00176943"/>
    <w:rsid w:val="00176A20"/>
    <w:rsid w:val="00176A53"/>
    <w:rsid w:val="00176C61"/>
    <w:rsid w:val="00176D08"/>
    <w:rsid w:val="00176E26"/>
    <w:rsid w:val="00176E38"/>
    <w:rsid w:val="00176E3D"/>
    <w:rsid w:val="00176ED9"/>
    <w:rsid w:val="00176FB1"/>
    <w:rsid w:val="0017707B"/>
    <w:rsid w:val="001771AE"/>
    <w:rsid w:val="001773B8"/>
    <w:rsid w:val="001774CA"/>
    <w:rsid w:val="0017765F"/>
    <w:rsid w:val="001776A8"/>
    <w:rsid w:val="00177835"/>
    <w:rsid w:val="00177973"/>
    <w:rsid w:val="001779F5"/>
    <w:rsid w:val="00177C6F"/>
    <w:rsid w:val="00177C82"/>
    <w:rsid w:val="00177D98"/>
    <w:rsid w:val="0018023D"/>
    <w:rsid w:val="00180510"/>
    <w:rsid w:val="00180752"/>
    <w:rsid w:val="0018076F"/>
    <w:rsid w:val="001807E5"/>
    <w:rsid w:val="00180B51"/>
    <w:rsid w:val="00181047"/>
    <w:rsid w:val="0018116C"/>
    <w:rsid w:val="001813FC"/>
    <w:rsid w:val="001814CF"/>
    <w:rsid w:val="0018151B"/>
    <w:rsid w:val="00181651"/>
    <w:rsid w:val="001817AB"/>
    <w:rsid w:val="001817CD"/>
    <w:rsid w:val="001817E4"/>
    <w:rsid w:val="001819D9"/>
    <w:rsid w:val="00181A10"/>
    <w:rsid w:val="00181BAF"/>
    <w:rsid w:val="00181DF1"/>
    <w:rsid w:val="00181E0C"/>
    <w:rsid w:val="00181EAE"/>
    <w:rsid w:val="00182098"/>
    <w:rsid w:val="001823AD"/>
    <w:rsid w:val="001823DC"/>
    <w:rsid w:val="0018252B"/>
    <w:rsid w:val="001826DC"/>
    <w:rsid w:val="00182705"/>
    <w:rsid w:val="001828E2"/>
    <w:rsid w:val="001829CB"/>
    <w:rsid w:val="00182D1D"/>
    <w:rsid w:val="00182D48"/>
    <w:rsid w:val="001830ED"/>
    <w:rsid w:val="0018316F"/>
    <w:rsid w:val="0018352F"/>
    <w:rsid w:val="0018359F"/>
    <w:rsid w:val="00183655"/>
    <w:rsid w:val="001836DA"/>
    <w:rsid w:val="00183814"/>
    <w:rsid w:val="001838B7"/>
    <w:rsid w:val="0018393C"/>
    <w:rsid w:val="00183A41"/>
    <w:rsid w:val="00183DAB"/>
    <w:rsid w:val="00183DFA"/>
    <w:rsid w:val="00183F1A"/>
    <w:rsid w:val="00183FAA"/>
    <w:rsid w:val="00183FBA"/>
    <w:rsid w:val="001840F5"/>
    <w:rsid w:val="001845BA"/>
    <w:rsid w:val="0018466D"/>
    <w:rsid w:val="001846B3"/>
    <w:rsid w:val="0018488B"/>
    <w:rsid w:val="00184930"/>
    <w:rsid w:val="00184AF7"/>
    <w:rsid w:val="00184CA9"/>
    <w:rsid w:val="00184D56"/>
    <w:rsid w:val="00184E03"/>
    <w:rsid w:val="00184E91"/>
    <w:rsid w:val="00185247"/>
    <w:rsid w:val="001853BD"/>
    <w:rsid w:val="001853F2"/>
    <w:rsid w:val="00185478"/>
    <w:rsid w:val="0018554B"/>
    <w:rsid w:val="00185585"/>
    <w:rsid w:val="001858F0"/>
    <w:rsid w:val="00185A49"/>
    <w:rsid w:val="00185A7F"/>
    <w:rsid w:val="00185A94"/>
    <w:rsid w:val="00185BBF"/>
    <w:rsid w:val="00185BD6"/>
    <w:rsid w:val="00185CC0"/>
    <w:rsid w:val="00185E02"/>
    <w:rsid w:val="00185ED1"/>
    <w:rsid w:val="001862A8"/>
    <w:rsid w:val="00186570"/>
    <w:rsid w:val="00186655"/>
    <w:rsid w:val="001866B9"/>
    <w:rsid w:val="0018676F"/>
    <w:rsid w:val="00186863"/>
    <w:rsid w:val="0018686F"/>
    <w:rsid w:val="00186A11"/>
    <w:rsid w:val="00186E70"/>
    <w:rsid w:val="00186F44"/>
    <w:rsid w:val="00186F46"/>
    <w:rsid w:val="00186F5D"/>
    <w:rsid w:val="001872DD"/>
    <w:rsid w:val="0018738C"/>
    <w:rsid w:val="00187841"/>
    <w:rsid w:val="00187957"/>
    <w:rsid w:val="001879A0"/>
    <w:rsid w:val="00187A83"/>
    <w:rsid w:val="00187B99"/>
    <w:rsid w:val="00187D17"/>
    <w:rsid w:val="00187D30"/>
    <w:rsid w:val="00187E23"/>
    <w:rsid w:val="00187EB2"/>
    <w:rsid w:val="00190052"/>
    <w:rsid w:val="001900BC"/>
    <w:rsid w:val="001901FC"/>
    <w:rsid w:val="001901FE"/>
    <w:rsid w:val="00190394"/>
    <w:rsid w:val="0019060B"/>
    <w:rsid w:val="0019068C"/>
    <w:rsid w:val="001906A3"/>
    <w:rsid w:val="001909D3"/>
    <w:rsid w:val="00190B16"/>
    <w:rsid w:val="00190C2F"/>
    <w:rsid w:val="00190CD8"/>
    <w:rsid w:val="00190D2F"/>
    <w:rsid w:val="00190D59"/>
    <w:rsid w:val="00190E32"/>
    <w:rsid w:val="00190F87"/>
    <w:rsid w:val="0019136A"/>
    <w:rsid w:val="00191408"/>
    <w:rsid w:val="0019170B"/>
    <w:rsid w:val="00191766"/>
    <w:rsid w:val="00191789"/>
    <w:rsid w:val="00191891"/>
    <w:rsid w:val="001919BB"/>
    <w:rsid w:val="00191AA6"/>
    <w:rsid w:val="00191C42"/>
    <w:rsid w:val="00191D45"/>
    <w:rsid w:val="0019201E"/>
    <w:rsid w:val="00192297"/>
    <w:rsid w:val="001922A5"/>
    <w:rsid w:val="00192606"/>
    <w:rsid w:val="00192678"/>
    <w:rsid w:val="0019296C"/>
    <w:rsid w:val="00192B64"/>
    <w:rsid w:val="00192D02"/>
    <w:rsid w:val="00192DA1"/>
    <w:rsid w:val="00192E94"/>
    <w:rsid w:val="00192F2A"/>
    <w:rsid w:val="00192FD3"/>
    <w:rsid w:val="00192FDE"/>
    <w:rsid w:val="00193011"/>
    <w:rsid w:val="001930E5"/>
    <w:rsid w:val="001932B6"/>
    <w:rsid w:val="001932C9"/>
    <w:rsid w:val="001934CA"/>
    <w:rsid w:val="00193500"/>
    <w:rsid w:val="00193518"/>
    <w:rsid w:val="001937F2"/>
    <w:rsid w:val="00193807"/>
    <w:rsid w:val="001938DC"/>
    <w:rsid w:val="00193BD0"/>
    <w:rsid w:val="00193CAC"/>
    <w:rsid w:val="00193D79"/>
    <w:rsid w:val="00193E45"/>
    <w:rsid w:val="00193FE9"/>
    <w:rsid w:val="001942CA"/>
    <w:rsid w:val="0019474B"/>
    <w:rsid w:val="001947AE"/>
    <w:rsid w:val="00194924"/>
    <w:rsid w:val="001949F9"/>
    <w:rsid w:val="00194D06"/>
    <w:rsid w:val="00194D11"/>
    <w:rsid w:val="00195032"/>
    <w:rsid w:val="001953EC"/>
    <w:rsid w:val="001959C5"/>
    <w:rsid w:val="001959F4"/>
    <w:rsid w:val="00195D04"/>
    <w:rsid w:val="0019607B"/>
    <w:rsid w:val="001960C9"/>
    <w:rsid w:val="00196492"/>
    <w:rsid w:val="001964FA"/>
    <w:rsid w:val="0019668C"/>
    <w:rsid w:val="001966AB"/>
    <w:rsid w:val="001968DF"/>
    <w:rsid w:val="0019691D"/>
    <w:rsid w:val="00196D5A"/>
    <w:rsid w:val="00196E59"/>
    <w:rsid w:val="00197186"/>
    <w:rsid w:val="00197270"/>
    <w:rsid w:val="00197358"/>
    <w:rsid w:val="0019737B"/>
    <w:rsid w:val="0019754D"/>
    <w:rsid w:val="0019767A"/>
    <w:rsid w:val="00197715"/>
    <w:rsid w:val="001978E6"/>
    <w:rsid w:val="001979B9"/>
    <w:rsid w:val="00197CB2"/>
    <w:rsid w:val="00197D83"/>
    <w:rsid w:val="001A0096"/>
    <w:rsid w:val="001A012B"/>
    <w:rsid w:val="001A07DC"/>
    <w:rsid w:val="001A0919"/>
    <w:rsid w:val="001A09C5"/>
    <w:rsid w:val="001A0A6E"/>
    <w:rsid w:val="001A0C18"/>
    <w:rsid w:val="001A0C97"/>
    <w:rsid w:val="001A0CD2"/>
    <w:rsid w:val="001A0DA0"/>
    <w:rsid w:val="001A0EAC"/>
    <w:rsid w:val="001A0FEE"/>
    <w:rsid w:val="001A109D"/>
    <w:rsid w:val="001A14BA"/>
    <w:rsid w:val="001A1652"/>
    <w:rsid w:val="001A16D3"/>
    <w:rsid w:val="001A1772"/>
    <w:rsid w:val="001A1822"/>
    <w:rsid w:val="001A1AB0"/>
    <w:rsid w:val="001A1B54"/>
    <w:rsid w:val="001A1C7A"/>
    <w:rsid w:val="001A1D94"/>
    <w:rsid w:val="001A1E34"/>
    <w:rsid w:val="001A1E86"/>
    <w:rsid w:val="001A2177"/>
    <w:rsid w:val="001A2380"/>
    <w:rsid w:val="001A2538"/>
    <w:rsid w:val="001A2668"/>
    <w:rsid w:val="001A280C"/>
    <w:rsid w:val="001A2A1A"/>
    <w:rsid w:val="001A2C2F"/>
    <w:rsid w:val="001A2D82"/>
    <w:rsid w:val="001A3454"/>
    <w:rsid w:val="001A3541"/>
    <w:rsid w:val="001A3645"/>
    <w:rsid w:val="001A39E3"/>
    <w:rsid w:val="001A3C99"/>
    <w:rsid w:val="001A3D46"/>
    <w:rsid w:val="001A3EC9"/>
    <w:rsid w:val="001A3FC0"/>
    <w:rsid w:val="001A4069"/>
    <w:rsid w:val="001A42D8"/>
    <w:rsid w:val="001A4367"/>
    <w:rsid w:val="001A444B"/>
    <w:rsid w:val="001A4505"/>
    <w:rsid w:val="001A4928"/>
    <w:rsid w:val="001A4AA9"/>
    <w:rsid w:val="001A4BA8"/>
    <w:rsid w:val="001A4C9C"/>
    <w:rsid w:val="001A4F76"/>
    <w:rsid w:val="001A4F80"/>
    <w:rsid w:val="001A4FEA"/>
    <w:rsid w:val="001A51AC"/>
    <w:rsid w:val="001A528D"/>
    <w:rsid w:val="001A544D"/>
    <w:rsid w:val="001A551A"/>
    <w:rsid w:val="001A574C"/>
    <w:rsid w:val="001A5A5D"/>
    <w:rsid w:val="001A5A96"/>
    <w:rsid w:val="001A5DEC"/>
    <w:rsid w:val="001A5F34"/>
    <w:rsid w:val="001A6018"/>
    <w:rsid w:val="001A6034"/>
    <w:rsid w:val="001A609E"/>
    <w:rsid w:val="001A63DD"/>
    <w:rsid w:val="001A643A"/>
    <w:rsid w:val="001A697C"/>
    <w:rsid w:val="001A69B0"/>
    <w:rsid w:val="001A6AEA"/>
    <w:rsid w:val="001A6BF7"/>
    <w:rsid w:val="001A6C74"/>
    <w:rsid w:val="001A6C8A"/>
    <w:rsid w:val="001A6D75"/>
    <w:rsid w:val="001A7251"/>
    <w:rsid w:val="001A75B8"/>
    <w:rsid w:val="001A766F"/>
    <w:rsid w:val="001A7682"/>
    <w:rsid w:val="001A78A8"/>
    <w:rsid w:val="001A790E"/>
    <w:rsid w:val="001A792F"/>
    <w:rsid w:val="001A7C48"/>
    <w:rsid w:val="001A7CAB"/>
    <w:rsid w:val="001A7D40"/>
    <w:rsid w:val="001A7DF2"/>
    <w:rsid w:val="001A7E8C"/>
    <w:rsid w:val="001A7F4B"/>
    <w:rsid w:val="001B0116"/>
    <w:rsid w:val="001B039F"/>
    <w:rsid w:val="001B055A"/>
    <w:rsid w:val="001B0732"/>
    <w:rsid w:val="001B0C63"/>
    <w:rsid w:val="001B0D10"/>
    <w:rsid w:val="001B0E3C"/>
    <w:rsid w:val="001B0FCB"/>
    <w:rsid w:val="001B1197"/>
    <w:rsid w:val="001B1381"/>
    <w:rsid w:val="001B16A8"/>
    <w:rsid w:val="001B196E"/>
    <w:rsid w:val="001B19C4"/>
    <w:rsid w:val="001B1BD9"/>
    <w:rsid w:val="001B1C25"/>
    <w:rsid w:val="001B1D69"/>
    <w:rsid w:val="001B1E1F"/>
    <w:rsid w:val="001B1E96"/>
    <w:rsid w:val="001B1F97"/>
    <w:rsid w:val="001B2267"/>
    <w:rsid w:val="001B2307"/>
    <w:rsid w:val="001B241B"/>
    <w:rsid w:val="001B2B27"/>
    <w:rsid w:val="001B2CA5"/>
    <w:rsid w:val="001B2D2A"/>
    <w:rsid w:val="001B2FE4"/>
    <w:rsid w:val="001B3431"/>
    <w:rsid w:val="001B353E"/>
    <w:rsid w:val="001B355E"/>
    <w:rsid w:val="001B356A"/>
    <w:rsid w:val="001B379C"/>
    <w:rsid w:val="001B38AA"/>
    <w:rsid w:val="001B3D0E"/>
    <w:rsid w:val="001B3E3C"/>
    <w:rsid w:val="001B3EC4"/>
    <w:rsid w:val="001B3F35"/>
    <w:rsid w:val="001B400C"/>
    <w:rsid w:val="001B4273"/>
    <w:rsid w:val="001B42A5"/>
    <w:rsid w:val="001B43C8"/>
    <w:rsid w:val="001B451F"/>
    <w:rsid w:val="001B4663"/>
    <w:rsid w:val="001B4DD7"/>
    <w:rsid w:val="001B4E87"/>
    <w:rsid w:val="001B516A"/>
    <w:rsid w:val="001B560D"/>
    <w:rsid w:val="001B5695"/>
    <w:rsid w:val="001B579B"/>
    <w:rsid w:val="001B57B7"/>
    <w:rsid w:val="001B5B37"/>
    <w:rsid w:val="001B5E50"/>
    <w:rsid w:val="001B5EC3"/>
    <w:rsid w:val="001B5FC5"/>
    <w:rsid w:val="001B5FFC"/>
    <w:rsid w:val="001B6001"/>
    <w:rsid w:val="001B6644"/>
    <w:rsid w:val="001B682C"/>
    <w:rsid w:val="001B695F"/>
    <w:rsid w:val="001B6A47"/>
    <w:rsid w:val="001B6D11"/>
    <w:rsid w:val="001B6E0F"/>
    <w:rsid w:val="001B6ECB"/>
    <w:rsid w:val="001B6F01"/>
    <w:rsid w:val="001B730F"/>
    <w:rsid w:val="001B741F"/>
    <w:rsid w:val="001B7677"/>
    <w:rsid w:val="001C0059"/>
    <w:rsid w:val="001C0070"/>
    <w:rsid w:val="001C0091"/>
    <w:rsid w:val="001C00B6"/>
    <w:rsid w:val="001C013E"/>
    <w:rsid w:val="001C0375"/>
    <w:rsid w:val="001C03D6"/>
    <w:rsid w:val="001C06E9"/>
    <w:rsid w:val="001C07BA"/>
    <w:rsid w:val="001C0A62"/>
    <w:rsid w:val="001C0C98"/>
    <w:rsid w:val="001C0E33"/>
    <w:rsid w:val="001C0EA4"/>
    <w:rsid w:val="001C0EEB"/>
    <w:rsid w:val="001C121E"/>
    <w:rsid w:val="001C1336"/>
    <w:rsid w:val="001C172E"/>
    <w:rsid w:val="001C17B0"/>
    <w:rsid w:val="001C1A21"/>
    <w:rsid w:val="001C1B98"/>
    <w:rsid w:val="001C1D08"/>
    <w:rsid w:val="001C1E3E"/>
    <w:rsid w:val="001C1F05"/>
    <w:rsid w:val="001C1F87"/>
    <w:rsid w:val="001C22B2"/>
    <w:rsid w:val="001C23ED"/>
    <w:rsid w:val="001C2647"/>
    <w:rsid w:val="001C267B"/>
    <w:rsid w:val="001C2952"/>
    <w:rsid w:val="001C2BB1"/>
    <w:rsid w:val="001C2BC9"/>
    <w:rsid w:val="001C2D32"/>
    <w:rsid w:val="001C31A0"/>
    <w:rsid w:val="001C31BC"/>
    <w:rsid w:val="001C3430"/>
    <w:rsid w:val="001C35C0"/>
    <w:rsid w:val="001C3842"/>
    <w:rsid w:val="001C3B47"/>
    <w:rsid w:val="001C3C67"/>
    <w:rsid w:val="001C408B"/>
    <w:rsid w:val="001C4431"/>
    <w:rsid w:val="001C454E"/>
    <w:rsid w:val="001C45ED"/>
    <w:rsid w:val="001C4C8F"/>
    <w:rsid w:val="001C4F8B"/>
    <w:rsid w:val="001C5095"/>
    <w:rsid w:val="001C50E9"/>
    <w:rsid w:val="001C566A"/>
    <w:rsid w:val="001C5855"/>
    <w:rsid w:val="001C5A55"/>
    <w:rsid w:val="001C5A92"/>
    <w:rsid w:val="001C5AE7"/>
    <w:rsid w:val="001C5C0A"/>
    <w:rsid w:val="001C6228"/>
    <w:rsid w:val="001C62AA"/>
    <w:rsid w:val="001C6376"/>
    <w:rsid w:val="001C65FC"/>
    <w:rsid w:val="001C67C3"/>
    <w:rsid w:val="001C68B5"/>
    <w:rsid w:val="001C6A5B"/>
    <w:rsid w:val="001C6B95"/>
    <w:rsid w:val="001C6CCB"/>
    <w:rsid w:val="001C6CDB"/>
    <w:rsid w:val="001C6FCA"/>
    <w:rsid w:val="001C71B0"/>
    <w:rsid w:val="001C73C4"/>
    <w:rsid w:val="001C760B"/>
    <w:rsid w:val="001C76A9"/>
    <w:rsid w:val="001C773B"/>
    <w:rsid w:val="001C7780"/>
    <w:rsid w:val="001C7AC0"/>
    <w:rsid w:val="001C7D0A"/>
    <w:rsid w:val="001C7D21"/>
    <w:rsid w:val="001D0039"/>
    <w:rsid w:val="001D00DA"/>
    <w:rsid w:val="001D0121"/>
    <w:rsid w:val="001D0153"/>
    <w:rsid w:val="001D0159"/>
    <w:rsid w:val="001D0220"/>
    <w:rsid w:val="001D02CE"/>
    <w:rsid w:val="001D02D2"/>
    <w:rsid w:val="001D047F"/>
    <w:rsid w:val="001D0565"/>
    <w:rsid w:val="001D06EB"/>
    <w:rsid w:val="001D071C"/>
    <w:rsid w:val="001D08D9"/>
    <w:rsid w:val="001D08F3"/>
    <w:rsid w:val="001D0BE6"/>
    <w:rsid w:val="001D0D52"/>
    <w:rsid w:val="001D0D94"/>
    <w:rsid w:val="001D0E4D"/>
    <w:rsid w:val="001D131E"/>
    <w:rsid w:val="001D1329"/>
    <w:rsid w:val="001D141E"/>
    <w:rsid w:val="001D146B"/>
    <w:rsid w:val="001D1660"/>
    <w:rsid w:val="001D18A9"/>
    <w:rsid w:val="001D198A"/>
    <w:rsid w:val="001D2131"/>
    <w:rsid w:val="001D215B"/>
    <w:rsid w:val="001D22AF"/>
    <w:rsid w:val="001D23FF"/>
    <w:rsid w:val="001D2607"/>
    <w:rsid w:val="001D2C2F"/>
    <w:rsid w:val="001D2FFD"/>
    <w:rsid w:val="001D303B"/>
    <w:rsid w:val="001D34D9"/>
    <w:rsid w:val="001D372B"/>
    <w:rsid w:val="001D393C"/>
    <w:rsid w:val="001D3A6E"/>
    <w:rsid w:val="001D3C2C"/>
    <w:rsid w:val="001D3E7A"/>
    <w:rsid w:val="001D3E99"/>
    <w:rsid w:val="001D4071"/>
    <w:rsid w:val="001D40B0"/>
    <w:rsid w:val="001D41F9"/>
    <w:rsid w:val="001D4324"/>
    <w:rsid w:val="001D46C0"/>
    <w:rsid w:val="001D47DF"/>
    <w:rsid w:val="001D4A4A"/>
    <w:rsid w:val="001D4F33"/>
    <w:rsid w:val="001D4F73"/>
    <w:rsid w:val="001D4FC4"/>
    <w:rsid w:val="001D4FC5"/>
    <w:rsid w:val="001D5082"/>
    <w:rsid w:val="001D50C1"/>
    <w:rsid w:val="001D534E"/>
    <w:rsid w:val="001D56A7"/>
    <w:rsid w:val="001D57AE"/>
    <w:rsid w:val="001D5BE4"/>
    <w:rsid w:val="001D5ED5"/>
    <w:rsid w:val="001D6055"/>
    <w:rsid w:val="001D60C4"/>
    <w:rsid w:val="001D674C"/>
    <w:rsid w:val="001D6A57"/>
    <w:rsid w:val="001D6BCF"/>
    <w:rsid w:val="001D6C06"/>
    <w:rsid w:val="001D6C53"/>
    <w:rsid w:val="001D7286"/>
    <w:rsid w:val="001D7339"/>
    <w:rsid w:val="001D7356"/>
    <w:rsid w:val="001D737F"/>
    <w:rsid w:val="001D738F"/>
    <w:rsid w:val="001D7475"/>
    <w:rsid w:val="001D74EF"/>
    <w:rsid w:val="001D76AB"/>
    <w:rsid w:val="001D7857"/>
    <w:rsid w:val="001D793B"/>
    <w:rsid w:val="001D794B"/>
    <w:rsid w:val="001D7979"/>
    <w:rsid w:val="001D7B09"/>
    <w:rsid w:val="001D7D3A"/>
    <w:rsid w:val="001D7E38"/>
    <w:rsid w:val="001D7F03"/>
    <w:rsid w:val="001D7F35"/>
    <w:rsid w:val="001E004D"/>
    <w:rsid w:val="001E02EE"/>
    <w:rsid w:val="001E0300"/>
    <w:rsid w:val="001E037E"/>
    <w:rsid w:val="001E069B"/>
    <w:rsid w:val="001E0708"/>
    <w:rsid w:val="001E0893"/>
    <w:rsid w:val="001E0B93"/>
    <w:rsid w:val="001E0B9E"/>
    <w:rsid w:val="001E0BC9"/>
    <w:rsid w:val="001E0BE5"/>
    <w:rsid w:val="001E0D2F"/>
    <w:rsid w:val="001E0E69"/>
    <w:rsid w:val="001E0E7C"/>
    <w:rsid w:val="001E112B"/>
    <w:rsid w:val="001E11FB"/>
    <w:rsid w:val="001E129D"/>
    <w:rsid w:val="001E133C"/>
    <w:rsid w:val="001E15A6"/>
    <w:rsid w:val="001E15AA"/>
    <w:rsid w:val="001E1694"/>
    <w:rsid w:val="001E17B4"/>
    <w:rsid w:val="001E18A3"/>
    <w:rsid w:val="001E1C06"/>
    <w:rsid w:val="001E2145"/>
    <w:rsid w:val="001E21B3"/>
    <w:rsid w:val="001E281E"/>
    <w:rsid w:val="001E2871"/>
    <w:rsid w:val="001E28D3"/>
    <w:rsid w:val="001E297C"/>
    <w:rsid w:val="001E29A6"/>
    <w:rsid w:val="001E2B28"/>
    <w:rsid w:val="001E2C92"/>
    <w:rsid w:val="001E303A"/>
    <w:rsid w:val="001E314F"/>
    <w:rsid w:val="001E3228"/>
    <w:rsid w:val="001E327D"/>
    <w:rsid w:val="001E3430"/>
    <w:rsid w:val="001E3773"/>
    <w:rsid w:val="001E37C1"/>
    <w:rsid w:val="001E40FD"/>
    <w:rsid w:val="001E435C"/>
    <w:rsid w:val="001E4429"/>
    <w:rsid w:val="001E45D5"/>
    <w:rsid w:val="001E46F1"/>
    <w:rsid w:val="001E48DE"/>
    <w:rsid w:val="001E4AC1"/>
    <w:rsid w:val="001E4CF0"/>
    <w:rsid w:val="001E4DAA"/>
    <w:rsid w:val="001E4FD3"/>
    <w:rsid w:val="001E507B"/>
    <w:rsid w:val="001E51BA"/>
    <w:rsid w:val="001E540A"/>
    <w:rsid w:val="001E5548"/>
    <w:rsid w:val="001E5577"/>
    <w:rsid w:val="001E5609"/>
    <w:rsid w:val="001E56EC"/>
    <w:rsid w:val="001E583E"/>
    <w:rsid w:val="001E5BD3"/>
    <w:rsid w:val="001E5DC0"/>
    <w:rsid w:val="001E5DE9"/>
    <w:rsid w:val="001E5EED"/>
    <w:rsid w:val="001E6155"/>
    <w:rsid w:val="001E6180"/>
    <w:rsid w:val="001E6651"/>
    <w:rsid w:val="001E6902"/>
    <w:rsid w:val="001E69D1"/>
    <w:rsid w:val="001E6DD5"/>
    <w:rsid w:val="001E6E82"/>
    <w:rsid w:val="001E7043"/>
    <w:rsid w:val="001E73D6"/>
    <w:rsid w:val="001E7580"/>
    <w:rsid w:val="001E76B2"/>
    <w:rsid w:val="001E7714"/>
    <w:rsid w:val="001E774F"/>
    <w:rsid w:val="001E78B1"/>
    <w:rsid w:val="001E7A19"/>
    <w:rsid w:val="001E7A42"/>
    <w:rsid w:val="001E7BFA"/>
    <w:rsid w:val="001E7CA3"/>
    <w:rsid w:val="001E7D0B"/>
    <w:rsid w:val="001E7DE7"/>
    <w:rsid w:val="001E7E45"/>
    <w:rsid w:val="001E7F1D"/>
    <w:rsid w:val="001F02F9"/>
    <w:rsid w:val="001F02FF"/>
    <w:rsid w:val="001F0311"/>
    <w:rsid w:val="001F0530"/>
    <w:rsid w:val="001F0846"/>
    <w:rsid w:val="001F0989"/>
    <w:rsid w:val="001F0C74"/>
    <w:rsid w:val="001F0CA1"/>
    <w:rsid w:val="001F0D09"/>
    <w:rsid w:val="001F0F60"/>
    <w:rsid w:val="001F1018"/>
    <w:rsid w:val="001F123B"/>
    <w:rsid w:val="001F12D7"/>
    <w:rsid w:val="001F14B6"/>
    <w:rsid w:val="001F14D6"/>
    <w:rsid w:val="001F164D"/>
    <w:rsid w:val="001F1692"/>
    <w:rsid w:val="001F16CC"/>
    <w:rsid w:val="001F1742"/>
    <w:rsid w:val="001F1847"/>
    <w:rsid w:val="001F1E63"/>
    <w:rsid w:val="001F1E75"/>
    <w:rsid w:val="001F1FC1"/>
    <w:rsid w:val="001F2167"/>
    <w:rsid w:val="001F26AF"/>
    <w:rsid w:val="001F27D9"/>
    <w:rsid w:val="001F2B8B"/>
    <w:rsid w:val="001F2BCC"/>
    <w:rsid w:val="001F2D3B"/>
    <w:rsid w:val="001F2DDA"/>
    <w:rsid w:val="001F2EEA"/>
    <w:rsid w:val="001F332B"/>
    <w:rsid w:val="001F342F"/>
    <w:rsid w:val="001F3629"/>
    <w:rsid w:val="001F38B1"/>
    <w:rsid w:val="001F38DB"/>
    <w:rsid w:val="001F3918"/>
    <w:rsid w:val="001F3964"/>
    <w:rsid w:val="001F3A05"/>
    <w:rsid w:val="001F3C4D"/>
    <w:rsid w:val="001F3D83"/>
    <w:rsid w:val="001F40A6"/>
    <w:rsid w:val="001F40B0"/>
    <w:rsid w:val="001F416E"/>
    <w:rsid w:val="001F4173"/>
    <w:rsid w:val="001F4310"/>
    <w:rsid w:val="001F4447"/>
    <w:rsid w:val="001F4AF1"/>
    <w:rsid w:val="001F4CD2"/>
    <w:rsid w:val="001F4FFA"/>
    <w:rsid w:val="001F4FFD"/>
    <w:rsid w:val="001F518F"/>
    <w:rsid w:val="001F5268"/>
    <w:rsid w:val="001F54B8"/>
    <w:rsid w:val="001F5591"/>
    <w:rsid w:val="001F57C6"/>
    <w:rsid w:val="001F58DC"/>
    <w:rsid w:val="001F593A"/>
    <w:rsid w:val="001F5951"/>
    <w:rsid w:val="001F59D2"/>
    <w:rsid w:val="001F59E7"/>
    <w:rsid w:val="001F5A01"/>
    <w:rsid w:val="001F5A45"/>
    <w:rsid w:val="001F5BC6"/>
    <w:rsid w:val="001F5CED"/>
    <w:rsid w:val="001F5FB1"/>
    <w:rsid w:val="001F5FE3"/>
    <w:rsid w:val="001F61A3"/>
    <w:rsid w:val="001F62BE"/>
    <w:rsid w:val="001F6503"/>
    <w:rsid w:val="001F6618"/>
    <w:rsid w:val="001F69BF"/>
    <w:rsid w:val="001F6D6C"/>
    <w:rsid w:val="001F6E99"/>
    <w:rsid w:val="001F6EC0"/>
    <w:rsid w:val="001F6F78"/>
    <w:rsid w:val="001F70F8"/>
    <w:rsid w:val="001F7289"/>
    <w:rsid w:val="001F7453"/>
    <w:rsid w:val="001F7503"/>
    <w:rsid w:val="001F789A"/>
    <w:rsid w:val="001F792C"/>
    <w:rsid w:val="001F79CB"/>
    <w:rsid w:val="001F7B4B"/>
    <w:rsid w:val="001F7B86"/>
    <w:rsid w:val="001F7DB3"/>
    <w:rsid w:val="001F7F5C"/>
    <w:rsid w:val="0020015B"/>
    <w:rsid w:val="0020025A"/>
    <w:rsid w:val="00200561"/>
    <w:rsid w:val="00200604"/>
    <w:rsid w:val="00200875"/>
    <w:rsid w:val="0020096B"/>
    <w:rsid w:val="00200A17"/>
    <w:rsid w:val="00200CD9"/>
    <w:rsid w:val="00200E42"/>
    <w:rsid w:val="00200EC9"/>
    <w:rsid w:val="00200FFB"/>
    <w:rsid w:val="00201087"/>
    <w:rsid w:val="00201189"/>
    <w:rsid w:val="002012E2"/>
    <w:rsid w:val="0020139B"/>
    <w:rsid w:val="002013FE"/>
    <w:rsid w:val="002018D0"/>
    <w:rsid w:val="00201AA5"/>
    <w:rsid w:val="00201E47"/>
    <w:rsid w:val="00201F12"/>
    <w:rsid w:val="00202074"/>
    <w:rsid w:val="0020210F"/>
    <w:rsid w:val="002021D0"/>
    <w:rsid w:val="00202284"/>
    <w:rsid w:val="0020237E"/>
    <w:rsid w:val="002023ED"/>
    <w:rsid w:val="00202704"/>
    <w:rsid w:val="002027B1"/>
    <w:rsid w:val="002029F3"/>
    <w:rsid w:val="00202A44"/>
    <w:rsid w:val="00202A46"/>
    <w:rsid w:val="00202A76"/>
    <w:rsid w:val="00202EB1"/>
    <w:rsid w:val="00203127"/>
    <w:rsid w:val="00203193"/>
    <w:rsid w:val="002031BB"/>
    <w:rsid w:val="0020345B"/>
    <w:rsid w:val="0020349C"/>
    <w:rsid w:val="00203674"/>
    <w:rsid w:val="00203769"/>
    <w:rsid w:val="002037B8"/>
    <w:rsid w:val="0020381F"/>
    <w:rsid w:val="002039DC"/>
    <w:rsid w:val="00203AA3"/>
    <w:rsid w:val="00203C23"/>
    <w:rsid w:val="00203EDE"/>
    <w:rsid w:val="00204048"/>
    <w:rsid w:val="00204072"/>
    <w:rsid w:val="00204202"/>
    <w:rsid w:val="00204347"/>
    <w:rsid w:val="002043DB"/>
    <w:rsid w:val="00204490"/>
    <w:rsid w:val="00204518"/>
    <w:rsid w:val="002045D7"/>
    <w:rsid w:val="00204606"/>
    <w:rsid w:val="00204689"/>
    <w:rsid w:val="002047F1"/>
    <w:rsid w:val="0020485F"/>
    <w:rsid w:val="002048BE"/>
    <w:rsid w:val="00204A1E"/>
    <w:rsid w:val="00204ADA"/>
    <w:rsid w:val="00204B55"/>
    <w:rsid w:val="00204E13"/>
    <w:rsid w:val="00204E2D"/>
    <w:rsid w:val="00204E5A"/>
    <w:rsid w:val="00205151"/>
    <w:rsid w:val="002053C2"/>
    <w:rsid w:val="002055C4"/>
    <w:rsid w:val="00205789"/>
    <w:rsid w:val="00205D92"/>
    <w:rsid w:val="00205E66"/>
    <w:rsid w:val="00205F86"/>
    <w:rsid w:val="0020613D"/>
    <w:rsid w:val="002061C5"/>
    <w:rsid w:val="00206354"/>
    <w:rsid w:val="00206383"/>
    <w:rsid w:val="002063C0"/>
    <w:rsid w:val="002064CF"/>
    <w:rsid w:val="0020651D"/>
    <w:rsid w:val="0020656F"/>
    <w:rsid w:val="0020661E"/>
    <w:rsid w:val="002066BC"/>
    <w:rsid w:val="002066D5"/>
    <w:rsid w:val="002069E5"/>
    <w:rsid w:val="00206E54"/>
    <w:rsid w:val="00206E73"/>
    <w:rsid w:val="00206F70"/>
    <w:rsid w:val="00207169"/>
    <w:rsid w:val="002071C4"/>
    <w:rsid w:val="0020751B"/>
    <w:rsid w:val="00207543"/>
    <w:rsid w:val="0020765E"/>
    <w:rsid w:val="0020779B"/>
    <w:rsid w:val="0020785C"/>
    <w:rsid w:val="002079DA"/>
    <w:rsid w:val="00207A9A"/>
    <w:rsid w:val="00207B55"/>
    <w:rsid w:val="00207FBF"/>
    <w:rsid w:val="002100C1"/>
    <w:rsid w:val="00210174"/>
    <w:rsid w:val="00210205"/>
    <w:rsid w:val="0021020E"/>
    <w:rsid w:val="0021023B"/>
    <w:rsid w:val="0021048B"/>
    <w:rsid w:val="00210522"/>
    <w:rsid w:val="0021062D"/>
    <w:rsid w:val="002106BF"/>
    <w:rsid w:val="002106D5"/>
    <w:rsid w:val="0021071B"/>
    <w:rsid w:val="002107BD"/>
    <w:rsid w:val="002107C4"/>
    <w:rsid w:val="00210935"/>
    <w:rsid w:val="00210A4D"/>
    <w:rsid w:val="00210D1D"/>
    <w:rsid w:val="00210D2B"/>
    <w:rsid w:val="0021112D"/>
    <w:rsid w:val="00211181"/>
    <w:rsid w:val="002111B3"/>
    <w:rsid w:val="002111F0"/>
    <w:rsid w:val="002111FF"/>
    <w:rsid w:val="002114E2"/>
    <w:rsid w:val="002114ED"/>
    <w:rsid w:val="0021150E"/>
    <w:rsid w:val="00211550"/>
    <w:rsid w:val="0021165B"/>
    <w:rsid w:val="0021167C"/>
    <w:rsid w:val="002116F9"/>
    <w:rsid w:val="0021177C"/>
    <w:rsid w:val="002117FC"/>
    <w:rsid w:val="00211848"/>
    <w:rsid w:val="00211949"/>
    <w:rsid w:val="002119EF"/>
    <w:rsid w:val="00211AC2"/>
    <w:rsid w:val="00211BED"/>
    <w:rsid w:val="0021217E"/>
    <w:rsid w:val="002124B5"/>
    <w:rsid w:val="00212697"/>
    <w:rsid w:val="00212700"/>
    <w:rsid w:val="00212782"/>
    <w:rsid w:val="002127D6"/>
    <w:rsid w:val="00212A16"/>
    <w:rsid w:val="00212AB3"/>
    <w:rsid w:val="00212FE2"/>
    <w:rsid w:val="002130E6"/>
    <w:rsid w:val="00213164"/>
    <w:rsid w:val="00213392"/>
    <w:rsid w:val="0021351C"/>
    <w:rsid w:val="00213622"/>
    <w:rsid w:val="0021368B"/>
    <w:rsid w:val="002137EF"/>
    <w:rsid w:val="0021387C"/>
    <w:rsid w:val="00213A3B"/>
    <w:rsid w:val="00213CDF"/>
    <w:rsid w:val="00213E65"/>
    <w:rsid w:val="0021401E"/>
    <w:rsid w:val="002142B5"/>
    <w:rsid w:val="0021450C"/>
    <w:rsid w:val="00214529"/>
    <w:rsid w:val="00214834"/>
    <w:rsid w:val="00214CA9"/>
    <w:rsid w:val="00214CAD"/>
    <w:rsid w:val="00215416"/>
    <w:rsid w:val="002154F6"/>
    <w:rsid w:val="002154FD"/>
    <w:rsid w:val="00215926"/>
    <w:rsid w:val="00215B5A"/>
    <w:rsid w:val="00215BEC"/>
    <w:rsid w:val="00215C1C"/>
    <w:rsid w:val="00215C1F"/>
    <w:rsid w:val="00215D82"/>
    <w:rsid w:val="00215FA1"/>
    <w:rsid w:val="0021613C"/>
    <w:rsid w:val="0021633C"/>
    <w:rsid w:val="002166A4"/>
    <w:rsid w:val="002167C4"/>
    <w:rsid w:val="0021686B"/>
    <w:rsid w:val="00216880"/>
    <w:rsid w:val="00216D3B"/>
    <w:rsid w:val="00216D8A"/>
    <w:rsid w:val="00216F4E"/>
    <w:rsid w:val="00216FA4"/>
    <w:rsid w:val="0021709D"/>
    <w:rsid w:val="0021730C"/>
    <w:rsid w:val="002173B9"/>
    <w:rsid w:val="00217608"/>
    <w:rsid w:val="002176FC"/>
    <w:rsid w:val="002177C1"/>
    <w:rsid w:val="0021781F"/>
    <w:rsid w:val="00217A08"/>
    <w:rsid w:val="00217A9E"/>
    <w:rsid w:val="00217AC0"/>
    <w:rsid w:val="00217AF3"/>
    <w:rsid w:val="00217C32"/>
    <w:rsid w:val="00217F24"/>
    <w:rsid w:val="00217F91"/>
    <w:rsid w:val="00220057"/>
    <w:rsid w:val="00220152"/>
    <w:rsid w:val="00220374"/>
    <w:rsid w:val="0022060B"/>
    <w:rsid w:val="0022065B"/>
    <w:rsid w:val="0022065D"/>
    <w:rsid w:val="00220691"/>
    <w:rsid w:val="00220765"/>
    <w:rsid w:val="002207A1"/>
    <w:rsid w:val="00220855"/>
    <w:rsid w:val="00220A48"/>
    <w:rsid w:val="00220AF6"/>
    <w:rsid w:val="00220D78"/>
    <w:rsid w:val="00220DC4"/>
    <w:rsid w:val="00220DC9"/>
    <w:rsid w:val="00220FCC"/>
    <w:rsid w:val="002210B3"/>
    <w:rsid w:val="00221117"/>
    <w:rsid w:val="002212AE"/>
    <w:rsid w:val="00221446"/>
    <w:rsid w:val="0022188A"/>
    <w:rsid w:val="0022188C"/>
    <w:rsid w:val="002218A3"/>
    <w:rsid w:val="002218AC"/>
    <w:rsid w:val="002219AE"/>
    <w:rsid w:val="00221B11"/>
    <w:rsid w:val="00221C17"/>
    <w:rsid w:val="00221DDF"/>
    <w:rsid w:val="00221EC8"/>
    <w:rsid w:val="00221F49"/>
    <w:rsid w:val="002223AC"/>
    <w:rsid w:val="002224EF"/>
    <w:rsid w:val="002224FC"/>
    <w:rsid w:val="00222609"/>
    <w:rsid w:val="00222794"/>
    <w:rsid w:val="002228B7"/>
    <w:rsid w:val="00222A4B"/>
    <w:rsid w:val="00222BB3"/>
    <w:rsid w:val="00222C12"/>
    <w:rsid w:val="00222C82"/>
    <w:rsid w:val="00222C95"/>
    <w:rsid w:val="00222F8C"/>
    <w:rsid w:val="00223016"/>
    <w:rsid w:val="002230CC"/>
    <w:rsid w:val="00223150"/>
    <w:rsid w:val="00223222"/>
    <w:rsid w:val="00223347"/>
    <w:rsid w:val="002233DF"/>
    <w:rsid w:val="0022349B"/>
    <w:rsid w:val="002234FB"/>
    <w:rsid w:val="0022369C"/>
    <w:rsid w:val="002239D7"/>
    <w:rsid w:val="00223B77"/>
    <w:rsid w:val="00223CC2"/>
    <w:rsid w:val="00223F3F"/>
    <w:rsid w:val="002242BE"/>
    <w:rsid w:val="00224305"/>
    <w:rsid w:val="002244C1"/>
    <w:rsid w:val="002245DE"/>
    <w:rsid w:val="002247D9"/>
    <w:rsid w:val="00224A93"/>
    <w:rsid w:val="00224C1E"/>
    <w:rsid w:val="00224C9A"/>
    <w:rsid w:val="00224E29"/>
    <w:rsid w:val="00225017"/>
    <w:rsid w:val="002250FD"/>
    <w:rsid w:val="00225348"/>
    <w:rsid w:val="0022534F"/>
    <w:rsid w:val="00225375"/>
    <w:rsid w:val="002258CA"/>
    <w:rsid w:val="002259C3"/>
    <w:rsid w:val="002259DA"/>
    <w:rsid w:val="00225C32"/>
    <w:rsid w:val="00225CD6"/>
    <w:rsid w:val="00225F3F"/>
    <w:rsid w:val="00225F84"/>
    <w:rsid w:val="00226169"/>
    <w:rsid w:val="00226437"/>
    <w:rsid w:val="00226519"/>
    <w:rsid w:val="002266D1"/>
    <w:rsid w:val="002266D6"/>
    <w:rsid w:val="002269D5"/>
    <w:rsid w:val="00226B2F"/>
    <w:rsid w:val="00226C6E"/>
    <w:rsid w:val="00226D54"/>
    <w:rsid w:val="00226E64"/>
    <w:rsid w:val="00226F59"/>
    <w:rsid w:val="00226F8F"/>
    <w:rsid w:val="002273C4"/>
    <w:rsid w:val="00227633"/>
    <w:rsid w:val="002277A0"/>
    <w:rsid w:val="002277A7"/>
    <w:rsid w:val="002277EE"/>
    <w:rsid w:val="002277F5"/>
    <w:rsid w:val="00227ED3"/>
    <w:rsid w:val="00227F8E"/>
    <w:rsid w:val="00230140"/>
    <w:rsid w:val="002301D6"/>
    <w:rsid w:val="00230252"/>
    <w:rsid w:val="002302A1"/>
    <w:rsid w:val="002305F9"/>
    <w:rsid w:val="002306DE"/>
    <w:rsid w:val="0023078F"/>
    <w:rsid w:val="00230A09"/>
    <w:rsid w:val="00230B4B"/>
    <w:rsid w:val="00230C96"/>
    <w:rsid w:val="00230E3D"/>
    <w:rsid w:val="00230F11"/>
    <w:rsid w:val="00231030"/>
    <w:rsid w:val="00231039"/>
    <w:rsid w:val="00231068"/>
    <w:rsid w:val="002310BA"/>
    <w:rsid w:val="002311D6"/>
    <w:rsid w:val="0023140B"/>
    <w:rsid w:val="00231545"/>
    <w:rsid w:val="00231612"/>
    <w:rsid w:val="00231865"/>
    <w:rsid w:val="00231B81"/>
    <w:rsid w:val="00231BB7"/>
    <w:rsid w:val="00231CC0"/>
    <w:rsid w:val="00231EC0"/>
    <w:rsid w:val="00232177"/>
    <w:rsid w:val="002323DC"/>
    <w:rsid w:val="0023248B"/>
    <w:rsid w:val="0023272E"/>
    <w:rsid w:val="00232878"/>
    <w:rsid w:val="00232A49"/>
    <w:rsid w:val="00232AE4"/>
    <w:rsid w:val="00232C2F"/>
    <w:rsid w:val="00233331"/>
    <w:rsid w:val="00233837"/>
    <w:rsid w:val="00233A9F"/>
    <w:rsid w:val="00233B17"/>
    <w:rsid w:val="00233B59"/>
    <w:rsid w:val="00233D4C"/>
    <w:rsid w:val="00233E43"/>
    <w:rsid w:val="00233EF7"/>
    <w:rsid w:val="00233F2A"/>
    <w:rsid w:val="00233F68"/>
    <w:rsid w:val="00234009"/>
    <w:rsid w:val="00234079"/>
    <w:rsid w:val="00234180"/>
    <w:rsid w:val="00234208"/>
    <w:rsid w:val="00234479"/>
    <w:rsid w:val="00234508"/>
    <w:rsid w:val="0023459D"/>
    <w:rsid w:val="00234726"/>
    <w:rsid w:val="002347BC"/>
    <w:rsid w:val="002347C7"/>
    <w:rsid w:val="0023482C"/>
    <w:rsid w:val="00234BDE"/>
    <w:rsid w:val="00234FD7"/>
    <w:rsid w:val="00235030"/>
    <w:rsid w:val="0023579D"/>
    <w:rsid w:val="002358D6"/>
    <w:rsid w:val="00235925"/>
    <w:rsid w:val="00235BBF"/>
    <w:rsid w:val="00235F94"/>
    <w:rsid w:val="002363EC"/>
    <w:rsid w:val="00236435"/>
    <w:rsid w:val="0023647A"/>
    <w:rsid w:val="002365C2"/>
    <w:rsid w:val="00236825"/>
    <w:rsid w:val="0023699B"/>
    <w:rsid w:val="0023727E"/>
    <w:rsid w:val="002373ED"/>
    <w:rsid w:val="00237569"/>
    <w:rsid w:val="0023760D"/>
    <w:rsid w:val="00237615"/>
    <w:rsid w:val="00237625"/>
    <w:rsid w:val="002377CA"/>
    <w:rsid w:val="0023784C"/>
    <w:rsid w:val="00237985"/>
    <w:rsid w:val="00237AFA"/>
    <w:rsid w:val="00237B68"/>
    <w:rsid w:val="00237BDA"/>
    <w:rsid w:val="002401D2"/>
    <w:rsid w:val="002404E6"/>
    <w:rsid w:val="00240987"/>
    <w:rsid w:val="00240A28"/>
    <w:rsid w:val="00240B26"/>
    <w:rsid w:val="00240E14"/>
    <w:rsid w:val="002410A0"/>
    <w:rsid w:val="002410E6"/>
    <w:rsid w:val="002412AC"/>
    <w:rsid w:val="00241547"/>
    <w:rsid w:val="00241648"/>
    <w:rsid w:val="002417E8"/>
    <w:rsid w:val="002418CB"/>
    <w:rsid w:val="002418DF"/>
    <w:rsid w:val="00241B17"/>
    <w:rsid w:val="00241BCF"/>
    <w:rsid w:val="00241C8C"/>
    <w:rsid w:val="00241D94"/>
    <w:rsid w:val="00241E7B"/>
    <w:rsid w:val="002420C4"/>
    <w:rsid w:val="002420F4"/>
    <w:rsid w:val="00242315"/>
    <w:rsid w:val="00242986"/>
    <w:rsid w:val="002429A7"/>
    <w:rsid w:val="00242BEA"/>
    <w:rsid w:val="00242C85"/>
    <w:rsid w:val="00242F44"/>
    <w:rsid w:val="00243194"/>
    <w:rsid w:val="002432E4"/>
    <w:rsid w:val="00243413"/>
    <w:rsid w:val="00243488"/>
    <w:rsid w:val="0024351A"/>
    <w:rsid w:val="00243903"/>
    <w:rsid w:val="00243912"/>
    <w:rsid w:val="00243994"/>
    <w:rsid w:val="00243AD0"/>
    <w:rsid w:val="00243D8E"/>
    <w:rsid w:val="00243EE3"/>
    <w:rsid w:val="00244150"/>
    <w:rsid w:val="00244493"/>
    <w:rsid w:val="002445C9"/>
    <w:rsid w:val="0024463D"/>
    <w:rsid w:val="00244811"/>
    <w:rsid w:val="00244B3E"/>
    <w:rsid w:val="00244BEA"/>
    <w:rsid w:val="00244CE6"/>
    <w:rsid w:val="00244D1E"/>
    <w:rsid w:val="00244D3C"/>
    <w:rsid w:val="00244D94"/>
    <w:rsid w:val="00244DF1"/>
    <w:rsid w:val="00244F5B"/>
    <w:rsid w:val="00244FBA"/>
    <w:rsid w:val="0024500A"/>
    <w:rsid w:val="002452F0"/>
    <w:rsid w:val="0024531D"/>
    <w:rsid w:val="0024545D"/>
    <w:rsid w:val="00245542"/>
    <w:rsid w:val="002456CB"/>
    <w:rsid w:val="00245805"/>
    <w:rsid w:val="00245A28"/>
    <w:rsid w:val="00245B64"/>
    <w:rsid w:val="00245B75"/>
    <w:rsid w:val="00245BF4"/>
    <w:rsid w:val="00245DA2"/>
    <w:rsid w:val="00245EF3"/>
    <w:rsid w:val="002460B3"/>
    <w:rsid w:val="00246148"/>
    <w:rsid w:val="00246356"/>
    <w:rsid w:val="00246486"/>
    <w:rsid w:val="002464A4"/>
    <w:rsid w:val="00246548"/>
    <w:rsid w:val="002467B4"/>
    <w:rsid w:val="00246911"/>
    <w:rsid w:val="002469BF"/>
    <w:rsid w:val="00246C2D"/>
    <w:rsid w:val="00246C6F"/>
    <w:rsid w:val="00246D44"/>
    <w:rsid w:val="00246DCF"/>
    <w:rsid w:val="00246DE3"/>
    <w:rsid w:val="00246FD8"/>
    <w:rsid w:val="002470AE"/>
    <w:rsid w:val="00247298"/>
    <w:rsid w:val="00247315"/>
    <w:rsid w:val="002473A4"/>
    <w:rsid w:val="002473BD"/>
    <w:rsid w:val="00247582"/>
    <w:rsid w:val="00247633"/>
    <w:rsid w:val="0024776C"/>
    <w:rsid w:val="00247788"/>
    <w:rsid w:val="0024785C"/>
    <w:rsid w:val="002479F8"/>
    <w:rsid w:val="00247CB7"/>
    <w:rsid w:val="00247DB6"/>
    <w:rsid w:val="002500BD"/>
    <w:rsid w:val="00250223"/>
    <w:rsid w:val="0025035A"/>
    <w:rsid w:val="00250455"/>
    <w:rsid w:val="002505D1"/>
    <w:rsid w:val="002506DF"/>
    <w:rsid w:val="0025076E"/>
    <w:rsid w:val="00250872"/>
    <w:rsid w:val="0025094F"/>
    <w:rsid w:val="00250F47"/>
    <w:rsid w:val="0025127C"/>
    <w:rsid w:val="00251404"/>
    <w:rsid w:val="002514B7"/>
    <w:rsid w:val="002517F4"/>
    <w:rsid w:val="002518C7"/>
    <w:rsid w:val="002518D1"/>
    <w:rsid w:val="00251A47"/>
    <w:rsid w:val="00251BDC"/>
    <w:rsid w:val="0025234A"/>
    <w:rsid w:val="0025250B"/>
    <w:rsid w:val="002525CA"/>
    <w:rsid w:val="002526A6"/>
    <w:rsid w:val="002527D7"/>
    <w:rsid w:val="00252A2A"/>
    <w:rsid w:val="00252B49"/>
    <w:rsid w:val="00252BC5"/>
    <w:rsid w:val="00252C04"/>
    <w:rsid w:val="002530D0"/>
    <w:rsid w:val="00253157"/>
    <w:rsid w:val="00253190"/>
    <w:rsid w:val="002531E3"/>
    <w:rsid w:val="002532B4"/>
    <w:rsid w:val="0025369F"/>
    <w:rsid w:val="00253AAC"/>
    <w:rsid w:val="00253B34"/>
    <w:rsid w:val="00253BFE"/>
    <w:rsid w:val="00254164"/>
    <w:rsid w:val="00254214"/>
    <w:rsid w:val="002542A0"/>
    <w:rsid w:val="002544B0"/>
    <w:rsid w:val="002545AC"/>
    <w:rsid w:val="002545AF"/>
    <w:rsid w:val="0025487D"/>
    <w:rsid w:val="002548C1"/>
    <w:rsid w:val="00254A0E"/>
    <w:rsid w:val="0025502B"/>
    <w:rsid w:val="00255173"/>
    <w:rsid w:val="002551D8"/>
    <w:rsid w:val="00255502"/>
    <w:rsid w:val="002557CC"/>
    <w:rsid w:val="002559EB"/>
    <w:rsid w:val="00255A75"/>
    <w:rsid w:val="002561FE"/>
    <w:rsid w:val="00256256"/>
    <w:rsid w:val="00256385"/>
    <w:rsid w:val="00256406"/>
    <w:rsid w:val="00256501"/>
    <w:rsid w:val="0025656A"/>
    <w:rsid w:val="002565A2"/>
    <w:rsid w:val="002565BC"/>
    <w:rsid w:val="00256734"/>
    <w:rsid w:val="00256C59"/>
    <w:rsid w:val="00256CDF"/>
    <w:rsid w:val="00256F7D"/>
    <w:rsid w:val="00256FB2"/>
    <w:rsid w:val="0025768D"/>
    <w:rsid w:val="00257881"/>
    <w:rsid w:val="00257F8F"/>
    <w:rsid w:val="00257FC7"/>
    <w:rsid w:val="00260024"/>
    <w:rsid w:val="002600D9"/>
    <w:rsid w:val="00260162"/>
    <w:rsid w:val="00260186"/>
    <w:rsid w:val="002601A2"/>
    <w:rsid w:val="00260235"/>
    <w:rsid w:val="00260366"/>
    <w:rsid w:val="0026037C"/>
    <w:rsid w:val="00260444"/>
    <w:rsid w:val="00260520"/>
    <w:rsid w:val="00260931"/>
    <w:rsid w:val="00260988"/>
    <w:rsid w:val="00260AFB"/>
    <w:rsid w:val="00260B13"/>
    <w:rsid w:val="00260BC3"/>
    <w:rsid w:val="00260BFA"/>
    <w:rsid w:val="00260CB8"/>
    <w:rsid w:val="00261076"/>
    <w:rsid w:val="002610EA"/>
    <w:rsid w:val="00261146"/>
    <w:rsid w:val="002611B2"/>
    <w:rsid w:val="002611B3"/>
    <w:rsid w:val="00261233"/>
    <w:rsid w:val="00261452"/>
    <w:rsid w:val="00261593"/>
    <w:rsid w:val="00261E82"/>
    <w:rsid w:val="00261ECE"/>
    <w:rsid w:val="00262069"/>
    <w:rsid w:val="002620F9"/>
    <w:rsid w:val="002624F0"/>
    <w:rsid w:val="00262563"/>
    <w:rsid w:val="00262633"/>
    <w:rsid w:val="00262A77"/>
    <w:rsid w:val="00262A88"/>
    <w:rsid w:val="00262A8E"/>
    <w:rsid w:val="002630AE"/>
    <w:rsid w:val="0026316B"/>
    <w:rsid w:val="002635D6"/>
    <w:rsid w:val="00263654"/>
    <w:rsid w:val="00263679"/>
    <w:rsid w:val="00263784"/>
    <w:rsid w:val="00263881"/>
    <w:rsid w:val="00263AD3"/>
    <w:rsid w:val="00263CEC"/>
    <w:rsid w:val="00263FD2"/>
    <w:rsid w:val="0026404C"/>
    <w:rsid w:val="0026408A"/>
    <w:rsid w:val="0026442E"/>
    <w:rsid w:val="002645B5"/>
    <w:rsid w:val="00264642"/>
    <w:rsid w:val="00264783"/>
    <w:rsid w:val="00264855"/>
    <w:rsid w:val="002648EE"/>
    <w:rsid w:val="0026496B"/>
    <w:rsid w:val="00264AA7"/>
    <w:rsid w:val="00264B2B"/>
    <w:rsid w:val="00264F09"/>
    <w:rsid w:val="00264FBB"/>
    <w:rsid w:val="00265008"/>
    <w:rsid w:val="002653B5"/>
    <w:rsid w:val="0026556B"/>
    <w:rsid w:val="002655AD"/>
    <w:rsid w:val="002657A3"/>
    <w:rsid w:val="002657BD"/>
    <w:rsid w:val="00265A6A"/>
    <w:rsid w:val="00265C7E"/>
    <w:rsid w:val="00265D99"/>
    <w:rsid w:val="00266071"/>
    <w:rsid w:val="002660DC"/>
    <w:rsid w:val="00266252"/>
    <w:rsid w:val="00266262"/>
    <w:rsid w:val="00266363"/>
    <w:rsid w:val="002666F9"/>
    <w:rsid w:val="0026681E"/>
    <w:rsid w:val="002668D9"/>
    <w:rsid w:val="00266A32"/>
    <w:rsid w:val="00266B9F"/>
    <w:rsid w:val="00266D00"/>
    <w:rsid w:val="00266DD3"/>
    <w:rsid w:val="00266F66"/>
    <w:rsid w:val="002671B6"/>
    <w:rsid w:val="00267273"/>
    <w:rsid w:val="00267443"/>
    <w:rsid w:val="00267B9F"/>
    <w:rsid w:val="00267E4D"/>
    <w:rsid w:val="00267E83"/>
    <w:rsid w:val="00267F4F"/>
    <w:rsid w:val="0027043E"/>
    <w:rsid w:val="002707C1"/>
    <w:rsid w:val="0027082F"/>
    <w:rsid w:val="00270B5D"/>
    <w:rsid w:val="00270C4D"/>
    <w:rsid w:val="00270C5D"/>
    <w:rsid w:val="00270CE0"/>
    <w:rsid w:val="00270DB7"/>
    <w:rsid w:val="0027101C"/>
    <w:rsid w:val="00271045"/>
    <w:rsid w:val="00271167"/>
    <w:rsid w:val="00271358"/>
    <w:rsid w:val="002714D7"/>
    <w:rsid w:val="00271684"/>
    <w:rsid w:val="00271917"/>
    <w:rsid w:val="00271B22"/>
    <w:rsid w:val="00271DE2"/>
    <w:rsid w:val="00272032"/>
    <w:rsid w:val="00272464"/>
    <w:rsid w:val="00272665"/>
    <w:rsid w:val="0027273E"/>
    <w:rsid w:val="002728BB"/>
    <w:rsid w:val="00272D00"/>
    <w:rsid w:val="00272DAD"/>
    <w:rsid w:val="00272EBC"/>
    <w:rsid w:val="00272F9D"/>
    <w:rsid w:val="0027308E"/>
    <w:rsid w:val="00273411"/>
    <w:rsid w:val="00273644"/>
    <w:rsid w:val="0027366A"/>
    <w:rsid w:val="00273820"/>
    <w:rsid w:val="00273834"/>
    <w:rsid w:val="00273A3A"/>
    <w:rsid w:val="00273C75"/>
    <w:rsid w:val="00273D91"/>
    <w:rsid w:val="00273F97"/>
    <w:rsid w:val="00274289"/>
    <w:rsid w:val="002742C9"/>
    <w:rsid w:val="00274487"/>
    <w:rsid w:val="002745AD"/>
    <w:rsid w:val="0027465C"/>
    <w:rsid w:val="0027496A"/>
    <w:rsid w:val="00274D15"/>
    <w:rsid w:val="00274DC7"/>
    <w:rsid w:val="00274E45"/>
    <w:rsid w:val="002751C6"/>
    <w:rsid w:val="00275230"/>
    <w:rsid w:val="002755D1"/>
    <w:rsid w:val="0027560E"/>
    <w:rsid w:val="002756BD"/>
    <w:rsid w:val="002756DC"/>
    <w:rsid w:val="00275744"/>
    <w:rsid w:val="002758DD"/>
    <w:rsid w:val="002759AC"/>
    <w:rsid w:val="00275C67"/>
    <w:rsid w:val="00275C9E"/>
    <w:rsid w:val="00275F7E"/>
    <w:rsid w:val="00276138"/>
    <w:rsid w:val="00276216"/>
    <w:rsid w:val="002762D6"/>
    <w:rsid w:val="0027636B"/>
    <w:rsid w:val="002763B9"/>
    <w:rsid w:val="0027641C"/>
    <w:rsid w:val="0027642B"/>
    <w:rsid w:val="0027650A"/>
    <w:rsid w:val="002765E6"/>
    <w:rsid w:val="0027673D"/>
    <w:rsid w:val="00276B35"/>
    <w:rsid w:val="00276C7E"/>
    <w:rsid w:val="00276CA0"/>
    <w:rsid w:val="00276DCD"/>
    <w:rsid w:val="00276FD5"/>
    <w:rsid w:val="00277021"/>
    <w:rsid w:val="00277413"/>
    <w:rsid w:val="00277526"/>
    <w:rsid w:val="00277603"/>
    <w:rsid w:val="00277778"/>
    <w:rsid w:val="002777BC"/>
    <w:rsid w:val="002778F8"/>
    <w:rsid w:val="0027792F"/>
    <w:rsid w:val="002779A0"/>
    <w:rsid w:val="002779BB"/>
    <w:rsid w:val="00277B12"/>
    <w:rsid w:val="00277B3E"/>
    <w:rsid w:val="00277B76"/>
    <w:rsid w:val="00277DBF"/>
    <w:rsid w:val="00280011"/>
    <w:rsid w:val="0028004C"/>
    <w:rsid w:val="00280071"/>
    <w:rsid w:val="002802E4"/>
    <w:rsid w:val="00280448"/>
    <w:rsid w:val="0028053C"/>
    <w:rsid w:val="00280556"/>
    <w:rsid w:val="00280802"/>
    <w:rsid w:val="00280A59"/>
    <w:rsid w:val="00280ACA"/>
    <w:rsid w:val="00280B92"/>
    <w:rsid w:val="00280E9B"/>
    <w:rsid w:val="00280F31"/>
    <w:rsid w:val="00281142"/>
    <w:rsid w:val="00281170"/>
    <w:rsid w:val="0028167F"/>
    <w:rsid w:val="002817F8"/>
    <w:rsid w:val="00281C99"/>
    <w:rsid w:val="00281E1D"/>
    <w:rsid w:val="00281E35"/>
    <w:rsid w:val="00281F8C"/>
    <w:rsid w:val="002821D2"/>
    <w:rsid w:val="0028231F"/>
    <w:rsid w:val="00282375"/>
    <w:rsid w:val="00282400"/>
    <w:rsid w:val="00282539"/>
    <w:rsid w:val="00282707"/>
    <w:rsid w:val="0028272F"/>
    <w:rsid w:val="0028274B"/>
    <w:rsid w:val="002828F4"/>
    <w:rsid w:val="00282BAD"/>
    <w:rsid w:val="00282BD4"/>
    <w:rsid w:val="00282BE2"/>
    <w:rsid w:val="002830E3"/>
    <w:rsid w:val="0028328F"/>
    <w:rsid w:val="002836D0"/>
    <w:rsid w:val="0028393B"/>
    <w:rsid w:val="00283B0F"/>
    <w:rsid w:val="00283C88"/>
    <w:rsid w:val="00283CA8"/>
    <w:rsid w:val="00283D15"/>
    <w:rsid w:val="00283F26"/>
    <w:rsid w:val="00284018"/>
    <w:rsid w:val="0028416B"/>
    <w:rsid w:val="00284188"/>
    <w:rsid w:val="002841C3"/>
    <w:rsid w:val="002841DB"/>
    <w:rsid w:val="00284248"/>
    <w:rsid w:val="002845CD"/>
    <w:rsid w:val="00284631"/>
    <w:rsid w:val="00284A02"/>
    <w:rsid w:val="00284D01"/>
    <w:rsid w:val="00284E24"/>
    <w:rsid w:val="00284E78"/>
    <w:rsid w:val="0028529E"/>
    <w:rsid w:val="0028552E"/>
    <w:rsid w:val="002855EA"/>
    <w:rsid w:val="00285668"/>
    <w:rsid w:val="002857C2"/>
    <w:rsid w:val="00285C6D"/>
    <w:rsid w:val="00285C95"/>
    <w:rsid w:val="00285F52"/>
    <w:rsid w:val="00285F7E"/>
    <w:rsid w:val="00285FE7"/>
    <w:rsid w:val="002861C7"/>
    <w:rsid w:val="00286224"/>
    <w:rsid w:val="0028634C"/>
    <w:rsid w:val="002864C1"/>
    <w:rsid w:val="002866D0"/>
    <w:rsid w:val="0028685C"/>
    <w:rsid w:val="002868AC"/>
    <w:rsid w:val="0028692E"/>
    <w:rsid w:val="0028695D"/>
    <w:rsid w:val="002869CD"/>
    <w:rsid w:val="002869D7"/>
    <w:rsid w:val="00286C4F"/>
    <w:rsid w:val="00286E37"/>
    <w:rsid w:val="00286EEE"/>
    <w:rsid w:val="00286FAB"/>
    <w:rsid w:val="00286FF7"/>
    <w:rsid w:val="002871AC"/>
    <w:rsid w:val="002872B4"/>
    <w:rsid w:val="00287301"/>
    <w:rsid w:val="0028734E"/>
    <w:rsid w:val="002873F9"/>
    <w:rsid w:val="0028754B"/>
    <w:rsid w:val="0028762D"/>
    <w:rsid w:val="0028764E"/>
    <w:rsid w:val="002876A9"/>
    <w:rsid w:val="002876AC"/>
    <w:rsid w:val="00287AC6"/>
    <w:rsid w:val="00287B6E"/>
    <w:rsid w:val="00287DDB"/>
    <w:rsid w:val="00287E55"/>
    <w:rsid w:val="00290171"/>
    <w:rsid w:val="002901E5"/>
    <w:rsid w:val="002905C2"/>
    <w:rsid w:val="00290796"/>
    <w:rsid w:val="00290BC6"/>
    <w:rsid w:val="00290C1F"/>
    <w:rsid w:val="00290DAD"/>
    <w:rsid w:val="00290E3F"/>
    <w:rsid w:val="00290FF7"/>
    <w:rsid w:val="00291057"/>
    <w:rsid w:val="0029106A"/>
    <w:rsid w:val="00291367"/>
    <w:rsid w:val="0029144C"/>
    <w:rsid w:val="00291472"/>
    <w:rsid w:val="002917DB"/>
    <w:rsid w:val="002918F4"/>
    <w:rsid w:val="00291962"/>
    <w:rsid w:val="00291A8B"/>
    <w:rsid w:val="00291C4B"/>
    <w:rsid w:val="00291C9A"/>
    <w:rsid w:val="00291E84"/>
    <w:rsid w:val="00291EA3"/>
    <w:rsid w:val="00291F78"/>
    <w:rsid w:val="0029225E"/>
    <w:rsid w:val="0029227F"/>
    <w:rsid w:val="00292338"/>
    <w:rsid w:val="00292501"/>
    <w:rsid w:val="00292BFA"/>
    <w:rsid w:val="00292C86"/>
    <w:rsid w:val="00292E8B"/>
    <w:rsid w:val="00292F34"/>
    <w:rsid w:val="002932A6"/>
    <w:rsid w:val="002932E2"/>
    <w:rsid w:val="0029358C"/>
    <w:rsid w:val="0029364D"/>
    <w:rsid w:val="00293703"/>
    <w:rsid w:val="00293790"/>
    <w:rsid w:val="00293C30"/>
    <w:rsid w:val="00293C66"/>
    <w:rsid w:val="00293D11"/>
    <w:rsid w:val="00293D9C"/>
    <w:rsid w:val="00293ED9"/>
    <w:rsid w:val="00293FC7"/>
    <w:rsid w:val="00294243"/>
    <w:rsid w:val="0029426A"/>
    <w:rsid w:val="0029436B"/>
    <w:rsid w:val="0029437D"/>
    <w:rsid w:val="002943F6"/>
    <w:rsid w:val="002944DB"/>
    <w:rsid w:val="002948EA"/>
    <w:rsid w:val="00294997"/>
    <w:rsid w:val="00294A22"/>
    <w:rsid w:val="00294A68"/>
    <w:rsid w:val="00294A9F"/>
    <w:rsid w:val="00294BD2"/>
    <w:rsid w:val="00294C17"/>
    <w:rsid w:val="00294E29"/>
    <w:rsid w:val="0029502D"/>
    <w:rsid w:val="002950E8"/>
    <w:rsid w:val="002951B5"/>
    <w:rsid w:val="00295697"/>
    <w:rsid w:val="0029583E"/>
    <w:rsid w:val="00295C2F"/>
    <w:rsid w:val="00295D30"/>
    <w:rsid w:val="00295E66"/>
    <w:rsid w:val="00295E6C"/>
    <w:rsid w:val="00295F66"/>
    <w:rsid w:val="002961B8"/>
    <w:rsid w:val="00296299"/>
    <w:rsid w:val="002962A3"/>
    <w:rsid w:val="002963C4"/>
    <w:rsid w:val="0029649B"/>
    <w:rsid w:val="0029650B"/>
    <w:rsid w:val="0029675C"/>
    <w:rsid w:val="002968EE"/>
    <w:rsid w:val="00296A58"/>
    <w:rsid w:val="00296F0C"/>
    <w:rsid w:val="00296F71"/>
    <w:rsid w:val="00296FEE"/>
    <w:rsid w:val="0029703A"/>
    <w:rsid w:val="00297043"/>
    <w:rsid w:val="00297289"/>
    <w:rsid w:val="002974E8"/>
    <w:rsid w:val="002976A6"/>
    <w:rsid w:val="002977E8"/>
    <w:rsid w:val="002979DA"/>
    <w:rsid w:val="00297A85"/>
    <w:rsid w:val="00297D57"/>
    <w:rsid w:val="00297DBE"/>
    <w:rsid w:val="00297DCD"/>
    <w:rsid w:val="00297FFC"/>
    <w:rsid w:val="002A01CA"/>
    <w:rsid w:val="002A0420"/>
    <w:rsid w:val="002A05EF"/>
    <w:rsid w:val="002A0853"/>
    <w:rsid w:val="002A094C"/>
    <w:rsid w:val="002A0A0C"/>
    <w:rsid w:val="002A0ABD"/>
    <w:rsid w:val="002A0DA8"/>
    <w:rsid w:val="002A0FD5"/>
    <w:rsid w:val="002A10DE"/>
    <w:rsid w:val="002A1148"/>
    <w:rsid w:val="002A1274"/>
    <w:rsid w:val="002A16A9"/>
    <w:rsid w:val="002A1920"/>
    <w:rsid w:val="002A1A19"/>
    <w:rsid w:val="002A1B41"/>
    <w:rsid w:val="002A1BCC"/>
    <w:rsid w:val="002A1D13"/>
    <w:rsid w:val="002A1D81"/>
    <w:rsid w:val="002A1EAE"/>
    <w:rsid w:val="002A20DD"/>
    <w:rsid w:val="002A2104"/>
    <w:rsid w:val="002A22E0"/>
    <w:rsid w:val="002A2353"/>
    <w:rsid w:val="002A23A6"/>
    <w:rsid w:val="002A23ED"/>
    <w:rsid w:val="002A25D0"/>
    <w:rsid w:val="002A288D"/>
    <w:rsid w:val="002A291D"/>
    <w:rsid w:val="002A3249"/>
    <w:rsid w:val="002A33BF"/>
    <w:rsid w:val="002A35CE"/>
    <w:rsid w:val="002A35E8"/>
    <w:rsid w:val="002A3709"/>
    <w:rsid w:val="002A3894"/>
    <w:rsid w:val="002A38C0"/>
    <w:rsid w:val="002A395D"/>
    <w:rsid w:val="002A39C8"/>
    <w:rsid w:val="002A3A38"/>
    <w:rsid w:val="002A3A8F"/>
    <w:rsid w:val="002A3B94"/>
    <w:rsid w:val="002A3B9F"/>
    <w:rsid w:val="002A4047"/>
    <w:rsid w:val="002A435F"/>
    <w:rsid w:val="002A4654"/>
    <w:rsid w:val="002A4714"/>
    <w:rsid w:val="002A4794"/>
    <w:rsid w:val="002A491F"/>
    <w:rsid w:val="002A49E9"/>
    <w:rsid w:val="002A4A09"/>
    <w:rsid w:val="002A4C9A"/>
    <w:rsid w:val="002A505D"/>
    <w:rsid w:val="002A50DC"/>
    <w:rsid w:val="002A5247"/>
    <w:rsid w:val="002A52B7"/>
    <w:rsid w:val="002A52E0"/>
    <w:rsid w:val="002A534F"/>
    <w:rsid w:val="002A54AA"/>
    <w:rsid w:val="002A5620"/>
    <w:rsid w:val="002A563F"/>
    <w:rsid w:val="002A56A9"/>
    <w:rsid w:val="002A5A8C"/>
    <w:rsid w:val="002A5C34"/>
    <w:rsid w:val="002A5ED7"/>
    <w:rsid w:val="002A60C5"/>
    <w:rsid w:val="002A6103"/>
    <w:rsid w:val="002A613F"/>
    <w:rsid w:val="002A6340"/>
    <w:rsid w:val="002A63DD"/>
    <w:rsid w:val="002A64F7"/>
    <w:rsid w:val="002A657B"/>
    <w:rsid w:val="002A65BF"/>
    <w:rsid w:val="002A666C"/>
    <w:rsid w:val="002A6674"/>
    <w:rsid w:val="002A66C0"/>
    <w:rsid w:val="002A6B42"/>
    <w:rsid w:val="002A6C84"/>
    <w:rsid w:val="002A6C8D"/>
    <w:rsid w:val="002A6D13"/>
    <w:rsid w:val="002A6DE7"/>
    <w:rsid w:val="002A6F76"/>
    <w:rsid w:val="002A6F7B"/>
    <w:rsid w:val="002A7009"/>
    <w:rsid w:val="002A7552"/>
    <w:rsid w:val="002A77ED"/>
    <w:rsid w:val="002A792A"/>
    <w:rsid w:val="002A7DDE"/>
    <w:rsid w:val="002A7FAE"/>
    <w:rsid w:val="002B00EF"/>
    <w:rsid w:val="002B018A"/>
    <w:rsid w:val="002B05E1"/>
    <w:rsid w:val="002B08AB"/>
    <w:rsid w:val="002B0D8D"/>
    <w:rsid w:val="002B0DBF"/>
    <w:rsid w:val="002B0E57"/>
    <w:rsid w:val="002B0E7C"/>
    <w:rsid w:val="002B0F1A"/>
    <w:rsid w:val="002B0F69"/>
    <w:rsid w:val="002B1728"/>
    <w:rsid w:val="002B1794"/>
    <w:rsid w:val="002B1B23"/>
    <w:rsid w:val="002B1B6F"/>
    <w:rsid w:val="002B1B76"/>
    <w:rsid w:val="002B1B80"/>
    <w:rsid w:val="002B1C51"/>
    <w:rsid w:val="002B1CFA"/>
    <w:rsid w:val="002B1DDC"/>
    <w:rsid w:val="002B1E02"/>
    <w:rsid w:val="002B1E43"/>
    <w:rsid w:val="002B1E9B"/>
    <w:rsid w:val="002B204E"/>
    <w:rsid w:val="002B2104"/>
    <w:rsid w:val="002B21BF"/>
    <w:rsid w:val="002B2207"/>
    <w:rsid w:val="002B222C"/>
    <w:rsid w:val="002B24DF"/>
    <w:rsid w:val="002B25E2"/>
    <w:rsid w:val="002B2A41"/>
    <w:rsid w:val="002B2B29"/>
    <w:rsid w:val="002B2B2E"/>
    <w:rsid w:val="002B2C1A"/>
    <w:rsid w:val="002B2D18"/>
    <w:rsid w:val="002B2EB6"/>
    <w:rsid w:val="002B2F6C"/>
    <w:rsid w:val="002B30F1"/>
    <w:rsid w:val="002B311A"/>
    <w:rsid w:val="002B3213"/>
    <w:rsid w:val="002B34DE"/>
    <w:rsid w:val="002B35A8"/>
    <w:rsid w:val="002B35FC"/>
    <w:rsid w:val="002B367F"/>
    <w:rsid w:val="002B376B"/>
    <w:rsid w:val="002B3809"/>
    <w:rsid w:val="002B39F8"/>
    <w:rsid w:val="002B3B3E"/>
    <w:rsid w:val="002B3B99"/>
    <w:rsid w:val="002B3C42"/>
    <w:rsid w:val="002B3DEC"/>
    <w:rsid w:val="002B3F72"/>
    <w:rsid w:val="002B3FBB"/>
    <w:rsid w:val="002B4081"/>
    <w:rsid w:val="002B40CF"/>
    <w:rsid w:val="002B4243"/>
    <w:rsid w:val="002B43F8"/>
    <w:rsid w:val="002B4482"/>
    <w:rsid w:val="002B4544"/>
    <w:rsid w:val="002B489A"/>
    <w:rsid w:val="002B48C1"/>
    <w:rsid w:val="002B4933"/>
    <w:rsid w:val="002B4997"/>
    <w:rsid w:val="002B4CAE"/>
    <w:rsid w:val="002B518B"/>
    <w:rsid w:val="002B542E"/>
    <w:rsid w:val="002B54AD"/>
    <w:rsid w:val="002B54B5"/>
    <w:rsid w:val="002B5842"/>
    <w:rsid w:val="002B58A0"/>
    <w:rsid w:val="002B597E"/>
    <w:rsid w:val="002B5A01"/>
    <w:rsid w:val="002B5B05"/>
    <w:rsid w:val="002B5D6F"/>
    <w:rsid w:val="002B5FD9"/>
    <w:rsid w:val="002B6059"/>
    <w:rsid w:val="002B61AE"/>
    <w:rsid w:val="002B61EA"/>
    <w:rsid w:val="002B620B"/>
    <w:rsid w:val="002B621B"/>
    <w:rsid w:val="002B6249"/>
    <w:rsid w:val="002B63FC"/>
    <w:rsid w:val="002B6468"/>
    <w:rsid w:val="002B64C1"/>
    <w:rsid w:val="002B64D3"/>
    <w:rsid w:val="002B6618"/>
    <w:rsid w:val="002B6AE3"/>
    <w:rsid w:val="002B6B11"/>
    <w:rsid w:val="002B6C88"/>
    <w:rsid w:val="002B6CCD"/>
    <w:rsid w:val="002B6E0E"/>
    <w:rsid w:val="002B7011"/>
    <w:rsid w:val="002B712B"/>
    <w:rsid w:val="002B7152"/>
    <w:rsid w:val="002B7230"/>
    <w:rsid w:val="002B75E0"/>
    <w:rsid w:val="002B7727"/>
    <w:rsid w:val="002B7839"/>
    <w:rsid w:val="002B7846"/>
    <w:rsid w:val="002B7A31"/>
    <w:rsid w:val="002B7D82"/>
    <w:rsid w:val="002B7D8E"/>
    <w:rsid w:val="002B7DE0"/>
    <w:rsid w:val="002B7EE1"/>
    <w:rsid w:val="002C00A9"/>
    <w:rsid w:val="002C01DC"/>
    <w:rsid w:val="002C020B"/>
    <w:rsid w:val="002C0629"/>
    <w:rsid w:val="002C077E"/>
    <w:rsid w:val="002C08A4"/>
    <w:rsid w:val="002C094C"/>
    <w:rsid w:val="002C0999"/>
    <w:rsid w:val="002C0DE3"/>
    <w:rsid w:val="002C0F35"/>
    <w:rsid w:val="002C0FA5"/>
    <w:rsid w:val="002C1336"/>
    <w:rsid w:val="002C1337"/>
    <w:rsid w:val="002C1483"/>
    <w:rsid w:val="002C153A"/>
    <w:rsid w:val="002C167F"/>
    <w:rsid w:val="002C17EA"/>
    <w:rsid w:val="002C1800"/>
    <w:rsid w:val="002C18E0"/>
    <w:rsid w:val="002C1B5E"/>
    <w:rsid w:val="002C1B85"/>
    <w:rsid w:val="002C1E81"/>
    <w:rsid w:val="002C1F47"/>
    <w:rsid w:val="002C200A"/>
    <w:rsid w:val="002C213D"/>
    <w:rsid w:val="002C2141"/>
    <w:rsid w:val="002C21FA"/>
    <w:rsid w:val="002C24BF"/>
    <w:rsid w:val="002C27F5"/>
    <w:rsid w:val="002C29FC"/>
    <w:rsid w:val="002C2AF9"/>
    <w:rsid w:val="002C2DD1"/>
    <w:rsid w:val="002C2E58"/>
    <w:rsid w:val="002C2F1D"/>
    <w:rsid w:val="002C3030"/>
    <w:rsid w:val="002C317E"/>
    <w:rsid w:val="002C345D"/>
    <w:rsid w:val="002C348B"/>
    <w:rsid w:val="002C3564"/>
    <w:rsid w:val="002C37AF"/>
    <w:rsid w:val="002C391D"/>
    <w:rsid w:val="002C3B33"/>
    <w:rsid w:val="002C3B3E"/>
    <w:rsid w:val="002C3BD7"/>
    <w:rsid w:val="002C3C4E"/>
    <w:rsid w:val="002C4017"/>
    <w:rsid w:val="002C403E"/>
    <w:rsid w:val="002C4074"/>
    <w:rsid w:val="002C412D"/>
    <w:rsid w:val="002C4292"/>
    <w:rsid w:val="002C42D4"/>
    <w:rsid w:val="002C44F5"/>
    <w:rsid w:val="002C49EB"/>
    <w:rsid w:val="002C49F1"/>
    <w:rsid w:val="002C4A89"/>
    <w:rsid w:val="002C4AD1"/>
    <w:rsid w:val="002C4BB1"/>
    <w:rsid w:val="002C4CEA"/>
    <w:rsid w:val="002C4DF6"/>
    <w:rsid w:val="002C4E6A"/>
    <w:rsid w:val="002C4F7E"/>
    <w:rsid w:val="002C5024"/>
    <w:rsid w:val="002C522A"/>
    <w:rsid w:val="002C5284"/>
    <w:rsid w:val="002C535D"/>
    <w:rsid w:val="002C5566"/>
    <w:rsid w:val="002C5617"/>
    <w:rsid w:val="002C5A41"/>
    <w:rsid w:val="002C5E45"/>
    <w:rsid w:val="002C5F72"/>
    <w:rsid w:val="002C63A4"/>
    <w:rsid w:val="002C6446"/>
    <w:rsid w:val="002C65F1"/>
    <w:rsid w:val="002C6802"/>
    <w:rsid w:val="002C6CBA"/>
    <w:rsid w:val="002C6E43"/>
    <w:rsid w:val="002C71EE"/>
    <w:rsid w:val="002C7217"/>
    <w:rsid w:val="002C738B"/>
    <w:rsid w:val="002C741C"/>
    <w:rsid w:val="002C757C"/>
    <w:rsid w:val="002C75CE"/>
    <w:rsid w:val="002C760C"/>
    <w:rsid w:val="002C7617"/>
    <w:rsid w:val="002C7660"/>
    <w:rsid w:val="002C7975"/>
    <w:rsid w:val="002C7C1F"/>
    <w:rsid w:val="002D0076"/>
    <w:rsid w:val="002D028E"/>
    <w:rsid w:val="002D043C"/>
    <w:rsid w:val="002D06BD"/>
    <w:rsid w:val="002D079A"/>
    <w:rsid w:val="002D07D4"/>
    <w:rsid w:val="002D07E0"/>
    <w:rsid w:val="002D0823"/>
    <w:rsid w:val="002D0845"/>
    <w:rsid w:val="002D084E"/>
    <w:rsid w:val="002D08EF"/>
    <w:rsid w:val="002D0D04"/>
    <w:rsid w:val="002D1143"/>
    <w:rsid w:val="002D1290"/>
    <w:rsid w:val="002D1294"/>
    <w:rsid w:val="002D145E"/>
    <w:rsid w:val="002D14CF"/>
    <w:rsid w:val="002D16F5"/>
    <w:rsid w:val="002D1822"/>
    <w:rsid w:val="002D1A0A"/>
    <w:rsid w:val="002D1A5D"/>
    <w:rsid w:val="002D1B00"/>
    <w:rsid w:val="002D1B15"/>
    <w:rsid w:val="002D1C90"/>
    <w:rsid w:val="002D1E03"/>
    <w:rsid w:val="002D1ED7"/>
    <w:rsid w:val="002D2269"/>
    <w:rsid w:val="002D24FD"/>
    <w:rsid w:val="002D2599"/>
    <w:rsid w:val="002D29E0"/>
    <w:rsid w:val="002D2B53"/>
    <w:rsid w:val="002D2C31"/>
    <w:rsid w:val="002D2CCE"/>
    <w:rsid w:val="002D2D25"/>
    <w:rsid w:val="002D2D30"/>
    <w:rsid w:val="002D2ECD"/>
    <w:rsid w:val="002D3101"/>
    <w:rsid w:val="002D3347"/>
    <w:rsid w:val="002D3690"/>
    <w:rsid w:val="002D3944"/>
    <w:rsid w:val="002D3957"/>
    <w:rsid w:val="002D39DA"/>
    <w:rsid w:val="002D3AEA"/>
    <w:rsid w:val="002D3B70"/>
    <w:rsid w:val="002D3BCE"/>
    <w:rsid w:val="002D3CC3"/>
    <w:rsid w:val="002D3D43"/>
    <w:rsid w:val="002D3E14"/>
    <w:rsid w:val="002D3E81"/>
    <w:rsid w:val="002D3F53"/>
    <w:rsid w:val="002D416A"/>
    <w:rsid w:val="002D477E"/>
    <w:rsid w:val="002D47D1"/>
    <w:rsid w:val="002D4822"/>
    <w:rsid w:val="002D4905"/>
    <w:rsid w:val="002D4B8C"/>
    <w:rsid w:val="002D4D20"/>
    <w:rsid w:val="002D4D58"/>
    <w:rsid w:val="002D4DEB"/>
    <w:rsid w:val="002D4DF5"/>
    <w:rsid w:val="002D4E45"/>
    <w:rsid w:val="002D4E5F"/>
    <w:rsid w:val="002D4E7B"/>
    <w:rsid w:val="002D4E8A"/>
    <w:rsid w:val="002D5029"/>
    <w:rsid w:val="002D5039"/>
    <w:rsid w:val="002D50B9"/>
    <w:rsid w:val="002D522A"/>
    <w:rsid w:val="002D5315"/>
    <w:rsid w:val="002D541B"/>
    <w:rsid w:val="002D54E6"/>
    <w:rsid w:val="002D579F"/>
    <w:rsid w:val="002D5A65"/>
    <w:rsid w:val="002D5C28"/>
    <w:rsid w:val="002D5E0C"/>
    <w:rsid w:val="002D6157"/>
    <w:rsid w:val="002D61CF"/>
    <w:rsid w:val="002D6571"/>
    <w:rsid w:val="002D6666"/>
    <w:rsid w:val="002D6909"/>
    <w:rsid w:val="002D6918"/>
    <w:rsid w:val="002D692E"/>
    <w:rsid w:val="002D6D4C"/>
    <w:rsid w:val="002D6DC6"/>
    <w:rsid w:val="002D6F3A"/>
    <w:rsid w:val="002D7072"/>
    <w:rsid w:val="002D7127"/>
    <w:rsid w:val="002D71C4"/>
    <w:rsid w:val="002D7685"/>
    <w:rsid w:val="002D76EF"/>
    <w:rsid w:val="002D777C"/>
    <w:rsid w:val="002D77B7"/>
    <w:rsid w:val="002D7889"/>
    <w:rsid w:val="002D78BA"/>
    <w:rsid w:val="002D7C32"/>
    <w:rsid w:val="002D7C59"/>
    <w:rsid w:val="002D7E92"/>
    <w:rsid w:val="002E0374"/>
    <w:rsid w:val="002E0857"/>
    <w:rsid w:val="002E0D30"/>
    <w:rsid w:val="002E0E49"/>
    <w:rsid w:val="002E1034"/>
    <w:rsid w:val="002E1035"/>
    <w:rsid w:val="002E11CB"/>
    <w:rsid w:val="002E1345"/>
    <w:rsid w:val="002E147F"/>
    <w:rsid w:val="002E1480"/>
    <w:rsid w:val="002E1552"/>
    <w:rsid w:val="002E1659"/>
    <w:rsid w:val="002E17D4"/>
    <w:rsid w:val="002E184F"/>
    <w:rsid w:val="002E19B7"/>
    <w:rsid w:val="002E1BFF"/>
    <w:rsid w:val="002E1FE5"/>
    <w:rsid w:val="002E2046"/>
    <w:rsid w:val="002E21BB"/>
    <w:rsid w:val="002E2273"/>
    <w:rsid w:val="002E245B"/>
    <w:rsid w:val="002E2469"/>
    <w:rsid w:val="002E25E4"/>
    <w:rsid w:val="002E2939"/>
    <w:rsid w:val="002E2A39"/>
    <w:rsid w:val="002E2BD1"/>
    <w:rsid w:val="002E2C03"/>
    <w:rsid w:val="002E2C20"/>
    <w:rsid w:val="002E2C75"/>
    <w:rsid w:val="002E2E73"/>
    <w:rsid w:val="002E2EDD"/>
    <w:rsid w:val="002E2FCF"/>
    <w:rsid w:val="002E3025"/>
    <w:rsid w:val="002E3269"/>
    <w:rsid w:val="002E32C8"/>
    <w:rsid w:val="002E3326"/>
    <w:rsid w:val="002E33F7"/>
    <w:rsid w:val="002E348D"/>
    <w:rsid w:val="002E3555"/>
    <w:rsid w:val="002E359F"/>
    <w:rsid w:val="002E39EA"/>
    <w:rsid w:val="002E3DD6"/>
    <w:rsid w:val="002E3FF2"/>
    <w:rsid w:val="002E417A"/>
    <w:rsid w:val="002E421A"/>
    <w:rsid w:val="002E443F"/>
    <w:rsid w:val="002E44A4"/>
    <w:rsid w:val="002E4824"/>
    <w:rsid w:val="002E49CC"/>
    <w:rsid w:val="002E4C4D"/>
    <w:rsid w:val="002E4CD8"/>
    <w:rsid w:val="002E4E2B"/>
    <w:rsid w:val="002E4F8B"/>
    <w:rsid w:val="002E51F6"/>
    <w:rsid w:val="002E5289"/>
    <w:rsid w:val="002E53FD"/>
    <w:rsid w:val="002E54F6"/>
    <w:rsid w:val="002E57CC"/>
    <w:rsid w:val="002E5A89"/>
    <w:rsid w:val="002E5A98"/>
    <w:rsid w:val="002E5AFB"/>
    <w:rsid w:val="002E5C53"/>
    <w:rsid w:val="002E5F76"/>
    <w:rsid w:val="002E5FF5"/>
    <w:rsid w:val="002E60F8"/>
    <w:rsid w:val="002E624B"/>
    <w:rsid w:val="002E6427"/>
    <w:rsid w:val="002E6528"/>
    <w:rsid w:val="002E65BF"/>
    <w:rsid w:val="002E67EB"/>
    <w:rsid w:val="002E68E2"/>
    <w:rsid w:val="002E695B"/>
    <w:rsid w:val="002E6978"/>
    <w:rsid w:val="002E69C1"/>
    <w:rsid w:val="002E6B44"/>
    <w:rsid w:val="002E7199"/>
    <w:rsid w:val="002E7869"/>
    <w:rsid w:val="002E78D1"/>
    <w:rsid w:val="002E7989"/>
    <w:rsid w:val="002E7A86"/>
    <w:rsid w:val="002E7ABA"/>
    <w:rsid w:val="002E7B83"/>
    <w:rsid w:val="002E7DFC"/>
    <w:rsid w:val="002E7FED"/>
    <w:rsid w:val="002E7FF5"/>
    <w:rsid w:val="002F016A"/>
    <w:rsid w:val="002F0296"/>
    <w:rsid w:val="002F0445"/>
    <w:rsid w:val="002F05B4"/>
    <w:rsid w:val="002F06B6"/>
    <w:rsid w:val="002F078A"/>
    <w:rsid w:val="002F08EF"/>
    <w:rsid w:val="002F0BAD"/>
    <w:rsid w:val="002F0ED7"/>
    <w:rsid w:val="002F0F23"/>
    <w:rsid w:val="002F13C0"/>
    <w:rsid w:val="002F142C"/>
    <w:rsid w:val="002F14F0"/>
    <w:rsid w:val="002F1562"/>
    <w:rsid w:val="002F190A"/>
    <w:rsid w:val="002F191A"/>
    <w:rsid w:val="002F19F4"/>
    <w:rsid w:val="002F1BFA"/>
    <w:rsid w:val="002F1C04"/>
    <w:rsid w:val="002F203E"/>
    <w:rsid w:val="002F2249"/>
    <w:rsid w:val="002F2355"/>
    <w:rsid w:val="002F241D"/>
    <w:rsid w:val="002F2734"/>
    <w:rsid w:val="002F27A7"/>
    <w:rsid w:val="002F28D3"/>
    <w:rsid w:val="002F2B74"/>
    <w:rsid w:val="002F2B86"/>
    <w:rsid w:val="002F2E73"/>
    <w:rsid w:val="002F3273"/>
    <w:rsid w:val="002F3537"/>
    <w:rsid w:val="002F3889"/>
    <w:rsid w:val="002F3AAA"/>
    <w:rsid w:val="002F3AF1"/>
    <w:rsid w:val="002F3C1E"/>
    <w:rsid w:val="002F3C92"/>
    <w:rsid w:val="002F3D60"/>
    <w:rsid w:val="002F3E40"/>
    <w:rsid w:val="002F3F3F"/>
    <w:rsid w:val="002F4011"/>
    <w:rsid w:val="002F4119"/>
    <w:rsid w:val="002F42DC"/>
    <w:rsid w:val="002F430C"/>
    <w:rsid w:val="002F4507"/>
    <w:rsid w:val="002F476A"/>
    <w:rsid w:val="002F48FB"/>
    <w:rsid w:val="002F497C"/>
    <w:rsid w:val="002F49A2"/>
    <w:rsid w:val="002F4ACD"/>
    <w:rsid w:val="002F4BF7"/>
    <w:rsid w:val="002F4D2E"/>
    <w:rsid w:val="002F4E45"/>
    <w:rsid w:val="002F50AC"/>
    <w:rsid w:val="002F50C6"/>
    <w:rsid w:val="002F5172"/>
    <w:rsid w:val="002F5182"/>
    <w:rsid w:val="002F5211"/>
    <w:rsid w:val="002F53BA"/>
    <w:rsid w:val="002F5684"/>
    <w:rsid w:val="002F5923"/>
    <w:rsid w:val="002F5C9B"/>
    <w:rsid w:val="002F5D7F"/>
    <w:rsid w:val="002F6094"/>
    <w:rsid w:val="002F6159"/>
    <w:rsid w:val="002F61CA"/>
    <w:rsid w:val="002F61E1"/>
    <w:rsid w:val="002F632F"/>
    <w:rsid w:val="002F6376"/>
    <w:rsid w:val="002F6513"/>
    <w:rsid w:val="002F66DE"/>
    <w:rsid w:val="002F6BE9"/>
    <w:rsid w:val="002F6BF5"/>
    <w:rsid w:val="002F6FF3"/>
    <w:rsid w:val="002F7032"/>
    <w:rsid w:val="002F723F"/>
    <w:rsid w:val="002F72BE"/>
    <w:rsid w:val="002F7392"/>
    <w:rsid w:val="002F767D"/>
    <w:rsid w:val="002F798B"/>
    <w:rsid w:val="002F79BD"/>
    <w:rsid w:val="002F7DDD"/>
    <w:rsid w:val="002F7EBC"/>
    <w:rsid w:val="002F7F64"/>
    <w:rsid w:val="003000D8"/>
    <w:rsid w:val="00300109"/>
    <w:rsid w:val="003005C7"/>
    <w:rsid w:val="003009F0"/>
    <w:rsid w:val="00300C27"/>
    <w:rsid w:val="00300DAD"/>
    <w:rsid w:val="0030114A"/>
    <w:rsid w:val="00301738"/>
    <w:rsid w:val="00301942"/>
    <w:rsid w:val="003019AE"/>
    <w:rsid w:val="00301B84"/>
    <w:rsid w:val="00301C19"/>
    <w:rsid w:val="00301F52"/>
    <w:rsid w:val="00302662"/>
    <w:rsid w:val="00302708"/>
    <w:rsid w:val="00302822"/>
    <w:rsid w:val="00302832"/>
    <w:rsid w:val="003028B0"/>
    <w:rsid w:val="00302A03"/>
    <w:rsid w:val="00302A0F"/>
    <w:rsid w:val="00302AD8"/>
    <w:rsid w:val="00302BB8"/>
    <w:rsid w:val="00302CC3"/>
    <w:rsid w:val="00302D52"/>
    <w:rsid w:val="00302DF4"/>
    <w:rsid w:val="00302F1D"/>
    <w:rsid w:val="0030318F"/>
    <w:rsid w:val="0030352D"/>
    <w:rsid w:val="003035DB"/>
    <w:rsid w:val="003036AB"/>
    <w:rsid w:val="0030377B"/>
    <w:rsid w:val="00303805"/>
    <w:rsid w:val="003038FE"/>
    <w:rsid w:val="00303913"/>
    <w:rsid w:val="00303A64"/>
    <w:rsid w:val="00304636"/>
    <w:rsid w:val="00304AA2"/>
    <w:rsid w:val="00304BD4"/>
    <w:rsid w:val="00304FA1"/>
    <w:rsid w:val="003050E7"/>
    <w:rsid w:val="003050F6"/>
    <w:rsid w:val="003053E0"/>
    <w:rsid w:val="00305564"/>
    <w:rsid w:val="003058B3"/>
    <w:rsid w:val="0030594A"/>
    <w:rsid w:val="00305A41"/>
    <w:rsid w:val="00305A45"/>
    <w:rsid w:val="00305B65"/>
    <w:rsid w:val="00305BD4"/>
    <w:rsid w:val="00305C03"/>
    <w:rsid w:val="00305C10"/>
    <w:rsid w:val="00305DEE"/>
    <w:rsid w:val="0030639D"/>
    <w:rsid w:val="003063D0"/>
    <w:rsid w:val="003064C9"/>
    <w:rsid w:val="003064E7"/>
    <w:rsid w:val="0030665F"/>
    <w:rsid w:val="003066DC"/>
    <w:rsid w:val="003069B9"/>
    <w:rsid w:val="00306A9B"/>
    <w:rsid w:val="00306C69"/>
    <w:rsid w:val="00306CE3"/>
    <w:rsid w:val="00306CEF"/>
    <w:rsid w:val="00306E84"/>
    <w:rsid w:val="003070D9"/>
    <w:rsid w:val="003074BC"/>
    <w:rsid w:val="003077FF"/>
    <w:rsid w:val="003078A8"/>
    <w:rsid w:val="00307975"/>
    <w:rsid w:val="00307BB3"/>
    <w:rsid w:val="00307D48"/>
    <w:rsid w:val="003100B1"/>
    <w:rsid w:val="00310190"/>
    <w:rsid w:val="0031029F"/>
    <w:rsid w:val="003102E5"/>
    <w:rsid w:val="00310345"/>
    <w:rsid w:val="0031044E"/>
    <w:rsid w:val="0031059C"/>
    <w:rsid w:val="003107E0"/>
    <w:rsid w:val="00310886"/>
    <w:rsid w:val="003108D8"/>
    <w:rsid w:val="00310AD8"/>
    <w:rsid w:val="00310D24"/>
    <w:rsid w:val="00310E74"/>
    <w:rsid w:val="00310FB0"/>
    <w:rsid w:val="003114E6"/>
    <w:rsid w:val="00311A75"/>
    <w:rsid w:val="00311B55"/>
    <w:rsid w:val="00311CAC"/>
    <w:rsid w:val="00311D39"/>
    <w:rsid w:val="00311ED0"/>
    <w:rsid w:val="0031201D"/>
    <w:rsid w:val="003120FB"/>
    <w:rsid w:val="00312343"/>
    <w:rsid w:val="00312712"/>
    <w:rsid w:val="00312720"/>
    <w:rsid w:val="00312A2A"/>
    <w:rsid w:val="00312B72"/>
    <w:rsid w:val="00312BAA"/>
    <w:rsid w:val="003133BF"/>
    <w:rsid w:val="003139A7"/>
    <w:rsid w:val="00313AC4"/>
    <w:rsid w:val="00313B8A"/>
    <w:rsid w:val="00313DE9"/>
    <w:rsid w:val="00313DED"/>
    <w:rsid w:val="00313E49"/>
    <w:rsid w:val="00313F21"/>
    <w:rsid w:val="0031454E"/>
    <w:rsid w:val="00314641"/>
    <w:rsid w:val="00314CB2"/>
    <w:rsid w:val="00314D1A"/>
    <w:rsid w:val="00314D1D"/>
    <w:rsid w:val="00315090"/>
    <w:rsid w:val="003150C4"/>
    <w:rsid w:val="0031524D"/>
    <w:rsid w:val="00315262"/>
    <w:rsid w:val="003152FA"/>
    <w:rsid w:val="003153D1"/>
    <w:rsid w:val="0031568F"/>
    <w:rsid w:val="00315859"/>
    <w:rsid w:val="003159DA"/>
    <w:rsid w:val="00315E4D"/>
    <w:rsid w:val="00315F0A"/>
    <w:rsid w:val="00316349"/>
    <w:rsid w:val="00316507"/>
    <w:rsid w:val="00316588"/>
    <w:rsid w:val="00316643"/>
    <w:rsid w:val="003166E0"/>
    <w:rsid w:val="00316908"/>
    <w:rsid w:val="00316950"/>
    <w:rsid w:val="00316BEB"/>
    <w:rsid w:val="00316EEB"/>
    <w:rsid w:val="00317024"/>
    <w:rsid w:val="0031707D"/>
    <w:rsid w:val="0031714F"/>
    <w:rsid w:val="003172FE"/>
    <w:rsid w:val="0031730D"/>
    <w:rsid w:val="00317498"/>
    <w:rsid w:val="003174C3"/>
    <w:rsid w:val="00317648"/>
    <w:rsid w:val="003177BF"/>
    <w:rsid w:val="00317A1F"/>
    <w:rsid w:val="00317DD9"/>
    <w:rsid w:val="00317F6A"/>
    <w:rsid w:val="00320531"/>
    <w:rsid w:val="003207FF"/>
    <w:rsid w:val="00320BF4"/>
    <w:rsid w:val="00320D76"/>
    <w:rsid w:val="00320EC0"/>
    <w:rsid w:val="00320F83"/>
    <w:rsid w:val="00320FE9"/>
    <w:rsid w:val="00321341"/>
    <w:rsid w:val="00321377"/>
    <w:rsid w:val="00321D0D"/>
    <w:rsid w:val="003222B5"/>
    <w:rsid w:val="00322322"/>
    <w:rsid w:val="003223FA"/>
    <w:rsid w:val="00322514"/>
    <w:rsid w:val="003228C0"/>
    <w:rsid w:val="00322ADA"/>
    <w:rsid w:val="00322B66"/>
    <w:rsid w:val="00322C4A"/>
    <w:rsid w:val="00322E1E"/>
    <w:rsid w:val="0032327E"/>
    <w:rsid w:val="0032332C"/>
    <w:rsid w:val="0032350F"/>
    <w:rsid w:val="0032352D"/>
    <w:rsid w:val="00323531"/>
    <w:rsid w:val="003235E8"/>
    <w:rsid w:val="00323657"/>
    <w:rsid w:val="00323876"/>
    <w:rsid w:val="00323969"/>
    <w:rsid w:val="0032397A"/>
    <w:rsid w:val="003239BE"/>
    <w:rsid w:val="00323A91"/>
    <w:rsid w:val="00323ABB"/>
    <w:rsid w:val="00323B05"/>
    <w:rsid w:val="00323ED2"/>
    <w:rsid w:val="00323F7B"/>
    <w:rsid w:val="00324035"/>
    <w:rsid w:val="00324379"/>
    <w:rsid w:val="003243F7"/>
    <w:rsid w:val="00324487"/>
    <w:rsid w:val="003245CC"/>
    <w:rsid w:val="003246E4"/>
    <w:rsid w:val="003247BB"/>
    <w:rsid w:val="00324A92"/>
    <w:rsid w:val="00324B9C"/>
    <w:rsid w:val="00324C24"/>
    <w:rsid w:val="00324D55"/>
    <w:rsid w:val="00324E5B"/>
    <w:rsid w:val="00324F98"/>
    <w:rsid w:val="003251E8"/>
    <w:rsid w:val="00325440"/>
    <w:rsid w:val="00325598"/>
    <w:rsid w:val="0032567D"/>
    <w:rsid w:val="00325703"/>
    <w:rsid w:val="00325FDC"/>
    <w:rsid w:val="00326114"/>
    <w:rsid w:val="00326462"/>
    <w:rsid w:val="003264C4"/>
    <w:rsid w:val="00326696"/>
    <w:rsid w:val="003269CD"/>
    <w:rsid w:val="00326CAD"/>
    <w:rsid w:val="00326DE2"/>
    <w:rsid w:val="00326E0E"/>
    <w:rsid w:val="0032705D"/>
    <w:rsid w:val="0032747B"/>
    <w:rsid w:val="00327582"/>
    <w:rsid w:val="003275F6"/>
    <w:rsid w:val="00327724"/>
    <w:rsid w:val="00327756"/>
    <w:rsid w:val="0032778D"/>
    <w:rsid w:val="003277DA"/>
    <w:rsid w:val="003279B0"/>
    <w:rsid w:val="00327A4B"/>
    <w:rsid w:val="003303CD"/>
    <w:rsid w:val="00330751"/>
    <w:rsid w:val="00330820"/>
    <w:rsid w:val="00330A30"/>
    <w:rsid w:val="00330B8E"/>
    <w:rsid w:val="00330BF2"/>
    <w:rsid w:val="00330C96"/>
    <w:rsid w:val="00330DF6"/>
    <w:rsid w:val="00330E17"/>
    <w:rsid w:val="00330F0A"/>
    <w:rsid w:val="00331023"/>
    <w:rsid w:val="003310A8"/>
    <w:rsid w:val="00331459"/>
    <w:rsid w:val="003314C1"/>
    <w:rsid w:val="003315B9"/>
    <w:rsid w:val="003316FC"/>
    <w:rsid w:val="00331763"/>
    <w:rsid w:val="00331B64"/>
    <w:rsid w:val="00331BC0"/>
    <w:rsid w:val="00331D6E"/>
    <w:rsid w:val="00331D8C"/>
    <w:rsid w:val="00331EB7"/>
    <w:rsid w:val="00331F2D"/>
    <w:rsid w:val="00331FE8"/>
    <w:rsid w:val="003320C1"/>
    <w:rsid w:val="003320F0"/>
    <w:rsid w:val="003322C9"/>
    <w:rsid w:val="003322E4"/>
    <w:rsid w:val="003323B8"/>
    <w:rsid w:val="003323EF"/>
    <w:rsid w:val="003325FA"/>
    <w:rsid w:val="00332C55"/>
    <w:rsid w:val="00332E03"/>
    <w:rsid w:val="00332E16"/>
    <w:rsid w:val="00332FA0"/>
    <w:rsid w:val="0033303A"/>
    <w:rsid w:val="003334EB"/>
    <w:rsid w:val="0033369D"/>
    <w:rsid w:val="003336DB"/>
    <w:rsid w:val="003337E6"/>
    <w:rsid w:val="003339CA"/>
    <w:rsid w:val="00333AF7"/>
    <w:rsid w:val="00333DCD"/>
    <w:rsid w:val="0033402D"/>
    <w:rsid w:val="0033404A"/>
    <w:rsid w:val="0033484F"/>
    <w:rsid w:val="003349C6"/>
    <w:rsid w:val="00334B0A"/>
    <w:rsid w:val="00334BFA"/>
    <w:rsid w:val="00334C5F"/>
    <w:rsid w:val="00334E5F"/>
    <w:rsid w:val="00334F93"/>
    <w:rsid w:val="00334FE6"/>
    <w:rsid w:val="00335232"/>
    <w:rsid w:val="00335246"/>
    <w:rsid w:val="00335474"/>
    <w:rsid w:val="0033553C"/>
    <w:rsid w:val="00335AE5"/>
    <w:rsid w:val="00335B06"/>
    <w:rsid w:val="00335BEA"/>
    <w:rsid w:val="00335D85"/>
    <w:rsid w:val="00335DE9"/>
    <w:rsid w:val="00335EE7"/>
    <w:rsid w:val="00335FDC"/>
    <w:rsid w:val="00336007"/>
    <w:rsid w:val="003362C3"/>
    <w:rsid w:val="003362C4"/>
    <w:rsid w:val="003363B9"/>
    <w:rsid w:val="0033675D"/>
    <w:rsid w:val="00336A0C"/>
    <w:rsid w:val="00336C46"/>
    <w:rsid w:val="0033730C"/>
    <w:rsid w:val="003374A3"/>
    <w:rsid w:val="003374B1"/>
    <w:rsid w:val="003374E6"/>
    <w:rsid w:val="0033764C"/>
    <w:rsid w:val="00337869"/>
    <w:rsid w:val="00337A47"/>
    <w:rsid w:val="00340140"/>
    <w:rsid w:val="00340155"/>
    <w:rsid w:val="00340386"/>
    <w:rsid w:val="00340518"/>
    <w:rsid w:val="0034063E"/>
    <w:rsid w:val="00340712"/>
    <w:rsid w:val="003408FD"/>
    <w:rsid w:val="0034095D"/>
    <w:rsid w:val="00340C0D"/>
    <w:rsid w:val="00340C1F"/>
    <w:rsid w:val="00340CBF"/>
    <w:rsid w:val="00340E24"/>
    <w:rsid w:val="00340FFA"/>
    <w:rsid w:val="00341352"/>
    <w:rsid w:val="00341825"/>
    <w:rsid w:val="003418F3"/>
    <w:rsid w:val="0034198E"/>
    <w:rsid w:val="003419F2"/>
    <w:rsid w:val="00341A64"/>
    <w:rsid w:val="00341C9E"/>
    <w:rsid w:val="0034207A"/>
    <w:rsid w:val="0034228D"/>
    <w:rsid w:val="0034255E"/>
    <w:rsid w:val="003427B0"/>
    <w:rsid w:val="003427C3"/>
    <w:rsid w:val="00342C51"/>
    <w:rsid w:val="00342CB7"/>
    <w:rsid w:val="003430E6"/>
    <w:rsid w:val="003430FB"/>
    <w:rsid w:val="00343263"/>
    <w:rsid w:val="003432E8"/>
    <w:rsid w:val="00343507"/>
    <w:rsid w:val="00343A8E"/>
    <w:rsid w:val="00343C33"/>
    <w:rsid w:val="00343DD3"/>
    <w:rsid w:val="00343DF4"/>
    <w:rsid w:val="00343ED2"/>
    <w:rsid w:val="00343F71"/>
    <w:rsid w:val="003440AB"/>
    <w:rsid w:val="0034415D"/>
    <w:rsid w:val="0034435D"/>
    <w:rsid w:val="00344573"/>
    <w:rsid w:val="00344897"/>
    <w:rsid w:val="0034495C"/>
    <w:rsid w:val="00344A86"/>
    <w:rsid w:val="00344C26"/>
    <w:rsid w:val="003450A0"/>
    <w:rsid w:val="00345287"/>
    <w:rsid w:val="003452B9"/>
    <w:rsid w:val="003452DF"/>
    <w:rsid w:val="00345460"/>
    <w:rsid w:val="003454D8"/>
    <w:rsid w:val="0034556F"/>
    <w:rsid w:val="003455F1"/>
    <w:rsid w:val="0034565B"/>
    <w:rsid w:val="00345AC3"/>
    <w:rsid w:val="00345E5C"/>
    <w:rsid w:val="003460B1"/>
    <w:rsid w:val="003461CA"/>
    <w:rsid w:val="003462E9"/>
    <w:rsid w:val="0034631E"/>
    <w:rsid w:val="003463C5"/>
    <w:rsid w:val="003464D4"/>
    <w:rsid w:val="003466B7"/>
    <w:rsid w:val="003468B4"/>
    <w:rsid w:val="0034693F"/>
    <w:rsid w:val="00346B70"/>
    <w:rsid w:val="00346BC2"/>
    <w:rsid w:val="00346BCA"/>
    <w:rsid w:val="00346C97"/>
    <w:rsid w:val="00346DCF"/>
    <w:rsid w:val="00346F1D"/>
    <w:rsid w:val="00346FF9"/>
    <w:rsid w:val="0034710F"/>
    <w:rsid w:val="00347350"/>
    <w:rsid w:val="0034738A"/>
    <w:rsid w:val="0034745A"/>
    <w:rsid w:val="003474EF"/>
    <w:rsid w:val="00347717"/>
    <w:rsid w:val="0034771C"/>
    <w:rsid w:val="003477C1"/>
    <w:rsid w:val="0034782B"/>
    <w:rsid w:val="003479AB"/>
    <w:rsid w:val="00347C58"/>
    <w:rsid w:val="003501C5"/>
    <w:rsid w:val="003506A9"/>
    <w:rsid w:val="00350749"/>
    <w:rsid w:val="00350817"/>
    <w:rsid w:val="003508E5"/>
    <w:rsid w:val="00350B42"/>
    <w:rsid w:val="00350BBA"/>
    <w:rsid w:val="00350F8F"/>
    <w:rsid w:val="0035114E"/>
    <w:rsid w:val="0035130A"/>
    <w:rsid w:val="003514FE"/>
    <w:rsid w:val="0035158D"/>
    <w:rsid w:val="0035166A"/>
    <w:rsid w:val="00351823"/>
    <w:rsid w:val="0035189F"/>
    <w:rsid w:val="00351CFB"/>
    <w:rsid w:val="003524F9"/>
    <w:rsid w:val="003525DA"/>
    <w:rsid w:val="003526E3"/>
    <w:rsid w:val="00352759"/>
    <w:rsid w:val="003527B9"/>
    <w:rsid w:val="003528FE"/>
    <w:rsid w:val="00352963"/>
    <w:rsid w:val="00352A23"/>
    <w:rsid w:val="00352AD4"/>
    <w:rsid w:val="00352AFD"/>
    <w:rsid w:val="00352D38"/>
    <w:rsid w:val="003531BD"/>
    <w:rsid w:val="00353246"/>
    <w:rsid w:val="0035359B"/>
    <w:rsid w:val="0035363B"/>
    <w:rsid w:val="003536BA"/>
    <w:rsid w:val="00353B4B"/>
    <w:rsid w:val="003540EC"/>
    <w:rsid w:val="00354154"/>
    <w:rsid w:val="003541B4"/>
    <w:rsid w:val="00354266"/>
    <w:rsid w:val="0035429F"/>
    <w:rsid w:val="003542F7"/>
    <w:rsid w:val="0035452F"/>
    <w:rsid w:val="0035468F"/>
    <w:rsid w:val="003549AD"/>
    <w:rsid w:val="00354AE1"/>
    <w:rsid w:val="00354D1F"/>
    <w:rsid w:val="00355113"/>
    <w:rsid w:val="00355160"/>
    <w:rsid w:val="00355274"/>
    <w:rsid w:val="003554D4"/>
    <w:rsid w:val="00355614"/>
    <w:rsid w:val="003556D4"/>
    <w:rsid w:val="003559CC"/>
    <w:rsid w:val="00355B8E"/>
    <w:rsid w:val="00355E3C"/>
    <w:rsid w:val="00356156"/>
    <w:rsid w:val="0035632C"/>
    <w:rsid w:val="003564D3"/>
    <w:rsid w:val="0035674E"/>
    <w:rsid w:val="003567B2"/>
    <w:rsid w:val="003569D9"/>
    <w:rsid w:val="00356B46"/>
    <w:rsid w:val="00356C52"/>
    <w:rsid w:val="00356DB3"/>
    <w:rsid w:val="003570D2"/>
    <w:rsid w:val="003570F0"/>
    <w:rsid w:val="00357237"/>
    <w:rsid w:val="003576B8"/>
    <w:rsid w:val="0035777D"/>
    <w:rsid w:val="003577C6"/>
    <w:rsid w:val="00357804"/>
    <w:rsid w:val="00357807"/>
    <w:rsid w:val="0035799F"/>
    <w:rsid w:val="00357C0C"/>
    <w:rsid w:val="00357D34"/>
    <w:rsid w:val="00357F92"/>
    <w:rsid w:val="00360010"/>
    <w:rsid w:val="003602AA"/>
    <w:rsid w:val="003602D9"/>
    <w:rsid w:val="00360408"/>
    <w:rsid w:val="0036058E"/>
    <w:rsid w:val="0036064B"/>
    <w:rsid w:val="00360713"/>
    <w:rsid w:val="00360763"/>
    <w:rsid w:val="00360C1C"/>
    <w:rsid w:val="00360D2C"/>
    <w:rsid w:val="0036112D"/>
    <w:rsid w:val="00361376"/>
    <w:rsid w:val="0036142A"/>
    <w:rsid w:val="0036142C"/>
    <w:rsid w:val="00361437"/>
    <w:rsid w:val="00361674"/>
    <w:rsid w:val="003616A1"/>
    <w:rsid w:val="003616D6"/>
    <w:rsid w:val="003617C7"/>
    <w:rsid w:val="00361B06"/>
    <w:rsid w:val="00361C1E"/>
    <w:rsid w:val="00361C44"/>
    <w:rsid w:val="00361D10"/>
    <w:rsid w:val="00361FFA"/>
    <w:rsid w:val="003620B6"/>
    <w:rsid w:val="003621D8"/>
    <w:rsid w:val="00362233"/>
    <w:rsid w:val="00362277"/>
    <w:rsid w:val="00362379"/>
    <w:rsid w:val="003625FF"/>
    <w:rsid w:val="003626DF"/>
    <w:rsid w:val="00362869"/>
    <w:rsid w:val="00362A8B"/>
    <w:rsid w:val="00362D08"/>
    <w:rsid w:val="00362DB7"/>
    <w:rsid w:val="0036304F"/>
    <w:rsid w:val="003632DA"/>
    <w:rsid w:val="0036335E"/>
    <w:rsid w:val="00363528"/>
    <w:rsid w:val="00363682"/>
    <w:rsid w:val="00363841"/>
    <w:rsid w:val="0036387B"/>
    <w:rsid w:val="00363C0C"/>
    <w:rsid w:val="00363C18"/>
    <w:rsid w:val="00363C89"/>
    <w:rsid w:val="00363CDF"/>
    <w:rsid w:val="00363CE2"/>
    <w:rsid w:val="00364055"/>
    <w:rsid w:val="003640CC"/>
    <w:rsid w:val="00364243"/>
    <w:rsid w:val="0036434C"/>
    <w:rsid w:val="00364539"/>
    <w:rsid w:val="003646AD"/>
    <w:rsid w:val="0036479F"/>
    <w:rsid w:val="0036488F"/>
    <w:rsid w:val="00364AB3"/>
    <w:rsid w:val="00364AC1"/>
    <w:rsid w:val="00364ACB"/>
    <w:rsid w:val="00364BA0"/>
    <w:rsid w:val="00364BA5"/>
    <w:rsid w:val="00364DB6"/>
    <w:rsid w:val="00364E6A"/>
    <w:rsid w:val="00365130"/>
    <w:rsid w:val="00365193"/>
    <w:rsid w:val="0036520E"/>
    <w:rsid w:val="00365264"/>
    <w:rsid w:val="00365296"/>
    <w:rsid w:val="0036529B"/>
    <w:rsid w:val="003652CF"/>
    <w:rsid w:val="003653CB"/>
    <w:rsid w:val="00365557"/>
    <w:rsid w:val="00365603"/>
    <w:rsid w:val="003656C6"/>
    <w:rsid w:val="00365719"/>
    <w:rsid w:val="00365780"/>
    <w:rsid w:val="003657A2"/>
    <w:rsid w:val="00365A32"/>
    <w:rsid w:val="00365C6D"/>
    <w:rsid w:val="00365EAD"/>
    <w:rsid w:val="00365F1D"/>
    <w:rsid w:val="0036617D"/>
    <w:rsid w:val="00366410"/>
    <w:rsid w:val="00366667"/>
    <w:rsid w:val="00366696"/>
    <w:rsid w:val="003666AB"/>
    <w:rsid w:val="0036671B"/>
    <w:rsid w:val="00366754"/>
    <w:rsid w:val="0036683F"/>
    <w:rsid w:val="00366843"/>
    <w:rsid w:val="0036687F"/>
    <w:rsid w:val="003668D8"/>
    <w:rsid w:val="00366A23"/>
    <w:rsid w:val="00366C05"/>
    <w:rsid w:val="00366D7B"/>
    <w:rsid w:val="00366E74"/>
    <w:rsid w:val="0036721C"/>
    <w:rsid w:val="0036755A"/>
    <w:rsid w:val="003677DE"/>
    <w:rsid w:val="00367A65"/>
    <w:rsid w:val="00367CC3"/>
    <w:rsid w:val="00367F86"/>
    <w:rsid w:val="003701BB"/>
    <w:rsid w:val="0037024B"/>
    <w:rsid w:val="003702BA"/>
    <w:rsid w:val="00370325"/>
    <w:rsid w:val="0037054B"/>
    <w:rsid w:val="003707F8"/>
    <w:rsid w:val="003708D4"/>
    <w:rsid w:val="00370929"/>
    <w:rsid w:val="00370A2D"/>
    <w:rsid w:val="00370AE1"/>
    <w:rsid w:val="00370CAF"/>
    <w:rsid w:val="00370DB9"/>
    <w:rsid w:val="00370E60"/>
    <w:rsid w:val="00370F15"/>
    <w:rsid w:val="00370F39"/>
    <w:rsid w:val="00371314"/>
    <w:rsid w:val="00371316"/>
    <w:rsid w:val="00371352"/>
    <w:rsid w:val="00371393"/>
    <w:rsid w:val="003714DF"/>
    <w:rsid w:val="0037157D"/>
    <w:rsid w:val="00371785"/>
    <w:rsid w:val="00371993"/>
    <w:rsid w:val="003719DD"/>
    <w:rsid w:val="00371C6E"/>
    <w:rsid w:val="00371EAD"/>
    <w:rsid w:val="00372549"/>
    <w:rsid w:val="003726D0"/>
    <w:rsid w:val="003727DE"/>
    <w:rsid w:val="00372894"/>
    <w:rsid w:val="0037292A"/>
    <w:rsid w:val="00372986"/>
    <w:rsid w:val="003729C3"/>
    <w:rsid w:val="00372D8D"/>
    <w:rsid w:val="00372DE5"/>
    <w:rsid w:val="00372E7F"/>
    <w:rsid w:val="0037305A"/>
    <w:rsid w:val="0037321A"/>
    <w:rsid w:val="00373448"/>
    <w:rsid w:val="0037355F"/>
    <w:rsid w:val="0037360F"/>
    <w:rsid w:val="0037368E"/>
    <w:rsid w:val="0037374B"/>
    <w:rsid w:val="00373954"/>
    <w:rsid w:val="00373A1E"/>
    <w:rsid w:val="00373ADF"/>
    <w:rsid w:val="00373C90"/>
    <w:rsid w:val="00373CC2"/>
    <w:rsid w:val="00373D09"/>
    <w:rsid w:val="00373DF4"/>
    <w:rsid w:val="00374013"/>
    <w:rsid w:val="003740DC"/>
    <w:rsid w:val="003740F8"/>
    <w:rsid w:val="0037419F"/>
    <w:rsid w:val="0037427D"/>
    <w:rsid w:val="00374535"/>
    <w:rsid w:val="003745A7"/>
    <w:rsid w:val="0037469F"/>
    <w:rsid w:val="00374A68"/>
    <w:rsid w:val="00374B5B"/>
    <w:rsid w:val="00374EE3"/>
    <w:rsid w:val="00375110"/>
    <w:rsid w:val="00375436"/>
    <w:rsid w:val="0037568A"/>
    <w:rsid w:val="0037587C"/>
    <w:rsid w:val="003758FC"/>
    <w:rsid w:val="00375A4F"/>
    <w:rsid w:val="00375AE7"/>
    <w:rsid w:val="00375B15"/>
    <w:rsid w:val="00375B1F"/>
    <w:rsid w:val="00375C47"/>
    <w:rsid w:val="00375CFB"/>
    <w:rsid w:val="00375DC4"/>
    <w:rsid w:val="00375E59"/>
    <w:rsid w:val="0037600B"/>
    <w:rsid w:val="0037610C"/>
    <w:rsid w:val="003762A1"/>
    <w:rsid w:val="003762CA"/>
    <w:rsid w:val="0037643D"/>
    <w:rsid w:val="00376858"/>
    <w:rsid w:val="003768B4"/>
    <w:rsid w:val="003768FF"/>
    <w:rsid w:val="003769E6"/>
    <w:rsid w:val="00376B94"/>
    <w:rsid w:val="00376D18"/>
    <w:rsid w:val="0037701F"/>
    <w:rsid w:val="003770BD"/>
    <w:rsid w:val="00377145"/>
    <w:rsid w:val="003772DF"/>
    <w:rsid w:val="003773EC"/>
    <w:rsid w:val="0037744A"/>
    <w:rsid w:val="0037751F"/>
    <w:rsid w:val="00377694"/>
    <w:rsid w:val="003776E3"/>
    <w:rsid w:val="003777D5"/>
    <w:rsid w:val="003777E2"/>
    <w:rsid w:val="0037795B"/>
    <w:rsid w:val="0037799B"/>
    <w:rsid w:val="00377A4B"/>
    <w:rsid w:val="00377A5F"/>
    <w:rsid w:val="00377AC8"/>
    <w:rsid w:val="00377F1D"/>
    <w:rsid w:val="00377FC8"/>
    <w:rsid w:val="003800F4"/>
    <w:rsid w:val="00380310"/>
    <w:rsid w:val="0038045A"/>
    <w:rsid w:val="00380755"/>
    <w:rsid w:val="003808BD"/>
    <w:rsid w:val="003808FF"/>
    <w:rsid w:val="00380BA0"/>
    <w:rsid w:val="00380C7A"/>
    <w:rsid w:val="00380D84"/>
    <w:rsid w:val="00380DBB"/>
    <w:rsid w:val="00380EC7"/>
    <w:rsid w:val="003810DA"/>
    <w:rsid w:val="00381161"/>
    <w:rsid w:val="003812B4"/>
    <w:rsid w:val="00381359"/>
    <w:rsid w:val="00381479"/>
    <w:rsid w:val="0038149C"/>
    <w:rsid w:val="003814C8"/>
    <w:rsid w:val="00381752"/>
    <w:rsid w:val="003819CA"/>
    <w:rsid w:val="00381BF6"/>
    <w:rsid w:val="00381D15"/>
    <w:rsid w:val="00381D49"/>
    <w:rsid w:val="00381DC2"/>
    <w:rsid w:val="00381E7F"/>
    <w:rsid w:val="003822F5"/>
    <w:rsid w:val="003822FF"/>
    <w:rsid w:val="00382627"/>
    <w:rsid w:val="00382719"/>
    <w:rsid w:val="003827C9"/>
    <w:rsid w:val="00382842"/>
    <w:rsid w:val="003828E5"/>
    <w:rsid w:val="003829E6"/>
    <w:rsid w:val="00382C7E"/>
    <w:rsid w:val="00382DCF"/>
    <w:rsid w:val="00382FA2"/>
    <w:rsid w:val="00383275"/>
    <w:rsid w:val="003832A2"/>
    <w:rsid w:val="003834B0"/>
    <w:rsid w:val="003835C4"/>
    <w:rsid w:val="00383613"/>
    <w:rsid w:val="0038361D"/>
    <w:rsid w:val="0038380C"/>
    <w:rsid w:val="00383880"/>
    <w:rsid w:val="00383D20"/>
    <w:rsid w:val="003842C0"/>
    <w:rsid w:val="003844C7"/>
    <w:rsid w:val="0038465F"/>
    <w:rsid w:val="00384C31"/>
    <w:rsid w:val="00384CFE"/>
    <w:rsid w:val="00384D68"/>
    <w:rsid w:val="00384EFF"/>
    <w:rsid w:val="00384F62"/>
    <w:rsid w:val="00384FEA"/>
    <w:rsid w:val="00384FF9"/>
    <w:rsid w:val="00385011"/>
    <w:rsid w:val="003850EA"/>
    <w:rsid w:val="00385198"/>
    <w:rsid w:val="00385B82"/>
    <w:rsid w:val="00385BBE"/>
    <w:rsid w:val="00385C69"/>
    <w:rsid w:val="00385C70"/>
    <w:rsid w:val="00385D34"/>
    <w:rsid w:val="00386090"/>
    <w:rsid w:val="0038627C"/>
    <w:rsid w:val="0038637C"/>
    <w:rsid w:val="00386380"/>
    <w:rsid w:val="003863FA"/>
    <w:rsid w:val="00386633"/>
    <w:rsid w:val="003866B0"/>
    <w:rsid w:val="00386732"/>
    <w:rsid w:val="00386850"/>
    <w:rsid w:val="00386A90"/>
    <w:rsid w:val="00386BED"/>
    <w:rsid w:val="00386C13"/>
    <w:rsid w:val="00386E3E"/>
    <w:rsid w:val="00386EE4"/>
    <w:rsid w:val="00386FD3"/>
    <w:rsid w:val="00387006"/>
    <w:rsid w:val="0038710A"/>
    <w:rsid w:val="00387153"/>
    <w:rsid w:val="003871CC"/>
    <w:rsid w:val="003872EA"/>
    <w:rsid w:val="0038746D"/>
    <w:rsid w:val="0038753A"/>
    <w:rsid w:val="00387558"/>
    <w:rsid w:val="0038757B"/>
    <w:rsid w:val="00387922"/>
    <w:rsid w:val="00387969"/>
    <w:rsid w:val="00387E5B"/>
    <w:rsid w:val="0039002D"/>
    <w:rsid w:val="003903AC"/>
    <w:rsid w:val="003903D0"/>
    <w:rsid w:val="0039067D"/>
    <w:rsid w:val="003906A7"/>
    <w:rsid w:val="0039075A"/>
    <w:rsid w:val="00390AEF"/>
    <w:rsid w:val="00390BD7"/>
    <w:rsid w:val="00390D09"/>
    <w:rsid w:val="00390E22"/>
    <w:rsid w:val="00390E4B"/>
    <w:rsid w:val="00390E87"/>
    <w:rsid w:val="00390FC3"/>
    <w:rsid w:val="00390FCF"/>
    <w:rsid w:val="0039110A"/>
    <w:rsid w:val="0039114F"/>
    <w:rsid w:val="003912BB"/>
    <w:rsid w:val="003912EA"/>
    <w:rsid w:val="00391359"/>
    <w:rsid w:val="0039141E"/>
    <w:rsid w:val="00391439"/>
    <w:rsid w:val="0039150D"/>
    <w:rsid w:val="003915ED"/>
    <w:rsid w:val="0039178A"/>
    <w:rsid w:val="0039178C"/>
    <w:rsid w:val="003919B1"/>
    <w:rsid w:val="00391A91"/>
    <w:rsid w:val="00391B1F"/>
    <w:rsid w:val="00391DC1"/>
    <w:rsid w:val="00391F44"/>
    <w:rsid w:val="0039202A"/>
    <w:rsid w:val="0039214F"/>
    <w:rsid w:val="00392270"/>
    <w:rsid w:val="003922EB"/>
    <w:rsid w:val="0039263A"/>
    <w:rsid w:val="0039279F"/>
    <w:rsid w:val="0039288D"/>
    <w:rsid w:val="0039291E"/>
    <w:rsid w:val="00392C4B"/>
    <w:rsid w:val="00392D06"/>
    <w:rsid w:val="00392D63"/>
    <w:rsid w:val="00392F3E"/>
    <w:rsid w:val="0039319C"/>
    <w:rsid w:val="0039338D"/>
    <w:rsid w:val="003933F6"/>
    <w:rsid w:val="0039345E"/>
    <w:rsid w:val="0039355A"/>
    <w:rsid w:val="003936A9"/>
    <w:rsid w:val="003938DF"/>
    <w:rsid w:val="00393940"/>
    <w:rsid w:val="00393AB6"/>
    <w:rsid w:val="00393FD6"/>
    <w:rsid w:val="003944F8"/>
    <w:rsid w:val="00394811"/>
    <w:rsid w:val="003949FF"/>
    <w:rsid w:val="00394AAF"/>
    <w:rsid w:val="00394BA6"/>
    <w:rsid w:val="00394C56"/>
    <w:rsid w:val="00394C92"/>
    <w:rsid w:val="00394E42"/>
    <w:rsid w:val="00394F04"/>
    <w:rsid w:val="0039503F"/>
    <w:rsid w:val="003955D1"/>
    <w:rsid w:val="00395A70"/>
    <w:rsid w:val="00395A99"/>
    <w:rsid w:val="00395C39"/>
    <w:rsid w:val="00395FF4"/>
    <w:rsid w:val="00396140"/>
    <w:rsid w:val="003961CA"/>
    <w:rsid w:val="003961F9"/>
    <w:rsid w:val="00396360"/>
    <w:rsid w:val="00396390"/>
    <w:rsid w:val="0039662A"/>
    <w:rsid w:val="00396714"/>
    <w:rsid w:val="003967F3"/>
    <w:rsid w:val="00396B18"/>
    <w:rsid w:val="00396C64"/>
    <w:rsid w:val="00396D08"/>
    <w:rsid w:val="00396D93"/>
    <w:rsid w:val="003972FC"/>
    <w:rsid w:val="00397362"/>
    <w:rsid w:val="00397375"/>
    <w:rsid w:val="00397469"/>
    <w:rsid w:val="00397571"/>
    <w:rsid w:val="00397629"/>
    <w:rsid w:val="0039763D"/>
    <w:rsid w:val="00397A09"/>
    <w:rsid w:val="00397CAF"/>
    <w:rsid w:val="00397D3E"/>
    <w:rsid w:val="00397DE1"/>
    <w:rsid w:val="003A000F"/>
    <w:rsid w:val="003A0623"/>
    <w:rsid w:val="003A07B2"/>
    <w:rsid w:val="003A07CD"/>
    <w:rsid w:val="003A0851"/>
    <w:rsid w:val="003A094D"/>
    <w:rsid w:val="003A0ACA"/>
    <w:rsid w:val="003A0BAF"/>
    <w:rsid w:val="003A0C38"/>
    <w:rsid w:val="003A0E29"/>
    <w:rsid w:val="003A0F63"/>
    <w:rsid w:val="003A10E6"/>
    <w:rsid w:val="003A1427"/>
    <w:rsid w:val="003A1565"/>
    <w:rsid w:val="003A1675"/>
    <w:rsid w:val="003A1735"/>
    <w:rsid w:val="003A188E"/>
    <w:rsid w:val="003A197A"/>
    <w:rsid w:val="003A1A1A"/>
    <w:rsid w:val="003A1A7B"/>
    <w:rsid w:val="003A1B2E"/>
    <w:rsid w:val="003A1D08"/>
    <w:rsid w:val="003A1E47"/>
    <w:rsid w:val="003A1E65"/>
    <w:rsid w:val="003A1F8B"/>
    <w:rsid w:val="003A2430"/>
    <w:rsid w:val="003A2544"/>
    <w:rsid w:val="003A2556"/>
    <w:rsid w:val="003A264A"/>
    <w:rsid w:val="003A2800"/>
    <w:rsid w:val="003A29E4"/>
    <w:rsid w:val="003A2BBE"/>
    <w:rsid w:val="003A2CEE"/>
    <w:rsid w:val="003A3080"/>
    <w:rsid w:val="003A3222"/>
    <w:rsid w:val="003A32ED"/>
    <w:rsid w:val="003A3351"/>
    <w:rsid w:val="003A357F"/>
    <w:rsid w:val="003A365D"/>
    <w:rsid w:val="003A38D0"/>
    <w:rsid w:val="003A3A7A"/>
    <w:rsid w:val="003A3C13"/>
    <w:rsid w:val="003A3DAA"/>
    <w:rsid w:val="003A3DFF"/>
    <w:rsid w:val="003A406A"/>
    <w:rsid w:val="003A4125"/>
    <w:rsid w:val="003A44F1"/>
    <w:rsid w:val="003A47F5"/>
    <w:rsid w:val="003A4817"/>
    <w:rsid w:val="003A4851"/>
    <w:rsid w:val="003A5032"/>
    <w:rsid w:val="003A5072"/>
    <w:rsid w:val="003A5109"/>
    <w:rsid w:val="003A5227"/>
    <w:rsid w:val="003A5642"/>
    <w:rsid w:val="003A5785"/>
    <w:rsid w:val="003A58CE"/>
    <w:rsid w:val="003A5948"/>
    <w:rsid w:val="003A594E"/>
    <w:rsid w:val="003A5A49"/>
    <w:rsid w:val="003A5C06"/>
    <w:rsid w:val="003A5CEF"/>
    <w:rsid w:val="003A5F6D"/>
    <w:rsid w:val="003A5FDC"/>
    <w:rsid w:val="003A61C9"/>
    <w:rsid w:val="003A6670"/>
    <w:rsid w:val="003A66BF"/>
    <w:rsid w:val="003A6AA4"/>
    <w:rsid w:val="003A6ADA"/>
    <w:rsid w:val="003A6CDA"/>
    <w:rsid w:val="003A6ED8"/>
    <w:rsid w:val="003A6EF6"/>
    <w:rsid w:val="003A6FB7"/>
    <w:rsid w:val="003A7130"/>
    <w:rsid w:val="003A7132"/>
    <w:rsid w:val="003A729E"/>
    <w:rsid w:val="003A72DB"/>
    <w:rsid w:val="003A74C0"/>
    <w:rsid w:val="003A76EA"/>
    <w:rsid w:val="003A7893"/>
    <w:rsid w:val="003A78A9"/>
    <w:rsid w:val="003A79BF"/>
    <w:rsid w:val="003A7A0C"/>
    <w:rsid w:val="003A7BAF"/>
    <w:rsid w:val="003A7C26"/>
    <w:rsid w:val="003A7CC7"/>
    <w:rsid w:val="003A7EB5"/>
    <w:rsid w:val="003B0216"/>
    <w:rsid w:val="003B07A8"/>
    <w:rsid w:val="003B0880"/>
    <w:rsid w:val="003B0946"/>
    <w:rsid w:val="003B0A23"/>
    <w:rsid w:val="003B0A27"/>
    <w:rsid w:val="003B0A84"/>
    <w:rsid w:val="003B0B0B"/>
    <w:rsid w:val="003B0D72"/>
    <w:rsid w:val="003B0F7D"/>
    <w:rsid w:val="003B0FEA"/>
    <w:rsid w:val="003B1184"/>
    <w:rsid w:val="003B11AA"/>
    <w:rsid w:val="003B11EE"/>
    <w:rsid w:val="003B13E8"/>
    <w:rsid w:val="003B1557"/>
    <w:rsid w:val="003B15B4"/>
    <w:rsid w:val="003B17F3"/>
    <w:rsid w:val="003B1805"/>
    <w:rsid w:val="003B1895"/>
    <w:rsid w:val="003B1A4E"/>
    <w:rsid w:val="003B1B48"/>
    <w:rsid w:val="003B1CEF"/>
    <w:rsid w:val="003B1E50"/>
    <w:rsid w:val="003B1E70"/>
    <w:rsid w:val="003B1F19"/>
    <w:rsid w:val="003B20CA"/>
    <w:rsid w:val="003B221D"/>
    <w:rsid w:val="003B2291"/>
    <w:rsid w:val="003B250B"/>
    <w:rsid w:val="003B273F"/>
    <w:rsid w:val="003B27C1"/>
    <w:rsid w:val="003B28DE"/>
    <w:rsid w:val="003B2906"/>
    <w:rsid w:val="003B2A13"/>
    <w:rsid w:val="003B2A92"/>
    <w:rsid w:val="003B2BFC"/>
    <w:rsid w:val="003B2EEA"/>
    <w:rsid w:val="003B2F05"/>
    <w:rsid w:val="003B2FB5"/>
    <w:rsid w:val="003B305E"/>
    <w:rsid w:val="003B312C"/>
    <w:rsid w:val="003B3159"/>
    <w:rsid w:val="003B32A7"/>
    <w:rsid w:val="003B32B3"/>
    <w:rsid w:val="003B3506"/>
    <w:rsid w:val="003B36BC"/>
    <w:rsid w:val="003B382F"/>
    <w:rsid w:val="003B3B8C"/>
    <w:rsid w:val="003B3BDA"/>
    <w:rsid w:val="003B3F02"/>
    <w:rsid w:val="003B3FDE"/>
    <w:rsid w:val="003B4198"/>
    <w:rsid w:val="003B4215"/>
    <w:rsid w:val="003B439E"/>
    <w:rsid w:val="003B4487"/>
    <w:rsid w:val="003B44AC"/>
    <w:rsid w:val="003B4609"/>
    <w:rsid w:val="003B4792"/>
    <w:rsid w:val="003B4BD4"/>
    <w:rsid w:val="003B4BDB"/>
    <w:rsid w:val="003B4C8C"/>
    <w:rsid w:val="003B4D3D"/>
    <w:rsid w:val="003B4ED2"/>
    <w:rsid w:val="003B4F19"/>
    <w:rsid w:val="003B4F50"/>
    <w:rsid w:val="003B503C"/>
    <w:rsid w:val="003B557F"/>
    <w:rsid w:val="003B5583"/>
    <w:rsid w:val="003B5820"/>
    <w:rsid w:val="003B597D"/>
    <w:rsid w:val="003B5BA4"/>
    <w:rsid w:val="003B5C34"/>
    <w:rsid w:val="003B5EBA"/>
    <w:rsid w:val="003B603B"/>
    <w:rsid w:val="003B60FF"/>
    <w:rsid w:val="003B62D8"/>
    <w:rsid w:val="003B630E"/>
    <w:rsid w:val="003B63C4"/>
    <w:rsid w:val="003B660B"/>
    <w:rsid w:val="003B6727"/>
    <w:rsid w:val="003B6795"/>
    <w:rsid w:val="003B683E"/>
    <w:rsid w:val="003B686F"/>
    <w:rsid w:val="003B6890"/>
    <w:rsid w:val="003B6915"/>
    <w:rsid w:val="003B6950"/>
    <w:rsid w:val="003B6A92"/>
    <w:rsid w:val="003B6AB4"/>
    <w:rsid w:val="003B6BBC"/>
    <w:rsid w:val="003B6D3A"/>
    <w:rsid w:val="003B7028"/>
    <w:rsid w:val="003B7147"/>
    <w:rsid w:val="003B71BA"/>
    <w:rsid w:val="003B730A"/>
    <w:rsid w:val="003B7360"/>
    <w:rsid w:val="003B761D"/>
    <w:rsid w:val="003B76F5"/>
    <w:rsid w:val="003B77DB"/>
    <w:rsid w:val="003B789C"/>
    <w:rsid w:val="003B7910"/>
    <w:rsid w:val="003B7A76"/>
    <w:rsid w:val="003B7BC7"/>
    <w:rsid w:val="003B7C35"/>
    <w:rsid w:val="003B7D44"/>
    <w:rsid w:val="003C01D5"/>
    <w:rsid w:val="003C0261"/>
    <w:rsid w:val="003C050C"/>
    <w:rsid w:val="003C094F"/>
    <w:rsid w:val="003C103A"/>
    <w:rsid w:val="003C1181"/>
    <w:rsid w:val="003C14EC"/>
    <w:rsid w:val="003C17B6"/>
    <w:rsid w:val="003C18DF"/>
    <w:rsid w:val="003C1A2B"/>
    <w:rsid w:val="003C1B15"/>
    <w:rsid w:val="003C1BBA"/>
    <w:rsid w:val="003C1D2B"/>
    <w:rsid w:val="003C1F5A"/>
    <w:rsid w:val="003C1F75"/>
    <w:rsid w:val="003C1F86"/>
    <w:rsid w:val="003C2048"/>
    <w:rsid w:val="003C2110"/>
    <w:rsid w:val="003C2259"/>
    <w:rsid w:val="003C2271"/>
    <w:rsid w:val="003C2542"/>
    <w:rsid w:val="003C25A3"/>
    <w:rsid w:val="003C25D7"/>
    <w:rsid w:val="003C282C"/>
    <w:rsid w:val="003C2935"/>
    <w:rsid w:val="003C2A16"/>
    <w:rsid w:val="003C2A37"/>
    <w:rsid w:val="003C2A71"/>
    <w:rsid w:val="003C2AE0"/>
    <w:rsid w:val="003C2CF9"/>
    <w:rsid w:val="003C2E6B"/>
    <w:rsid w:val="003C30DA"/>
    <w:rsid w:val="003C3161"/>
    <w:rsid w:val="003C3290"/>
    <w:rsid w:val="003C3366"/>
    <w:rsid w:val="003C3448"/>
    <w:rsid w:val="003C34EE"/>
    <w:rsid w:val="003C3506"/>
    <w:rsid w:val="003C3635"/>
    <w:rsid w:val="003C37C3"/>
    <w:rsid w:val="003C37FA"/>
    <w:rsid w:val="003C381A"/>
    <w:rsid w:val="003C3A2C"/>
    <w:rsid w:val="003C3C6C"/>
    <w:rsid w:val="003C3CC7"/>
    <w:rsid w:val="003C416E"/>
    <w:rsid w:val="003C4344"/>
    <w:rsid w:val="003C46A5"/>
    <w:rsid w:val="003C4B0C"/>
    <w:rsid w:val="003C4B92"/>
    <w:rsid w:val="003C4C88"/>
    <w:rsid w:val="003C4D8E"/>
    <w:rsid w:val="003C4E4A"/>
    <w:rsid w:val="003C503D"/>
    <w:rsid w:val="003C50E7"/>
    <w:rsid w:val="003C5192"/>
    <w:rsid w:val="003C51D4"/>
    <w:rsid w:val="003C534B"/>
    <w:rsid w:val="003C567C"/>
    <w:rsid w:val="003C583F"/>
    <w:rsid w:val="003C5DDB"/>
    <w:rsid w:val="003C60A7"/>
    <w:rsid w:val="003C61B6"/>
    <w:rsid w:val="003C61D8"/>
    <w:rsid w:val="003C621C"/>
    <w:rsid w:val="003C622C"/>
    <w:rsid w:val="003C6379"/>
    <w:rsid w:val="003C6439"/>
    <w:rsid w:val="003C6572"/>
    <w:rsid w:val="003C65D4"/>
    <w:rsid w:val="003C67F6"/>
    <w:rsid w:val="003C6B51"/>
    <w:rsid w:val="003C6B58"/>
    <w:rsid w:val="003C6C5A"/>
    <w:rsid w:val="003C6D1B"/>
    <w:rsid w:val="003C6DB6"/>
    <w:rsid w:val="003C6E6A"/>
    <w:rsid w:val="003C6FD7"/>
    <w:rsid w:val="003C708A"/>
    <w:rsid w:val="003C720E"/>
    <w:rsid w:val="003C730B"/>
    <w:rsid w:val="003C751B"/>
    <w:rsid w:val="003C754B"/>
    <w:rsid w:val="003C7596"/>
    <w:rsid w:val="003C76E0"/>
    <w:rsid w:val="003C771C"/>
    <w:rsid w:val="003C7864"/>
    <w:rsid w:val="003C7957"/>
    <w:rsid w:val="003C79D0"/>
    <w:rsid w:val="003C7A4C"/>
    <w:rsid w:val="003C7D7C"/>
    <w:rsid w:val="003D005A"/>
    <w:rsid w:val="003D0076"/>
    <w:rsid w:val="003D00A8"/>
    <w:rsid w:val="003D00D7"/>
    <w:rsid w:val="003D00E2"/>
    <w:rsid w:val="003D0125"/>
    <w:rsid w:val="003D0187"/>
    <w:rsid w:val="003D019E"/>
    <w:rsid w:val="003D01B3"/>
    <w:rsid w:val="003D02F8"/>
    <w:rsid w:val="003D0385"/>
    <w:rsid w:val="003D056F"/>
    <w:rsid w:val="003D05D3"/>
    <w:rsid w:val="003D0643"/>
    <w:rsid w:val="003D0699"/>
    <w:rsid w:val="003D076C"/>
    <w:rsid w:val="003D096D"/>
    <w:rsid w:val="003D0AFC"/>
    <w:rsid w:val="003D0B06"/>
    <w:rsid w:val="003D0C58"/>
    <w:rsid w:val="003D0C6C"/>
    <w:rsid w:val="003D0D22"/>
    <w:rsid w:val="003D0E9A"/>
    <w:rsid w:val="003D137C"/>
    <w:rsid w:val="003D13B7"/>
    <w:rsid w:val="003D178E"/>
    <w:rsid w:val="003D18A7"/>
    <w:rsid w:val="003D1B66"/>
    <w:rsid w:val="003D1BD9"/>
    <w:rsid w:val="003D1BF6"/>
    <w:rsid w:val="003D1D3D"/>
    <w:rsid w:val="003D1D90"/>
    <w:rsid w:val="003D2034"/>
    <w:rsid w:val="003D2117"/>
    <w:rsid w:val="003D22E7"/>
    <w:rsid w:val="003D23F6"/>
    <w:rsid w:val="003D2565"/>
    <w:rsid w:val="003D26C7"/>
    <w:rsid w:val="003D2768"/>
    <w:rsid w:val="003D28DB"/>
    <w:rsid w:val="003D291A"/>
    <w:rsid w:val="003D2985"/>
    <w:rsid w:val="003D2C92"/>
    <w:rsid w:val="003D3028"/>
    <w:rsid w:val="003D3337"/>
    <w:rsid w:val="003D343F"/>
    <w:rsid w:val="003D39C5"/>
    <w:rsid w:val="003D3A9C"/>
    <w:rsid w:val="003D3DF8"/>
    <w:rsid w:val="003D409A"/>
    <w:rsid w:val="003D4164"/>
    <w:rsid w:val="003D4176"/>
    <w:rsid w:val="003D419F"/>
    <w:rsid w:val="003D41DF"/>
    <w:rsid w:val="003D42C5"/>
    <w:rsid w:val="003D42DB"/>
    <w:rsid w:val="003D45D6"/>
    <w:rsid w:val="003D49E4"/>
    <w:rsid w:val="003D4C79"/>
    <w:rsid w:val="003D4F23"/>
    <w:rsid w:val="003D5091"/>
    <w:rsid w:val="003D5109"/>
    <w:rsid w:val="003D5203"/>
    <w:rsid w:val="003D54D2"/>
    <w:rsid w:val="003D55C2"/>
    <w:rsid w:val="003D5B4F"/>
    <w:rsid w:val="003D5E1D"/>
    <w:rsid w:val="003D5EF9"/>
    <w:rsid w:val="003D6096"/>
    <w:rsid w:val="003D60E2"/>
    <w:rsid w:val="003D60E3"/>
    <w:rsid w:val="003D63D5"/>
    <w:rsid w:val="003D646A"/>
    <w:rsid w:val="003D64AF"/>
    <w:rsid w:val="003D667C"/>
    <w:rsid w:val="003D6750"/>
    <w:rsid w:val="003D6A73"/>
    <w:rsid w:val="003D6D40"/>
    <w:rsid w:val="003D6D77"/>
    <w:rsid w:val="003D6E0F"/>
    <w:rsid w:val="003D6E97"/>
    <w:rsid w:val="003D7008"/>
    <w:rsid w:val="003D70BC"/>
    <w:rsid w:val="003D7162"/>
    <w:rsid w:val="003D7212"/>
    <w:rsid w:val="003D76E3"/>
    <w:rsid w:val="003D7857"/>
    <w:rsid w:val="003D7B2A"/>
    <w:rsid w:val="003D7D17"/>
    <w:rsid w:val="003D7D77"/>
    <w:rsid w:val="003D7F14"/>
    <w:rsid w:val="003D7F9F"/>
    <w:rsid w:val="003E00B0"/>
    <w:rsid w:val="003E01C9"/>
    <w:rsid w:val="003E07F5"/>
    <w:rsid w:val="003E0824"/>
    <w:rsid w:val="003E085E"/>
    <w:rsid w:val="003E0A17"/>
    <w:rsid w:val="003E0A93"/>
    <w:rsid w:val="003E0AE0"/>
    <w:rsid w:val="003E0C7A"/>
    <w:rsid w:val="003E0C82"/>
    <w:rsid w:val="003E0D07"/>
    <w:rsid w:val="003E1096"/>
    <w:rsid w:val="003E12A2"/>
    <w:rsid w:val="003E1352"/>
    <w:rsid w:val="003E13A7"/>
    <w:rsid w:val="003E153B"/>
    <w:rsid w:val="003E1A22"/>
    <w:rsid w:val="003E1D71"/>
    <w:rsid w:val="003E1D92"/>
    <w:rsid w:val="003E1DAC"/>
    <w:rsid w:val="003E1F2B"/>
    <w:rsid w:val="003E203F"/>
    <w:rsid w:val="003E212A"/>
    <w:rsid w:val="003E2196"/>
    <w:rsid w:val="003E223B"/>
    <w:rsid w:val="003E2339"/>
    <w:rsid w:val="003E247B"/>
    <w:rsid w:val="003E2916"/>
    <w:rsid w:val="003E2E4F"/>
    <w:rsid w:val="003E362A"/>
    <w:rsid w:val="003E3DF5"/>
    <w:rsid w:val="003E3F14"/>
    <w:rsid w:val="003E3FC1"/>
    <w:rsid w:val="003E4000"/>
    <w:rsid w:val="003E42B3"/>
    <w:rsid w:val="003E43D7"/>
    <w:rsid w:val="003E4448"/>
    <w:rsid w:val="003E44C0"/>
    <w:rsid w:val="003E45D9"/>
    <w:rsid w:val="003E4953"/>
    <w:rsid w:val="003E4A5F"/>
    <w:rsid w:val="003E4C18"/>
    <w:rsid w:val="003E4D64"/>
    <w:rsid w:val="003E50E0"/>
    <w:rsid w:val="003E51A5"/>
    <w:rsid w:val="003E52A9"/>
    <w:rsid w:val="003E544D"/>
    <w:rsid w:val="003E5549"/>
    <w:rsid w:val="003E56AF"/>
    <w:rsid w:val="003E56B1"/>
    <w:rsid w:val="003E583C"/>
    <w:rsid w:val="003E5A89"/>
    <w:rsid w:val="003E5CEA"/>
    <w:rsid w:val="003E5D96"/>
    <w:rsid w:val="003E5E0B"/>
    <w:rsid w:val="003E5EE4"/>
    <w:rsid w:val="003E60C7"/>
    <w:rsid w:val="003E6158"/>
    <w:rsid w:val="003E61CF"/>
    <w:rsid w:val="003E624B"/>
    <w:rsid w:val="003E636F"/>
    <w:rsid w:val="003E68B9"/>
    <w:rsid w:val="003E6926"/>
    <w:rsid w:val="003E6B00"/>
    <w:rsid w:val="003E6B27"/>
    <w:rsid w:val="003E6C66"/>
    <w:rsid w:val="003E6F35"/>
    <w:rsid w:val="003E70CC"/>
    <w:rsid w:val="003E7183"/>
    <w:rsid w:val="003E7205"/>
    <w:rsid w:val="003E74B5"/>
    <w:rsid w:val="003E75D7"/>
    <w:rsid w:val="003E789D"/>
    <w:rsid w:val="003E7A8C"/>
    <w:rsid w:val="003F0184"/>
    <w:rsid w:val="003F01DD"/>
    <w:rsid w:val="003F03B4"/>
    <w:rsid w:val="003F042A"/>
    <w:rsid w:val="003F0711"/>
    <w:rsid w:val="003F0791"/>
    <w:rsid w:val="003F09A6"/>
    <w:rsid w:val="003F0E1B"/>
    <w:rsid w:val="003F0EB2"/>
    <w:rsid w:val="003F126E"/>
    <w:rsid w:val="003F1373"/>
    <w:rsid w:val="003F1466"/>
    <w:rsid w:val="003F1494"/>
    <w:rsid w:val="003F1546"/>
    <w:rsid w:val="003F156E"/>
    <w:rsid w:val="003F1633"/>
    <w:rsid w:val="003F174F"/>
    <w:rsid w:val="003F17D1"/>
    <w:rsid w:val="003F1855"/>
    <w:rsid w:val="003F1919"/>
    <w:rsid w:val="003F1AF7"/>
    <w:rsid w:val="003F1DC3"/>
    <w:rsid w:val="003F1F9C"/>
    <w:rsid w:val="003F2144"/>
    <w:rsid w:val="003F2553"/>
    <w:rsid w:val="003F2562"/>
    <w:rsid w:val="003F25AC"/>
    <w:rsid w:val="003F25C6"/>
    <w:rsid w:val="003F25F4"/>
    <w:rsid w:val="003F26D1"/>
    <w:rsid w:val="003F2814"/>
    <w:rsid w:val="003F2898"/>
    <w:rsid w:val="003F2934"/>
    <w:rsid w:val="003F2CB2"/>
    <w:rsid w:val="003F2E9F"/>
    <w:rsid w:val="003F30A8"/>
    <w:rsid w:val="003F3132"/>
    <w:rsid w:val="003F33A4"/>
    <w:rsid w:val="003F3464"/>
    <w:rsid w:val="003F34CF"/>
    <w:rsid w:val="003F35CD"/>
    <w:rsid w:val="003F378B"/>
    <w:rsid w:val="003F38FF"/>
    <w:rsid w:val="003F3BFB"/>
    <w:rsid w:val="003F3CE3"/>
    <w:rsid w:val="003F3E77"/>
    <w:rsid w:val="003F3EB9"/>
    <w:rsid w:val="003F4029"/>
    <w:rsid w:val="003F411A"/>
    <w:rsid w:val="003F431E"/>
    <w:rsid w:val="003F448C"/>
    <w:rsid w:val="003F44CE"/>
    <w:rsid w:val="003F45DE"/>
    <w:rsid w:val="003F46A1"/>
    <w:rsid w:val="003F4C1C"/>
    <w:rsid w:val="003F4CCB"/>
    <w:rsid w:val="003F4E81"/>
    <w:rsid w:val="003F4F53"/>
    <w:rsid w:val="003F4FC9"/>
    <w:rsid w:val="003F4FCB"/>
    <w:rsid w:val="003F5092"/>
    <w:rsid w:val="003F5159"/>
    <w:rsid w:val="003F53DC"/>
    <w:rsid w:val="003F54C9"/>
    <w:rsid w:val="003F565E"/>
    <w:rsid w:val="003F5709"/>
    <w:rsid w:val="003F580F"/>
    <w:rsid w:val="003F595B"/>
    <w:rsid w:val="003F5966"/>
    <w:rsid w:val="003F5A45"/>
    <w:rsid w:val="003F5C1F"/>
    <w:rsid w:val="003F5CF0"/>
    <w:rsid w:val="003F5D23"/>
    <w:rsid w:val="003F5E89"/>
    <w:rsid w:val="003F60B2"/>
    <w:rsid w:val="003F610E"/>
    <w:rsid w:val="003F630E"/>
    <w:rsid w:val="003F63DA"/>
    <w:rsid w:val="003F63EA"/>
    <w:rsid w:val="003F657B"/>
    <w:rsid w:val="003F65B4"/>
    <w:rsid w:val="003F67CB"/>
    <w:rsid w:val="003F6819"/>
    <w:rsid w:val="003F69AD"/>
    <w:rsid w:val="003F6B11"/>
    <w:rsid w:val="003F6BA2"/>
    <w:rsid w:val="003F6C8C"/>
    <w:rsid w:val="003F6E62"/>
    <w:rsid w:val="003F6F1F"/>
    <w:rsid w:val="003F6FFE"/>
    <w:rsid w:val="003F71E6"/>
    <w:rsid w:val="003F72D8"/>
    <w:rsid w:val="003F73A7"/>
    <w:rsid w:val="003F73C3"/>
    <w:rsid w:val="003F73E8"/>
    <w:rsid w:val="003F7570"/>
    <w:rsid w:val="003F76A4"/>
    <w:rsid w:val="003F788C"/>
    <w:rsid w:val="003F7A2E"/>
    <w:rsid w:val="003F7A7E"/>
    <w:rsid w:val="003F7EB7"/>
    <w:rsid w:val="003F7F1A"/>
    <w:rsid w:val="003F7F34"/>
    <w:rsid w:val="003F7FD0"/>
    <w:rsid w:val="00400195"/>
    <w:rsid w:val="004001F4"/>
    <w:rsid w:val="004002D1"/>
    <w:rsid w:val="00400529"/>
    <w:rsid w:val="004005CA"/>
    <w:rsid w:val="004005F1"/>
    <w:rsid w:val="0040072F"/>
    <w:rsid w:val="00400827"/>
    <w:rsid w:val="004009EF"/>
    <w:rsid w:val="00400A2A"/>
    <w:rsid w:val="00400E86"/>
    <w:rsid w:val="00400FB2"/>
    <w:rsid w:val="00401093"/>
    <w:rsid w:val="004013E0"/>
    <w:rsid w:val="004016D7"/>
    <w:rsid w:val="00401A20"/>
    <w:rsid w:val="00401ACA"/>
    <w:rsid w:val="00401D18"/>
    <w:rsid w:val="00401FA5"/>
    <w:rsid w:val="00401FDB"/>
    <w:rsid w:val="00402136"/>
    <w:rsid w:val="00402183"/>
    <w:rsid w:val="004022A2"/>
    <w:rsid w:val="004022BD"/>
    <w:rsid w:val="0040249F"/>
    <w:rsid w:val="004026D5"/>
    <w:rsid w:val="004027BE"/>
    <w:rsid w:val="004027CA"/>
    <w:rsid w:val="00402834"/>
    <w:rsid w:val="004028AD"/>
    <w:rsid w:val="00402951"/>
    <w:rsid w:val="00402C41"/>
    <w:rsid w:val="00402E92"/>
    <w:rsid w:val="00402EE1"/>
    <w:rsid w:val="004030A4"/>
    <w:rsid w:val="004031A8"/>
    <w:rsid w:val="00403293"/>
    <w:rsid w:val="004035BC"/>
    <w:rsid w:val="0040378A"/>
    <w:rsid w:val="00403B35"/>
    <w:rsid w:val="00403FF0"/>
    <w:rsid w:val="0040415A"/>
    <w:rsid w:val="00404240"/>
    <w:rsid w:val="00404515"/>
    <w:rsid w:val="0040452D"/>
    <w:rsid w:val="00404596"/>
    <w:rsid w:val="00404733"/>
    <w:rsid w:val="00404B01"/>
    <w:rsid w:val="00404B94"/>
    <w:rsid w:val="00404C99"/>
    <w:rsid w:val="00404EFA"/>
    <w:rsid w:val="0040507A"/>
    <w:rsid w:val="004050B5"/>
    <w:rsid w:val="004050DD"/>
    <w:rsid w:val="0040544F"/>
    <w:rsid w:val="004054DA"/>
    <w:rsid w:val="00405A76"/>
    <w:rsid w:val="00405B17"/>
    <w:rsid w:val="00405D0D"/>
    <w:rsid w:val="00405E11"/>
    <w:rsid w:val="0040600F"/>
    <w:rsid w:val="004060C8"/>
    <w:rsid w:val="00406103"/>
    <w:rsid w:val="004061B1"/>
    <w:rsid w:val="00406290"/>
    <w:rsid w:val="00406644"/>
    <w:rsid w:val="004066DF"/>
    <w:rsid w:val="00406AED"/>
    <w:rsid w:val="00406C7F"/>
    <w:rsid w:val="00406D36"/>
    <w:rsid w:val="00406FEC"/>
    <w:rsid w:val="0040714B"/>
    <w:rsid w:val="004072B2"/>
    <w:rsid w:val="004073C0"/>
    <w:rsid w:val="004075FF"/>
    <w:rsid w:val="00407606"/>
    <w:rsid w:val="00407877"/>
    <w:rsid w:val="0040790E"/>
    <w:rsid w:val="00407B88"/>
    <w:rsid w:val="00410082"/>
    <w:rsid w:val="004100A4"/>
    <w:rsid w:val="0041018E"/>
    <w:rsid w:val="0041099D"/>
    <w:rsid w:val="00410C8A"/>
    <w:rsid w:val="00410CD2"/>
    <w:rsid w:val="0041119A"/>
    <w:rsid w:val="004111B6"/>
    <w:rsid w:val="004111F4"/>
    <w:rsid w:val="00411238"/>
    <w:rsid w:val="00411381"/>
    <w:rsid w:val="004113B1"/>
    <w:rsid w:val="00411433"/>
    <w:rsid w:val="00411492"/>
    <w:rsid w:val="0041174C"/>
    <w:rsid w:val="00411772"/>
    <w:rsid w:val="00411B74"/>
    <w:rsid w:val="00411DDF"/>
    <w:rsid w:val="00411E00"/>
    <w:rsid w:val="00411E7C"/>
    <w:rsid w:val="00411F84"/>
    <w:rsid w:val="00411FAF"/>
    <w:rsid w:val="00412093"/>
    <w:rsid w:val="0041236B"/>
    <w:rsid w:val="0041257D"/>
    <w:rsid w:val="0041280B"/>
    <w:rsid w:val="00412B49"/>
    <w:rsid w:val="00412C00"/>
    <w:rsid w:val="00412DA7"/>
    <w:rsid w:val="00412E47"/>
    <w:rsid w:val="00413090"/>
    <w:rsid w:val="004130AF"/>
    <w:rsid w:val="0041312D"/>
    <w:rsid w:val="004131FF"/>
    <w:rsid w:val="00413644"/>
    <w:rsid w:val="004136E6"/>
    <w:rsid w:val="00413777"/>
    <w:rsid w:val="004137B8"/>
    <w:rsid w:val="004137F6"/>
    <w:rsid w:val="004138AD"/>
    <w:rsid w:val="00413AAA"/>
    <w:rsid w:val="00413BAE"/>
    <w:rsid w:val="00413D2D"/>
    <w:rsid w:val="00413EDF"/>
    <w:rsid w:val="00414254"/>
    <w:rsid w:val="00414443"/>
    <w:rsid w:val="00414685"/>
    <w:rsid w:val="004146DE"/>
    <w:rsid w:val="0041480F"/>
    <w:rsid w:val="00414852"/>
    <w:rsid w:val="004148E9"/>
    <w:rsid w:val="0041497D"/>
    <w:rsid w:val="00414B28"/>
    <w:rsid w:val="00414CD0"/>
    <w:rsid w:val="00414D38"/>
    <w:rsid w:val="00414DE3"/>
    <w:rsid w:val="0041507A"/>
    <w:rsid w:val="0041520B"/>
    <w:rsid w:val="0041527B"/>
    <w:rsid w:val="004152D2"/>
    <w:rsid w:val="0041561D"/>
    <w:rsid w:val="00415624"/>
    <w:rsid w:val="004158F1"/>
    <w:rsid w:val="00415997"/>
    <w:rsid w:val="00415A71"/>
    <w:rsid w:val="00415E23"/>
    <w:rsid w:val="00415ED8"/>
    <w:rsid w:val="00415EDD"/>
    <w:rsid w:val="004161BB"/>
    <w:rsid w:val="004164C8"/>
    <w:rsid w:val="004166EF"/>
    <w:rsid w:val="00416984"/>
    <w:rsid w:val="00416DA1"/>
    <w:rsid w:val="00416DE0"/>
    <w:rsid w:val="004171A7"/>
    <w:rsid w:val="00417287"/>
    <w:rsid w:val="00417398"/>
    <w:rsid w:val="00417550"/>
    <w:rsid w:val="004177F3"/>
    <w:rsid w:val="00417B31"/>
    <w:rsid w:val="00417DBB"/>
    <w:rsid w:val="00417F36"/>
    <w:rsid w:val="0042003D"/>
    <w:rsid w:val="00420052"/>
    <w:rsid w:val="004200F4"/>
    <w:rsid w:val="004202A8"/>
    <w:rsid w:val="00420397"/>
    <w:rsid w:val="0042052F"/>
    <w:rsid w:val="00420550"/>
    <w:rsid w:val="004207E5"/>
    <w:rsid w:val="00420956"/>
    <w:rsid w:val="00420AC1"/>
    <w:rsid w:val="00420C81"/>
    <w:rsid w:val="00420ED1"/>
    <w:rsid w:val="00420EE2"/>
    <w:rsid w:val="00420F2B"/>
    <w:rsid w:val="00420F42"/>
    <w:rsid w:val="0042102B"/>
    <w:rsid w:val="00421041"/>
    <w:rsid w:val="00421043"/>
    <w:rsid w:val="00421241"/>
    <w:rsid w:val="0042135A"/>
    <w:rsid w:val="00421382"/>
    <w:rsid w:val="00421507"/>
    <w:rsid w:val="00421773"/>
    <w:rsid w:val="00421CE5"/>
    <w:rsid w:val="00421F00"/>
    <w:rsid w:val="00421F10"/>
    <w:rsid w:val="00422252"/>
    <w:rsid w:val="004222EC"/>
    <w:rsid w:val="004223EE"/>
    <w:rsid w:val="0042246D"/>
    <w:rsid w:val="004225EB"/>
    <w:rsid w:val="00422CF8"/>
    <w:rsid w:val="00422E91"/>
    <w:rsid w:val="00423029"/>
    <w:rsid w:val="004232CC"/>
    <w:rsid w:val="00423736"/>
    <w:rsid w:val="0042375E"/>
    <w:rsid w:val="00423785"/>
    <w:rsid w:val="00423C1F"/>
    <w:rsid w:val="00423C39"/>
    <w:rsid w:val="00423F5B"/>
    <w:rsid w:val="00423F5E"/>
    <w:rsid w:val="00423F60"/>
    <w:rsid w:val="00424097"/>
    <w:rsid w:val="00424210"/>
    <w:rsid w:val="0042437A"/>
    <w:rsid w:val="00424403"/>
    <w:rsid w:val="00424439"/>
    <w:rsid w:val="004246DD"/>
    <w:rsid w:val="004247B1"/>
    <w:rsid w:val="004247FA"/>
    <w:rsid w:val="00424952"/>
    <w:rsid w:val="00424A63"/>
    <w:rsid w:val="00424B25"/>
    <w:rsid w:val="00424E9A"/>
    <w:rsid w:val="00424EE8"/>
    <w:rsid w:val="00424F76"/>
    <w:rsid w:val="00424FD3"/>
    <w:rsid w:val="004251C5"/>
    <w:rsid w:val="0042533D"/>
    <w:rsid w:val="004254CB"/>
    <w:rsid w:val="00425707"/>
    <w:rsid w:val="004257C5"/>
    <w:rsid w:val="0042588F"/>
    <w:rsid w:val="00425A35"/>
    <w:rsid w:val="00425ABD"/>
    <w:rsid w:val="00425AFF"/>
    <w:rsid w:val="00425C12"/>
    <w:rsid w:val="00425CAE"/>
    <w:rsid w:val="00425DEE"/>
    <w:rsid w:val="00425FB2"/>
    <w:rsid w:val="00426097"/>
    <w:rsid w:val="0042618B"/>
    <w:rsid w:val="00426256"/>
    <w:rsid w:val="004262AD"/>
    <w:rsid w:val="00426302"/>
    <w:rsid w:val="00426359"/>
    <w:rsid w:val="00426500"/>
    <w:rsid w:val="00426784"/>
    <w:rsid w:val="004267EB"/>
    <w:rsid w:val="0042686D"/>
    <w:rsid w:val="004268CA"/>
    <w:rsid w:val="00426975"/>
    <w:rsid w:val="00426C60"/>
    <w:rsid w:val="00426CD2"/>
    <w:rsid w:val="00426F4C"/>
    <w:rsid w:val="004274C5"/>
    <w:rsid w:val="004277F2"/>
    <w:rsid w:val="004278E4"/>
    <w:rsid w:val="004278EF"/>
    <w:rsid w:val="00427AF0"/>
    <w:rsid w:val="00427BB5"/>
    <w:rsid w:val="00427E3D"/>
    <w:rsid w:val="004300A8"/>
    <w:rsid w:val="00430195"/>
    <w:rsid w:val="00430305"/>
    <w:rsid w:val="00430396"/>
    <w:rsid w:val="004303BE"/>
    <w:rsid w:val="0043046B"/>
    <w:rsid w:val="004304F7"/>
    <w:rsid w:val="0043054A"/>
    <w:rsid w:val="00430685"/>
    <w:rsid w:val="00430793"/>
    <w:rsid w:val="0043097E"/>
    <w:rsid w:val="00430989"/>
    <w:rsid w:val="00430AF8"/>
    <w:rsid w:val="00430C12"/>
    <w:rsid w:val="00430C59"/>
    <w:rsid w:val="0043102F"/>
    <w:rsid w:val="004312B8"/>
    <w:rsid w:val="004312F5"/>
    <w:rsid w:val="0043168E"/>
    <w:rsid w:val="0043177D"/>
    <w:rsid w:val="004318B8"/>
    <w:rsid w:val="004318F8"/>
    <w:rsid w:val="00431A33"/>
    <w:rsid w:val="00431BF5"/>
    <w:rsid w:val="00431C54"/>
    <w:rsid w:val="00431DAF"/>
    <w:rsid w:val="004323CE"/>
    <w:rsid w:val="0043244E"/>
    <w:rsid w:val="004324E9"/>
    <w:rsid w:val="00432588"/>
    <w:rsid w:val="004325DF"/>
    <w:rsid w:val="0043264A"/>
    <w:rsid w:val="00432657"/>
    <w:rsid w:val="00432664"/>
    <w:rsid w:val="004327B6"/>
    <w:rsid w:val="004328AF"/>
    <w:rsid w:val="00432C53"/>
    <w:rsid w:val="00432CC9"/>
    <w:rsid w:val="00432D18"/>
    <w:rsid w:val="00432E48"/>
    <w:rsid w:val="00432F60"/>
    <w:rsid w:val="00432F70"/>
    <w:rsid w:val="00432F79"/>
    <w:rsid w:val="004330C7"/>
    <w:rsid w:val="004331BF"/>
    <w:rsid w:val="004333CE"/>
    <w:rsid w:val="0043342C"/>
    <w:rsid w:val="00433476"/>
    <w:rsid w:val="004335B3"/>
    <w:rsid w:val="004339AB"/>
    <w:rsid w:val="00433A18"/>
    <w:rsid w:val="00433D6B"/>
    <w:rsid w:val="0043419B"/>
    <w:rsid w:val="004341DC"/>
    <w:rsid w:val="004342E4"/>
    <w:rsid w:val="0043433C"/>
    <w:rsid w:val="00434723"/>
    <w:rsid w:val="004347FF"/>
    <w:rsid w:val="004349B3"/>
    <w:rsid w:val="004349F1"/>
    <w:rsid w:val="00434BF4"/>
    <w:rsid w:val="00434C2D"/>
    <w:rsid w:val="00434D62"/>
    <w:rsid w:val="00434D6C"/>
    <w:rsid w:val="00434D83"/>
    <w:rsid w:val="00435166"/>
    <w:rsid w:val="0043525B"/>
    <w:rsid w:val="00435524"/>
    <w:rsid w:val="0043564C"/>
    <w:rsid w:val="0043568D"/>
    <w:rsid w:val="004357E7"/>
    <w:rsid w:val="0043592E"/>
    <w:rsid w:val="00435AC4"/>
    <w:rsid w:val="00435C62"/>
    <w:rsid w:val="00435E7C"/>
    <w:rsid w:val="00435FE2"/>
    <w:rsid w:val="004362EC"/>
    <w:rsid w:val="0043643E"/>
    <w:rsid w:val="00436564"/>
    <w:rsid w:val="004365AE"/>
    <w:rsid w:val="0043677E"/>
    <w:rsid w:val="00436A04"/>
    <w:rsid w:val="00436CB2"/>
    <w:rsid w:val="00436E64"/>
    <w:rsid w:val="00436EFB"/>
    <w:rsid w:val="00436FB5"/>
    <w:rsid w:val="004372A4"/>
    <w:rsid w:val="00437436"/>
    <w:rsid w:val="0043764E"/>
    <w:rsid w:val="0043780F"/>
    <w:rsid w:val="00437E16"/>
    <w:rsid w:val="00440076"/>
    <w:rsid w:val="004401AF"/>
    <w:rsid w:val="0044033F"/>
    <w:rsid w:val="00440367"/>
    <w:rsid w:val="00440417"/>
    <w:rsid w:val="00440503"/>
    <w:rsid w:val="00440742"/>
    <w:rsid w:val="00440771"/>
    <w:rsid w:val="004408C4"/>
    <w:rsid w:val="00440A72"/>
    <w:rsid w:val="00440C72"/>
    <w:rsid w:val="00440CA7"/>
    <w:rsid w:val="00441051"/>
    <w:rsid w:val="00441078"/>
    <w:rsid w:val="004412D2"/>
    <w:rsid w:val="004413B1"/>
    <w:rsid w:val="00441572"/>
    <w:rsid w:val="00441B4C"/>
    <w:rsid w:val="00441CAD"/>
    <w:rsid w:val="0044202D"/>
    <w:rsid w:val="00442049"/>
    <w:rsid w:val="00442064"/>
    <w:rsid w:val="00442066"/>
    <w:rsid w:val="0044224F"/>
    <w:rsid w:val="00442292"/>
    <w:rsid w:val="00442456"/>
    <w:rsid w:val="0044246E"/>
    <w:rsid w:val="0044248E"/>
    <w:rsid w:val="00442818"/>
    <w:rsid w:val="004428A3"/>
    <w:rsid w:val="004428B3"/>
    <w:rsid w:val="004429D1"/>
    <w:rsid w:val="004429F9"/>
    <w:rsid w:val="00442B92"/>
    <w:rsid w:val="00442BB4"/>
    <w:rsid w:val="00442CC9"/>
    <w:rsid w:val="00442E8A"/>
    <w:rsid w:val="004430CC"/>
    <w:rsid w:val="004431D0"/>
    <w:rsid w:val="004433AF"/>
    <w:rsid w:val="004433F7"/>
    <w:rsid w:val="00443402"/>
    <w:rsid w:val="0044356B"/>
    <w:rsid w:val="00443987"/>
    <w:rsid w:val="00443B4E"/>
    <w:rsid w:val="00443BCF"/>
    <w:rsid w:val="00443CCA"/>
    <w:rsid w:val="00443EE0"/>
    <w:rsid w:val="00443F3C"/>
    <w:rsid w:val="00443F98"/>
    <w:rsid w:val="0044415A"/>
    <w:rsid w:val="004441F0"/>
    <w:rsid w:val="004443A8"/>
    <w:rsid w:val="0044452A"/>
    <w:rsid w:val="0044452B"/>
    <w:rsid w:val="00444616"/>
    <w:rsid w:val="004446B6"/>
    <w:rsid w:val="004446EB"/>
    <w:rsid w:val="00444735"/>
    <w:rsid w:val="004449E7"/>
    <w:rsid w:val="00444C2B"/>
    <w:rsid w:val="00444D20"/>
    <w:rsid w:val="00444F38"/>
    <w:rsid w:val="00444F6F"/>
    <w:rsid w:val="00444F7F"/>
    <w:rsid w:val="00445077"/>
    <w:rsid w:val="00445283"/>
    <w:rsid w:val="0044536E"/>
    <w:rsid w:val="00445688"/>
    <w:rsid w:val="00445B31"/>
    <w:rsid w:val="00445D52"/>
    <w:rsid w:val="00446146"/>
    <w:rsid w:val="004461D3"/>
    <w:rsid w:val="0044636D"/>
    <w:rsid w:val="00446377"/>
    <w:rsid w:val="00446405"/>
    <w:rsid w:val="0044646D"/>
    <w:rsid w:val="0044678D"/>
    <w:rsid w:val="00446892"/>
    <w:rsid w:val="00446F14"/>
    <w:rsid w:val="00446F35"/>
    <w:rsid w:val="00446FEE"/>
    <w:rsid w:val="0044708A"/>
    <w:rsid w:val="0044718D"/>
    <w:rsid w:val="004477F3"/>
    <w:rsid w:val="00447D5E"/>
    <w:rsid w:val="0045008A"/>
    <w:rsid w:val="004504D2"/>
    <w:rsid w:val="00450811"/>
    <w:rsid w:val="004509EB"/>
    <w:rsid w:val="00450B1B"/>
    <w:rsid w:val="00450B75"/>
    <w:rsid w:val="00451123"/>
    <w:rsid w:val="0045150D"/>
    <w:rsid w:val="004516B7"/>
    <w:rsid w:val="004516EF"/>
    <w:rsid w:val="0045186B"/>
    <w:rsid w:val="00451A71"/>
    <w:rsid w:val="00451D71"/>
    <w:rsid w:val="00451E7C"/>
    <w:rsid w:val="00451F7D"/>
    <w:rsid w:val="0045210B"/>
    <w:rsid w:val="004523A4"/>
    <w:rsid w:val="004524EA"/>
    <w:rsid w:val="0045257B"/>
    <w:rsid w:val="004529A0"/>
    <w:rsid w:val="00452A45"/>
    <w:rsid w:val="00452ADF"/>
    <w:rsid w:val="00452E66"/>
    <w:rsid w:val="00452EC3"/>
    <w:rsid w:val="00452F06"/>
    <w:rsid w:val="00452F50"/>
    <w:rsid w:val="00452FFD"/>
    <w:rsid w:val="00453125"/>
    <w:rsid w:val="004531E5"/>
    <w:rsid w:val="004532A5"/>
    <w:rsid w:val="004532DA"/>
    <w:rsid w:val="004536C8"/>
    <w:rsid w:val="00453852"/>
    <w:rsid w:val="00453B31"/>
    <w:rsid w:val="00453B83"/>
    <w:rsid w:val="00453CD9"/>
    <w:rsid w:val="0045451B"/>
    <w:rsid w:val="004546B4"/>
    <w:rsid w:val="004546BD"/>
    <w:rsid w:val="004546E8"/>
    <w:rsid w:val="00454777"/>
    <w:rsid w:val="00454962"/>
    <w:rsid w:val="004549F8"/>
    <w:rsid w:val="00454BD8"/>
    <w:rsid w:val="00454F49"/>
    <w:rsid w:val="004551A5"/>
    <w:rsid w:val="004554CE"/>
    <w:rsid w:val="0045573C"/>
    <w:rsid w:val="00455759"/>
    <w:rsid w:val="004557C0"/>
    <w:rsid w:val="00455A86"/>
    <w:rsid w:val="00455B2B"/>
    <w:rsid w:val="00455C65"/>
    <w:rsid w:val="00456027"/>
    <w:rsid w:val="00456399"/>
    <w:rsid w:val="004565E2"/>
    <w:rsid w:val="0045679D"/>
    <w:rsid w:val="00456A53"/>
    <w:rsid w:val="00456AF3"/>
    <w:rsid w:val="00456CA4"/>
    <w:rsid w:val="00456D6B"/>
    <w:rsid w:val="00456E66"/>
    <w:rsid w:val="00456E9A"/>
    <w:rsid w:val="00457272"/>
    <w:rsid w:val="004572EB"/>
    <w:rsid w:val="004574CF"/>
    <w:rsid w:val="00457519"/>
    <w:rsid w:val="004575E9"/>
    <w:rsid w:val="0045763F"/>
    <w:rsid w:val="004576B6"/>
    <w:rsid w:val="0045783E"/>
    <w:rsid w:val="0045786B"/>
    <w:rsid w:val="00457927"/>
    <w:rsid w:val="0045795C"/>
    <w:rsid w:val="00457C85"/>
    <w:rsid w:val="00457CDC"/>
    <w:rsid w:val="00457E75"/>
    <w:rsid w:val="00457F0A"/>
    <w:rsid w:val="00460042"/>
    <w:rsid w:val="00460406"/>
    <w:rsid w:val="00460455"/>
    <w:rsid w:val="0046068B"/>
    <w:rsid w:val="00460854"/>
    <w:rsid w:val="00460AF4"/>
    <w:rsid w:val="00460C84"/>
    <w:rsid w:val="00460E46"/>
    <w:rsid w:val="004612A4"/>
    <w:rsid w:val="00461335"/>
    <w:rsid w:val="0046137F"/>
    <w:rsid w:val="00461634"/>
    <w:rsid w:val="00461806"/>
    <w:rsid w:val="00461C05"/>
    <w:rsid w:val="00461E50"/>
    <w:rsid w:val="00462025"/>
    <w:rsid w:val="00462171"/>
    <w:rsid w:val="00462439"/>
    <w:rsid w:val="004624B2"/>
    <w:rsid w:val="004624B4"/>
    <w:rsid w:val="004624C5"/>
    <w:rsid w:val="0046254C"/>
    <w:rsid w:val="00462565"/>
    <w:rsid w:val="0046271C"/>
    <w:rsid w:val="004629A0"/>
    <w:rsid w:val="00462A09"/>
    <w:rsid w:val="00462A13"/>
    <w:rsid w:val="00462A76"/>
    <w:rsid w:val="00462BE7"/>
    <w:rsid w:val="00462D2E"/>
    <w:rsid w:val="00462E27"/>
    <w:rsid w:val="004630FF"/>
    <w:rsid w:val="004632FC"/>
    <w:rsid w:val="00463350"/>
    <w:rsid w:val="00463352"/>
    <w:rsid w:val="0046342C"/>
    <w:rsid w:val="0046392D"/>
    <w:rsid w:val="00463A34"/>
    <w:rsid w:val="00463BA0"/>
    <w:rsid w:val="00463E93"/>
    <w:rsid w:val="00463FB2"/>
    <w:rsid w:val="00464291"/>
    <w:rsid w:val="00464304"/>
    <w:rsid w:val="004647A5"/>
    <w:rsid w:val="00464986"/>
    <w:rsid w:val="00464B58"/>
    <w:rsid w:val="00464BFB"/>
    <w:rsid w:val="00464E14"/>
    <w:rsid w:val="00464F5B"/>
    <w:rsid w:val="00465113"/>
    <w:rsid w:val="00465117"/>
    <w:rsid w:val="00465D3C"/>
    <w:rsid w:val="00465D68"/>
    <w:rsid w:val="00465E36"/>
    <w:rsid w:val="004660B7"/>
    <w:rsid w:val="004660EF"/>
    <w:rsid w:val="004661AC"/>
    <w:rsid w:val="00466310"/>
    <w:rsid w:val="0046632B"/>
    <w:rsid w:val="004663BE"/>
    <w:rsid w:val="0046676F"/>
    <w:rsid w:val="004668D0"/>
    <w:rsid w:val="00466A77"/>
    <w:rsid w:val="00466A8C"/>
    <w:rsid w:val="00466BCA"/>
    <w:rsid w:val="004670EB"/>
    <w:rsid w:val="00467109"/>
    <w:rsid w:val="0046714A"/>
    <w:rsid w:val="004671D9"/>
    <w:rsid w:val="0046741A"/>
    <w:rsid w:val="004674CC"/>
    <w:rsid w:val="004674E3"/>
    <w:rsid w:val="0046759F"/>
    <w:rsid w:val="00467616"/>
    <w:rsid w:val="00467654"/>
    <w:rsid w:val="00467757"/>
    <w:rsid w:val="00467891"/>
    <w:rsid w:val="00467A20"/>
    <w:rsid w:val="00467A35"/>
    <w:rsid w:val="00467AB9"/>
    <w:rsid w:val="00467B80"/>
    <w:rsid w:val="00467C51"/>
    <w:rsid w:val="00467D74"/>
    <w:rsid w:val="00467DA1"/>
    <w:rsid w:val="00467F95"/>
    <w:rsid w:val="0047008F"/>
    <w:rsid w:val="004703E4"/>
    <w:rsid w:val="004704C1"/>
    <w:rsid w:val="004707E3"/>
    <w:rsid w:val="0047085E"/>
    <w:rsid w:val="0047087A"/>
    <w:rsid w:val="004708B1"/>
    <w:rsid w:val="00470AA7"/>
    <w:rsid w:val="00470AF1"/>
    <w:rsid w:val="00470BC0"/>
    <w:rsid w:val="00470CA5"/>
    <w:rsid w:val="00470E85"/>
    <w:rsid w:val="00471187"/>
    <w:rsid w:val="004711A1"/>
    <w:rsid w:val="004711C3"/>
    <w:rsid w:val="0047130C"/>
    <w:rsid w:val="0047166F"/>
    <w:rsid w:val="0047193F"/>
    <w:rsid w:val="00471A49"/>
    <w:rsid w:val="00471AA2"/>
    <w:rsid w:val="00471C2D"/>
    <w:rsid w:val="00471CA2"/>
    <w:rsid w:val="004720A9"/>
    <w:rsid w:val="004720CE"/>
    <w:rsid w:val="00472136"/>
    <w:rsid w:val="0047213F"/>
    <w:rsid w:val="004724DB"/>
    <w:rsid w:val="0047256B"/>
    <w:rsid w:val="0047264D"/>
    <w:rsid w:val="0047278A"/>
    <w:rsid w:val="0047282C"/>
    <w:rsid w:val="00472943"/>
    <w:rsid w:val="0047298F"/>
    <w:rsid w:val="00472C44"/>
    <w:rsid w:val="00472C51"/>
    <w:rsid w:val="00472CED"/>
    <w:rsid w:val="00472DA8"/>
    <w:rsid w:val="00472DF6"/>
    <w:rsid w:val="00472E5F"/>
    <w:rsid w:val="00472EFE"/>
    <w:rsid w:val="004731EC"/>
    <w:rsid w:val="004734EF"/>
    <w:rsid w:val="004736AA"/>
    <w:rsid w:val="00473807"/>
    <w:rsid w:val="004738CA"/>
    <w:rsid w:val="004739A0"/>
    <w:rsid w:val="00473B71"/>
    <w:rsid w:val="00473BFF"/>
    <w:rsid w:val="00473C2C"/>
    <w:rsid w:val="00473C4B"/>
    <w:rsid w:val="00473D4E"/>
    <w:rsid w:val="00473EFC"/>
    <w:rsid w:val="0047437C"/>
    <w:rsid w:val="004743A5"/>
    <w:rsid w:val="00474460"/>
    <w:rsid w:val="004744AA"/>
    <w:rsid w:val="004745D3"/>
    <w:rsid w:val="00474619"/>
    <w:rsid w:val="00474B2A"/>
    <w:rsid w:val="00474C10"/>
    <w:rsid w:val="00474DC6"/>
    <w:rsid w:val="00474F03"/>
    <w:rsid w:val="00474F4C"/>
    <w:rsid w:val="004750B8"/>
    <w:rsid w:val="004753F0"/>
    <w:rsid w:val="00475492"/>
    <w:rsid w:val="004757D9"/>
    <w:rsid w:val="00475888"/>
    <w:rsid w:val="004759D0"/>
    <w:rsid w:val="00475A52"/>
    <w:rsid w:val="00475A85"/>
    <w:rsid w:val="00475AAE"/>
    <w:rsid w:val="004762F5"/>
    <w:rsid w:val="0047639F"/>
    <w:rsid w:val="0047657E"/>
    <w:rsid w:val="004766B4"/>
    <w:rsid w:val="00476B22"/>
    <w:rsid w:val="00476C3B"/>
    <w:rsid w:val="00476D79"/>
    <w:rsid w:val="00476DC3"/>
    <w:rsid w:val="00476E68"/>
    <w:rsid w:val="00476EFF"/>
    <w:rsid w:val="00476F4C"/>
    <w:rsid w:val="00477039"/>
    <w:rsid w:val="00477094"/>
    <w:rsid w:val="00477281"/>
    <w:rsid w:val="004779BC"/>
    <w:rsid w:val="004779D2"/>
    <w:rsid w:val="00477ADD"/>
    <w:rsid w:val="00480299"/>
    <w:rsid w:val="00480330"/>
    <w:rsid w:val="004803C4"/>
    <w:rsid w:val="00480650"/>
    <w:rsid w:val="004806D3"/>
    <w:rsid w:val="0048096A"/>
    <w:rsid w:val="00480AB4"/>
    <w:rsid w:val="00480AFC"/>
    <w:rsid w:val="00480B07"/>
    <w:rsid w:val="00480B97"/>
    <w:rsid w:val="00480C06"/>
    <w:rsid w:val="00480EEC"/>
    <w:rsid w:val="00480F20"/>
    <w:rsid w:val="004810E5"/>
    <w:rsid w:val="00481293"/>
    <w:rsid w:val="00481336"/>
    <w:rsid w:val="004814F8"/>
    <w:rsid w:val="00481628"/>
    <w:rsid w:val="0048165A"/>
    <w:rsid w:val="00481788"/>
    <w:rsid w:val="00481A59"/>
    <w:rsid w:val="00481B97"/>
    <w:rsid w:val="00481F54"/>
    <w:rsid w:val="00481F5E"/>
    <w:rsid w:val="004821BD"/>
    <w:rsid w:val="00482227"/>
    <w:rsid w:val="00482689"/>
    <w:rsid w:val="00482814"/>
    <w:rsid w:val="00482BC4"/>
    <w:rsid w:val="00482DE3"/>
    <w:rsid w:val="004832A8"/>
    <w:rsid w:val="004834DA"/>
    <w:rsid w:val="00483549"/>
    <w:rsid w:val="0048369D"/>
    <w:rsid w:val="0048372D"/>
    <w:rsid w:val="00483753"/>
    <w:rsid w:val="00483ADD"/>
    <w:rsid w:val="00483AE5"/>
    <w:rsid w:val="00483C26"/>
    <w:rsid w:val="00483E72"/>
    <w:rsid w:val="004841C8"/>
    <w:rsid w:val="00484496"/>
    <w:rsid w:val="004846A5"/>
    <w:rsid w:val="004847A0"/>
    <w:rsid w:val="00484C0B"/>
    <w:rsid w:val="00484C91"/>
    <w:rsid w:val="00484CF5"/>
    <w:rsid w:val="00484D7A"/>
    <w:rsid w:val="00484D83"/>
    <w:rsid w:val="00484F88"/>
    <w:rsid w:val="00485088"/>
    <w:rsid w:val="00485243"/>
    <w:rsid w:val="00485472"/>
    <w:rsid w:val="00485603"/>
    <w:rsid w:val="004857DC"/>
    <w:rsid w:val="004858F6"/>
    <w:rsid w:val="00485987"/>
    <w:rsid w:val="00485ADE"/>
    <w:rsid w:val="00485D54"/>
    <w:rsid w:val="00485F47"/>
    <w:rsid w:val="004860BC"/>
    <w:rsid w:val="004860DE"/>
    <w:rsid w:val="004861A0"/>
    <w:rsid w:val="004861EA"/>
    <w:rsid w:val="004862F6"/>
    <w:rsid w:val="0048679D"/>
    <w:rsid w:val="00486910"/>
    <w:rsid w:val="00486957"/>
    <w:rsid w:val="0048695A"/>
    <w:rsid w:val="00486DE0"/>
    <w:rsid w:val="00486E24"/>
    <w:rsid w:val="00486F3D"/>
    <w:rsid w:val="00486FCE"/>
    <w:rsid w:val="00487055"/>
    <w:rsid w:val="00487077"/>
    <w:rsid w:val="004872C4"/>
    <w:rsid w:val="00487353"/>
    <w:rsid w:val="00487448"/>
    <w:rsid w:val="00487501"/>
    <w:rsid w:val="00487552"/>
    <w:rsid w:val="00487598"/>
    <w:rsid w:val="00487622"/>
    <w:rsid w:val="0048769A"/>
    <w:rsid w:val="00487813"/>
    <w:rsid w:val="0048787E"/>
    <w:rsid w:val="00487AD9"/>
    <w:rsid w:val="00487B5B"/>
    <w:rsid w:val="00487B70"/>
    <w:rsid w:val="00487BAD"/>
    <w:rsid w:val="00487E11"/>
    <w:rsid w:val="00487E36"/>
    <w:rsid w:val="00487E41"/>
    <w:rsid w:val="00487EC8"/>
    <w:rsid w:val="00490182"/>
    <w:rsid w:val="004901E8"/>
    <w:rsid w:val="00490298"/>
    <w:rsid w:val="004903C7"/>
    <w:rsid w:val="00490503"/>
    <w:rsid w:val="0049053A"/>
    <w:rsid w:val="0049083E"/>
    <w:rsid w:val="00490889"/>
    <w:rsid w:val="00490916"/>
    <w:rsid w:val="0049092B"/>
    <w:rsid w:val="00490BEC"/>
    <w:rsid w:val="00490D09"/>
    <w:rsid w:val="00490EF9"/>
    <w:rsid w:val="004910D3"/>
    <w:rsid w:val="004912E1"/>
    <w:rsid w:val="00491454"/>
    <w:rsid w:val="0049159C"/>
    <w:rsid w:val="0049166A"/>
    <w:rsid w:val="00491BAD"/>
    <w:rsid w:val="00491C32"/>
    <w:rsid w:val="00491C5E"/>
    <w:rsid w:val="00491C99"/>
    <w:rsid w:val="00491E40"/>
    <w:rsid w:val="00492173"/>
    <w:rsid w:val="004921D0"/>
    <w:rsid w:val="004924D6"/>
    <w:rsid w:val="00492514"/>
    <w:rsid w:val="004925F4"/>
    <w:rsid w:val="004926C9"/>
    <w:rsid w:val="0049273E"/>
    <w:rsid w:val="0049274D"/>
    <w:rsid w:val="00492811"/>
    <w:rsid w:val="0049299B"/>
    <w:rsid w:val="004929EF"/>
    <w:rsid w:val="00492AF4"/>
    <w:rsid w:val="00492B00"/>
    <w:rsid w:val="00492E51"/>
    <w:rsid w:val="00492E96"/>
    <w:rsid w:val="00492EA1"/>
    <w:rsid w:val="00493021"/>
    <w:rsid w:val="004932E5"/>
    <w:rsid w:val="00493522"/>
    <w:rsid w:val="00493539"/>
    <w:rsid w:val="00493654"/>
    <w:rsid w:val="004936C2"/>
    <w:rsid w:val="00493AB7"/>
    <w:rsid w:val="00493C2B"/>
    <w:rsid w:val="00493CD7"/>
    <w:rsid w:val="00493D23"/>
    <w:rsid w:val="00493D39"/>
    <w:rsid w:val="00493DD1"/>
    <w:rsid w:val="00493F77"/>
    <w:rsid w:val="0049429E"/>
    <w:rsid w:val="004942C3"/>
    <w:rsid w:val="0049438B"/>
    <w:rsid w:val="004943B6"/>
    <w:rsid w:val="004944D1"/>
    <w:rsid w:val="004945D3"/>
    <w:rsid w:val="0049463E"/>
    <w:rsid w:val="00494788"/>
    <w:rsid w:val="00494798"/>
    <w:rsid w:val="00494C71"/>
    <w:rsid w:val="00494FE4"/>
    <w:rsid w:val="00495237"/>
    <w:rsid w:val="00495262"/>
    <w:rsid w:val="004953A9"/>
    <w:rsid w:val="004953EA"/>
    <w:rsid w:val="004957DB"/>
    <w:rsid w:val="0049581B"/>
    <w:rsid w:val="004958D2"/>
    <w:rsid w:val="004958E0"/>
    <w:rsid w:val="00495BCF"/>
    <w:rsid w:val="00495E3A"/>
    <w:rsid w:val="00495F8D"/>
    <w:rsid w:val="004960A2"/>
    <w:rsid w:val="004960AD"/>
    <w:rsid w:val="00496293"/>
    <w:rsid w:val="0049633A"/>
    <w:rsid w:val="0049641B"/>
    <w:rsid w:val="004965B2"/>
    <w:rsid w:val="0049668F"/>
    <w:rsid w:val="00496742"/>
    <w:rsid w:val="00496759"/>
    <w:rsid w:val="00496911"/>
    <w:rsid w:val="00496938"/>
    <w:rsid w:val="00496A81"/>
    <w:rsid w:val="00496AC4"/>
    <w:rsid w:val="00496C1A"/>
    <w:rsid w:val="00496C87"/>
    <w:rsid w:val="00496CE3"/>
    <w:rsid w:val="00496D37"/>
    <w:rsid w:val="00496D85"/>
    <w:rsid w:val="00496DD2"/>
    <w:rsid w:val="00496E03"/>
    <w:rsid w:val="00496E94"/>
    <w:rsid w:val="00497194"/>
    <w:rsid w:val="0049724B"/>
    <w:rsid w:val="0049731E"/>
    <w:rsid w:val="004974F4"/>
    <w:rsid w:val="004974F6"/>
    <w:rsid w:val="004978CE"/>
    <w:rsid w:val="004978E7"/>
    <w:rsid w:val="00497E44"/>
    <w:rsid w:val="00497FA8"/>
    <w:rsid w:val="004A0052"/>
    <w:rsid w:val="004A015C"/>
    <w:rsid w:val="004A036E"/>
    <w:rsid w:val="004A0447"/>
    <w:rsid w:val="004A059C"/>
    <w:rsid w:val="004A0627"/>
    <w:rsid w:val="004A06DF"/>
    <w:rsid w:val="004A0767"/>
    <w:rsid w:val="004A0859"/>
    <w:rsid w:val="004A0BD8"/>
    <w:rsid w:val="004A0CC2"/>
    <w:rsid w:val="004A0DB4"/>
    <w:rsid w:val="004A0EC4"/>
    <w:rsid w:val="004A0FBB"/>
    <w:rsid w:val="004A124E"/>
    <w:rsid w:val="004A125B"/>
    <w:rsid w:val="004A12FA"/>
    <w:rsid w:val="004A140A"/>
    <w:rsid w:val="004A1415"/>
    <w:rsid w:val="004A141A"/>
    <w:rsid w:val="004A1508"/>
    <w:rsid w:val="004A1628"/>
    <w:rsid w:val="004A1786"/>
    <w:rsid w:val="004A18B8"/>
    <w:rsid w:val="004A1C26"/>
    <w:rsid w:val="004A1C5B"/>
    <w:rsid w:val="004A1CD9"/>
    <w:rsid w:val="004A1D61"/>
    <w:rsid w:val="004A1DBA"/>
    <w:rsid w:val="004A2029"/>
    <w:rsid w:val="004A2101"/>
    <w:rsid w:val="004A21EA"/>
    <w:rsid w:val="004A21EC"/>
    <w:rsid w:val="004A2362"/>
    <w:rsid w:val="004A27C7"/>
    <w:rsid w:val="004A2B60"/>
    <w:rsid w:val="004A2BA9"/>
    <w:rsid w:val="004A2D8E"/>
    <w:rsid w:val="004A309A"/>
    <w:rsid w:val="004A311D"/>
    <w:rsid w:val="004A340B"/>
    <w:rsid w:val="004A36B6"/>
    <w:rsid w:val="004A37FC"/>
    <w:rsid w:val="004A3864"/>
    <w:rsid w:val="004A3927"/>
    <w:rsid w:val="004A39E6"/>
    <w:rsid w:val="004A3A08"/>
    <w:rsid w:val="004A44FD"/>
    <w:rsid w:val="004A4625"/>
    <w:rsid w:val="004A487D"/>
    <w:rsid w:val="004A4937"/>
    <w:rsid w:val="004A4AB0"/>
    <w:rsid w:val="004A4DF1"/>
    <w:rsid w:val="004A4ECB"/>
    <w:rsid w:val="004A50E9"/>
    <w:rsid w:val="004A52C3"/>
    <w:rsid w:val="004A5304"/>
    <w:rsid w:val="004A5421"/>
    <w:rsid w:val="004A56A4"/>
    <w:rsid w:val="004A59BF"/>
    <w:rsid w:val="004A5A74"/>
    <w:rsid w:val="004A5ECB"/>
    <w:rsid w:val="004A6080"/>
    <w:rsid w:val="004A60FA"/>
    <w:rsid w:val="004A614F"/>
    <w:rsid w:val="004A6474"/>
    <w:rsid w:val="004A64E9"/>
    <w:rsid w:val="004A679E"/>
    <w:rsid w:val="004A683C"/>
    <w:rsid w:val="004A6B13"/>
    <w:rsid w:val="004A6BE2"/>
    <w:rsid w:val="004A6F4C"/>
    <w:rsid w:val="004A6F8A"/>
    <w:rsid w:val="004A711E"/>
    <w:rsid w:val="004A72E0"/>
    <w:rsid w:val="004A733F"/>
    <w:rsid w:val="004A741B"/>
    <w:rsid w:val="004A7525"/>
    <w:rsid w:val="004A7828"/>
    <w:rsid w:val="004A7AB6"/>
    <w:rsid w:val="004A7C66"/>
    <w:rsid w:val="004A7E3A"/>
    <w:rsid w:val="004A7F91"/>
    <w:rsid w:val="004A7FAA"/>
    <w:rsid w:val="004B0058"/>
    <w:rsid w:val="004B0231"/>
    <w:rsid w:val="004B0274"/>
    <w:rsid w:val="004B0481"/>
    <w:rsid w:val="004B0644"/>
    <w:rsid w:val="004B06B4"/>
    <w:rsid w:val="004B07B1"/>
    <w:rsid w:val="004B07C9"/>
    <w:rsid w:val="004B0B11"/>
    <w:rsid w:val="004B0C79"/>
    <w:rsid w:val="004B0E35"/>
    <w:rsid w:val="004B0F13"/>
    <w:rsid w:val="004B1009"/>
    <w:rsid w:val="004B105A"/>
    <w:rsid w:val="004B105B"/>
    <w:rsid w:val="004B11A0"/>
    <w:rsid w:val="004B1253"/>
    <w:rsid w:val="004B126E"/>
    <w:rsid w:val="004B1275"/>
    <w:rsid w:val="004B1587"/>
    <w:rsid w:val="004B15D9"/>
    <w:rsid w:val="004B163E"/>
    <w:rsid w:val="004B16BB"/>
    <w:rsid w:val="004B1D83"/>
    <w:rsid w:val="004B1E62"/>
    <w:rsid w:val="004B2113"/>
    <w:rsid w:val="004B244A"/>
    <w:rsid w:val="004B2526"/>
    <w:rsid w:val="004B2BF9"/>
    <w:rsid w:val="004B2C5A"/>
    <w:rsid w:val="004B3047"/>
    <w:rsid w:val="004B3489"/>
    <w:rsid w:val="004B3496"/>
    <w:rsid w:val="004B3639"/>
    <w:rsid w:val="004B36E5"/>
    <w:rsid w:val="004B39B8"/>
    <w:rsid w:val="004B3D71"/>
    <w:rsid w:val="004B4014"/>
    <w:rsid w:val="004B440C"/>
    <w:rsid w:val="004B442A"/>
    <w:rsid w:val="004B4491"/>
    <w:rsid w:val="004B4738"/>
    <w:rsid w:val="004B4797"/>
    <w:rsid w:val="004B47B3"/>
    <w:rsid w:val="004B47C1"/>
    <w:rsid w:val="004B48C6"/>
    <w:rsid w:val="004B4AAB"/>
    <w:rsid w:val="004B4B4D"/>
    <w:rsid w:val="004B4B59"/>
    <w:rsid w:val="004B4D14"/>
    <w:rsid w:val="004B4EF5"/>
    <w:rsid w:val="004B51FC"/>
    <w:rsid w:val="004B5219"/>
    <w:rsid w:val="004B53F1"/>
    <w:rsid w:val="004B5469"/>
    <w:rsid w:val="004B5773"/>
    <w:rsid w:val="004B580E"/>
    <w:rsid w:val="004B5A98"/>
    <w:rsid w:val="004B5BF3"/>
    <w:rsid w:val="004B5E91"/>
    <w:rsid w:val="004B5F8C"/>
    <w:rsid w:val="004B6332"/>
    <w:rsid w:val="004B6578"/>
    <w:rsid w:val="004B657F"/>
    <w:rsid w:val="004B6619"/>
    <w:rsid w:val="004B6799"/>
    <w:rsid w:val="004B67D1"/>
    <w:rsid w:val="004B687A"/>
    <w:rsid w:val="004B6987"/>
    <w:rsid w:val="004B69B0"/>
    <w:rsid w:val="004B6AE9"/>
    <w:rsid w:val="004B6D52"/>
    <w:rsid w:val="004B6E72"/>
    <w:rsid w:val="004B7216"/>
    <w:rsid w:val="004B79A1"/>
    <w:rsid w:val="004B7ABF"/>
    <w:rsid w:val="004B7B44"/>
    <w:rsid w:val="004B7BC6"/>
    <w:rsid w:val="004B7CCF"/>
    <w:rsid w:val="004B7CFF"/>
    <w:rsid w:val="004B7DFE"/>
    <w:rsid w:val="004B7ED9"/>
    <w:rsid w:val="004B7F28"/>
    <w:rsid w:val="004C0068"/>
    <w:rsid w:val="004C00AB"/>
    <w:rsid w:val="004C00FD"/>
    <w:rsid w:val="004C0100"/>
    <w:rsid w:val="004C01CA"/>
    <w:rsid w:val="004C02C7"/>
    <w:rsid w:val="004C0305"/>
    <w:rsid w:val="004C0525"/>
    <w:rsid w:val="004C0CF7"/>
    <w:rsid w:val="004C109B"/>
    <w:rsid w:val="004C16D3"/>
    <w:rsid w:val="004C1758"/>
    <w:rsid w:val="004C1964"/>
    <w:rsid w:val="004C19B8"/>
    <w:rsid w:val="004C1D96"/>
    <w:rsid w:val="004C2033"/>
    <w:rsid w:val="004C21C2"/>
    <w:rsid w:val="004C2285"/>
    <w:rsid w:val="004C245C"/>
    <w:rsid w:val="004C24AC"/>
    <w:rsid w:val="004C24C5"/>
    <w:rsid w:val="004C28ED"/>
    <w:rsid w:val="004C2EFF"/>
    <w:rsid w:val="004C2FAC"/>
    <w:rsid w:val="004C3182"/>
    <w:rsid w:val="004C3494"/>
    <w:rsid w:val="004C355A"/>
    <w:rsid w:val="004C35CF"/>
    <w:rsid w:val="004C363A"/>
    <w:rsid w:val="004C3647"/>
    <w:rsid w:val="004C3698"/>
    <w:rsid w:val="004C37CD"/>
    <w:rsid w:val="004C3983"/>
    <w:rsid w:val="004C3AF8"/>
    <w:rsid w:val="004C3C03"/>
    <w:rsid w:val="004C3C92"/>
    <w:rsid w:val="004C3CAB"/>
    <w:rsid w:val="004C3D27"/>
    <w:rsid w:val="004C3D65"/>
    <w:rsid w:val="004C3DA5"/>
    <w:rsid w:val="004C3EC6"/>
    <w:rsid w:val="004C409D"/>
    <w:rsid w:val="004C42BA"/>
    <w:rsid w:val="004C483B"/>
    <w:rsid w:val="004C4908"/>
    <w:rsid w:val="004C4A23"/>
    <w:rsid w:val="004C4F3A"/>
    <w:rsid w:val="004C4F9D"/>
    <w:rsid w:val="004C522D"/>
    <w:rsid w:val="004C5298"/>
    <w:rsid w:val="004C5987"/>
    <w:rsid w:val="004C59E4"/>
    <w:rsid w:val="004C5B32"/>
    <w:rsid w:val="004C5B78"/>
    <w:rsid w:val="004C5BC5"/>
    <w:rsid w:val="004C5E1A"/>
    <w:rsid w:val="004C5E84"/>
    <w:rsid w:val="004C6199"/>
    <w:rsid w:val="004C639C"/>
    <w:rsid w:val="004C65F0"/>
    <w:rsid w:val="004C67B0"/>
    <w:rsid w:val="004C67C6"/>
    <w:rsid w:val="004C69F1"/>
    <w:rsid w:val="004C6BCB"/>
    <w:rsid w:val="004C6D6F"/>
    <w:rsid w:val="004C6EFB"/>
    <w:rsid w:val="004C70C1"/>
    <w:rsid w:val="004C7106"/>
    <w:rsid w:val="004C71D6"/>
    <w:rsid w:val="004C7222"/>
    <w:rsid w:val="004C72BF"/>
    <w:rsid w:val="004C755A"/>
    <w:rsid w:val="004C77BE"/>
    <w:rsid w:val="004C79E2"/>
    <w:rsid w:val="004C7AC1"/>
    <w:rsid w:val="004C7DCE"/>
    <w:rsid w:val="004C7F58"/>
    <w:rsid w:val="004D012E"/>
    <w:rsid w:val="004D01F5"/>
    <w:rsid w:val="004D0493"/>
    <w:rsid w:val="004D0628"/>
    <w:rsid w:val="004D0E90"/>
    <w:rsid w:val="004D11DC"/>
    <w:rsid w:val="004D1291"/>
    <w:rsid w:val="004D1337"/>
    <w:rsid w:val="004D188F"/>
    <w:rsid w:val="004D1961"/>
    <w:rsid w:val="004D1AC5"/>
    <w:rsid w:val="004D1CDC"/>
    <w:rsid w:val="004D201B"/>
    <w:rsid w:val="004D205A"/>
    <w:rsid w:val="004D21AB"/>
    <w:rsid w:val="004D21BF"/>
    <w:rsid w:val="004D229B"/>
    <w:rsid w:val="004D25D3"/>
    <w:rsid w:val="004D2678"/>
    <w:rsid w:val="004D27E4"/>
    <w:rsid w:val="004D292A"/>
    <w:rsid w:val="004D2BC4"/>
    <w:rsid w:val="004D2C01"/>
    <w:rsid w:val="004D2FB0"/>
    <w:rsid w:val="004D30B4"/>
    <w:rsid w:val="004D3147"/>
    <w:rsid w:val="004D32DD"/>
    <w:rsid w:val="004D3865"/>
    <w:rsid w:val="004D38DB"/>
    <w:rsid w:val="004D38F7"/>
    <w:rsid w:val="004D39DD"/>
    <w:rsid w:val="004D39ED"/>
    <w:rsid w:val="004D3F98"/>
    <w:rsid w:val="004D40F5"/>
    <w:rsid w:val="004D4230"/>
    <w:rsid w:val="004D46D8"/>
    <w:rsid w:val="004D46DD"/>
    <w:rsid w:val="004D48C7"/>
    <w:rsid w:val="004D4931"/>
    <w:rsid w:val="004D4982"/>
    <w:rsid w:val="004D4B66"/>
    <w:rsid w:val="004D4CDA"/>
    <w:rsid w:val="004D4E5F"/>
    <w:rsid w:val="004D4E66"/>
    <w:rsid w:val="004D4F76"/>
    <w:rsid w:val="004D5094"/>
    <w:rsid w:val="004D50EA"/>
    <w:rsid w:val="004D52E8"/>
    <w:rsid w:val="004D54D7"/>
    <w:rsid w:val="004D5586"/>
    <w:rsid w:val="004D5621"/>
    <w:rsid w:val="004D5706"/>
    <w:rsid w:val="004D57D3"/>
    <w:rsid w:val="004D5A07"/>
    <w:rsid w:val="004D5D3E"/>
    <w:rsid w:val="004D5DA9"/>
    <w:rsid w:val="004D5DCA"/>
    <w:rsid w:val="004D5EEE"/>
    <w:rsid w:val="004D6563"/>
    <w:rsid w:val="004D662C"/>
    <w:rsid w:val="004D684D"/>
    <w:rsid w:val="004D6894"/>
    <w:rsid w:val="004D6958"/>
    <w:rsid w:val="004D6B1B"/>
    <w:rsid w:val="004D6C0F"/>
    <w:rsid w:val="004D6C54"/>
    <w:rsid w:val="004D6DA8"/>
    <w:rsid w:val="004D6DE1"/>
    <w:rsid w:val="004D6EA2"/>
    <w:rsid w:val="004D70B0"/>
    <w:rsid w:val="004D752B"/>
    <w:rsid w:val="004D753F"/>
    <w:rsid w:val="004D7783"/>
    <w:rsid w:val="004D7948"/>
    <w:rsid w:val="004D799A"/>
    <w:rsid w:val="004D79CD"/>
    <w:rsid w:val="004D7A58"/>
    <w:rsid w:val="004D7A72"/>
    <w:rsid w:val="004D7DF7"/>
    <w:rsid w:val="004D7E1D"/>
    <w:rsid w:val="004E0063"/>
    <w:rsid w:val="004E00C5"/>
    <w:rsid w:val="004E01D7"/>
    <w:rsid w:val="004E0338"/>
    <w:rsid w:val="004E0457"/>
    <w:rsid w:val="004E04E7"/>
    <w:rsid w:val="004E0BAB"/>
    <w:rsid w:val="004E0F5F"/>
    <w:rsid w:val="004E107E"/>
    <w:rsid w:val="004E1365"/>
    <w:rsid w:val="004E1475"/>
    <w:rsid w:val="004E147F"/>
    <w:rsid w:val="004E155B"/>
    <w:rsid w:val="004E158E"/>
    <w:rsid w:val="004E18C0"/>
    <w:rsid w:val="004E1A71"/>
    <w:rsid w:val="004E1B9B"/>
    <w:rsid w:val="004E1E38"/>
    <w:rsid w:val="004E1FC5"/>
    <w:rsid w:val="004E2054"/>
    <w:rsid w:val="004E20AE"/>
    <w:rsid w:val="004E21B1"/>
    <w:rsid w:val="004E25BA"/>
    <w:rsid w:val="004E25F4"/>
    <w:rsid w:val="004E2732"/>
    <w:rsid w:val="004E294F"/>
    <w:rsid w:val="004E2989"/>
    <w:rsid w:val="004E29EC"/>
    <w:rsid w:val="004E2B04"/>
    <w:rsid w:val="004E2BDA"/>
    <w:rsid w:val="004E2BDE"/>
    <w:rsid w:val="004E2DC5"/>
    <w:rsid w:val="004E3152"/>
    <w:rsid w:val="004E323A"/>
    <w:rsid w:val="004E3463"/>
    <w:rsid w:val="004E34B4"/>
    <w:rsid w:val="004E3551"/>
    <w:rsid w:val="004E357B"/>
    <w:rsid w:val="004E36E5"/>
    <w:rsid w:val="004E3730"/>
    <w:rsid w:val="004E383D"/>
    <w:rsid w:val="004E3854"/>
    <w:rsid w:val="004E3B46"/>
    <w:rsid w:val="004E3C2C"/>
    <w:rsid w:val="004E4048"/>
    <w:rsid w:val="004E4087"/>
    <w:rsid w:val="004E4090"/>
    <w:rsid w:val="004E40DA"/>
    <w:rsid w:val="004E4269"/>
    <w:rsid w:val="004E42EA"/>
    <w:rsid w:val="004E499E"/>
    <w:rsid w:val="004E4B66"/>
    <w:rsid w:val="004E4C84"/>
    <w:rsid w:val="004E4DD9"/>
    <w:rsid w:val="004E5112"/>
    <w:rsid w:val="004E5436"/>
    <w:rsid w:val="004E547A"/>
    <w:rsid w:val="004E547E"/>
    <w:rsid w:val="004E54AC"/>
    <w:rsid w:val="004E54CF"/>
    <w:rsid w:val="004E5715"/>
    <w:rsid w:val="004E58BE"/>
    <w:rsid w:val="004E5966"/>
    <w:rsid w:val="004E5C79"/>
    <w:rsid w:val="004E5CDB"/>
    <w:rsid w:val="004E5E1C"/>
    <w:rsid w:val="004E5F59"/>
    <w:rsid w:val="004E601B"/>
    <w:rsid w:val="004E610C"/>
    <w:rsid w:val="004E61C2"/>
    <w:rsid w:val="004E6313"/>
    <w:rsid w:val="004E663E"/>
    <w:rsid w:val="004E68FC"/>
    <w:rsid w:val="004E6A70"/>
    <w:rsid w:val="004E6ADA"/>
    <w:rsid w:val="004E6E1D"/>
    <w:rsid w:val="004E6E1E"/>
    <w:rsid w:val="004E6FA6"/>
    <w:rsid w:val="004E72B5"/>
    <w:rsid w:val="004E763D"/>
    <w:rsid w:val="004E7A9C"/>
    <w:rsid w:val="004E7CF7"/>
    <w:rsid w:val="004F01B3"/>
    <w:rsid w:val="004F01BD"/>
    <w:rsid w:val="004F02B0"/>
    <w:rsid w:val="004F02ED"/>
    <w:rsid w:val="004F04C7"/>
    <w:rsid w:val="004F06A5"/>
    <w:rsid w:val="004F070A"/>
    <w:rsid w:val="004F0882"/>
    <w:rsid w:val="004F0AD3"/>
    <w:rsid w:val="004F0B33"/>
    <w:rsid w:val="004F0C01"/>
    <w:rsid w:val="004F0F44"/>
    <w:rsid w:val="004F10A7"/>
    <w:rsid w:val="004F12BE"/>
    <w:rsid w:val="004F1353"/>
    <w:rsid w:val="004F14B8"/>
    <w:rsid w:val="004F1505"/>
    <w:rsid w:val="004F16BD"/>
    <w:rsid w:val="004F16D8"/>
    <w:rsid w:val="004F1763"/>
    <w:rsid w:val="004F1797"/>
    <w:rsid w:val="004F1879"/>
    <w:rsid w:val="004F1920"/>
    <w:rsid w:val="004F1975"/>
    <w:rsid w:val="004F1A63"/>
    <w:rsid w:val="004F1FAB"/>
    <w:rsid w:val="004F20E7"/>
    <w:rsid w:val="004F21A4"/>
    <w:rsid w:val="004F2206"/>
    <w:rsid w:val="004F2230"/>
    <w:rsid w:val="004F239B"/>
    <w:rsid w:val="004F2427"/>
    <w:rsid w:val="004F25F8"/>
    <w:rsid w:val="004F2694"/>
    <w:rsid w:val="004F26AD"/>
    <w:rsid w:val="004F272D"/>
    <w:rsid w:val="004F27D2"/>
    <w:rsid w:val="004F2CB5"/>
    <w:rsid w:val="004F2EE5"/>
    <w:rsid w:val="004F3044"/>
    <w:rsid w:val="004F3219"/>
    <w:rsid w:val="004F32C4"/>
    <w:rsid w:val="004F3416"/>
    <w:rsid w:val="004F341A"/>
    <w:rsid w:val="004F3626"/>
    <w:rsid w:val="004F3741"/>
    <w:rsid w:val="004F381E"/>
    <w:rsid w:val="004F3840"/>
    <w:rsid w:val="004F3922"/>
    <w:rsid w:val="004F3AE7"/>
    <w:rsid w:val="004F3B69"/>
    <w:rsid w:val="004F3DFC"/>
    <w:rsid w:val="004F4385"/>
    <w:rsid w:val="004F4390"/>
    <w:rsid w:val="004F43E5"/>
    <w:rsid w:val="004F45C3"/>
    <w:rsid w:val="004F463A"/>
    <w:rsid w:val="004F4775"/>
    <w:rsid w:val="004F4C2D"/>
    <w:rsid w:val="004F4FD9"/>
    <w:rsid w:val="004F4FE5"/>
    <w:rsid w:val="004F506B"/>
    <w:rsid w:val="004F515B"/>
    <w:rsid w:val="004F521F"/>
    <w:rsid w:val="004F52F2"/>
    <w:rsid w:val="004F5560"/>
    <w:rsid w:val="004F5639"/>
    <w:rsid w:val="004F5828"/>
    <w:rsid w:val="004F5871"/>
    <w:rsid w:val="004F5C77"/>
    <w:rsid w:val="004F5C97"/>
    <w:rsid w:val="004F5CDE"/>
    <w:rsid w:val="004F5F39"/>
    <w:rsid w:val="004F60C5"/>
    <w:rsid w:val="004F6218"/>
    <w:rsid w:val="004F62A8"/>
    <w:rsid w:val="004F6316"/>
    <w:rsid w:val="004F6518"/>
    <w:rsid w:val="004F65A5"/>
    <w:rsid w:val="004F6948"/>
    <w:rsid w:val="004F6A7E"/>
    <w:rsid w:val="004F6B21"/>
    <w:rsid w:val="004F6CF0"/>
    <w:rsid w:val="004F6ECE"/>
    <w:rsid w:val="004F7031"/>
    <w:rsid w:val="004F77BA"/>
    <w:rsid w:val="004F783F"/>
    <w:rsid w:val="004F78D0"/>
    <w:rsid w:val="004F7BE5"/>
    <w:rsid w:val="004F7C66"/>
    <w:rsid w:val="004F7CA0"/>
    <w:rsid w:val="004F7CA8"/>
    <w:rsid w:val="004F7CDD"/>
    <w:rsid w:val="004F7D23"/>
    <w:rsid w:val="004F7D53"/>
    <w:rsid w:val="004F7E25"/>
    <w:rsid w:val="004F7F36"/>
    <w:rsid w:val="0050010C"/>
    <w:rsid w:val="00500208"/>
    <w:rsid w:val="005002D0"/>
    <w:rsid w:val="005003F7"/>
    <w:rsid w:val="005004DD"/>
    <w:rsid w:val="00500597"/>
    <w:rsid w:val="00500635"/>
    <w:rsid w:val="00500646"/>
    <w:rsid w:val="0050064F"/>
    <w:rsid w:val="00500706"/>
    <w:rsid w:val="005007AB"/>
    <w:rsid w:val="00500912"/>
    <w:rsid w:val="00500959"/>
    <w:rsid w:val="00500994"/>
    <w:rsid w:val="00500A51"/>
    <w:rsid w:val="00500C87"/>
    <w:rsid w:val="00500E3E"/>
    <w:rsid w:val="00500E85"/>
    <w:rsid w:val="00500EBE"/>
    <w:rsid w:val="00500FB3"/>
    <w:rsid w:val="0050144B"/>
    <w:rsid w:val="00501B96"/>
    <w:rsid w:val="00501D22"/>
    <w:rsid w:val="00501D97"/>
    <w:rsid w:val="00502077"/>
    <w:rsid w:val="005021D0"/>
    <w:rsid w:val="00502378"/>
    <w:rsid w:val="00502416"/>
    <w:rsid w:val="0050265B"/>
    <w:rsid w:val="00502904"/>
    <w:rsid w:val="00502A1B"/>
    <w:rsid w:val="00502B27"/>
    <w:rsid w:val="00502C3A"/>
    <w:rsid w:val="00502E0C"/>
    <w:rsid w:val="00502E33"/>
    <w:rsid w:val="00502FE1"/>
    <w:rsid w:val="00502FF1"/>
    <w:rsid w:val="00503072"/>
    <w:rsid w:val="005030C9"/>
    <w:rsid w:val="005032BC"/>
    <w:rsid w:val="00503598"/>
    <w:rsid w:val="00503822"/>
    <w:rsid w:val="00503894"/>
    <w:rsid w:val="005038B5"/>
    <w:rsid w:val="0050396B"/>
    <w:rsid w:val="00503ADC"/>
    <w:rsid w:val="00503BBF"/>
    <w:rsid w:val="00503C98"/>
    <w:rsid w:val="0050426D"/>
    <w:rsid w:val="00504387"/>
    <w:rsid w:val="0050438B"/>
    <w:rsid w:val="00504663"/>
    <w:rsid w:val="005046D9"/>
    <w:rsid w:val="0050496B"/>
    <w:rsid w:val="0050497B"/>
    <w:rsid w:val="00504A11"/>
    <w:rsid w:val="00504AB0"/>
    <w:rsid w:val="00504B50"/>
    <w:rsid w:val="00504BD9"/>
    <w:rsid w:val="00504CF5"/>
    <w:rsid w:val="00504D85"/>
    <w:rsid w:val="00504E60"/>
    <w:rsid w:val="005050C7"/>
    <w:rsid w:val="00505152"/>
    <w:rsid w:val="0050517F"/>
    <w:rsid w:val="0050521B"/>
    <w:rsid w:val="0050549A"/>
    <w:rsid w:val="005054ED"/>
    <w:rsid w:val="00505582"/>
    <w:rsid w:val="0050592B"/>
    <w:rsid w:val="005059AF"/>
    <w:rsid w:val="005059B8"/>
    <w:rsid w:val="00505C7B"/>
    <w:rsid w:val="00505C8C"/>
    <w:rsid w:val="00505D14"/>
    <w:rsid w:val="00505D45"/>
    <w:rsid w:val="00505F01"/>
    <w:rsid w:val="005063E9"/>
    <w:rsid w:val="00506678"/>
    <w:rsid w:val="005067BD"/>
    <w:rsid w:val="005067D0"/>
    <w:rsid w:val="00506869"/>
    <w:rsid w:val="00506B9D"/>
    <w:rsid w:val="00506D0E"/>
    <w:rsid w:val="00506D7E"/>
    <w:rsid w:val="00506E3F"/>
    <w:rsid w:val="00506E92"/>
    <w:rsid w:val="00507098"/>
    <w:rsid w:val="00507107"/>
    <w:rsid w:val="00507268"/>
    <w:rsid w:val="00507484"/>
    <w:rsid w:val="00507837"/>
    <w:rsid w:val="005079C8"/>
    <w:rsid w:val="005079ED"/>
    <w:rsid w:val="00507CCE"/>
    <w:rsid w:val="00507D50"/>
    <w:rsid w:val="00507DAA"/>
    <w:rsid w:val="00510013"/>
    <w:rsid w:val="0051055C"/>
    <w:rsid w:val="0051057A"/>
    <w:rsid w:val="005105B3"/>
    <w:rsid w:val="005107AD"/>
    <w:rsid w:val="00510E28"/>
    <w:rsid w:val="00510F42"/>
    <w:rsid w:val="00510F9E"/>
    <w:rsid w:val="00511315"/>
    <w:rsid w:val="00511463"/>
    <w:rsid w:val="005117A3"/>
    <w:rsid w:val="005117CC"/>
    <w:rsid w:val="005117E2"/>
    <w:rsid w:val="005117F6"/>
    <w:rsid w:val="00511AB5"/>
    <w:rsid w:val="00511B23"/>
    <w:rsid w:val="00511C22"/>
    <w:rsid w:val="00511CB9"/>
    <w:rsid w:val="00511ECC"/>
    <w:rsid w:val="00511F39"/>
    <w:rsid w:val="00511FB7"/>
    <w:rsid w:val="00511FE6"/>
    <w:rsid w:val="00512456"/>
    <w:rsid w:val="00512514"/>
    <w:rsid w:val="00512556"/>
    <w:rsid w:val="005125A8"/>
    <w:rsid w:val="005125FB"/>
    <w:rsid w:val="00512AB3"/>
    <w:rsid w:val="00512D45"/>
    <w:rsid w:val="00512DAA"/>
    <w:rsid w:val="00512DF2"/>
    <w:rsid w:val="00512E0B"/>
    <w:rsid w:val="005130A4"/>
    <w:rsid w:val="005130DA"/>
    <w:rsid w:val="0051319D"/>
    <w:rsid w:val="00513217"/>
    <w:rsid w:val="005133A8"/>
    <w:rsid w:val="00513B1D"/>
    <w:rsid w:val="00513BBA"/>
    <w:rsid w:val="00513D0C"/>
    <w:rsid w:val="00513D55"/>
    <w:rsid w:val="00513E82"/>
    <w:rsid w:val="0051402D"/>
    <w:rsid w:val="0051408D"/>
    <w:rsid w:val="00514139"/>
    <w:rsid w:val="00514162"/>
    <w:rsid w:val="0051432E"/>
    <w:rsid w:val="005143B5"/>
    <w:rsid w:val="005145D5"/>
    <w:rsid w:val="005147BB"/>
    <w:rsid w:val="005148F0"/>
    <w:rsid w:val="00514A39"/>
    <w:rsid w:val="00514A47"/>
    <w:rsid w:val="00514BC5"/>
    <w:rsid w:val="00514C99"/>
    <w:rsid w:val="00514D55"/>
    <w:rsid w:val="005150B3"/>
    <w:rsid w:val="00515202"/>
    <w:rsid w:val="00515273"/>
    <w:rsid w:val="00515284"/>
    <w:rsid w:val="005153C0"/>
    <w:rsid w:val="005154A0"/>
    <w:rsid w:val="005155C0"/>
    <w:rsid w:val="005157EC"/>
    <w:rsid w:val="00515B09"/>
    <w:rsid w:val="00515B9F"/>
    <w:rsid w:val="00515D97"/>
    <w:rsid w:val="00516049"/>
    <w:rsid w:val="005161AE"/>
    <w:rsid w:val="00516239"/>
    <w:rsid w:val="00516293"/>
    <w:rsid w:val="005163E9"/>
    <w:rsid w:val="005164D6"/>
    <w:rsid w:val="005168A2"/>
    <w:rsid w:val="00516949"/>
    <w:rsid w:val="00516A95"/>
    <w:rsid w:val="00516AFA"/>
    <w:rsid w:val="00516B92"/>
    <w:rsid w:val="00516C2C"/>
    <w:rsid w:val="00516C57"/>
    <w:rsid w:val="00517070"/>
    <w:rsid w:val="00517183"/>
    <w:rsid w:val="00517543"/>
    <w:rsid w:val="005176E8"/>
    <w:rsid w:val="00517825"/>
    <w:rsid w:val="00517D1E"/>
    <w:rsid w:val="005201D6"/>
    <w:rsid w:val="00520B1D"/>
    <w:rsid w:val="00520C07"/>
    <w:rsid w:val="00520D93"/>
    <w:rsid w:val="00520FBD"/>
    <w:rsid w:val="00521027"/>
    <w:rsid w:val="005210EA"/>
    <w:rsid w:val="0052119E"/>
    <w:rsid w:val="00521203"/>
    <w:rsid w:val="00521691"/>
    <w:rsid w:val="00521831"/>
    <w:rsid w:val="00521881"/>
    <w:rsid w:val="005219F7"/>
    <w:rsid w:val="00521B83"/>
    <w:rsid w:val="005223B7"/>
    <w:rsid w:val="00522486"/>
    <w:rsid w:val="00522514"/>
    <w:rsid w:val="005226D7"/>
    <w:rsid w:val="00522837"/>
    <w:rsid w:val="005229A6"/>
    <w:rsid w:val="00522ACE"/>
    <w:rsid w:val="00522B86"/>
    <w:rsid w:val="00522C40"/>
    <w:rsid w:val="00522C77"/>
    <w:rsid w:val="00522D4C"/>
    <w:rsid w:val="00522D7E"/>
    <w:rsid w:val="00522F48"/>
    <w:rsid w:val="005230BF"/>
    <w:rsid w:val="005231F3"/>
    <w:rsid w:val="00523242"/>
    <w:rsid w:val="0052329F"/>
    <w:rsid w:val="005233D7"/>
    <w:rsid w:val="005239CB"/>
    <w:rsid w:val="00523AEB"/>
    <w:rsid w:val="00523BBF"/>
    <w:rsid w:val="00523CA2"/>
    <w:rsid w:val="00523DA8"/>
    <w:rsid w:val="00523F33"/>
    <w:rsid w:val="0052486A"/>
    <w:rsid w:val="005248BB"/>
    <w:rsid w:val="00524ABE"/>
    <w:rsid w:val="00524CB5"/>
    <w:rsid w:val="00524D48"/>
    <w:rsid w:val="00524E19"/>
    <w:rsid w:val="00524EE5"/>
    <w:rsid w:val="00525112"/>
    <w:rsid w:val="0052513D"/>
    <w:rsid w:val="0052534F"/>
    <w:rsid w:val="005256FA"/>
    <w:rsid w:val="00525716"/>
    <w:rsid w:val="0052586A"/>
    <w:rsid w:val="00525997"/>
    <w:rsid w:val="005259B2"/>
    <w:rsid w:val="00525AAD"/>
    <w:rsid w:val="00525B6A"/>
    <w:rsid w:val="00525C65"/>
    <w:rsid w:val="00525D59"/>
    <w:rsid w:val="00526004"/>
    <w:rsid w:val="00526267"/>
    <w:rsid w:val="005263FC"/>
    <w:rsid w:val="00526484"/>
    <w:rsid w:val="00526723"/>
    <w:rsid w:val="005267F7"/>
    <w:rsid w:val="005269E5"/>
    <w:rsid w:val="00526D16"/>
    <w:rsid w:val="00526DAE"/>
    <w:rsid w:val="00527050"/>
    <w:rsid w:val="00527083"/>
    <w:rsid w:val="005270AD"/>
    <w:rsid w:val="00527169"/>
    <w:rsid w:val="005271BB"/>
    <w:rsid w:val="0052738E"/>
    <w:rsid w:val="005276CD"/>
    <w:rsid w:val="00527884"/>
    <w:rsid w:val="00527894"/>
    <w:rsid w:val="00527898"/>
    <w:rsid w:val="00527986"/>
    <w:rsid w:val="00527A71"/>
    <w:rsid w:val="00527D19"/>
    <w:rsid w:val="00527F19"/>
    <w:rsid w:val="00527F7D"/>
    <w:rsid w:val="00530042"/>
    <w:rsid w:val="00530274"/>
    <w:rsid w:val="005303ED"/>
    <w:rsid w:val="00530582"/>
    <w:rsid w:val="00530743"/>
    <w:rsid w:val="005307CB"/>
    <w:rsid w:val="00530997"/>
    <w:rsid w:val="00530A40"/>
    <w:rsid w:val="00530AF5"/>
    <w:rsid w:val="00530ED0"/>
    <w:rsid w:val="00531231"/>
    <w:rsid w:val="0053141F"/>
    <w:rsid w:val="005317BF"/>
    <w:rsid w:val="00531944"/>
    <w:rsid w:val="0053199D"/>
    <w:rsid w:val="005319CE"/>
    <w:rsid w:val="00531DE4"/>
    <w:rsid w:val="00531F07"/>
    <w:rsid w:val="00531F77"/>
    <w:rsid w:val="0053211E"/>
    <w:rsid w:val="005323A0"/>
    <w:rsid w:val="005324EB"/>
    <w:rsid w:val="00532A44"/>
    <w:rsid w:val="00532A68"/>
    <w:rsid w:val="00532A6F"/>
    <w:rsid w:val="00532ABC"/>
    <w:rsid w:val="00532D60"/>
    <w:rsid w:val="00532DFC"/>
    <w:rsid w:val="00532EC2"/>
    <w:rsid w:val="005331E8"/>
    <w:rsid w:val="0053341F"/>
    <w:rsid w:val="005334B2"/>
    <w:rsid w:val="00533A17"/>
    <w:rsid w:val="00533B09"/>
    <w:rsid w:val="00533BF3"/>
    <w:rsid w:val="00533D36"/>
    <w:rsid w:val="00533DE5"/>
    <w:rsid w:val="00533F48"/>
    <w:rsid w:val="00533F8D"/>
    <w:rsid w:val="00534231"/>
    <w:rsid w:val="005342EA"/>
    <w:rsid w:val="0053434F"/>
    <w:rsid w:val="0053456A"/>
    <w:rsid w:val="0053458F"/>
    <w:rsid w:val="00534763"/>
    <w:rsid w:val="0053496A"/>
    <w:rsid w:val="00534A8B"/>
    <w:rsid w:val="00534B12"/>
    <w:rsid w:val="00534C07"/>
    <w:rsid w:val="00534C75"/>
    <w:rsid w:val="00534CC9"/>
    <w:rsid w:val="00534EB5"/>
    <w:rsid w:val="00534F3B"/>
    <w:rsid w:val="0053517D"/>
    <w:rsid w:val="005351C7"/>
    <w:rsid w:val="0053529D"/>
    <w:rsid w:val="005352DA"/>
    <w:rsid w:val="0053563B"/>
    <w:rsid w:val="0053566D"/>
    <w:rsid w:val="0053566E"/>
    <w:rsid w:val="00535A96"/>
    <w:rsid w:val="00535B92"/>
    <w:rsid w:val="00535C22"/>
    <w:rsid w:val="00535C93"/>
    <w:rsid w:val="00535CAF"/>
    <w:rsid w:val="00535CD9"/>
    <w:rsid w:val="00535E60"/>
    <w:rsid w:val="00535E7F"/>
    <w:rsid w:val="00535EC3"/>
    <w:rsid w:val="00536009"/>
    <w:rsid w:val="005360E4"/>
    <w:rsid w:val="0053622B"/>
    <w:rsid w:val="00536244"/>
    <w:rsid w:val="0053625B"/>
    <w:rsid w:val="0053627A"/>
    <w:rsid w:val="00536318"/>
    <w:rsid w:val="005368B9"/>
    <w:rsid w:val="00536973"/>
    <w:rsid w:val="00536C3E"/>
    <w:rsid w:val="00536DD1"/>
    <w:rsid w:val="00536F1A"/>
    <w:rsid w:val="00537056"/>
    <w:rsid w:val="0053709A"/>
    <w:rsid w:val="00537535"/>
    <w:rsid w:val="00537622"/>
    <w:rsid w:val="005377F1"/>
    <w:rsid w:val="005377FE"/>
    <w:rsid w:val="005378BE"/>
    <w:rsid w:val="00537A8D"/>
    <w:rsid w:val="00537EF6"/>
    <w:rsid w:val="00537F44"/>
    <w:rsid w:val="0054001C"/>
    <w:rsid w:val="005402C4"/>
    <w:rsid w:val="005404D8"/>
    <w:rsid w:val="005405FF"/>
    <w:rsid w:val="005407A1"/>
    <w:rsid w:val="005408E2"/>
    <w:rsid w:val="00540905"/>
    <w:rsid w:val="00540B04"/>
    <w:rsid w:val="00540B08"/>
    <w:rsid w:val="00540BBA"/>
    <w:rsid w:val="00540C1A"/>
    <w:rsid w:val="00540C22"/>
    <w:rsid w:val="00540ECD"/>
    <w:rsid w:val="00541091"/>
    <w:rsid w:val="005413E1"/>
    <w:rsid w:val="005414B0"/>
    <w:rsid w:val="00541675"/>
    <w:rsid w:val="0054173A"/>
    <w:rsid w:val="005418CD"/>
    <w:rsid w:val="005418FB"/>
    <w:rsid w:val="00541B22"/>
    <w:rsid w:val="00541DD9"/>
    <w:rsid w:val="00541F7C"/>
    <w:rsid w:val="00541F8E"/>
    <w:rsid w:val="00542029"/>
    <w:rsid w:val="0054207B"/>
    <w:rsid w:val="00542164"/>
    <w:rsid w:val="00542389"/>
    <w:rsid w:val="005426A2"/>
    <w:rsid w:val="005426B8"/>
    <w:rsid w:val="005427BF"/>
    <w:rsid w:val="0054281E"/>
    <w:rsid w:val="0054298C"/>
    <w:rsid w:val="00542AD6"/>
    <w:rsid w:val="00542BB4"/>
    <w:rsid w:val="00542C8E"/>
    <w:rsid w:val="00542CDC"/>
    <w:rsid w:val="00542E7D"/>
    <w:rsid w:val="00542EEB"/>
    <w:rsid w:val="00542F6C"/>
    <w:rsid w:val="00543016"/>
    <w:rsid w:val="00543330"/>
    <w:rsid w:val="005433D9"/>
    <w:rsid w:val="005434BB"/>
    <w:rsid w:val="00543532"/>
    <w:rsid w:val="0054367D"/>
    <w:rsid w:val="00543872"/>
    <w:rsid w:val="00543953"/>
    <w:rsid w:val="00543C4E"/>
    <w:rsid w:val="00543EBC"/>
    <w:rsid w:val="00543EC8"/>
    <w:rsid w:val="00543EF2"/>
    <w:rsid w:val="005441C6"/>
    <w:rsid w:val="005442D3"/>
    <w:rsid w:val="005447A7"/>
    <w:rsid w:val="00544B23"/>
    <w:rsid w:val="00544D20"/>
    <w:rsid w:val="00544D8A"/>
    <w:rsid w:val="00544DE6"/>
    <w:rsid w:val="00544E43"/>
    <w:rsid w:val="00544F80"/>
    <w:rsid w:val="00544FD1"/>
    <w:rsid w:val="00545335"/>
    <w:rsid w:val="0054540A"/>
    <w:rsid w:val="00545465"/>
    <w:rsid w:val="00545661"/>
    <w:rsid w:val="005457A3"/>
    <w:rsid w:val="005458A3"/>
    <w:rsid w:val="005458F0"/>
    <w:rsid w:val="00545B52"/>
    <w:rsid w:val="00545C44"/>
    <w:rsid w:val="00545D01"/>
    <w:rsid w:val="00545DB6"/>
    <w:rsid w:val="00546006"/>
    <w:rsid w:val="0054617C"/>
    <w:rsid w:val="0054624E"/>
    <w:rsid w:val="00546587"/>
    <w:rsid w:val="005469C0"/>
    <w:rsid w:val="00546A1D"/>
    <w:rsid w:val="00546AA0"/>
    <w:rsid w:val="00546C8C"/>
    <w:rsid w:val="00546CB0"/>
    <w:rsid w:val="00546D1D"/>
    <w:rsid w:val="00546E3D"/>
    <w:rsid w:val="00547108"/>
    <w:rsid w:val="005474BD"/>
    <w:rsid w:val="00547819"/>
    <w:rsid w:val="005478A6"/>
    <w:rsid w:val="005478B0"/>
    <w:rsid w:val="005478BE"/>
    <w:rsid w:val="005478CD"/>
    <w:rsid w:val="0054790F"/>
    <w:rsid w:val="0054796B"/>
    <w:rsid w:val="00547BAC"/>
    <w:rsid w:val="00547C3C"/>
    <w:rsid w:val="00547C58"/>
    <w:rsid w:val="00547E12"/>
    <w:rsid w:val="00547F86"/>
    <w:rsid w:val="00550107"/>
    <w:rsid w:val="00550290"/>
    <w:rsid w:val="00550424"/>
    <w:rsid w:val="005506F0"/>
    <w:rsid w:val="00550716"/>
    <w:rsid w:val="00550893"/>
    <w:rsid w:val="005508C4"/>
    <w:rsid w:val="00550EE4"/>
    <w:rsid w:val="0055114E"/>
    <w:rsid w:val="005511E3"/>
    <w:rsid w:val="005512E7"/>
    <w:rsid w:val="005513DC"/>
    <w:rsid w:val="0055142F"/>
    <w:rsid w:val="00551483"/>
    <w:rsid w:val="005515DC"/>
    <w:rsid w:val="00551616"/>
    <w:rsid w:val="005516B9"/>
    <w:rsid w:val="00551721"/>
    <w:rsid w:val="00551B68"/>
    <w:rsid w:val="00551FDE"/>
    <w:rsid w:val="00552083"/>
    <w:rsid w:val="0055218F"/>
    <w:rsid w:val="00552221"/>
    <w:rsid w:val="00552394"/>
    <w:rsid w:val="00552719"/>
    <w:rsid w:val="00552944"/>
    <w:rsid w:val="005529DD"/>
    <w:rsid w:val="00552BCA"/>
    <w:rsid w:val="00552BF0"/>
    <w:rsid w:val="00552E08"/>
    <w:rsid w:val="00552E4B"/>
    <w:rsid w:val="00552EA1"/>
    <w:rsid w:val="00553232"/>
    <w:rsid w:val="0055327A"/>
    <w:rsid w:val="005532F9"/>
    <w:rsid w:val="00553316"/>
    <w:rsid w:val="00553604"/>
    <w:rsid w:val="00553749"/>
    <w:rsid w:val="00553884"/>
    <w:rsid w:val="0055390F"/>
    <w:rsid w:val="00553A6B"/>
    <w:rsid w:val="00553A88"/>
    <w:rsid w:val="00553B22"/>
    <w:rsid w:val="005544A9"/>
    <w:rsid w:val="0055462A"/>
    <w:rsid w:val="00554925"/>
    <w:rsid w:val="0055494A"/>
    <w:rsid w:val="00554E88"/>
    <w:rsid w:val="00554FD5"/>
    <w:rsid w:val="0055524D"/>
    <w:rsid w:val="0055533B"/>
    <w:rsid w:val="00555483"/>
    <w:rsid w:val="005554AE"/>
    <w:rsid w:val="005554E2"/>
    <w:rsid w:val="00555627"/>
    <w:rsid w:val="0055562E"/>
    <w:rsid w:val="005557AA"/>
    <w:rsid w:val="00555B70"/>
    <w:rsid w:val="00555BAA"/>
    <w:rsid w:val="00555C87"/>
    <w:rsid w:val="00555D16"/>
    <w:rsid w:val="00555E44"/>
    <w:rsid w:val="00555EBE"/>
    <w:rsid w:val="00555EDB"/>
    <w:rsid w:val="0055649E"/>
    <w:rsid w:val="005567CA"/>
    <w:rsid w:val="00556977"/>
    <w:rsid w:val="00556B96"/>
    <w:rsid w:val="00556C90"/>
    <w:rsid w:val="00556C98"/>
    <w:rsid w:val="00556E03"/>
    <w:rsid w:val="00557202"/>
    <w:rsid w:val="005572A9"/>
    <w:rsid w:val="00557413"/>
    <w:rsid w:val="0055753D"/>
    <w:rsid w:val="0055778B"/>
    <w:rsid w:val="00557986"/>
    <w:rsid w:val="00557A12"/>
    <w:rsid w:val="00557C82"/>
    <w:rsid w:val="00557D09"/>
    <w:rsid w:val="00557D1C"/>
    <w:rsid w:val="005600AE"/>
    <w:rsid w:val="005602D4"/>
    <w:rsid w:val="00560303"/>
    <w:rsid w:val="00560395"/>
    <w:rsid w:val="00560676"/>
    <w:rsid w:val="005607CA"/>
    <w:rsid w:val="00560833"/>
    <w:rsid w:val="00560982"/>
    <w:rsid w:val="00560D16"/>
    <w:rsid w:val="00560DAC"/>
    <w:rsid w:val="00560E79"/>
    <w:rsid w:val="00561165"/>
    <w:rsid w:val="005615F1"/>
    <w:rsid w:val="00561620"/>
    <w:rsid w:val="00561649"/>
    <w:rsid w:val="00561759"/>
    <w:rsid w:val="00561883"/>
    <w:rsid w:val="005619AE"/>
    <w:rsid w:val="00561DC4"/>
    <w:rsid w:val="00561EBC"/>
    <w:rsid w:val="0056205F"/>
    <w:rsid w:val="0056210D"/>
    <w:rsid w:val="0056220F"/>
    <w:rsid w:val="00562324"/>
    <w:rsid w:val="0056239B"/>
    <w:rsid w:val="00562425"/>
    <w:rsid w:val="00562642"/>
    <w:rsid w:val="00562729"/>
    <w:rsid w:val="00562813"/>
    <w:rsid w:val="0056296D"/>
    <w:rsid w:val="00562E22"/>
    <w:rsid w:val="00562E6B"/>
    <w:rsid w:val="00562EC3"/>
    <w:rsid w:val="00562ED1"/>
    <w:rsid w:val="00562F12"/>
    <w:rsid w:val="005631EA"/>
    <w:rsid w:val="005632BC"/>
    <w:rsid w:val="00563574"/>
    <w:rsid w:val="00563B22"/>
    <w:rsid w:val="00563B35"/>
    <w:rsid w:val="00563CB6"/>
    <w:rsid w:val="00563D62"/>
    <w:rsid w:val="00563FF3"/>
    <w:rsid w:val="00564060"/>
    <w:rsid w:val="00564092"/>
    <w:rsid w:val="0056426F"/>
    <w:rsid w:val="0056434D"/>
    <w:rsid w:val="00564389"/>
    <w:rsid w:val="0056450B"/>
    <w:rsid w:val="005645F7"/>
    <w:rsid w:val="005647C1"/>
    <w:rsid w:val="005649B8"/>
    <w:rsid w:val="005649C8"/>
    <w:rsid w:val="00564A78"/>
    <w:rsid w:val="00564E19"/>
    <w:rsid w:val="00564FF8"/>
    <w:rsid w:val="005650D7"/>
    <w:rsid w:val="005650EC"/>
    <w:rsid w:val="005651A3"/>
    <w:rsid w:val="005651B4"/>
    <w:rsid w:val="005651BA"/>
    <w:rsid w:val="0056537F"/>
    <w:rsid w:val="005653AA"/>
    <w:rsid w:val="005653E8"/>
    <w:rsid w:val="0056551A"/>
    <w:rsid w:val="00565585"/>
    <w:rsid w:val="005656D7"/>
    <w:rsid w:val="0056595A"/>
    <w:rsid w:val="005659DC"/>
    <w:rsid w:val="00565B5C"/>
    <w:rsid w:val="00565C16"/>
    <w:rsid w:val="00565C47"/>
    <w:rsid w:val="00565CF1"/>
    <w:rsid w:val="00565E28"/>
    <w:rsid w:val="00566001"/>
    <w:rsid w:val="005660E8"/>
    <w:rsid w:val="00566196"/>
    <w:rsid w:val="005663F5"/>
    <w:rsid w:val="005666F1"/>
    <w:rsid w:val="00566964"/>
    <w:rsid w:val="00566B21"/>
    <w:rsid w:val="00566DB3"/>
    <w:rsid w:val="00566E44"/>
    <w:rsid w:val="00566E60"/>
    <w:rsid w:val="0056714E"/>
    <w:rsid w:val="0056750E"/>
    <w:rsid w:val="0056758E"/>
    <w:rsid w:val="00567752"/>
    <w:rsid w:val="00567908"/>
    <w:rsid w:val="00567A51"/>
    <w:rsid w:val="00567B1C"/>
    <w:rsid w:val="00567BB6"/>
    <w:rsid w:val="00567E3B"/>
    <w:rsid w:val="00567E9E"/>
    <w:rsid w:val="00570108"/>
    <w:rsid w:val="005702AB"/>
    <w:rsid w:val="00570535"/>
    <w:rsid w:val="0057060C"/>
    <w:rsid w:val="00570A52"/>
    <w:rsid w:val="00570C9A"/>
    <w:rsid w:val="00570CAA"/>
    <w:rsid w:val="00570D14"/>
    <w:rsid w:val="00570D49"/>
    <w:rsid w:val="00570DA9"/>
    <w:rsid w:val="00570FC0"/>
    <w:rsid w:val="005711C3"/>
    <w:rsid w:val="00571252"/>
    <w:rsid w:val="00571311"/>
    <w:rsid w:val="005713DE"/>
    <w:rsid w:val="00571411"/>
    <w:rsid w:val="00571772"/>
    <w:rsid w:val="00571851"/>
    <w:rsid w:val="0057189A"/>
    <w:rsid w:val="00571BEA"/>
    <w:rsid w:val="00571D5F"/>
    <w:rsid w:val="00571E30"/>
    <w:rsid w:val="005722B8"/>
    <w:rsid w:val="005725C5"/>
    <w:rsid w:val="00572846"/>
    <w:rsid w:val="005728A4"/>
    <w:rsid w:val="005728A9"/>
    <w:rsid w:val="00572963"/>
    <w:rsid w:val="00572AD7"/>
    <w:rsid w:val="00572B69"/>
    <w:rsid w:val="00572C08"/>
    <w:rsid w:val="00572FF3"/>
    <w:rsid w:val="005730A5"/>
    <w:rsid w:val="005732B3"/>
    <w:rsid w:val="005733BA"/>
    <w:rsid w:val="005734E2"/>
    <w:rsid w:val="005737ED"/>
    <w:rsid w:val="005739E9"/>
    <w:rsid w:val="00573B5D"/>
    <w:rsid w:val="00573C02"/>
    <w:rsid w:val="00573C6C"/>
    <w:rsid w:val="00573CAB"/>
    <w:rsid w:val="00573D43"/>
    <w:rsid w:val="005744C9"/>
    <w:rsid w:val="005745C3"/>
    <w:rsid w:val="005745FE"/>
    <w:rsid w:val="00574AF5"/>
    <w:rsid w:val="00574B42"/>
    <w:rsid w:val="00574B54"/>
    <w:rsid w:val="00574CD4"/>
    <w:rsid w:val="00574EFA"/>
    <w:rsid w:val="005751AF"/>
    <w:rsid w:val="00575258"/>
    <w:rsid w:val="0057529F"/>
    <w:rsid w:val="00575358"/>
    <w:rsid w:val="0057578B"/>
    <w:rsid w:val="00575A23"/>
    <w:rsid w:val="00575B0E"/>
    <w:rsid w:val="00575CA9"/>
    <w:rsid w:val="00575E63"/>
    <w:rsid w:val="00575FF5"/>
    <w:rsid w:val="0057618C"/>
    <w:rsid w:val="005762E0"/>
    <w:rsid w:val="005763D5"/>
    <w:rsid w:val="00576520"/>
    <w:rsid w:val="0057657B"/>
    <w:rsid w:val="005765E1"/>
    <w:rsid w:val="0057661F"/>
    <w:rsid w:val="00576BC9"/>
    <w:rsid w:val="00576C1B"/>
    <w:rsid w:val="00576C63"/>
    <w:rsid w:val="00576CC0"/>
    <w:rsid w:val="00576E0E"/>
    <w:rsid w:val="00577048"/>
    <w:rsid w:val="00577491"/>
    <w:rsid w:val="0057749B"/>
    <w:rsid w:val="00577518"/>
    <w:rsid w:val="005775E0"/>
    <w:rsid w:val="00577886"/>
    <w:rsid w:val="005778D7"/>
    <w:rsid w:val="00577B80"/>
    <w:rsid w:val="00577D73"/>
    <w:rsid w:val="00577F80"/>
    <w:rsid w:val="0058008B"/>
    <w:rsid w:val="005803B9"/>
    <w:rsid w:val="00580427"/>
    <w:rsid w:val="00580604"/>
    <w:rsid w:val="0058075B"/>
    <w:rsid w:val="00580850"/>
    <w:rsid w:val="00580933"/>
    <w:rsid w:val="00580ADE"/>
    <w:rsid w:val="00580C4B"/>
    <w:rsid w:val="0058132A"/>
    <w:rsid w:val="005813B0"/>
    <w:rsid w:val="005815B6"/>
    <w:rsid w:val="005816B7"/>
    <w:rsid w:val="00581979"/>
    <w:rsid w:val="005819E9"/>
    <w:rsid w:val="00581A15"/>
    <w:rsid w:val="00581CE7"/>
    <w:rsid w:val="00581CEC"/>
    <w:rsid w:val="00581DA1"/>
    <w:rsid w:val="005821F4"/>
    <w:rsid w:val="005822A4"/>
    <w:rsid w:val="0058236A"/>
    <w:rsid w:val="005824D0"/>
    <w:rsid w:val="00582DAA"/>
    <w:rsid w:val="00582E36"/>
    <w:rsid w:val="005832F9"/>
    <w:rsid w:val="0058333B"/>
    <w:rsid w:val="00583422"/>
    <w:rsid w:val="005834C1"/>
    <w:rsid w:val="0058350A"/>
    <w:rsid w:val="005835CC"/>
    <w:rsid w:val="005838B9"/>
    <w:rsid w:val="005838F7"/>
    <w:rsid w:val="00583B21"/>
    <w:rsid w:val="00583C1D"/>
    <w:rsid w:val="00583F7D"/>
    <w:rsid w:val="00583FEC"/>
    <w:rsid w:val="00584098"/>
    <w:rsid w:val="0058410E"/>
    <w:rsid w:val="00584461"/>
    <w:rsid w:val="0058451C"/>
    <w:rsid w:val="005845BC"/>
    <w:rsid w:val="00584AE3"/>
    <w:rsid w:val="00584C5F"/>
    <w:rsid w:val="00584EB9"/>
    <w:rsid w:val="00584EFB"/>
    <w:rsid w:val="00584FA7"/>
    <w:rsid w:val="00584FD4"/>
    <w:rsid w:val="0058532E"/>
    <w:rsid w:val="00585780"/>
    <w:rsid w:val="005858E4"/>
    <w:rsid w:val="00585B38"/>
    <w:rsid w:val="00585F95"/>
    <w:rsid w:val="00586146"/>
    <w:rsid w:val="00586190"/>
    <w:rsid w:val="005862C7"/>
    <w:rsid w:val="00586359"/>
    <w:rsid w:val="0058643D"/>
    <w:rsid w:val="005865C8"/>
    <w:rsid w:val="0058667F"/>
    <w:rsid w:val="0058696C"/>
    <w:rsid w:val="00586AF5"/>
    <w:rsid w:val="00586BB6"/>
    <w:rsid w:val="00586EE5"/>
    <w:rsid w:val="00587018"/>
    <w:rsid w:val="0058703B"/>
    <w:rsid w:val="0058706E"/>
    <w:rsid w:val="005872C0"/>
    <w:rsid w:val="0058739B"/>
    <w:rsid w:val="00587583"/>
    <w:rsid w:val="0058765F"/>
    <w:rsid w:val="00587A12"/>
    <w:rsid w:val="00587D7C"/>
    <w:rsid w:val="00587F3B"/>
    <w:rsid w:val="005900FE"/>
    <w:rsid w:val="00590101"/>
    <w:rsid w:val="0059013B"/>
    <w:rsid w:val="00590144"/>
    <w:rsid w:val="00590276"/>
    <w:rsid w:val="005902E5"/>
    <w:rsid w:val="00590373"/>
    <w:rsid w:val="005904E3"/>
    <w:rsid w:val="005906DA"/>
    <w:rsid w:val="0059080E"/>
    <w:rsid w:val="005908FD"/>
    <w:rsid w:val="00590ED7"/>
    <w:rsid w:val="00590F46"/>
    <w:rsid w:val="00590F54"/>
    <w:rsid w:val="005911A9"/>
    <w:rsid w:val="00591227"/>
    <w:rsid w:val="0059125C"/>
    <w:rsid w:val="00591435"/>
    <w:rsid w:val="005915B7"/>
    <w:rsid w:val="005917B5"/>
    <w:rsid w:val="005917B9"/>
    <w:rsid w:val="0059187C"/>
    <w:rsid w:val="0059194F"/>
    <w:rsid w:val="00591B89"/>
    <w:rsid w:val="00591BE3"/>
    <w:rsid w:val="00591DB3"/>
    <w:rsid w:val="00591E66"/>
    <w:rsid w:val="00591E79"/>
    <w:rsid w:val="00592030"/>
    <w:rsid w:val="00592185"/>
    <w:rsid w:val="005922AC"/>
    <w:rsid w:val="0059234A"/>
    <w:rsid w:val="005928A6"/>
    <w:rsid w:val="00592954"/>
    <w:rsid w:val="00592AA7"/>
    <w:rsid w:val="00592C11"/>
    <w:rsid w:val="00592DD2"/>
    <w:rsid w:val="00592EB0"/>
    <w:rsid w:val="00592F83"/>
    <w:rsid w:val="00593224"/>
    <w:rsid w:val="0059347D"/>
    <w:rsid w:val="005939EA"/>
    <w:rsid w:val="00593A2B"/>
    <w:rsid w:val="00593B48"/>
    <w:rsid w:val="00593BB6"/>
    <w:rsid w:val="00593E35"/>
    <w:rsid w:val="0059415F"/>
    <w:rsid w:val="005941AF"/>
    <w:rsid w:val="00594215"/>
    <w:rsid w:val="005944BE"/>
    <w:rsid w:val="00594872"/>
    <w:rsid w:val="00594908"/>
    <w:rsid w:val="00594D8C"/>
    <w:rsid w:val="00594DB9"/>
    <w:rsid w:val="00594DDE"/>
    <w:rsid w:val="00594ECA"/>
    <w:rsid w:val="0059513B"/>
    <w:rsid w:val="00595472"/>
    <w:rsid w:val="005955AE"/>
    <w:rsid w:val="005955C9"/>
    <w:rsid w:val="005955CE"/>
    <w:rsid w:val="00595821"/>
    <w:rsid w:val="00595856"/>
    <w:rsid w:val="00595B8C"/>
    <w:rsid w:val="00595BE0"/>
    <w:rsid w:val="00595CE6"/>
    <w:rsid w:val="00595D89"/>
    <w:rsid w:val="00595EC2"/>
    <w:rsid w:val="00595EE4"/>
    <w:rsid w:val="00596143"/>
    <w:rsid w:val="0059619C"/>
    <w:rsid w:val="005961B0"/>
    <w:rsid w:val="00596364"/>
    <w:rsid w:val="00596407"/>
    <w:rsid w:val="00596467"/>
    <w:rsid w:val="00596620"/>
    <w:rsid w:val="005966F0"/>
    <w:rsid w:val="0059698D"/>
    <w:rsid w:val="00596A23"/>
    <w:rsid w:val="00596ACE"/>
    <w:rsid w:val="00596AF1"/>
    <w:rsid w:val="00596EF9"/>
    <w:rsid w:val="0059701B"/>
    <w:rsid w:val="00597031"/>
    <w:rsid w:val="00597228"/>
    <w:rsid w:val="005972B7"/>
    <w:rsid w:val="005972C9"/>
    <w:rsid w:val="0059742D"/>
    <w:rsid w:val="005976C6"/>
    <w:rsid w:val="00597809"/>
    <w:rsid w:val="00597A7F"/>
    <w:rsid w:val="00597B09"/>
    <w:rsid w:val="00597EB4"/>
    <w:rsid w:val="00597F20"/>
    <w:rsid w:val="005A0015"/>
    <w:rsid w:val="005A03DF"/>
    <w:rsid w:val="005A048F"/>
    <w:rsid w:val="005A054B"/>
    <w:rsid w:val="005A066F"/>
    <w:rsid w:val="005A06C0"/>
    <w:rsid w:val="005A07B4"/>
    <w:rsid w:val="005A099F"/>
    <w:rsid w:val="005A0B05"/>
    <w:rsid w:val="005A0F60"/>
    <w:rsid w:val="005A1126"/>
    <w:rsid w:val="005A1182"/>
    <w:rsid w:val="005A1241"/>
    <w:rsid w:val="005A1273"/>
    <w:rsid w:val="005A1277"/>
    <w:rsid w:val="005A1420"/>
    <w:rsid w:val="005A1777"/>
    <w:rsid w:val="005A188D"/>
    <w:rsid w:val="005A2007"/>
    <w:rsid w:val="005A2092"/>
    <w:rsid w:val="005A242D"/>
    <w:rsid w:val="005A261C"/>
    <w:rsid w:val="005A2675"/>
    <w:rsid w:val="005A29AB"/>
    <w:rsid w:val="005A2C1B"/>
    <w:rsid w:val="005A2C66"/>
    <w:rsid w:val="005A2CAA"/>
    <w:rsid w:val="005A2D06"/>
    <w:rsid w:val="005A2E34"/>
    <w:rsid w:val="005A2E75"/>
    <w:rsid w:val="005A2F15"/>
    <w:rsid w:val="005A2F28"/>
    <w:rsid w:val="005A305A"/>
    <w:rsid w:val="005A3258"/>
    <w:rsid w:val="005A32EC"/>
    <w:rsid w:val="005A353A"/>
    <w:rsid w:val="005A3554"/>
    <w:rsid w:val="005A35AF"/>
    <w:rsid w:val="005A3716"/>
    <w:rsid w:val="005A3756"/>
    <w:rsid w:val="005A3885"/>
    <w:rsid w:val="005A39FE"/>
    <w:rsid w:val="005A3A75"/>
    <w:rsid w:val="005A3C5F"/>
    <w:rsid w:val="005A3D11"/>
    <w:rsid w:val="005A3DFB"/>
    <w:rsid w:val="005A3F8E"/>
    <w:rsid w:val="005A40B2"/>
    <w:rsid w:val="005A44ED"/>
    <w:rsid w:val="005A4503"/>
    <w:rsid w:val="005A458D"/>
    <w:rsid w:val="005A46D4"/>
    <w:rsid w:val="005A4A2A"/>
    <w:rsid w:val="005A509D"/>
    <w:rsid w:val="005A51C7"/>
    <w:rsid w:val="005A521B"/>
    <w:rsid w:val="005A527E"/>
    <w:rsid w:val="005A52E3"/>
    <w:rsid w:val="005A530D"/>
    <w:rsid w:val="005A5733"/>
    <w:rsid w:val="005A5872"/>
    <w:rsid w:val="005A589B"/>
    <w:rsid w:val="005A5F0C"/>
    <w:rsid w:val="005A644E"/>
    <w:rsid w:val="005A656B"/>
    <w:rsid w:val="005A663F"/>
    <w:rsid w:val="005A66F0"/>
    <w:rsid w:val="005A6790"/>
    <w:rsid w:val="005A6A8C"/>
    <w:rsid w:val="005A6AA5"/>
    <w:rsid w:val="005A6B53"/>
    <w:rsid w:val="005A6C76"/>
    <w:rsid w:val="005A6CFA"/>
    <w:rsid w:val="005A6DF3"/>
    <w:rsid w:val="005A6EB1"/>
    <w:rsid w:val="005A708B"/>
    <w:rsid w:val="005A7142"/>
    <w:rsid w:val="005A732E"/>
    <w:rsid w:val="005A7714"/>
    <w:rsid w:val="005A7892"/>
    <w:rsid w:val="005A7915"/>
    <w:rsid w:val="005A7A5B"/>
    <w:rsid w:val="005A7B99"/>
    <w:rsid w:val="005A7E06"/>
    <w:rsid w:val="005A7F64"/>
    <w:rsid w:val="005A7F73"/>
    <w:rsid w:val="005B00CA"/>
    <w:rsid w:val="005B018D"/>
    <w:rsid w:val="005B03F9"/>
    <w:rsid w:val="005B04F1"/>
    <w:rsid w:val="005B0A43"/>
    <w:rsid w:val="005B0B43"/>
    <w:rsid w:val="005B0D10"/>
    <w:rsid w:val="005B0D24"/>
    <w:rsid w:val="005B0E55"/>
    <w:rsid w:val="005B0FB6"/>
    <w:rsid w:val="005B1172"/>
    <w:rsid w:val="005B128B"/>
    <w:rsid w:val="005B1422"/>
    <w:rsid w:val="005B161A"/>
    <w:rsid w:val="005B1755"/>
    <w:rsid w:val="005B177A"/>
    <w:rsid w:val="005B18C2"/>
    <w:rsid w:val="005B1C16"/>
    <w:rsid w:val="005B213A"/>
    <w:rsid w:val="005B22C7"/>
    <w:rsid w:val="005B2324"/>
    <w:rsid w:val="005B289C"/>
    <w:rsid w:val="005B293E"/>
    <w:rsid w:val="005B2B0B"/>
    <w:rsid w:val="005B2B83"/>
    <w:rsid w:val="005B2BD8"/>
    <w:rsid w:val="005B2C67"/>
    <w:rsid w:val="005B31C5"/>
    <w:rsid w:val="005B3201"/>
    <w:rsid w:val="005B3295"/>
    <w:rsid w:val="005B3414"/>
    <w:rsid w:val="005B347C"/>
    <w:rsid w:val="005B3628"/>
    <w:rsid w:val="005B36F2"/>
    <w:rsid w:val="005B3720"/>
    <w:rsid w:val="005B37F9"/>
    <w:rsid w:val="005B39B2"/>
    <w:rsid w:val="005B39D5"/>
    <w:rsid w:val="005B3A98"/>
    <w:rsid w:val="005B3BD6"/>
    <w:rsid w:val="005B3C90"/>
    <w:rsid w:val="005B3D20"/>
    <w:rsid w:val="005B3F37"/>
    <w:rsid w:val="005B41BB"/>
    <w:rsid w:val="005B42CE"/>
    <w:rsid w:val="005B4715"/>
    <w:rsid w:val="005B4832"/>
    <w:rsid w:val="005B496D"/>
    <w:rsid w:val="005B4A5A"/>
    <w:rsid w:val="005B4B57"/>
    <w:rsid w:val="005B4BBC"/>
    <w:rsid w:val="005B4CFC"/>
    <w:rsid w:val="005B52A3"/>
    <w:rsid w:val="005B52F6"/>
    <w:rsid w:val="005B54E0"/>
    <w:rsid w:val="005B55B1"/>
    <w:rsid w:val="005B58B3"/>
    <w:rsid w:val="005B59CF"/>
    <w:rsid w:val="005B5A8E"/>
    <w:rsid w:val="005B5A94"/>
    <w:rsid w:val="005B5B30"/>
    <w:rsid w:val="005B60F5"/>
    <w:rsid w:val="005B6103"/>
    <w:rsid w:val="005B6452"/>
    <w:rsid w:val="005B6555"/>
    <w:rsid w:val="005B65A5"/>
    <w:rsid w:val="005B6699"/>
    <w:rsid w:val="005B6743"/>
    <w:rsid w:val="005B6DFF"/>
    <w:rsid w:val="005B710E"/>
    <w:rsid w:val="005B72FF"/>
    <w:rsid w:val="005B7331"/>
    <w:rsid w:val="005B7335"/>
    <w:rsid w:val="005B73C7"/>
    <w:rsid w:val="005B74AF"/>
    <w:rsid w:val="005B7A1F"/>
    <w:rsid w:val="005B7CFE"/>
    <w:rsid w:val="005B7D6B"/>
    <w:rsid w:val="005B7DD6"/>
    <w:rsid w:val="005B7E09"/>
    <w:rsid w:val="005B7E73"/>
    <w:rsid w:val="005C0089"/>
    <w:rsid w:val="005C00D8"/>
    <w:rsid w:val="005C021C"/>
    <w:rsid w:val="005C067F"/>
    <w:rsid w:val="005C07DD"/>
    <w:rsid w:val="005C0807"/>
    <w:rsid w:val="005C0898"/>
    <w:rsid w:val="005C0997"/>
    <w:rsid w:val="005C09D2"/>
    <w:rsid w:val="005C0BDA"/>
    <w:rsid w:val="005C0C1A"/>
    <w:rsid w:val="005C0E6F"/>
    <w:rsid w:val="005C0EE2"/>
    <w:rsid w:val="005C116B"/>
    <w:rsid w:val="005C11E2"/>
    <w:rsid w:val="005C11F2"/>
    <w:rsid w:val="005C158B"/>
    <w:rsid w:val="005C1647"/>
    <w:rsid w:val="005C1679"/>
    <w:rsid w:val="005C1884"/>
    <w:rsid w:val="005C196F"/>
    <w:rsid w:val="005C19C3"/>
    <w:rsid w:val="005C1C69"/>
    <w:rsid w:val="005C1DDD"/>
    <w:rsid w:val="005C1ECA"/>
    <w:rsid w:val="005C215C"/>
    <w:rsid w:val="005C238A"/>
    <w:rsid w:val="005C2527"/>
    <w:rsid w:val="005C25B8"/>
    <w:rsid w:val="005C2655"/>
    <w:rsid w:val="005C2B5B"/>
    <w:rsid w:val="005C2BBA"/>
    <w:rsid w:val="005C2BED"/>
    <w:rsid w:val="005C2C91"/>
    <w:rsid w:val="005C2D73"/>
    <w:rsid w:val="005C2E3D"/>
    <w:rsid w:val="005C2F01"/>
    <w:rsid w:val="005C2F20"/>
    <w:rsid w:val="005C2FAF"/>
    <w:rsid w:val="005C3146"/>
    <w:rsid w:val="005C31C0"/>
    <w:rsid w:val="005C32F3"/>
    <w:rsid w:val="005C3374"/>
    <w:rsid w:val="005C33E6"/>
    <w:rsid w:val="005C3441"/>
    <w:rsid w:val="005C34DB"/>
    <w:rsid w:val="005C35C4"/>
    <w:rsid w:val="005C3804"/>
    <w:rsid w:val="005C39D1"/>
    <w:rsid w:val="005C3A26"/>
    <w:rsid w:val="005C3B71"/>
    <w:rsid w:val="005C3BAD"/>
    <w:rsid w:val="005C3C24"/>
    <w:rsid w:val="005C3C6E"/>
    <w:rsid w:val="005C3E11"/>
    <w:rsid w:val="005C3F1A"/>
    <w:rsid w:val="005C3FB6"/>
    <w:rsid w:val="005C4061"/>
    <w:rsid w:val="005C42AE"/>
    <w:rsid w:val="005C495A"/>
    <w:rsid w:val="005C4A14"/>
    <w:rsid w:val="005C4B03"/>
    <w:rsid w:val="005C4C48"/>
    <w:rsid w:val="005C4F33"/>
    <w:rsid w:val="005C4FE9"/>
    <w:rsid w:val="005C51D9"/>
    <w:rsid w:val="005C53EE"/>
    <w:rsid w:val="005C54BF"/>
    <w:rsid w:val="005C5752"/>
    <w:rsid w:val="005C5782"/>
    <w:rsid w:val="005C5804"/>
    <w:rsid w:val="005C5828"/>
    <w:rsid w:val="005C5935"/>
    <w:rsid w:val="005C5A2C"/>
    <w:rsid w:val="005C5B42"/>
    <w:rsid w:val="005C5BF2"/>
    <w:rsid w:val="005C5BF8"/>
    <w:rsid w:val="005C5D2E"/>
    <w:rsid w:val="005C5F3D"/>
    <w:rsid w:val="005C603B"/>
    <w:rsid w:val="005C60E6"/>
    <w:rsid w:val="005C60E9"/>
    <w:rsid w:val="005C61A0"/>
    <w:rsid w:val="005C61C5"/>
    <w:rsid w:val="005C652F"/>
    <w:rsid w:val="005C653A"/>
    <w:rsid w:val="005C65A4"/>
    <w:rsid w:val="005C67C8"/>
    <w:rsid w:val="005C6BD3"/>
    <w:rsid w:val="005C6BF2"/>
    <w:rsid w:val="005C6EBE"/>
    <w:rsid w:val="005C6F8B"/>
    <w:rsid w:val="005C6FD8"/>
    <w:rsid w:val="005C71A4"/>
    <w:rsid w:val="005C71C3"/>
    <w:rsid w:val="005C7200"/>
    <w:rsid w:val="005C743D"/>
    <w:rsid w:val="005C74D5"/>
    <w:rsid w:val="005C7591"/>
    <w:rsid w:val="005C761D"/>
    <w:rsid w:val="005C76F2"/>
    <w:rsid w:val="005C7766"/>
    <w:rsid w:val="005C78BE"/>
    <w:rsid w:val="005C791C"/>
    <w:rsid w:val="005C7AE0"/>
    <w:rsid w:val="005C7CF1"/>
    <w:rsid w:val="005C7E85"/>
    <w:rsid w:val="005D0228"/>
    <w:rsid w:val="005D0245"/>
    <w:rsid w:val="005D029E"/>
    <w:rsid w:val="005D04A3"/>
    <w:rsid w:val="005D050D"/>
    <w:rsid w:val="005D0537"/>
    <w:rsid w:val="005D059C"/>
    <w:rsid w:val="005D0668"/>
    <w:rsid w:val="005D07D2"/>
    <w:rsid w:val="005D07F9"/>
    <w:rsid w:val="005D0866"/>
    <w:rsid w:val="005D0951"/>
    <w:rsid w:val="005D0964"/>
    <w:rsid w:val="005D1158"/>
    <w:rsid w:val="005D1BE4"/>
    <w:rsid w:val="005D1F2C"/>
    <w:rsid w:val="005D1FE3"/>
    <w:rsid w:val="005D2266"/>
    <w:rsid w:val="005D229A"/>
    <w:rsid w:val="005D23CF"/>
    <w:rsid w:val="005D2798"/>
    <w:rsid w:val="005D27E2"/>
    <w:rsid w:val="005D284B"/>
    <w:rsid w:val="005D2942"/>
    <w:rsid w:val="005D294D"/>
    <w:rsid w:val="005D2954"/>
    <w:rsid w:val="005D2A0D"/>
    <w:rsid w:val="005D2B45"/>
    <w:rsid w:val="005D2CEB"/>
    <w:rsid w:val="005D2D98"/>
    <w:rsid w:val="005D2EB4"/>
    <w:rsid w:val="005D2EF3"/>
    <w:rsid w:val="005D2F29"/>
    <w:rsid w:val="005D2FAA"/>
    <w:rsid w:val="005D3010"/>
    <w:rsid w:val="005D3079"/>
    <w:rsid w:val="005D3087"/>
    <w:rsid w:val="005D3235"/>
    <w:rsid w:val="005D3685"/>
    <w:rsid w:val="005D37A5"/>
    <w:rsid w:val="005D3889"/>
    <w:rsid w:val="005D3D5D"/>
    <w:rsid w:val="005D4171"/>
    <w:rsid w:val="005D41AF"/>
    <w:rsid w:val="005D49E7"/>
    <w:rsid w:val="005D4A87"/>
    <w:rsid w:val="005D4B4B"/>
    <w:rsid w:val="005D4BFB"/>
    <w:rsid w:val="005D4C96"/>
    <w:rsid w:val="005D4D49"/>
    <w:rsid w:val="005D4E46"/>
    <w:rsid w:val="005D5379"/>
    <w:rsid w:val="005D53F4"/>
    <w:rsid w:val="005D542B"/>
    <w:rsid w:val="005D55EF"/>
    <w:rsid w:val="005D5622"/>
    <w:rsid w:val="005D5780"/>
    <w:rsid w:val="005D583E"/>
    <w:rsid w:val="005D5874"/>
    <w:rsid w:val="005D59D9"/>
    <w:rsid w:val="005D5AA9"/>
    <w:rsid w:val="005D5B98"/>
    <w:rsid w:val="005D5C9F"/>
    <w:rsid w:val="005D5D80"/>
    <w:rsid w:val="005D5DBA"/>
    <w:rsid w:val="005D5EB0"/>
    <w:rsid w:val="005D5EFA"/>
    <w:rsid w:val="005D634E"/>
    <w:rsid w:val="005D63BF"/>
    <w:rsid w:val="005D6901"/>
    <w:rsid w:val="005D6A27"/>
    <w:rsid w:val="005D6D63"/>
    <w:rsid w:val="005D6F41"/>
    <w:rsid w:val="005D7174"/>
    <w:rsid w:val="005D7257"/>
    <w:rsid w:val="005D73BC"/>
    <w:rsid w:val="005D746E"/>
    <w:rsid w:val="005D77A3"/>
    <w:rsid w:val="005D7862"/>
    <w:rsid w:val="005D7A05"/>
    <w:rsid w:val="005D7ABE"/>
    <w:rsid w:val="005D7AD4"/>
    <w:rsid w:val="005D7CE7"/>
    <w:rsid w:val="005D7D29"/>
    <w:rsid w:val="005D7E51"/>
    <w:rsid w:val="005D7ED7"/>
    <w:rsid w:val="005D7F30"/>
    <w:rsid w:val="005D7F3F"/>
    <w:rsid w:val="005D7FC4"/>
    <w:rsid w:val="005D7FF0"/>
    <w:rsid w:val="005E00A7"/>
    <w:rsid w:val="005E012D"/>
    <w:rsid w:val="005E05ED"/>
    <w:rsid w:val="005E06F3"/>
    <w:rsid w:val="005E0783"/>
    <w:rsid w:val="005E0891"/>
    <w:rsid w:val="005E0AE6"/>
    <w:rsid w:val="005E0C79"/>
    <w:rsid w:val="005E0DFC"/>
    <w:rsid w:val="005E0F45"/>
    <w:rsid w:val="005E0FFF"/>
    <w:rsid w:val="005E10F7"/>
    <w:rsid w:val="005E116D"/>
    <w:rsid w:val="005E1285"/>
    <w:rsid w:val="005E12C8"/>
    <w:rsid w:val="005E14E8"/>
    <w:rsid w:val="005E1590"/>
    <w:rsid w:val="005E160D"/>
    <w:rsid w:val="005E1882"/>
    <w:rsid w:val="005E1BD9"/>
    <w:rsid w:val="005E1C53"/>
    <w:rsid w:val="005E1D3C"/>
    <w:rsid w:val="005E1EAE"/>
    <w:rsid w:val="005E1F81"/>
    <w:rsid w:val="005E2488"/>
    <w:rsid w:val="005E263B"/>
    <w:rsid w:val="005E2655"/>
    <w:rsid w:val="005E26A8"/>
    <w:rsid w:val="005E28D2"/>
    <w:rsid w:val="005E29B5"/>
    <w:rsid w:val="005E2C1B"/>
    <w:rsid w:val="005E2DD6"/>
    <w:rsid w:val="005E2E34"/>
    <w:rsid w:val="005E30CF"/>
    <w:rsid w:val="005E3387"/>
    <w:rsid w:val="005E343F"/>
    <w:rsid w:val="005E3490"/>
    <w:rsid w:val="005E36D0"/>
    <w:rsid w:val="005E37D1"/>
    <w:rsid w:val="005E3919"/>
    <w:rsid w:val="005E3924"/>
    <w:rsid w:val="005E3962"/>
    <w:rsid w:val="005E3CBB"/>
    <w:rsid w:val="005E3DBE"/>
    <w:rsid w:val="005E3FB5"/>
    <w:rsid w:val="005E4138"/>
    <w:rsid w:val="005E4203"/>
    <w:rsid w:val="005E4645"/>
    <w:rsid w:val="005E50C9"/>
    <w:rsid w:val="005E5154"/>
    <w:rsid w:val="005E53C1"/>
    <w:rsid w:val="005E5595"/>
    <w:rsid w:val="005E55AF"/>
    <w:rsid w:val="005E55B3"/>
    <w:rsid w:val="005E579E"/>
    <w:rsid w:val="005E59F2"/>
    <w:rsid w:val="005E5A9C"/>
    <w:rsid w:val="005E5CDC"/>
    <w:rsid w:val="005E5ED2"/>
    <w:rsid w:val="005E6044"/>
    <w:rsid w:val="005E62F6"/>
    <w:rsid w:val="005E63B8"/>
    <w:rsid w:val="005E6649"/>
    <w:rsid w:val="005E66CA"/>
    <w:rsid w:val="005E66D4"/>
    <w:rsid w:val="005E67A9"/>
    <w:rsid w:val="005E6BFE"/>
    <w:rsid w:val="005E6C38"/>
    <w:rsid w:val="005E7077"/>
    <w:rsid w:val="005E72B4"/>
    <w:rsid w:val="005E74BD"/>
    <w:rsid w:val="005E751F"/>
    <w:rsid w:val="005E7737"/>
    <w:rsid w:val="005E779C"/>
    <w:rsid w:val="005E78B3"/>
    <w:rsid w:val="005E7905"/>
    <w:rsid w:val="005E7B5C"/>
    <w:rsid w:val="005E7D6A"/>
    <w:rsid w:val="005F030E"/>
    <w:rsid w:val="005F03D2"/>
    <w:rsid w:val="005F076B"/>
    <w:rsid w:val="005F07E1"/>
    <w:rsid w:val="005F0805"/>
    <w:rsid w:val="005F08A7"/>
    <w:rsid w:val="005F08CA"/>
    <w:rsid w:val="005F0A01"/>
    <w:rsid w:val="005F0A21"/>
    <w:rsid w:val="005F0B55"/>
    <w:rsid w:val="005F0C68"/>
    <w:rsid w:val="005F0E0F"/>
    <w:rsid w:val="005F0F9A"/>
    <w:rsid w:val="005F103F"/>
    <w:rsid w:val="005F1040"/>
    <w:rsid w:val="005F10CB"/>
    <w:rsid w:val="005F116A"/>
    <w:rsid w:val="005F1267"/>
    <w:rsid w:val="005F12BB"/>
    <w:rsid w:val="005F13A8"/>
    <w:rsid w:val="005F153B"/>
    <w:rsid w:val="005F1588"/>
    <w:rsid w:val="005F16BD"/>
    <w:rsid w:val="005F1719"/>
    <w:rsid w:val="005F17C1"/>
    <w:rsid w:val="005F1B9D"/>
    <w:rsid w:val="005F1BAC"/>
    <w:rsid w:val="005F1EC4"/>
    <w:rsid w:val="005F2164"/>
    <w:rsid w:val="005F23DC"/>
    <w:rsid w:val="005F23F3"/>
    <w:rsid w:val="005F28C2"/>
    <w:rsid w:val="005F2B29"/>
    <w:rsid w:val="005F2D7A"/>
    <w:rsid w:val="005F2DE8"/>
    <w:rsid w:val="005F2EE1"/>
    <w:rsid w:val="005F347C"/>
    <w:rsid w:val="005F363D"/>
    <w:rsid w:val="005F37F2"/>
    <w:rsid w:val="005F3A75"/>
    <w:rsid w:val="005F3F4A"/>
    <w:rsid w:val="005F41BF"/>
    <w:rsid w:val="005F4224"/>
    <w:rsid w:val="005F4256"/>
    <w:rsid w:val="005F42B3"/>
    <w:rsid w:val="005F44D7"/>
    <w:rsid w:val="005F457F"/>
    <w:rsid w:val="005F45AB"/>
    <w:rsid w:val="005F45B5"/>
    <w:rsid w:val="005F466E"/>
    <w:rsid w:val="005F48EE"/>
    <w:rsid w:val="005F4AAB"/>
    <w:rsid w:val="005F4B41"/>
    <w:rsid w:val="005F4C1C"/>
    <w:rsid w:val="005F4CF7"/>
    <w:rsid w:val="005F4F1D"/>
    <w:rsid w:val="005F521D"/>
    <w:rsid w:val="005F52B6"/>
    <w:rsid w:val="005F5341"/>
    <w:rsid w:val="005F5499"/>
    <w:rsid w:val="005F5703"/>
    <w:rsid w:val="005F5719"/>
    <w:rsid w:val="005F59C8"/>
    <w:rsid w:val="005F59EA"/>
    <w:rsid w:val="005F5CD6"/>
    <w:rsid w:val="005F5D14"/>
    <w:rsid w:val="005F5D1E"/>
    <w:rsid w:val="005F5D9C"/>
    <w:rsid w:val="005F5E8F"/>
    <w:rsid w:val="005F5E99"/>
    <w:rsid w:val="005F5F97"/>
    <w:rsid w:val="005F5F9D"/>
    <w:rsid w:val="005F6064"/>
    <w:rsid w:val="005F60AF"/>
    <w:rsid w:val="005F6106"/>
    <w:rsid w:val="005F6673"/>
    <w:rsid w:val="005F66A5"/>
    <w:rsid w:val="005F66E1"/>
    <w:rsid w:val="005F671E"/>
    <w:rsid w:val="005F686D"/>
    <w:rsid w:val="005F692F"/>
    <w:rsid w:val="005F69DA"/>
    <w:rsid w:val="005F6A8A"/>
    <w:rsid w:val="005F6AC7"/>
    <w:rsid w:val="005F6F9B"/>
    <w:rsid w:val="005F717B"/>
    <w:rsid w:val="005F7247"/>
    <w:rsid w:val="005F7313"/>
    <w:rsid w:val="005F7487"/>
    <w:rsid w:val="005F74D7"/>
    <w:rsid w:val="005F75A4"/>
    <w:rsid w:val="005F75FD"/>
    <w:rsid w:val="005F777A"/>
    <w:rsid w:val="005F781A"/>
    <w:rsid w:val="005F797C"/>
    <w:rsid w:val="005F7D88"/>
    <w:rsid w:val="005F7DC4"/>
    <w:rsid w:val="005F7EE1"/>
    <w:rsid w:val="00600031"/>
    <w:rsid w:val="0060012D"/>
    <w:rsid w:val="006004A7"/>
    <w:rsid w:val="0060080F"/>
    <w:rsid w:val="00600968"/>
    <w:rsid w:val="0060098B"/>
    <w:rsid w:val="006009C6"/>
    <w:rsid w:val="00600B64"/>
    <w:rsid w:val="00600C35"/>
    <w:rsid w:val="00600D7D"/>
    <w:rsid w:val="00600DB6"/>
    <w:rsid w:val="00600F4E"/>
    <w:rsid w:val="0060100C"/>
    <w:rsid w:val="00601132"/>
    <w:rsid w:val="006014F0"/>
    <w:rsid w:val="0060158C"/>
    <w:rsid w:val="006015E8"/>
    <w:rsid w:val="0060161F"/>
    <w:rsid w:val="00601775"/>
    <w:rsid w:val="00601889"/>
    <w:rsid w:val="006019CC"/>
    <w:rsid w:val="006019D5"/>
    <w:rsid w:val="00601C9A"/>
    <w:rsid w:val="00601DEF"/>
    <w:rsid w:val="00601EE4"/>
    <w:rsid w:val="00601F04"/>
    <w:rsid w:val="0060211C"/>
    <w:rsid w:val="0060225D"/>
    <w:rsid w:val="0060238B"/>
    <w:rsid w:val="0060243F"/>
    <w:rsid w:val="006025B9"/>
    <w:rsid w:val="006026FA"/>
    <w:rsid w:val="00602793"/>
    <w:rsid w:val="006027DB"/>
    <w:rsid w:val="006028AE"/>
    <w:rsid w:val="00602AB8"/>
    <w:rsid w:val="00602B03"/>
    <w:rsid w:val="00602C77"/>
    <w:rsid w:val="00602D73"/>
    <w:rsid w:val="00602E61"/>
    <w:rsid w:val="00602F52"/>
    <w:rsid w:val="00602FF8"/>
    <w:rsid w:val="0060319A"/>
    <w:rsid w:val="006031D7"/>
    <w:rsid w:val="00603683"/>
    <w:rsid w:val="0060368F"/>
    <w:rsid w:val="006039D4"/>
    <w:rsid w:val="00603CA8"/>
    <w:rsid w:val="00603D45"/>
    <w:rsid w:val="00603D6E"/>
    <w:rsid w:val="00603DD5"/>
    <w:rsid w:val="00603FB3"/>
    <w:rsid w:val="00604148"/>
    <w:rsid w:val="006041A7"/>
    <w:rsid w:val="0060430E"/>
    <w:rsid w:val="00604753"/>
    <w:rsid w:val="00604B83"/>
    <w:rsid w:val="00604C35"/>
    <w:rsid w:val="00604C97"/>
    <w:rsid w:val="00604D70"/>
    <w:rsid w:val="00604D95"/>
    <w:rsid w:val="00604DCB"/>
    <w:rsid w:val="00605294"/>
    <w:rsid w:val="00605477"/>
    <w:rsid w:val="0060548D"/>
    <w:rsid w:val="00605AF5"/>
    <w:rsid w:val="00605C4F"/>
    <w:rsid w:val="00605D2D"/>
    <w:rsid w:val="00605E54"/>
    <w:rsid w:val="00605E8E"/>
    <w:rsid w:val="00605FBD"/>
    <w:rsid w:val="006060AA"/>
    <w:rsid w:val="006061E0"/>
    <w:rsid w:val="006063C5"/>
    <w:rsid w:val="006065D0"/>
    <w:rsid w:val="006066B2"/>
    <w:rsid w:val="006066C8"/>
    <w:rsid w:val="0060685F"/>
    <w:rsid w:val="006068ED"/>
    <w:rsid w:val="006069A9"/>
    <w:rsid w:val="00606BE5"/>
    <w:rsid w:val="00606F37"/>
    <w:rsid w:val="00607078"/>
    <w:rsid w:val="006071F4"/>
    <w:rsid w:val="00607209"/>
    <w:rsid w:val="00607241"/>
    <w:rsid w:val="00607339"/>
    <w:rsid w:val="0060737C"/>
    <w:rsid w:val="0060765D"/>
    <w:rsid w:val="006079E5"/>
    <w:rsid w:val="00607BD3"/>
    <w:rsid w:val="00607D1D"/>
    <w:rsid w:val="00607D82"/>
    <w:rsid w:val="00607F2D"/>
    <w:rsid w:val="00607FCA"/>
    <w:rsid w:val="00610121"/>
    <w:rsid w:val="00610148"/>
    <w:rsid w:val="006102B7"/>
    <w:rsid w:val="006104CA"/>
    <w:rsid w:val="0061064C"/>
    <w:rsid w:val="00610983"/>
    <w:rsid w:val="00610A9D"/>
    <w:rsid w:val="00610B82"/>
    <w:rsid w:val="00610C36"/>
    <w:rsid w:val="00610FE4"/>
    <w:rsid w:val="00611125"/>
    <w:rsid w:val="00611180"/>
    <w:rsid w:val="006111DC"/>
    <w:rsid w:val="0061139A"/>
    <w:rsid w:val="006113C5"/>
    <w:rsid w:val="0061140B"/>
    <w:rsid w:val="0061148E"/>
    <w:rsid w:val="0061170A"/>
    <w:rsid w:val="00611750"/>
    <w:rsid w:val="006119C1"/>
    <w:rsid w:val="00611AD6"/>
    <w:rsid w:val="00611B62"/>
    <w:rsid w:val="00611B80"/>
    <w:rsid w:val="00611BBE"/>
    <w:rsid w:val="00611BFD"/>
    <w:rsid w:val="00611DE4"/>
    <w:rsid w:val="0061234E"/>
    <w:rsid w:val="00612397"/>
    <w:rsid w:val="006124D3"/>
    <w:rsid w:val="006125FA"/>
    <w:rsid w:val="006127EB"/>
    <w:rsid w:val="006127F2"/>
    <w:rsid w:val="006129FF"/>
    <w:rsid w:val="00612BCE"/>
    <w:rsid w:val="00612ED1"/>
    <w:rsid w:val="00612F89"/>
    <w:rsid w:val="00613099"/>
    <w:rsid w:val="00613121"/>
    <w:rsid w:val="006137AB"/>
    <w:rsid w:val="00613849"/>
    <w:rsid w:val="00613976"/>
    <w:rsid w:val="00613B42"/>
    <w:rsid w:val="00613E5E"/>
    <w:rsid w:val="00613E67"/>
    <w:rsid w:val="00613E79"/>
    <w:rsid w:val="00613FC5"/>
    <w:rsid w:val="00613FF7"/>
    <w:rsid w:val="006140A2"/>
    <w:rsid w:val="00614270"/>
    <w:rsid w:val="0061470F"/>
    <w:rsid w:val="00614B2E"/>
    <w:rsid w:val="00614B82"/>
    <w:rsid w:val="00614C53"/>
    <w:rsid w:val="00614ED7"/>
    <w:rsid w:val="0061532C"/>
    <w:rsid w:val="00615479"/>
    <w:rsid w:val="006156C3"/>
    <w:rsid w:val="00615729"/>
    <w:rsid w:val="006158D6"/>
    <w:rsid w:val="00615971"/>
    <w:rsid w:val="0061597E"/>
    <w:rsid w:val="00615A72"/>
    <w:rsid w:val="00615C53"/>
    <w:rsid w:val="00615DD1"/>
    <w:rsid w:val="00615E18"/>
    <w:rsid w:val="00615E82"/>
    <w:rsid w:val="00616462"/>
    <w:rsid w:val="00616518"/>
    <w:rsid w:val="0061689F"/>
    <w:rsid w:val="006168DA"/>
    <w:rsid w:val="00616983"/>
    <w:rsid w:val="00616AD7"/>
    <w:rsid w:val="00616CF4"/>
    <w:rsid w:val="00616DA7"/>
    <w:rsid w:val="00616EA0"/>
    <w:rsid w:val="0061705B"/>
    <w:rsid w:val="006171A4"/>
    <w:rsid w:val="0061721F"/>
    <w:rsid w:val="00617564"/>
    <w:rsid w:val="00617638"/>
    <w:rsid w:val="0061764D"/>
    <w:rsid w:val="0061794A"/>
    <w:rsid w:val="00617963"/>
    <w:rsid w:val="00617BDA"/>
    <w:rsid w:val="00617BDE"/>
    <w:rsid w:val="00617C0F"/>
    <w:rsid w:val="00617C5F"/>
    <w:rsid w:val="00617E25"/>
    <w:rsid w:val="0062000E"/>
    <w:rsid w:val="00620050"/>
    <w:rsid w:val="00620229"/>
    <w:rsid w:val="00620248"/>
    <w:rsid w:val="0062031D"/>
    <w:rsid w:val="00620323"/>
    <w:rsid w:val="00620345"/>
    <w:rsid w:val="0062080E"/>
    <w:rsid w:val="006208C4"/>
    <w:rsid w:val="00620923"/>
    <w:rsid w:val="00620930"/>
    <w:rsid w:val="00620A52"/>
    <w:rsid w:val="00620BB4"/>
    <w:rsid w:val="00620C5D"/>
    <w:rsid w:val="00620C63"/>
    <w:rsid w:val="006215B6"/>
    <w:rsid w:val="006216A7"/>
    <w:rsid w:val="00621AC3"/>
    <w:rsid w:val="00621BA7"/>
    <w:rsid w:val="00621E2A"/>
    <w:rsid w:val="00621E84"/>
    <w:rsid w:val="00621FA1"/>
    <w:rsid w:val="0062218A"/>
    <w:rsid w:val="00622275"/>
    <w:rsid w:val="00622393"/>
    <w:rsid w:val="006224D7"/>
    <w:rsid w:val="00622819"/>
    <w:rsid w:val="0062281F"/>
    <w:rsid w:val="00622A70"/>
    <w:rsid w:val="00622BDE"/>
    <w:rsid w:val="00622BE7"/>
    <w:rsid w:val="00622D47"/>
    <w:rsid w:val="00622EB6"/>
    <w:rsid w:val="00622FE6"/>
    <w:rsid w:val="006231A7"/>
    <w:rsid w:val="0062326C"/>
    <w:rsid w:val="00623322"/>
    <w:rsid w:val="00623551"/>
    <w:rsid w:val="006236AB"/>
    <w:rsid w:val="0062382A"/>
    <w:rsid w:val="00623952"/>
    <w:rsid w:val="0062395B"/>
    <w:rsid w:val="00623B46"/>
    <w:rsid w:val="00623D36"/>
    <w:rsid w:val="00623DE5"/>
    <w:rsid w:val="00623E14"/>
    <w:rsid w:val="0062401C"/>
    <w:rsid w:val="0062410B"/>
    <w:rsid w:val="00624278"/>
    <w:rsid w:val="006243BA"/>
    <w:rsid w:val="00624643"/>
    <w:rsid w:val="006246A3"/>
    <w:rsid w:val="006247C9"/>
    <w:rsid w:val="00624867"/>
    <w:rsid w:val="00624A87"/>
    <w:rsid w:val="00624BDF"/>
    <w:rsid w:val="00624DA3"/>
    <w:rsid w:val="00624E89"/>
    <w:rsid w:val="00625171"/>
    <w:rsid w:val="0062550F"/>
    <w:rsid w:val="006257AA"/>
    <w:rsid w:val="00625905"/>
    <w:rsid w:val="006259A8"/>
    <w:rsid w:val="00625A4E"/>
    <w:rsid w:val="00625A9F"/>
    <w:rsid w:val="00625D84"/>
    <w:rsid w:val="00625E82"/>
    <w:rsid w:val="00626078"/>
    <w:rsid w:val="006260E4"/>
    <w:rsid w:val="0062618C"/>
    <w:rsid w:val="006262C4"/>
    <w:rsid w:val="006262CC"/>
    <w:rsid w:val="0062654C"/>
    <w:rsid w:val="00626657"/>
    <w:rsid w:val="00626798"/>
    <w:rsid w:val="006268E1"/>
    <w:rsid w:val="00626905"/>
    <w:rsid w:val="00626958"/>
    <w:rsid w:val="00626AAF"/>
    <w:rsid w:val="00626C3D"/>
    <w:rsid w:val="00626CC6"/>
    <w:rsid w:val="00626F4B"/>
    <w:rsid w:val="00626FCE"/>
    <w:rsid w:val="0062704A"/>
    <w:rsid w:val="00627050"/>
    <w:rsid w:val="00627221"/>
    <w:rsid w:val="0062726A"/>
    <w:rsid w:val="00627466"/>
    <w:rsid w:val="006276E4"/>
    <w:rsid w:val="0062772F"/>
    <w:rsid w:val="006277BA"/>
    <w:rsid w:val="006278DD"/>
    <w:rsid w:val="00627BC0"/>
    <w:rsid w:val="00627CD5"/>
    <w:rsid w:val="00627D53"/>
    <w:rsid w:val="00627DC6"/>
    <w:rsid w:val="00627EA3"/>
    <w:rsid w:val="00627EB9"/>
    <w:rsid w:val="006300F4"/>
    <w:rsid w:val="00630119"/>
    <w:rsid w:val="0063019F"/>
    <w:rsid w:val="0063027A"/>
    <w:rsid w:val="0063030C"/>
    <w:rsid w:val="0063030F"/>
    <w:rsid w:val="0063040E"/>
    <w:rsid w:val="006306CD"/>
    <w:rsid w:val="006307A8"/>
    <w:rsid w:val="006308B1"/>
    <w:rsid w:val="006308F7"/>
    <w:rsid w:val="0063094D"/>
    <w:rsid w:val="00630A5B"/>
    <w:rsid w:val="00630AF5"/>
    <w:rsid w:val="00630B85"/>
    <w:rsid w:val="00630B95"/>
    <w:rsid w:val="00630D04"/>
    <w:rsid w:val="00630D55"/>
    <w:rsid w:val="00630E11"/>
    <w:rsid w:val="00630F45"/>
    <w:rsid w:val="00630FB3"/>
    <w:rsid w:val="0063119C"/>
    <w:rsid w:val="0063135F"/>
    <w:rsid w:val="006313F7"/>
    <w:rsid w:val="00631409"/>
    <w:rsid w:val="006316F7"/>
    <w:rsid w:val="006317D6"/>
    <w:rsid w:val="00631AAD"/>
    <w:rsid w:val="00631DE7"/>
    <w:rsid w:val="00631E9C"/>
    <w:rsid w:val="00632286"/>
    <w:rsid w:val="006324C4"/>
    <w:rsid w:val="00632615"/>
    <w:rsid w:val="0063289D"/>
    <w:rsid w:val="0063296B"/>
    <w:rsid w:val="006329C8"/>
    <w:rsid w:val="00632A93"/>
    <w:rsid w:val="00632AD9"/>
    <w:rsid w:val="00632C9F"/>
    <w:rsid w:val="00632D6A"/>
    <w:rsid w:val="00632D96"/>
    <w:rsid w:val="00632E91"/>
    <w:rsid w:val="006333FE"/>
    <w:rsid w:val="0063355E"/>
    <w:rsid w:val="006335BF"/>
    <w:rsid w:val="00633855"/>
    <w:rsid w:val="0063392C"/>
    <w:rsid w:val="00633950"/>
    <w:rsid w:val="00633A9A"/>
    <w:rsid w:val="00633C5A"/>
    <w:rsid w:val="00633D59"/>
    <w:rsid w:val="00634010"/>
    <w:rsid w:val="00634037"/>
    <w:rsid w:val="006340CF"/>
    <w:rsid w:val="006345EF"/>
    <w:rsid w:val="0063464F"/>
    <w:rsid w:val="00634745"/>
    <w:rsid w:val="0063485D"/>
    <w:rsid w:val="00634AA7"/>
    <w:rsid w:val="00634C9E"/>
    <w:rsid w:val="00634D37"/>
    <w:rsid w:val="00634E72"/>
    <w:rsid w:val="00634F4B"/>
    <w:rsid w:val="0063500B"/>
    <w:rsid w:val="0063544D"/>
    <w:rsid w:val="00635471"/>
    <w:rsid w:val="006355C7"/>
    <w:rsid w:val="0063571A"/>
    <w:rsid w:val="0063587B"/>
    <w:rsid w:val="006359B9"/>
    <w:rsid w:val="00635AF0"/>
    <w:rsid w:val="00635C40"/>
    <w:rsid w:val="00635E0F"/>
    <w:rsid w:val="00635F77"/>
    <w:rsid w:val="00636096"/>
    <w:rsid w:val="00636332"/>
    <w:rsid w:val="00636352"/>
    <w:rsid w:val="0063650A"/>
    <w:rsid w:val="00636610"/>
    <w:rsid w:val="0063672D"/>
    <w:rsid w:val="0063686C"/>
    <w:rsid w:val="00636946"/>
    <w:rsid w:val="00636B2D"/>
    <w:rsid w:val="00636BF2"/>
    <w:rsid w:val="00636CD4"/>
    <w:rsid w:val="00636D8B"/>
    <w:rsid w:val="00636E6E"/>
    <w:rsid w:val="0063701C"/>
    <w:rsid w:val="00637125"/>
    <w:rsid w:val="00637515"/>
    <w:rsid w:val="006375BB"/>
    <w:rsid w:val="00637E7D"/>
    <w:rsid w:val="00637EA9"/>
    <w:rsid w:val="0064019F"/>
    <w:rsid w:val="006401D0"/>
    <w:rsid w:val="0064035F"/>
    <w:rsid w:val="006404E8"/>
    <w:rsid w:val="006406FB"/>
    <w:rsid w:val="006407D5"/>
    <w:rsid w:val="006408CC"/>
    <w:rsid w:val="0064098E"/>
    <w:rsid w:val="00640CD9"/>
    <w:rsid w:val="00640E40"/>
    <w:rsid w:val="006412E0"/>
    <w:rsid w:val="0064150D"/>
    <w:rsid w:val="00641523"/>
    <w:rsid w:val="006417C9"/>
    <w:rsid w:val="0064181E"/>
    <w:rsid w:val="006418AC"/>
    <w:rsid w:val="00641ABB"/>
    <w:rsid w:val="00641B24"/>
    <w:rsid w:val="00641CD1"/>
    <w:rsid w:val="00641CD2"/>
    <w:rsid w:val="00641EE5"/>
    <w:rsid w:val="00641EF8"/>
    <w:rsid w:val="00641F8B"/>
    <w:rsid w:val="0064209C"/>
    <w:rsid w:val="00642216"/>
    <w:rsid w:val="00642296"/>
    <w:rsid w:val="006423DB"/>
    <w:rsid w:val="00642614"/>
    <w:rsid w:val="006428A6"/>
    <w:rsid w:val="00642C1E"/>
    <w:rsid w:val="00642D44"/>
    <w:rsid w:val="00642D4F"/>
    <w:rsid w:val="00642D79"/>
    <w:rsid w:val="00642DD7"/>
    <w:rsid w:val="00642E02"/>
    <w:rsid w:val="00642EFF"/>
    <w:rsid w:val="00642F55"/>
    <w:rsid w:val="00643001"/>
    <w:rsid w:val="0064300D"/>
    <w:rsid w:val="0064311F"/>
    <w:rsid w:val="0064324C"/>
    <w:rsid w:val="00643309"/>
    <w:rsid w:val="0064337B"/>
    <w:rsid w:val="00643706"/>
    <w:rsid w:val="0064375E"/>
    <w:rsid w:val="00643A3A"/>
    <w:rsid w:val="00643A41"/>
    <w:rsid w:val="00643B4F"/>
    <w:rsid w:val="00643C75"/>
    <w:rsid w:val="00643D08"/>
    <w:rsid w:val="00643F56"/>
    <w:rsid w:val="00644132"/>
    <w:rsid w:val="006441B3"/>
    <w:rsid w:val="006443A5"/>
    <w:rsid w:val="0064474D"/>
    <w:rsid w:val="00644774"/>
    <w:rsid w:val="00644778"/>
    <w:rsid w:val="0064480C"/>
    <w:rsid w:val="0064499C"/>
    <w:rsid w:val="00644A15"/>
    <w:rsid w:val="00644C2D"/>
    <w:rsid w:val="00644EC4"/>
    <w:rsid w:val="00645109"/>
    <w:rsid w:val="0064512B"/>
    <w:rsid w:val="00645166"/>
    <w:rsid w:val="00645298"/>
    <w:rsid w:val="0064547D"/>
    <w:rsid w:val="00645578"/>
    <w:rsid w:val="006456AE"/>
    <w:rsid w:val="006457D8"/>
    <w:rsid w:val="006458AC"/>
    <w:rsid w:val="0064592C"/>
    <w:rsid w:val="00645F91"/>
    <w:rsid w:val="00645FD0"/>
    <w:rsid w:val="0064618C"/>
    <w:rsid w:val="00646549"/>
    <w:rsid w:val="0064659D"/>
    <w:rsid w:val="00646618"/>
    <w:rsid w:val="0064664E"/>
    <w:rsid w:val="0064686D"/>
    <w:rsid w:val="0064691D"/>
    <w:rsid w:val="00646922"/>
    <w:rsid w:val="00646A23"/>
    <w:rsid w:val="00646A71"/>
    <w:rsid w:val="00646ADE"/>
    <w:rsid w:val="00646CC8"/>
    <w:rsid w:val="00646EC4"/>
    <w:rsid w:val="00646F0E"/>
    <w:rsid w:val="006470FA"/>
    <w:rsid w:val="0064713E"/>
    <w:rsid w:val="006471C7"/>
    <w:rsid w:val="006471FF"/>
    <w:rsid w:val="0064731B"/>
    <w:rsid w:val="0064742C"/>
    <w:rsid w:val="00647433"/>
    <w:rsid w:val="00647499"/>
    <w:rsid w:val="006475BB"/>
    <w:rsid w:val="0064788F"/>
    <w:rsid w:val="006478A7"/>
    <w:rsid w:val="00647B6F"/>
    <w:rsid w:val="00647BBC"/>
    <w:rsid w:val="00647BD8"/>
    <w:rsid w:val="00647C50"/>
    <w:rsid w:val="006501E6"/>
    <w:rsid w:val="00650500"/>
    <w:rsid w:val="00650536"/>
    <w:rsid w:val="0065058E"/>
    <w:rsid w:val="0065067A"/>
    <w:rsid w:val="00650AC4"/>
    <w:rsid w:val="00650B36"/>
    <w:rsid w:val="00650D4F"/>
    <w:rsid w:val="00650D5D"/>
    <w:rsid w:val="00650DD4"/>
    <w:rsid w:val="00650E69"/>
    <w:rsid w:val="0065119F"/>
    <w:rsid w:val="006511BF"/>
    <w:rsid w:val="0065124A"/>
    <w:rsid w:val="00651457"/>
    <w:rsid w:val="00651553"/>
    <w:rsid w:val="006515FF"/>
    <w:rsid w:val="00651850"/>
    <w:rsid w:val="006518C0"/>
    <w:rsid w:val="00651ACB"/>
    <w:rsid w:val="00651AD6"/>
    <w:rsid w:val="00651B07"/>
    <w:rsid w:val="00651CF8"/>
    <w:rsid w:val="00652058"/>
    <w:rsid w:val="0065215E"/>
    <w:rsid w:val="0065233E"/>
    <w:rsid w:val="0065236D"/>
    <w:rsid w:val="00652535"/>
    <w:rsid w:val="00652623"/>
    <w:rsid w:val="00652692"/>
    <w:rsid w:val="0065269A"/>
    <w:rsid w:val="00652871"/>
    <w:rsid w:val="00652883"/>
    <w:rsid w:val="00653415"/>
    <w:rsid w:val="006534CB"/>
    <w:rsid w:val="00653549"/>
    <w:rsid w:val="00653694"/>
    <w:rsid w:val="0065382D"/>
    <w:rsid w:val="00653D7F"/>
    <w:rsid w:val="00653FBB"/>
    <w:rsid w:val="0065417F"/>
    <w:rsid w:val="006546E3"/>
    <w:rsid w:val="006547EA"/>
    <w:rsid w:val="00654844"/>
    <w:rsid w:val="00654946"/>
    <w:rsid w:val="006549D4"/>
    <w:rsid w:val="00654B95"/>
    <w:rsid w:val="00654E86"/>
    <w:rsid w:val="00654F4B"/>
    <w:rsid w:val="006550D1"/>
    <w:rsid w:val="00655576"/>
    <w:rsid w:val="006558CE"/>
    <w:rsid w:val="00655D89"/>
    <w:rsid w:val="00655E62"/>
    <w:rsid w:val="00655E7E"/>
    <w:rsid w:val="00656055"/>
    <w:rsid w:val="006560BB"/>
    <w:rsid w:val="006561F0"/>
    <w:rsid w:val="006565E5"/>
    <w:rsid w:val="0065688E"/>
    <w:rsid w:val="006568A8"/>
    <w:rsid w:val="006569FD"/>
    <w:rsid w:val="00656A42"/>
    <w:rsid w:val="00656A80"/>
    <w:rsid w:val="00656AEA"/>
    <w:rsid w:val="00656BD3"/>
    <w:rsid w:val="00656E02"/>
    <w:rsid w:val="006570D5"/>
    <w:rsid w:val="006571C0"/>
    <w:rsid w:val="006574A9"/>
    <w:rsid w:val="0065750A"/>
    <w:rsid w:val="006575F3"/>
    <w:rsid w:val="006579FE"/>
    <w:rsid w:val="00657A7D"/>
    <w:rsid w:val="00657CE2"/>
    <w:rsid w:val="00657DE1"/>
    <w:rsid w:val="00657EFC"/>
    <w:rsid w:val="006601C4"/>
    <w:rsid w:val="0066026E"/>
    <w:rsid w:val="0066046D"/>
    <w:rsid w:val="00660638"/>
    <w:rsid w:val="00660700"/>
    <w:rsid w:val="006609DD"/>
    <w:rsid w:val="00660B12"/>
    <w:rsid w:val="00660B33"/>
    <w:rsid w:val="00660BE5"/>
    <w:rsid w:val="00660EB8"/>
    <w:rsid w:val="00660ECF"/>
    <w:rsid w:val="00661012"/>
    <w:rsid w:val="0066104D"/>
    <w:rsid w:val="006611E9"/>
    <w:rsid w:val="0066125F"/>
    <w:rsid w:val="0066135B"/>
    <w:rsid w:val="0066153C"/>
    <w:rsid w:val="00661623"/>
    <w:rsid w:val="0066172A"/>
    <w:rsid w:val="00661936"/>
    <w:rsid w:val="0066194B"/>
    <w:rsid w:val="00661F8C"/>
    <w:rsid w:val="00662259"/>
    <w:rsid w:val="00662264"/>
    <w:rsid w:val="006624FE"/>
    <w:rsid w:val="0066259A"/>
    <w:rsid w:val="00662612"/>
    <w:rsid w:val="00662701"/>
    <w:rsid w:val="00662754"/>
    <w:rsid w:val="006627BC"/>
    <w:rsid w:val="00662847"/>
    <w:rsid w:val="00662ACC"/>
    <w:rsid w:val="00662B5F"/>
    <w:rsid w:val="00662BD9"/>
    <w:rsid w:val="00662D42"/>
    <w:rsid w:val="00662E95"/>
    <w:rsid w:val="00662FA8"/>
    <w:rsid w:val="00662FF1"/>
    <w:rsid w:val="00663093"/>
    <w:rsid w:val="006630C0"/>
    <w:rsid w:val="0066317E"/>
    <w:rsid w:val="006633B2"/>
    <w:rsid w:val="0066346F"/>
    <w:rsid w:val="006635BF"/>
    <w:rsid w:val="00663738"/>
    <w:rsid w:val="00663769"/>
    <w:rsid w:val="00663825"/>
    <w:rsid w:val="00663A47"/>
    <w:rsid w:val="00663C02"/>
    <w:rsid w:val="00663DFB"/>
    <w:rsid w:val="00664381"/>
    <w:rsid w:val="006643DE"/>
    <w:rsid w:val="0066440B"/>
    <w:rsid w:val="0066443A"/>
    <w:rsid w:val="0066459D"/>
    <w:rsid w:val="006646DB"/>
    <w:rsid w:val="006647E6"/>
    <w:rsid w:val="006647F5"/>
    <w:rsid w:val="0066493D"/>
    <w:rsid w:val="00664A82"/>
    <w:rsid w:val="00664AE1"/>
    <w:rsid w:val="00664CCB"/>
    <w:rsid w:val="00664D52"/>
    <w:rsid w:val="00664F42"/>
    <w:rsid w:val="00664F82"/>
    <w:rsid w:val="00664FEE"/>
    <w:rsid w:val="00664FF3"/>
    <w:rsid w:val="006652FF"/>
    <w:rsid w:val="00665408"/>
    <w:rsid w:val="0066544F"/>
    <w:rsid w:val="006657A7"/>
    <w:rsid w:val="006657B0"/>
    <w:rsid w:val="006657E4"/>
    <w:rsid w:val="00665803"/>
    <w:rsid w:val="00665A13"/>
    <w:rsid w:val="00665A57"/>
    <w:rsid w:val="00665B48"/>
    <w:rsid w:val="00665CBC"/>
    <w:rsid w:val="00665D22"/>
    <w:rsid w:val="00665E78"/>
    <w:rsid w:val="006661E2"/>
    <w:rsid w:val="006665BF"/>
    <w:rsid w:val="006669A7"/>
    <w:rsid w:val="00666A6D"/>
    <w:rsid w:val="00666D02"/>
    <w:rsid w:val="00666D11"/>
    <w:rsid w:val="00666E59"/>
    <w:rsid w:val="00666FB7"/>
    <w:rsid w:val="0066721A"/>
    <w:rsid w:val="006674A2"/>
    <w:rsid w:val="006677E8"/>
    <w:rsid w:val="00667BAF"/>
    <w:rsid w:val="00667BD3"/>
    <w:rsid w:val="00667C9F"/>
    <w:rsid w:val="00667CB4"/>
    <w:rsid w:val="00667D51"/>
    <w:rsid w:val="00667E0D"/>
    <w:rsid w:val="00667E9A"/>
    <w:rsid w:val="00670270"/>
    <w:rsid w:val="00670291"/>
    <w:rsid w:val="00670408"/>
    <w:rsid w:val="0067042F"/>
    <w:rsid w:val="0067046A"/>
    <w:rsid w:val="0067054A"/>
    <w:rsid w:val="00670B4F"/>
    <w:rsid w:val="00670BB0"/>
    <w:rsid w:val="00670BC4"/>
    <w:rsid w:val="00670CB7"/>
    <w:rsid w:val="00670E6D"/>
    <w:rsid w:val="00670FBD"/>
    <w:rsid w:val="00671010"/>
    <w:rsid w:val="00671207"/>
    <w:rsid w:val="00671253"/>
    <w:rsid w:val="00671370"/>
    <w:rsid w:val="0067147D"/>
    <w:rsid w:val="0067194A"/>
    <w:rsid w:val="00671AFE"/>
    <w:rsid w:val="00671B9D"/>
    <w:rsid w:val="00671D50"/>
    <w:rsid w:val="00671DE5"/>
    <w:rsid w:val="00671E19"/>
    <w:rsid w:val="00671F01"/>
    <w:rsid w:val="00671F48"/>
    <w:rsid w:val="006722A7"/>
    <w:rsid w:val="006726C9"/>
    <w:rsid w:val="0067277A"/>
    <w:rsid w:val="006727CD"/>
    <w:rsid w:val="00672871"/>
    <w:rsid w:val="00672CDE"/>
    <w:rsid w:val="00672D35"/>
    <w:rsid w:val="00672EB0"/>
    <w:rsid w:val="00672F61"/>
    <w:rsid w:val="00672FAD"/>
    <w:rsid w:val="00673204"/>
    <w:rsid w:val="0067326C"/>
    <w:rsid w:val="006733A5"/>
    <w:rsid w:val="00673511"/>
    <w:rsid w:val="006738F0"/>
    <w:rsid w:val="00673961"/>
    <w:rsid w:val="00673BA1"/>
    <w:rsid w:val="00673D1E"/>
    <w:rsid w:val="00673F21"/>
    <w:rsid w:val="00673F65"/>
    <w:rsid w:val="00674008"/>
    <w:rsid w:val="006740DA"/>
    <w:rsid w:val="00674169"/>
    <w:rsid w:val="00674199"/>
    <w:rsid w:val="006741F7"/>
    <w:rsid w:val="0067453F"/>
    <w:rsid w:val="00674557"/>
    <w:rsid w:val="006745D8"/>
    <w:rsid w:val="00674630"/>
    <w:rsid w:val="00674735"/>
    <w:rsid w:val="0067494E"/>
    <w:rsid w:val="00674C70"/>
    <w:rsid w:val="00675154"/>
    <w:rsid w:val="0067517C"/>
    <w:rsid w:val="00675630"/>
    <w:rsid w:val="006756C8"/>
    <w:rsid w:val="00675A7F"/>
    <w:rsid w:val="00675A98"/>
    <w:rsid w:val="00675C43"/>
    <w:rsid w:val="00675DBA"/>
    <w:rsid w:val="00675E00"/>
    <w:rsid w:val="00675E32"/>
    <w:rsid w:val="00675E86"/>
    <w:rsid w:val="00675F90"/>
    <w:rsid w:val="006763C1"/>
    <w:rsid w:val="0067640C"/>
    <w:rsid w:val="006764C0"/>
    <w:rsid w:val="00676525"/>
    <w:rsid w:val="0067680A"/>
    <w:rsid w:val="006768A9"/>
    <w:rsid w:val="00676939"/>
    <w:rsid w:val="006769DA"/>
    <w:rsid w:val="00676B94"/>
    <w:rsid w:val="00676C0F"/>
    <w:rsid w:val="00676FDB"/>
    <w:rsid w:val="00677273"/>
    <w:rsid w:val="006772CA"/>
    <w:rsid w:val="00677559"/>
    <w:rsid w:val="006775BC"/>
    <w:rsid w:val="00677687"/>
    <w:rsid w:val="006776EC"/>
    <w:rsid w:val="006779FA"/>
    <w:rsid w:val="00677A15"/>
    <w:rsid w:val="00677AE0"/>
    <w:rsid w:val="00677C19"/>
    <w:rsid w:val="00677CE6"/>
    <w:rsid w:val="00677DFC"/>
    <w:rsid w:val="00677E2A"/>
    <w:rsid w:val="00677E60"/>
    <w:rsid w:val="00677EC9"/>
    <w:rsid w:val="006800A5"/>
    <w:rsid w:val="006801D3"/>
    <w:rsid w:val="00680335"/>
    <w:rsid w:val="00680497"/>
    <w:rsid w:val="006804FC"/>
    <w:rsid w:val="00680776"/>
    <w:rsid w:val="006807E7"/>
    <w:rsid w:val="00680A80"/>
    <w:rsid w:val="006811C0"/>
    <w:rsid w:val="006815F8"/>
    <w:rsid w:val="0068172C"/>
    <w:rsid w:val="00681A18"/>
    <w:rsid w:val="00681B93"/>
    <w:rsid w:val="00681C75"/>
    <w:rsid w:val="00681DE5"/>
    <w:rsid w:val="00681F4F"/>
    <w:rsid w:val="006821C3"/>
    <w:rsid w:val="006826D0"/>
    <w:rsid w:val="0068277B"/>
    <w:rsid w:val="00682851"/>
    <w:rsid w:val="00682919"/>
    <w:rsid w:val="00682AA3"/>
    <w:rsid w:val="00682B9F"/>
    <w:rsid w:val="00682CB1"/>
    <w:rsid w:val="00682E69"/>
    <w:rsid w:val="00683372"/>
    <w:rsid w:val="00683450"/>
    <w:rsid w:val="006834DC"/>
    <w:rsid w:val="006835C5"/>
    <w:rsid w:val="0068365F"/>
    <w:rsid w:val="00683745"/>
    <w:rsid w:val="00683873"/>
    <w:rsid w:val="00683C03"/>
    <w:rsid w:val="00683D92"/>
    <w:rsid w:val="00683E85"/>
    <w:rsid w:val="00683F40"/>
    <w:rsid w:val="00683F67"/>
    <w:rsid w:val="006840D6"/>
    <w:rsid w:val="00684177"/>
    <w:rsid w:val="0068435C"/>
    <w:rsid w:val="006843FE"/>
    <w:rsid w:val="00684735"/>
    <w:rsid w:val="006847B8"/>
    <w:rsid w:val="0068481B"/>
    <w:rsid w:val="00684887"/>
    <w:rsid w:val="0068489E"/>
    <w:rsid w:val="006849CD"/>
    <w:rsid w:val="006849D7"/>
    <w:rsid w:val="00684C93"/>
    <w:rsid w:val="00684E51"/>
    <w:rsid w:val="00684F81"/>
    <w:rsid w:val="00685062"/>
    <w:rsid w:val="00685153"/>
    <w:rsid w:val="00685166"/>
    <w:rsid w:val="00685261"/>
    <w:rsid w:val="00685464"/>
    <w:rsid w:val="006858E4"/>
    <w:rsid w:val="00685E07"/>
    <w:rsid w:val="00685EE7"/>
    <w:rsid w:val="006861BC"/>
    <w:rsid w:val="006862FD"/>
    <w:rsid w:val="006863CB"/>
    <w:rsid w:val="00686463"/>
    <w:rsid w:val="00686562"/>
    <w:rsid w:val="0068668D"/>
    <w:rsid w:val="0068676A"/>
    <w:rsid w:val="006868A4"/>
    <w:rsid w:val="00686AB0"/>
    <w:rsid w:val="00686B53"/>
    <w:rsid w:val="00686B7A"/>
    <w:rsid w:val="00686BA2"/>
    <w:rsid w:val="00686BF5"/>
    <w:rsid w:val="00686F30"/>
    <w:rsid w:val="00686FC9"/>
    <w:rsid w:val="006874F8"/>
    <w:rsid w:val="006875CC"/>
    <w:rsid w:val="00687759"/>
    <w:rsid w:val="00687911"/>
    <w:rsid w:val="006879EE"/>
    <w:rsid w:val="00687A6E"/>
    <w:rsid w:val="00687C4B"/>
    <w:rsid w:val="00687D42"/>
    <w:rsid w:val="00687E1B"/>
    <w:rsid w:val="00690079"/>
    <w:rsid w:val="00690497"/>
    <w:rsid w:val="0069051C"/>
    <w:rsid w:val="00690579"/>
    <w:rsid w:val="0069059A"/>
    <w:rsid w:val="006905CB"/>
    <w:rsid w:val="0069080B"/>
    <w:rsid w:val="00690824"/>
    <w:rsid w:val="00690876"/>
    <w:rsid w:val="0069090B"/>
    <w:rsid w:val="00690978"/>
    <w:rsid w:val="00690AD9"/>
    <w:rsid w:val="00690D9E"/>
    <w:rsid w:val="00690EE8"/>
    <w:rsid w:val="00690EF6"/>
    <w:rsid w:val="006913D8"/>
    <w:rsid w:val="0069142B"/>
    <w:rsid w:val="0069147C"/>
    <w:rsid w:val="0069155D"/>
    <w:rsid w:val="0069184A"/>
    <w:rsid w:val="00691990"/>
    <w:rsid w:val="00691B01"/>
    <w:rsid w:val="00691BC1"/>
    <w:rsid w:val="00691CF1"/>
    <w:rsid w:val="00691F84"/>
    <w:rsid w:val="0069219B"/>
    <w:rsid w:val="0069222A"/>
    <w:rsid w:val="006925EE"/>
    <w:rsid w:val="006926A9"/>
    <w:rsid w:val="0069280D"/>
    <w:rsid w:val="00692949"/>
    <w:rsid w:val="00692C51"/>
    <w:rsid w:val="00692F92"/>
    <w:rsid w:val="00692FCA"/>
    <w:rsid w:val="00693031"/>
    <w:rsid w:val="0069304B"/>
    <w:rsid w:val="00693158"/>
    <w:rsid w:val="006931CB"/>
    <w:rsid w:val="00693455"/>
    <w:rsid w:val="006935CA"/>
    <w:rsid w:val="00693607"/>
    <w:rsid w:val="00693648"/>
    <w:rsid w:val="00693725"/>
    <w:rsid w:val="006937DF"/>
    <w:rsid w:val="00693862"/>
    <w:rsid w:val="006938F4"/>
    <w:rsid w:val="00693A2B"/>
    <w:rsid w:val="00693ACA"/>
    <w:rsid w:val="00693CA0"/>
    <w:rsid w:val="00693CDC"/>
    <w:rsid w:val="00693DC8"/>
    <w:rsid w:val="00693FD3"/>
    <w:rsid w:val="00694005"/>
    <w:rsid w:val="00694301"/>
    <w:rsid w:val="006943BA"/>
    <w:rsid w:val="0069457D"/>
    <w:rsid w:val="006945FE"/>
    <w:rsid w:val="00694B40"/>
    <w:rsid w:val="00694DC9"/>
    <w:rsid w:val="00694ECD"/>
    <w:rsid w:val="006950F1"/>
    <w:rsid w:val="00695176"/>
    <w:rsid w:val="00695328"/>
    <w:rsid w:val="006958AD"/>
    <w:rsid w:val="00695A6B"/>
    <w:rsid w:val="00695BD1"/>
    <w:rsid w:val="00695D0E"/>
    <w:rsid w:val="00695E5A"/>
    <w:rsid w:val="00695FEC"/>
    <w:rsid w:val="006960A4"/>
    <w:rsid w:val="0069627B"/>
    <w:rsid w:val="006964A5"/>
    <w:rsid w:val="00696755"/>
    <w:rsid w:val="00696828"/>
    <w:rsid w:val="00696886"/>
    <w:rsid w:val="00696C81"/>
    <w:rsid w:val="00696E4B"/>
    <w:rsid w:val="00696EAC"/>
    <w:rsid w:val="00697226"/>
    <w:rsid w:val="0069772E"/>
    <w:rsid w:val="00697AFA"/>
    <w:rsid w:val="00697CE2"/>
    <w:rsid w:val="00697E67"/>
    <w:rsid w:val="00697EFF"/>
    <w:rsid w:val="00697FDD"/>
    <w:rsid w:val="006A006C"/>
    <w:rsid w:val="006A008E"/>
    <w:rsid w:val="006A00CB"/>
    <w:rsid w:val="006A040B"/>
    <w:rsid w:val="006A050B"/>
    <w:rsid w:val="006A063C"/>
    <w:rsid w:val="006A06C1"/>
    <w:rsid w:val="006A0877"/>
    <w:rsid w:val="006A08B3"/>
    <w:rsid w:val="006A08B6"/>
    <w:rsid w:val="006A093D"/>
    <w:rsid w:val="006A0B9F"/>
    <w:rsid w:val="006A0C5A"/>
    <w:rsid w:val="006A0CAE"/>
    <w:rsid w:val="006A0D94"/>
    <w:rsid w:val="006A0DE6"/>
    <w:rsid w:val="006A0F20"/>
    <w:rsid w:val="006A1044"/>
    <w:rsid w:val="006A106F"/>
    <w:rsid w:val="006A114C"/>
    <w:rsid w:val="006A11A6"/>
    <w:rsid w:val="006A14BF"/>
    <w:rsid w:val="006A1563"/>
    <w:rsid w:val="006A1702"/>
    <w:rsid w:val="006A1A44"/>
    <w:rsid w:val="006A1C3A"/>
    <w:rsid w:val="006A1FDD"/>
    <w:rsid w:val="006A205A"/>
    <w:rsid w:val="006A2199"/>
    <w:rsid w:val="006A2264"/>
    <w:rsid w:val="006A2399"/>
    <w:rsid w:val="006A27A9"/>
    <w:rsid w:val="006A2875"/>
    <w:rsid w:val="006A29EB"/>
    <w:rsid w:val="006A2C22"/>
    <w:rsid w:val="006A2C37"/>
    <w:rsid w:val="006A2F35"/>
    <w:rsid w:val="006A2F3B"/>
    <w:rsid w:val="006A317E"/>
    <w:rsid w:val="006A36A3"/>
    <w:rsid w:val="006A36D4"/>
    <w:rsid w:val="006A3701"/>
    <w:rsid w:val="006A3AF9"/>
    <w:rsid w:val="006A3C08"/>
    <w:rsid w:val="006A4021"/>
    <w:rsid w:val="006A4339"/>
    <w:rsid w:val="006A437B"/>
    <w:rsid w:val="006A44FA"/>
    <w:rsid w:val="006A46F3"/>
    <w:rsid w:val="006A4732"/>
    <w:rsid w:val="006A4825"/>
    <w:rsid w:val="006A49C0"/>
    <w:rsid w:val="006A4A19"/>
    <w:rsid w:val="006A4A7F"/>
    <w:rsid w:val="006A4ECF"/>
    <w:rsid w:val="006A4F06"/>
    <w:rsid w:val="006A51D7"/>
    <w:rsid w:val="006A5223"/>
    <w:rsid w:val="006A5502"/>
    <w:rsid w:val="006A556D"/>
    <w:rsid w:val="006A5780"/>
    <w:rsid w:val="006A5881"/>
    <w:rsid w:val="006A5968"/>
    <w:rsid w:val="006A59F7"/>
    <w:rsid w:val="006A5AD3"/>
    <w:rsid w:val="006A5B1E"/>
    <w:rsid w:val="006A5BB3"/>
    <w:rsid w:val="006A5D12"/>
    <w:rsid w:val="006A5D27"/>
    <w:rsid w:val="006A5D4F"/>
    <w:rsid w:val="006A5E6C"/>
    <w:rsid w:val="006A5FDC"/>
    <w:rsid w:val="006A60F4"/>
    <w:rsid w:val="006A623D"/>
    <w:rsid w:val="006A624A"/>
    <w:rsid w:val="006A6393"/>
    <w:rsid w:val="006A6715"/>
    <w:rsid w:val="006A677A"/>
    <w:rsid w:val="006A695E"/>
    <w:rsid w:val="006A69DC"/>
    <w:rsid w:val="006A69E1"/>
    <w:rsid w:val="006A6CB1"/>
    <w:rsid w:val="006A71B7"/>
    <w:rsid w:val="006A71FA"/>
    <w:rsid w:val="006A73D7"/>
    <w:rsid w:val="006A74A3"/>
    <w:rsid w:val="006A75E2"/>
    <w:rsid w:val="006A763A"/>
    <w:rsid w:val="006A78AA"/>
    <w:rsid w:val="006A7927"/>
    <w:rsid w:val="006A7A76"/>
    <w:rsid w:val="006A7A7C"/>
    <w:rsid w:val="006A7B11"/>
    <w:rsid w:val="006A7E58"/>
    <w:rsid w:val="006A7E6D"/>
    <w:rsid w:val="006A7EAE"/>
    <w:rsid w:val="006B007E"/>
    <w:rsid w:val="006B0138"/>
    <w:rsid w:val="006B0211"/>
    <w:rsid w:val="006B03E6"/>
    <w:rsid w:val="006B047D"/>
    <w:rsid w:val="006B051B"/>
    <w:rsid w:val="006B0566"/>
    <w:rsid w:val="006B086A"/>
    <w:rsid w:val="006B087E"/>
    <w:rsid w:val="006B0956"/>
    <w:rsid w:val="006B0AC0"/>
    <w:rsid w:val="006B0BE0"/>
    <w:rsid w:val="006B0C5C"/>
    <w:rsid w:val="006B0D23"/>
    <w:rsid w:val="006B0F01"/>
    <w:rsid w:val="006B1053"/>
    <w:rsid w:val="006B124C"/>
    <w:rsid w:val="006B1252"/>
    <w:rsid w:val="006B13FC"/>
    <w:rsid w:val="006B1620"/>
    <w:rsid w:val="006B1725"/>
    <w:rsid w:val="006B172E"/>
    <w:rsid w:val="006B179C"/>
    <w:rsid w:val="006B1ABE"/>
    <w:rsid w:val="006B1D69"/>
    <w:rsid w:val="006B1E3D"/>
    <w:rsid w:val="006B2483"/>
    <w:rsid w:val="006B25ED"/>
    <w:rsid w:val="006B29FB"/>
    <w:rsid w:val="006B2A11"/>
    <w:rsid w:val="006B2A62"/>
    <w:rsid w:val="006B2E37"/>
    <w:rsid w:val="006B2EB4"/>
    <w:rsid w:val="006B2EC2"/>
    <w:rsid w:val="006B2EFE"/>
    <w:rsid w:val="006B3149"/>
    <w:rsid w:val="006B32BC"/>
    <w:rsid w:val="006B32D6"/>
    <w:rsid w:val="006B39B4"/>
    <w:rsid w:val="006B3A69"/>
    <w:rsid w:val="006B3AA6"/>
    <w:rsid w:val="006B4291"/>
    <w:rsid w:val="006B42CE"/>
    <w:rsid w:val="006B43D4"/>
    <w:rsid w:val="006B45A7"/>
    <w:rsid w:val="006B4845"/>
    <w:rsid w:val="006B4846"/>
    <w:rsid w:val="006B48CF"/>
    <w:rsid w:val="006B4A0B"/>
    <w:rsid w:val="006B4A1B"/>
    <w:rsid w:val="006B50E8"/>
    <w:rsid w:val="006B5162"/>
    <w:rsid w:val="006B5221"/>
    <w:rsid w:val="006B5372"/>
    <w:rsid w:val="006B5472"/>
    <w:rsid w:val="006B5587"/>
    <w:rsid w:val="006B5620"/>
    <w:rsid w:val="006B56C8"/>
    <w:rsid w:val="006B5A6C"/>
    <w:rsid w:val="006B5BDD"/>
    <w:rsid w:val="006B5C98"/>
    <w:rsid w:val="006B5CAD"/>
    <w:rsid w:val="006B601D"/>
    <w:rsid w:val="006B613E"/>
    <w:rsid w:val="006B621D"/>
    <w:rsid w:val="006B6357"/>
    <w:rsid w:val="006B6597"/>
    <w:rsid w:val="006B67E3"/>
    <w:rsid w:val="006B68AD"/>
    <w:rsid w:val="006B6948"/>
    <w:rsid w:val="006B69F9"/>
    <w:rsid w:val="006B6A7B"/>
    <w:rsid w:val="006B6A90"/>
    <w:rsid w:val="006B6BA8"/>
    <w:rsid w:val="006B6CCF"/>
    <w:rsid w:val="006B6FF6"/>
    <w:rsid w:val="006B7187"/>
    <w:rsid w:val="006B71EF"/>
    <w:rsid w:val="006B74C8"/>
    <w:rsid w:val="006B79C7"/>
    <w:rsid w:val="006B7A09"/>
    <w:rsid w:val="006B7BA7"/>
    <w:rsid w:val="006B7C39"/>
    <w:rsid w:val="006B7D35"/>
    <w:rsid w:val="006B7FFC"/>
    <w:rsid w:val="006C0265"/>
    <w:rsid w:val="006C02E8"/>
    <w:rsid w:val="006C0343"/>
    <w:rsid w:val="006C0747"/>
    <w:rsid w:val="006C08A3"/>
    <w:rsid w:val="006C08BE"/>
    <w:rsid w:val="006C0961"/>
    <w:rsid w:val="006C0A48"/>
    <w:rsid w:val="006C0C3F"/>
    <w:rsid w:val="006C0C59"/>
    <w:rsid w:val="006C0DEB"/>
    <w:rsid w:val="006C0EBA"/>
    <w:rsid w:val="006C0F52"/>
    <w:rsid w:val="006C10AB"/>
    <w:rsid w:val="006C10C7"/>
    <w:rsid w:val="006C1127"/>
    <w:rsid w:val="006C118E"/>
    <w:rsid w:val="006C1244"/>
    <w:rsid w:val="006C1268"/>
    <w:rsid w:val="006C12C1"/>
    <w:rsid w:val="006C1830"/>
    <w:rsid w:val="006C1ABC"/>
    <w:rsid w:val="006C1B47"/>
    <w:rsid w:val="006C1BCB"/>
    <w:rsid w:val="006C1C8F"/>
    <w:rsid w:val="006C1DAD"/>
    <w:rsid w:val="006C1F6A"/>
    <w:rsid w:val="006C2151"/>
    <w:rsid w:val="006C2175"/>
    <w:rsid w:val="006C227D"/>
    <w:rsid w:val="006C2349"/>
    <w:rsid w:val="006C24B9"/>
    <w:rsid w:val="006C28B0"/>
    <w:rsid w:val="006C2D42"/>
    <w:rsid w:val="006C2EFB"/>
    <w:rsid w:val="006C3053"/>
    <w:rsid w:val="006C32EA"/>
    <w:rsid w:val="006C34EE"/>
    <w:rsid w:val="006C3521"/>
    <w:rsid w:val="006C3594"/>
    <w:rsid w:val="006C35AD"/>
    <w:rsid w:val="006C35E1"/>
    <w:rsid w:val="006C3653"/>
    <w:rsid w:val="006C3670"/>
    <w:rsid w:val="006C3758"/>
    <w:rsid w:val="006C37DC"/>
    <w:rsid w:val="006C3A0D"/>
    <w:rsid w:val="006C3B03"/>
    <w:rsid w:val="006C3C29"/>
    <w:rsid w:val="006C3C96"/>
    <w:rsid w:val="006C3D47"/>
    <w:rsid w:val="006C3D9E"/>
    <w:rsid w:val="006C3E6D"/>
    <w:rsid w:val="006C3EF6"/>
    <w:rsid w:val="006C4093"/>
    <w:rsid w:val="006C420C"/>
    <w:rsid w:val="006C42A7"/>
    <w:rsid w:val="006C43D6"/>
    <w:rsid w:val="006C45F1"/>
    <w:rsid w:val="006C46AF"/>
    <w:rsid w:val="006C4713"/>
    <w:rsid w:val="006C4737"/>
    <w:rsid w:val="006C48DD"/>
    <w:rsid w:val="006C4940"/>
    <w:rsid w:val="006C4C67"/>
    <w:rsid w:val="006C4F0B"/>
    <w:rsid w:val="006C52E8"/>
    <w:rsid w:val="006C5301"/>
    <w:rsid w:val="006C544D"/>
    <w:rsid w:val="006C546D"/>
    <w:rsid w:val="006C5914"/>
    <w:rsid w:val="006C5D12"/>
    <w:rsid w:val="006C5DE2"/>
    <w:rsid w:val="006C5EA2"/>
    <w:rsid w:val="006C5EB3"/>
    <w:rsid w:val="006C5F91"/>
    <w:rsid w:val="006C6219"/>
    <w:rsid w:val="006C62E6"/>
    <w:rsid w:val="006C637E"/>
    <w:rsid w:val="006C6430"/>
    <w:rsid w:val="006C64B1"/>
    <w:rsid w:val="006C6624"/>
    <w:rsid w:val="006C6674"/>
    <w:rsid w:val="006C66C8"/>
    <w:rsid w:val="006C677A"/>
    <w:rsid w:val="006C67C5"/>
    <w:rsid w:val="006C6960"/>
    <w:rsid w:val="006C6C48"/>
    <w:rsid w:val="006C6D30"/>
    <w:rsid w:val="006C6E03"/>
    <w:rsid w:val="006C6EBF"/>
    <w:rsid w:val="006C7089"/>
    <w:rsid w:val="006C7145"/>
    <w:rsid w:val="006C7237"/>
    <w:rsid w:val="006C76C3"/>
    <w:rsid w:val="006C7731"/>
    <w:rsid w:val="006C7830"/>
    <w:rsid w:val="006C7E08"/>
    <w:rsid w:val="006D01A0"/>
    <w:rsid w:val="006D02A1"/>
    <w:rsid w:val="006D0304"/>
    <w:rsid w:val="006D046C"/>
    <w:rsid w:val="006D0593"/>
    <w:rsid w:val="006D05AA"/>
    <w:rsid w:val="006D06CD"/>
    <w:rsid w:val="006D06F0"/>
    <w:rsid w:val="006D08F5"/>
    <w:rsid w:val="006D0BC7"/>
    <w:rsid w:val="006D0C1E"/>
    <w:rsid w:val="006D0C4D"/>
    <w:rsid w:val="006D0CE7"/>
    <w:rsid w:val="006D0E42"/>
    <w:rsid w:val="006D0E7C"/>
    <w:rsid w:val="006D0E86"/>
    <w:rsid w:val="006D0F8B"/>
    <w:rsid w:val="006D0FA3"/>
    <w:rsid w:val="006D127A"/>
    <w:rsid w:val="006D1292"/>
    <w:rsid w:val="006D1293"/>
    <w:rsid w:val="006D1438"/>
    <w:rsid w:val="006D1951"/>
    <w:rsid w:val="006D1A9C"/>
    <w:rsid w:val="006D1AC8"/>
    <w:rsid w:val="006D1BC2"/>
    <w:rsid w:val="006D1CF1"/>
    <w:rsid w:val="006D1F01"/>
    <w:rsid w:val="006D2244"/>
    <w:rsid w:val="006D26D3"/>
    <w:rsid w:val="006D2836"/>
    <w:rsid w:val="006D28C8"/>
    <w:rsid w:val="006D2928"/>
    <w:rsid w:val="006D2AB1"/>
    <w:rsid w:val="006D2ACD"/>
    <w:rsid w:val="006D2C45"/>
    <w:rsid w:val="006D2E54"/>
    <w:rsid w:val="006D2F0E"/>
    <w:rsid w:val="006D321A"/>
    <w:rsid w:val="006D323D"/>
    <w:rsid w:val="006D3577"/>
    <w:rsid w:val="006D35AD"/>
    <w:rsid w:val="006D3636"/>
    <w:rsid w:val="006D3782"/>
    <w:rsid w:val="006D3A3B"/>
    <w:rsid w:val="006D3C72"/>
    <w:rsid w:val="006D3E81"/>
    <w:rsid w:val="006D3F58"/>
    <w:rsid w:val="006D3FE1"/>
    <w:rsid w:val="006D40DD"/>
    <w:rsid w:val="006D41C2"/>
    <w:rsid w:val="006D42E1"/>
    <w:rsid w:val="006D44BE"/>
    <w:rsid w:val="006D4654"/>
    <w:rsid w:val="006D46B8"/>
    <w:rsid w:val="006D4902"/>
    <w:rsid w:val="006D4CC6"/>
    <w:rsid w:val="006D4DF6"/>
    <w:rsid w:val="006D4FAE"/>
    <w:rsid w:val="006D5007"/>
    <w:rsid w:val="006D51F6"/>
    <w:rsid w:val="006D523F"/>
    <w:rsid w:val="006D52FB"/>
    <w:rsid w:val="006D5475"/>
    <w:rsid w:val="006D5584"/>
    <w:rsid w:val="006D55DC"/>
    <w:rsid w:val="006D55FF"/>
    <w:rsid w:val="006D56E9"/>
    <w:rsid w:val="006D577E"/>
    <w:rsid w:val="006D5827"/>
    <w:rsid w:val="006D587F"/>
    <w:rsid w:val="006D5995"/>
    <w:rsid w:val="006D5A9A"/>
    <w:rsid w:val="006D5FE9"/>
    <w:rsid w:val="006D5FF2"/>
    <w:rsid w:val="006D6161"/>
    <w:rsid w:val="006D656E"/>
    <w:rsid w:val="006D65D6"/>
    <w:rsid w:val="006D6741"/>
    <w:rsid w:val="006D680C"/>
    <w:rsid w:val="006D688C"/>
    <w:rsid w:val="006D68C4"/>
    <w:rsid w:val="006D6FBE"/>
    <w:rsid w:val="006D7012"/>
    <w:rsid w:val="006D7172"/>
    <w:rsid w:val="006D7187"/>
    <w:rsid w:val="006D739D"/>
    <w:rsid w:val="006D7524"/>
    <w:rsid w:val="006D7563"/>
    <w:rsid w:val="006D7583"/>
    <w:rsid w:val="006D7683"/>
    <w:rsid w:val="006D787F"/>
    <w:rsid w:val="006D79A4"/>
    <w:rsid w:val="006D7A4C"/>
    <w:rsid w:val="006D7A84"/>
    <w:rsid w:val="006D7BD9"/>
    <w:rsid w:val="006D7BED"/>
    <w:rsid w:val="006D7F76"/>
    <w:rsid w:val="006E0175"/>
    <w:rsid w:val="006E02E2"/>
    <w:rsid w:val="006E037F"/>
    <w:rsid w:val="006E0493"/>
    <w:rsid w:val="006E0543"/>
    <w:rsid w:val="006E0551"/>
    <w:rsid w:val="006E0584"/>
    <w:rsid w:val="006E05A4"/>
    <w:rsid w:val="006E06CC"/>
    <w:rsid w:val="006E0712"/>
    <w:rsid w:val="006E08E8"/>
    <w:rsid w:val="006E092E"/>
    <w:rsid w:val="006E0DB2"/>
    <w:rsid w:val="006E0E27"/>
    <w:rsid w:val="006E0F45"/>
    <w:rsid w:val="006E1184"/>
    <w:rsid w:val="006E12A6"/>
    <w:rsid w:val="006E145A"/>
    <w:rsid w:val="006E189F"/>
    <w:rsid w:val="006E18AA"/>
    <w:rsid w:val="006E1B39"/>
    <w:rsid w:val="006E1BC7"/>
    <w:rsid w:val="006E1DC1"/>
    <w:rsid w:val="006E1EBE"/>
    <w:rsid w:val="006E1F98"/>
    <w:rsid w:val="006E2185"/>
    <w:rsid w:val="006E2208"/>
    <w:rsid w:val="006E22C0"/>
    <w:rsid w:val="006E22EB"/>
    <w:rsid w:val="006E2333"/>
    <w:rsid w:val="006E2488"/>
    <w:rsid w:val="006E2500"/>
    <w:rsid w:val="006E285F"/>
    <w:rsid w:val="006E28E8"/>
    <w:rsid w:val="006E2980"/>
    <w:rsid w:val="006E2A90"/>
    <w:rsid w:val="006E2AEC"/>
    <w:rsid w:val="006E2D39"/>
    <w:rsid w:val="006E300E"/>
    <w:rsid w:val="006E3177"/>
    <w:rsid w:val="006E324D"/>
    <w:rsid w:val="006E3256"/>
    <w:rsid w:val="006E3352"/>
    <w:rsid w:val="006E3397"/>
    <w:rsid w:val="006E3603"/>
    <w:rsid w:val="006E36A8"/>
    <w:rsid w:val="006E379A"/>
    <w:rsid w:val="006E39C4"/>
    <w:rsid w:val="006E3B34"/>
    <w:rsid w:val="006E3FB0"/>
    <w:rsid w:val="006E4081"/>
    <w:rsid w:val="006E408C"/>
    <w:rsid w:val="006E4571"/>
    <w:rsid w:val="006E4644"/>
    <w:rsid w:val="006E46D0"/>
    <w:rsid w:val="006E475A"/>
    <w:rsid w:val="006E4AB0"/>
    <w:rsid w:val="006E4B7D"/>
    <w:rsid w:val="006E4E05"/>
    <w:rsid w:val="006E4EC3"/>
    <w:rsid w:val="006E508F"/>
    <w:rsid w:val="006E5124"/>
    <w:rsid w:val="006E53FD"/>
    <w:rsid w:val="006E55B9"/>
    <w:rsid w:val="006E5A13"/>
    <w:rsid w:val="006E5AAA"/>
    <w:rsid w:val="006E5DEF"/>
    <w:rsid w:val="006E5E27"/>
    <w:rsid w:val="006E6098"/>
    <w:rsid w:val="006E609F"/>
    <w:rsid w:val="006E6197"/>
    <w:rsid w:val="006E64F8"/>
    <w:rsid w:val="006E6715"/>
    <w:rsid w:val="006E68F8"/>
    <w:rsid w:val="006E6D54"/>
    <w:rsid w:val="006E6D87"/>
    <w:rsid w:val="006E6D95"/>
    <w:rsid w:val="006E711E"/>
    <w:rsid w:val="006E7220"/>
    <w:rsid w:val="006E7292"/>
    <w:rsid w:val="006E7440"/>
    <w:rsid w:val="006E7971"/>
    <w:rsid w:val="006E7AC1"/>
    <w:rsid w:val="006E7AF7"/>
    <w:rsid w:val="006E7BB2"/>
    <w:rsid w:val="006E7C54"/>
    <w:rsid w:val="006E7DF5"/>
    <w:rsid w:val="006E7EBD"/>
    <w:rsid w:val="006E7EE4"/>
    <w:rsid w:val="006F001D"/>
    <w:rsid w:val="006F0237"/>
    <w:rsid w:val="006F0491"/>
    <w:rsid w:val="006F04E6"/>
    <w:rsid w:val="006F05C0"/>
    <w:rsid w:val="006F05EC"/>
    <w:rsid w:val="006F0661"/>
    <w:rsid w:val="006F0722"/>
    <w:rsid w:val="006F08D5"/>
    <w:rsid w:val="006F0AB8"/>
    <w:rsid w:val="006F0B69"/>
    <w:rsid w:val="006F0DAC"/>
    <w:rsid w:val="006F0E2E"/>
    <w:rsid w:val="006F0E9B"/>
    <w:rsid w:val="006F1058"/>
    <w:rsid w:val="006F1169"/>
    <w:rsid w:val="006F1804"/>
    <w:rsid w:val="006F18DD"/>
    <w:rsid w:val="006F19E9"/>
    <w:rsid w:val="006F1B5A"/>
    <w:rsid w:val="006F2030"/>
    <w:rsid w:val="006F21B1"/>
    <w:rsid w:val="006F22C4"/>
    <w:rsid w:val="006F2511"/>
    <w:rsid w:val="006F2540"/>
    <w:rsid w:val="006F25AF"/>
    <w:rsid w:val="006F2B75"/>
    <w:rsid w:val="006F2C85"/>
    <w:rsid w:val="006F2CAB"/>
    <w:rsid w:val="006F2CC7"/>
    <w:rsid w:val="006F2CEA"/>
    <w:rsid w:val="006F2E22"/>
    <w:rsid w:val="006F2E63"/>
    <w:rsid w:val="006F3032"/>
    <w:rsid w:val="006F3082"/>
    <w:rsid w:val="006F3083"/>
    <w:rsid w:val="006F31BE"/>
    <w:rsid w:val="006F3284"/>
    <w:rsid w:val="006F345E"/>
    <w:rsid w:val="006F34B6"/>
    <w:rsid w:val="006F3595"/>
    <w:rsid w:val="006F39B0"/>
    <w:rsid w:val="006F3C02"/>
    <w:rsid w:val="006F4344"/>
    <w:rsid w:val="006F4662"/>
    <w:rsid w:val="006F46AB"/>
    <w:rsid w:val="006F46D6"/>
    <w:rsid w:val="006F4B8E"/>
    <w:rsid w:val="006F4CF7"/>
    <w:rsid w:val="006F4D00"/>
    <w:rsid w:val="006F4D33"/>
    <w:rsid w:val="006F51DC"/>
    <w:rsid w:val="006F5434"/>
    <w:rsid w:val="006F5455"/>
    <w:rsid w:val="006F571C"/>
    <w:rsid w:val="006F5760"/>
    <w:rsid w:val="006F57C1"/>
    <w:rsid w:val="006F598E"/>
    <w:rsid w:val="006F5ADA"/>
    <w:rsid w:val="006F5CFA"/>
    <w:rsid w:val="006F5D12"/>
    <w:rsid w:val="006F5D95"/>
    <w:rsid w:val="006F5E06"/>
    <w:rsid w:val="006F5F4B"/>
    <w:rsid w:val="006F6091"/>
    <w:rsid w:val="006F6095"/>
    <w:rsid w:val="006F61B8"/>
    <w:rsid w:val="006F61F6"/>
    <w:rsid w:val="006F6245"/>
    <w:rsid w:val="006F624F"/>
    <w:rsid w:val="006F6281"/>
    <w:rsid w:val="006F630F"/>
    <w:rsid w:val="006F64B0"/>
    <w:rsid w:val="006F6557"/>
    <w:rsid w:val="006F667C"/>
    <w:rsid w:val="006F6759"/>
    <w:rsid w:val="006F67C3"/>
    <w:rsid w:val="006F68C6"/>
    <w:rsid w:val="006F6A95"/>
    <w:rsid w:val="006F6B3D"/>
    <w:rsid w:val="006F6FEE"/>
    <w:rsid w:val="006F7282"/>
    <w:rsid w:val="006F74FC"/>
    <w:rsid w:val="006F75FD"/>
    <w:rsid w:val="006F77AC"/>
    <w:rsid w:val="006F77BC"/>
    <w:rsid w:val="006F77CE"/>
    <w:rsid w:val="006F7A52"/>
    <w:rsid w:val="006F7C51"/>
    <w:rsid w:val="006F7C5E"/>
    <w:rsid w:val="006F7F32"/>
    <w:rsid w:val="006F7FA1"/>
    <w:rsid w:val="007000F3"/>
    <w:rsid w:val="007001C7"/>
    <w:rsid w:val="007002B2"/>
    <w:rsid w:val="007002E1"/>
    <w:rsid w:val="007004F7"/>
    <w:rsid w:val="007006B4"/>
    <w:rsid w:val="00700793"/>
    <w:rsid w:val="007007E8"/>
    <w:rsid w:val="00700887"/>
    <w:rsid w:val="00700898"/>
    <w:rsid w:val="0070093B"/>
    <w:rsid w:val="00700C25"/>
    <w:rsid w:val="00700C84"/>
    <w:rsid w:val="00700E10"/>
    <w:rsid w:val="00701854"/>
    <w:rsid w:val="007018DE"/>
    <w:rsid w:val="00701B62"/>
    <w:rsid w:val="00701D34"/>
    <w:rsid w:val="00701DB7"/>
    <w:rsid w:val="00701FBE"/>
    <w:rsid w:val="00702076"/>
    <w:rsid w:val="00702352"/>
    <w:rsid w:val="0070236A"/>
    <w:rsid w:val="0070245B"/>
    <w:rsid w:val="007024B6"/>
    <w:rsid w:val="00702501"/>
    <w:rsid w:val="0070259A"/>
    <w:rsid w:val="00702783"/>
    <w:rsid w:val="007027CF"/>
    <w:rsid w:val="00702A5E"/>
    <w:rsid w:val="00702BF8"/>
    <w:rsid w:val="00702C54"/>
    <w:rsid w:val="0070304C"/>
    <w:rsid w:val="007033C6"/>
    <w:rsid w:val="0070355A"/>
    <w:rsid w:val="00703633"/>
    <w:rsid w:val="007037FA"/>
    <w:rsid w:val="007038A0"/>
    <w:rsid w:val="0070396F"/>
    <w:rsid w:val="00703D60"/>
    <w:rsid w:val="00703E9D"/>
    <w:rsid w:val="00704159"/>
    <w:rsid w:val="0070429D"/>
    <w:rsid w:val="00704377"/>
    <w:rsid w:val="00704412"/>
    <w:rsid w:val="00704455"/>
    <w:rsid w:val="007044F4"/>
    <w:rsid w:val="00704592"/>
    <w:rsid w:val="0070460E"/>
    <w:rsid w:val="0070466E"/>
    <w:rsid w:val="007047A8"/>
    <w:rsid w:val="0070494B"/>
    <w:rsid w:val="00704C84"/>
    <w:rsid w:val="00704EFA"/>
    <w:rsid w:val="00704F4D"/>
    <w:rsid w:val="00704F65"/>
    <w:rsid w:val="00704FD8"/>
    <w:rsid w:val="007051C9"/>
    <w:rsid w:val="007054A3"/>
    <w:rsid w:val="007056CF"/>
    <w:rsid w:val="007058E3"/>
    <w:rsid w:val="00705BF0"/>
    <w:rsid w:val="00705D99"/>
    <w:rsid w:val="00705F12"/>
    <w:rsid w:val="00705F87"/>
    <w:rsid w:val="0070600E"/>
    <w:rsid w:val="00706116"/>
    <w:rsid w:val="00706311"/>
    <w:rsid w:val="0070678A"/>
    <w:rsid w:val="00706A06"/>
    <w:rsid w:val="00706B17"/>
    <w:rsid w:val="00706E23"/>
    <w:rsid w:val="00706F6A"/>
    <w:rsid w:val="00707286"/>
    <w:rsid w:val="00707545"/>
    <w:rsid w:val="00707614"/>
    <w:rsid w:val="00707622"/>
    <w:rsid w:val="007077AA"/>
    <w:rsid w:val="00707814"/>
    <w:rsid w:val="0070791B"/>
    <w:rsid w:val="00707BA5"/>
    <w:rsid w:val="00710008"/>
    <w:rsid w:val="007100D1"/>
    <w:rsid w:val="0071022A"/>
    <w:rsid w:val="0071025F"/>
    <w:rsid w:val="00710327"/>
    <w:rsid w:val="007103F9"/>
    <w:rsid w:val="0071077F"/>
    <w:rsid w:val="0071082B"/>
    <w:rsid w:val="007108A6"/>
    <w:rsid w:val="007108D3"/>
    <w:rsid w:val="007109E3"/>
    <w:rsid w:val="00710BD0"/>
    <w:rsid w:val="00710EF1"/>
    <w:rsid w:val="0071137E"/>
    <w:rsid w:val="007113DA"/>
    <w:rsid w:val="00711462"/>
    <w:rsid w:val="0071155F"/>
    <w:rsid w:val="007115E3"/>
    <w:rsid w:val="007116EB"/>
    <w:rsid w:val="007116F9"/>
    <w:rsid w:val="00711973"/>
    <w:rsid w:val="00711BCF"/>
    <w:rsid w:val="00711C4B"/>
    <w:rsid w:val="00711CE1"/>
    <w:rsid w:val="00711DB9"/>
    <w:rsid w:val="00711FDB"/>
    <w:rsid w:val="00712140"/>
    <w:rsid w:val="00712507"/>
    <w:rsid w:val="007125C8"/>
    <w:rsid w:val="007125F2"/>
    <w:rsid w:val="007125F6"/>
    <w:rsid w:val="00712671"/>
    <w:rsid w:val="007127DB"/>
    <w:rsid w:val="00712801"/>
    <w:rsid w:val="00712B01"/>
    <w:rsid w:val="00712DC0"/>
    <w:rsid w:val="00712E54"/>
    <w:rsid w:val="0071312D"/>
    <w:rsid w:val="0071316E"/>
    <w:rsid w:val="0071338D"/>
    <w:rsid w:val="0071345F"/>
    <w:rsid w:val="00713545"/>
    <w:rsid w:val="00713596"/>
    <w:rsid w:val="00713766"/>
    <w:rsid w:val="0071383C"/>
    <w:rsid w:val="0071384F"/>
    <w:rsid w:val="00713B8E"/>
    <w:rsid w:val="00713BEE"/>
    <w:rsid w:val="00713C12"/>
    <w:rsid w:val="00713C61"/>
    <w:rsid w:val="00713CC5"/>
    <w:rsid w:val="00713D13"/>
    <w:rsid w:val="00713D79"/>
    <w:rsid w:val="00713F58"/>
    <w:rsid w:val="007142BD"/>
    <w:rsid w:val="00714428"/>
    <w:rsid w:val="00714491"/>
    <w:rsid w:val="007144EC"/>
    <w:rsid w:val="0071462D"/>
    <w:rsid w:val="0071464E"/>
    <w:rsid w:val="007148E5"/>
    <w:rsid w:val="00714904"/>
    <w:rsid w:val="00714B27"/>
    <w:rsid w:val="00714B94"/>
    <w:rsid w:val="00714EDF"/>
    <w:rsid w:val="00714F1D"/>
    <w:rsid w:val="00714F77"/>
    <w:rsid w:val="00715058"/>
    <w:rsid w:val="00715154"/>
    <w:rsid w:val="0071517D"/>
    <w:rsid w:val="007151C7"/>
    <w:rsid w:val="007152FB"/>
    <w:rsid w:val="007154E6"/>
    <w:rsid w:val="00715690"/>
    <w:rsid w:val="007156D4"/>
    <w:rsid w:val="007157F8"/>
    <w:rsid w:val="00715CB8"/>
    <w:rsid w:val="00716012"/>
    <w:rsid w:val="00716081"/>
    <w:rsid w:val="00716109"/>
    <w:rsid w:val="007163F0"/>
    <w:rsid w:val="00716668"/>
    <w:rsid w:val="00716847"/>
    <w:rsid w:val="00716C97"/>
    <w:rsid w:val="00716D8B"/>
    <w:rsid w:val="00716F92"/>
    <w:rsid w:val="00717083"/>
    <w:rsid w:val="007170CB"/>
    <w:rsid w:val="007172DF"/>
    <w:rsid w:val="0071765B"/>
    <w:rsid w:val="0071770D"/>
    <w:rsid w:val="00717775"/>
    <w:rsid w:val="007177F6"/>
    <w:rsid w:val="007179F1"/>
    <w:rsid w:val="00717A0C"/>
    <w:rsid w:val="00717A18"/>
    <w:rsid w:val="00717A6B"/>
    <w:rsid w:val="00717BD6"/>
    <w:rsid w:val="00717C71"/>
    <w:rsid w:val="00717CBF"/>
    <w:rsid w:val="00717ECE"/>
    <w:rsid w:val="00717F45"/>
    <w:rsid w:val="0072009B"/>
    <w:rsid w:val="00720121"/>
    <w:rsid w:val="00720129"/>
    <w:rsid w:val="00720207"/>
    <w:rsid w:val="0072031A"/>
    <w:rsid w:val="00720488"/>
    <w:rsid w:val="007204CF"/>
    <w:rsid w:val="0072057D"/>
    <w:rsid w:val="00720637"/>
    <w:rsid w:val="0072064A"/>
    <w:rsid w:val="007207C4"/>
    <w:rsid w:val="00720A89"/>
    <w:rsid w:val="00720ADE"/>
    <w:rsid w:val="00720B9A"/>
    <w:rsid w:val="00720C87"/>
    <w:rsid w:val="00720D6B"/>
    <w:rsid w:val="00720E54"/>
    <w:rsid w:val="00720E74"/>
    <w:rsid w:val="007211A2"/>
    <w:rsid w:val="00721396"/>
    <w:rsid w:val="0072139E"/>
    <w:rsid w:val="00721712"/>
    <w:rsid w:val="00721876"/>
    <w:rsid w:val="00721B73"/>
    <w:rsid w:val="00721C5A"/>
    <w:rsid w:val="00721CB2"/>
    <w:rsid w:val="00721D31"/>
    <w:rsid w:val="00721DD9"/>
    <w:rsid w:val="00722113"/>
    <w:rsid w:val="0072247B"/>
    <w:rsid w:val="007227A5"/>
    <w:rsid w:val="00722878"/>
    <w:rsid w:val="00722946"/>
    <w:rsid w:val="00722ACA"/>
    <w:rsid w:val="00723196"/>
    <w:rsid w:val="00723553"/>
    <w:rsid w:val="0072367F"/>
    <w:rsid w:val="00723C52"/>
    <w:rsid w:val="00723C9A"/>
    <w:rsid w:val="00723CC9"/>
    <w:rsid w:val="00723D4F"/>
    <w:rsid w:val="00723E60"/>
    <w:rsid w:val="00723E6C"/>
    <w:rsid w:val="00724175"/>
    <w:rsid w:val="00724259"/>
    <w:rsid w:val="007242D2"/>
    <w:rsid w:val="00724424"/>
    <w:rsid w:val="007246C9"/>
    <w:rsid w:val="00724863"/>
    <w:rsid w:val="00724953"/>
    <w:rsid w:val="007249B9"/>
    <w:rsid w:val="00724C37"/>
    <w:rsid w:val="00724C38"/>
    <w:rsid w:val="00724DA9"/>
    <w:rsid w:val="00724DAC"/>
    <w:rsid w:val="00724DC9"/>
    <w:rsid w:val="00724E5F"/>
    <w:rsid w:val="0072502C"/>
    <w:rsid w:val="007250C5"/>
    <w:rsid w:val="0072549B"/>
    <w:rsid w:val="00725504"/>
    <w:rsid w:val="0072572E"/>
    <w:rsid w:val="00725740"/>
    <w:rsid w:val="0072576E"/>
    <w:rsid w:val="00725A02"/>
    <w:rsid w:val="00725A66"/>
    <w:rsid w:val="00725A69"/>
    <w:rsid w:val="00725B37"/>
    <w:rsid w:val="00725CC4"/>
    <w:rsid w:val="00725CD2"/>
    <w:rsid w:val="00725F6D"/>
    <w:rsid w:val="00725F8E"/>
    <w:rsid w:val="00726010"/>
    <w:rsid w:val="007260BE"/>
    <w:rsid w:val="0072621F"/>
    <w:rsid w:val="007262CE"/>
    <w:rsid w:val="0072638E"/>
    <w:rsid w:val="00726444"/>
    <w:rsid w:val="00726563"/>
    <w:rsid w:val="0072662F"/>
    <w:rsid w:val="007266C9"/>
    <w:rsid w:val="00726725"/>
    <w:rsid w:val="0072682B"/>
    <w:rsid w:val="00726AC5"/>
    <w:rsid w:val="00726FBF"/>
    <w:rsid w:val="00726FE8"/>
    <w:rsid w:val="007270FD"/>
    <w:rsid w:val="0072748F"/>
    <w:rsid w:val="0072759E"/>
    <w:rsid w:val="0072766B"/>
    <w:rsid w:val="0072784C"/>
    <w:rsid w:val="0072784F"/>
    <w:rsid w:val="00727CAC"/>
    <w:rsid w:val="00727E26"/>
    <w:rsid w:val="0073004E"/>
    <w:rsid w:val="007300DE"/>
    <w:rsid w:val="00730236"/>
    <w:rsid w:val="007304C5"/>
    <w:rsid w:val="0073054F"/>
    <w:rsid w:val="007305F1"/>
    <w:rsid w:val="00730775"/>
    <w:rsid w:val="007307B2"/>
    <w:rsid w:val="007307BF"/>
    <w:rsid w:val="0073087A"/>
    <w:rsid w:val="007308E6"/>
    <w:rsid w:val="00730B37"/>
    <w:rsid w:val="00730C41"/>
    <w:rsid w:val="00730F26"/>
    <w:rsid w:val="007311ED"/>
    <w:rsid w:val="007311FD"/>
    <w:rsid w:val="00731509"/>
    <w:rsid w:val="007315E9"/>
    <w:rsid w:val="00731612"/>
    <w:rsid w:val="0073183D"/>
    <w:rsid w:val="007318CF"/>
    <w:rsid w:val="00731FB0"/>
    <w:rsid w:val="00732059"/>
    <w:rsid w:val="00732A60"/>
    <w:rsid w:val="00732B7F"/>
    <w:rsid w:val="00732D1E"/>
    <w:rsid w:val="00732F40"/>
    <w:rsid w:val="00732F7F"/>
    <w:rsid w:val="00733112"/>
    <w:rsid w:val="00733595"/>
    <w:rsid w:val="007335A1"/>
    <w:rsid w:val="00733665"/>
    <w:rsid w:val="007336BB"/>
    <w:rsid w:val="0073374B"/>
    <w:rsid w:val="00733822"/>
    <w:rsid w:val="00733873"/>
    <w:rsid w:val="00733A9D"/>
    <w:rsid w:val="00733AE3"/>
    <w:rsid w:val="00733C22"/>
    <w:rsid w:val="00733DF4"/>
    <w:rsid w:val="007343E5"/>
    <w:rsid w:val="007343EF"/>
    <w:rsid w:val="0073461E"/>
    <w:rsid w:val="00734680"/>
    <w:rsid w:val="007346BA"/>
    <w:rsid w:val="00734713"/>
    <w:rsid w:val="0073478E"/>
    <w:rsid w:val="00734A49"/>
    <w:rsid w:val="00734D93"/>
    <w:rsid w:val="00734E53"/>
    <w:rsid w:val="00734F64"/>
    <w:rsid w:val="00734FC6"/>
    <w:rsid w:val="0073508D"/>
    <w:rsid w:val="007353CB"/>
    <w:rsid w:val="007355A1"/>
    <w:rsid w:val="007355B5"/>
    <w:rsid w:val="00735652"/>
    <w:rsid w:val="007357E0"/>
    <w:rsid w:val="00735C24"/>
    <w:rsid w:val="00735ECB"/>
    <w:rsid w:val="0073606A"/>
    <w:rsid w:val="007360E6"/>
    <w:rsid w:val="00736380"/>
    <w:rsid w:val="007365AD"/>
    <w:rsid w:val="0073678D"/>
    <w:rsid w:val="007367AA"/>
    <w:rsid w:val="00736846"/>
    <w:rsid w:val="00736B25"/>
    <w:rsid w:val="00736C64"/>
    <w:rsid w:val="00736EAC"/>
    <w:rsid w:val="00737256"/>
    <w:rsid w:val="0073737B"/>
    <w:rsid w:val="00737556"/>
    <w:rsid w:val="0073760E"/>
    <w:rsid w:val="0073764D"/>
    <w:rsid w:val="00737724"/>
    <w:rsid w:val="0073773E"/>
    <w:rsid w:val="0073774B"/>
    <w:rsid w:val="00737773"/>
    <w:rsid w:val="0073793C"/>
    <w:rsid w:val="007379DD"/>
    <w:rsid w:val="00737C07"/>
    <w:rsid w:val="00737D14"/>
    <w:rsid w:val="0074008A"/>
    <w:rsid w:val="007400E4"/>
    <w:rsid w:val="00740185"/>
    <w:rsid w:val="007402C1"/>
    <w:rsid w:val="007402F0"/>
    <w:rsid w:val="007403B8"/>
    <w:rsid w:val="00740457"/>
    <w:rsid w:val="0074052A"/>
    <w:rsid w:val="00740546"/>
    <w:rsid w:val="00740663"/>
    <w:rsid w:val="00740AF4"/>
    <w:rsid w:val="00740AFA"/>
    <w:rsid w:val="00740C19"/>
    <w:rsid w:val="00740CD3"/>
    <w:rsid w:val="00740EE5"/>
    <w:rsid w:val="00740F2C"/>
    <w:rsid w:val="00740F74"/>
    <w:rsid w:val="0074134D"/>
    <w:rsid w:val="0074155D"/>
    <w:rsid w:val="0074176F"/>
    <w:rsid w:val="007417AA"/>
    <w:rsid w:val="007418B5"/>
    <w:rsid w:val="0074194B"/>
    <w:rsid w:val="007419FE"/>
    <w:rsid w:val="00741A32"/>
    <w:rsid w:val="00741AE5"/>
    <w:rsid w:val="00741CBA"/>
    <w:rsid w:val="00741E74"/>
    <w:rsid w:val="00741E92"/>
    <w:rsid w:val="00741FE6"/>
    <w:rsid w:val="007420B8"/>
    <w:rsid w:val="00742363"/>
    <w:rsid w:val="00742372"/>
    <w:rsid w:val="00742498"/>
    <w:rsid w:val="00742516"/>
    <w:rsid w:val="0074255C"/>
    <w:rsid w:val="0074256E"/>
    <w:rsid w:val="00742837"/>
    <w:rsid w:val="00742A41"/>
    <w:rsid w:val="00742C3A"/>
    <w:rsid w:val="00742C84"/>
    <w:rsid w:val="00742D50"/>
    <w:rsid w:val="00742F11"/>
    <w:rsid w:val="00743044"/>
    <w:rsid w:val="007430D6"/>
    <w:rsid w:val="007430E2"/>
    <w:rsid w:val="00743139"/>
    <w:rsid w:val="0074386D"/>
    <w:rsid w:val="007438D0"/>
    <w:rsid w:val="00743AB9"/>
    <w:rsid w:val="00743CFB"/>
    <w:rsid w:val="007441AC"/>
    <w:rsid w:val="00744308"/>
    <w:rsid w:val="00744643"/>
    <w:rsid w:val="007446FB"/>
    <w:rsid w:val="00744849"/>
    <w:rsid w:val="00744A3A"/>
    <w:rsid w:val="00744B94"/>
    <w:rsid w:val="00744D0C"/>
    <w:rsid w:val="00744E38"/>
    <w:rsid w:val="00744E4E"/>
    <w:rsid w:val="00744E6D"/>
    <w:rsid w:val="00744E9D"/>
    <w:rsid w:val="007450E8"/>
    <w:rsid w:val="0074516F"/>
    <w:rsid w:val="007452F5"/>
    <w:rsid w:val="0074573A"/>
    <w:rsid w:val="0074591B"/>
    <w:rsid w:val="00745B79"/>
    <w:rsid w:val="00746005"/>
    <w:rsid w:val="007464BC"/>
    <w:rsid w:val="007466E1"/>
    <w:rsid w:val="007467A0"/>
    <w:rsid w:val="00746951"/>
    <w:rsid w:val="00746C80"/>
    <w:rsid w:val="00746E42"/>
    <w:rsid w:val="00746EBB"/>
    <w:rsid w:val="00747081"/>
    <w:rsid w:val="00747133"/>
    <w:rsid w:val="0074717A"/>
    <w:rsid w:val="0074717D"/>
    <w:rsid w:val="00747247"/>
    <w:rsid w:val="0074733A"/>
    <w:rsid w:val="0074747F"/>
    <w:rsid w:val="007474C9"/>
    <w:rsid w:val="0074752A"/>
    <w:rsid w:val="007476A9"/>
    <w:rsid w:val="007478E4"/>
    <w:rsid w:val="007478E8"/>
    <w:rsid w:val="00747A60"/>
    <w:rsid w:val="00747DEC"/>
    <w:rsid w:val="00747EAF"/>
    <w:rsid w:val="00747ED5"/>
    <w:rsid w:val="007501C0"/>
    <w:rsid w:val="007502D8"/>
    <w:rsid w:val="0075058A"/>
    <w:rsid w:val="007505F5"/>
    <w:rsid w:val="007509CE"/>
    <w:rsid w:val="00751067"/>
    <w:rsid w:val="0075115E"/>
    <w:rsid w:val="00751373"/>
    <w:rsid w:val="007515F6"/>
    <w:rsid w:val="007517B5"/>
    <w:rsid w:val="007517BF"/>
    <w:rsid w:val="0075195D"/>
    <w:rsid w:val="00751986"/>
    <w:rsid w:val="00751CD1"/>
    <w:rsid w:val="00751FCE"/>
    <w:rsid w:val="00752068"/>
    <w:rsid w:val="00752263"/>
    <w:rsid w:val="007522CF"/>
    <w:rsid w:val="00752331"/>
    <w:rsid w:val="007524E7"/>
    <w:rsid w:val="007524FA"/>
    <w:rsid w:val="007529AE"/>
    <w:rsid w:val="00752B44"/>
    <w:rsid w:val="00752E72"/>
    <w:rsid w:val="00752F29"/>
    <w:rsid w:val="00752F9F"/>
    <w:rsid w:val="00753097"/>
    <w:rsid w:val="00753290"/>
    <w:rsid w:val="00753413"/>
    <w:rsid w:val="0075358B"/>
    <w:rsid w:val="007535EA"/>
    <w:rsid w:val="00753760"/>
    <w:rsid w:val="00753A39"/>
    <w:rsid w:val="00753B70"/>
    <w:rsid w:val="00753BF1"/>
    <w:rsid w:val="00753F7D"/>
    <w:rsid w:val="00753FF2"/>
    <w:rsid w:val="00754116"/>
    <w:rsid w:val="00754225"/>
    <w:rsid w:val="0075437D"/>
    <w:rsid w:val="007544C7"/>
    <w:rsid w:val="00754554"/>
    <w:rsid w:val="00754692"/>
    <w:rsid w:val="007548CB"/>
    <w:rsid w:val="00754AA1"/>
    <w:rsid w:val="00754EED"/>
    <w:rsid w:val="007554F7"/>
    <w:rsid w:val="0075563D"/>
    <w:rsid w:val="007559F7"/>
    <w:rsid w:val="00755B5E"/>
    <w:rsid w:val="00755C77"/>
    <w:rsid w:val="00755C88"/>
    <w:rsid w:val="00756071"/>
    <w:rsid w:val="007567D9"/>
    <w:rsid w:val="007568BA"/>
    <w:rsid w:val="0075699F"/>
    <w:rsid w:val="00756BF4"/>
    <w:rsid w:val="00756CD2"/>
    <w:rsid w:val="00756DAB"/>
    <w:rsid w:val="00756E3E"/>
    <w:rsid w:val="00756EAE"/>
    <w:rsid w:val="00756EE2"/>
    <w:rsid w:val="00756FAB"/>
    <w:rsid w:val="007570D9"/>
    <w:rsid w:val="00757129"/>
    <w:rsid w:val="007572B0"/>
    <w:rsid w:val="00757552"/>
    <w:rsid w:val="0075759A"/>
    <w:rsid w:val="00757709"/>
    <w:rsid w:val="007577EC"/>
    <w:rsid w:val="00757837"/>
    <w:rsid w:val="00757857"/>
    <w:rsid w:val="00757A76"/>
    <w:rsid w:val="00757C3D"/>
    <w:rsid w:val="00757EB1"/>
    <w:rsid w:val="007600CC"/>
    <w:rsid w:val="007600CE"/>
    <w:rsid w:val="007600E4"/>
    <w:rsid w:val="00760187"/>
    <w:rsid w:val="00760327"/>
    <w:rsid w:val="007604E3"/>
    <w:rsid w:val="00760613"/>
    <w:rsid w:val="00760794"/>
    <w:rsid w:val="007609DD"/>
    <w:rsid w:val="00760A5C"/>
    <w:rsid w:val="00760A86"/>
    <w:rsid w:val="00761167"/>
    <w:rsid w:val="0076131D"/>
    <w:rsid w:val="007613B0"/>
    <w:rsid w:val="00761484"/>
    <w:rsid w:val="00761A2B"/>
    <w:rsid w:val="00761A77"/>
    <w:rsid w:val="00761AB6"/>
    <w:rsid w:val="00761AC9"/>
    <w:rsid w:val="00761C79"/>
    <w:rsid w:val="00761D0B"/>
    <w:rsid w:val="00761EAA"/>
    <w:rsid w:val="00762012"/>
    <w:rsid w:val="007620E7"/>
    <w:rsid w:val="007622C5"/>
    <w:rsid w:val="0076261A"/>
    <w:rsid w:val="007627E5"/>
    <w:rsid w:val="00762DA7"/>
    <w:rsid w:val="00762F18"/>
    <w:rsid w:val="00763117"/>
    <w:rsid w:val="007633D0"/>
    <w:rsid w:val="007638A3"/>
    <w:rsid w:val="00763AB5"/>
    <w:rsid w:val="00763AEE"/>
    <w:rsid w:val="00763B4E"/>
    <w:rsid w:val="00763C0C"/>
    <w:rsid w:val="00763C3D"/>
    <w:rsid w:val="00763C8C"/>
    <w:rsid w:val="00763E90"/>
    <w:rsid w:val="0076417E"/>
    <w:rsid w:val="0076423D"/>
    <w:rsid w:val="00764288"/>
    <w:rsid w:val="00764545"/>
    <w:rsid w:val="007647E0"/>
    <w:rsid w:val="007647E2"/>
    <w:rsid w:val="00764912"/>
    <w:rsid w:val="00764937"/>
    <w:rsid w:val="00764BE0"/>
    <w:rsid w:val="00764CA5"/>
    <w:rsid w:val="00764D62"/>
    <w:rsid w:val="00764DE8"/>
    <w:rsid w:val="0076522D"/>
    <w:rsid w:val="007652A6"/>
    <w:rsid w:val="007652A8"/>
    <w:rsid w:val="00765553"/>
    <w:rsid w:val="007655F9"/>
    <w:rsid w:val="00765867"/>
    <w:rsid w:val="007658CC"/>
    <w:rsid w:val="00765A22"/>
    <w:rsid w:val="00765E3D"/>
    <w:rsid w:val="00766127"/>
    <w:rsid w:val="00766227"/>
    <w:rsid w:val="00766391"/>
    <w:rsid w:val="007663F6"/>
    <w:rsid w:val="0076657F"/>
    <w:rsid w:val="00766600"/>
    <w:rsid w:val="0076664C"/>
    <w:rsid w:val="00766668"/>
    <w:rsid w:val="00766690"/>
    <w:rsid w:val="0076671C"/>
    <w:rsid w:val="00766773"/>
    <w:rsid w:val="007668E2"/>
    <w:rsid w:val="00766A77"/>
    <w:rsid w:val="00766CC7"/>
    <w:rsid w:val="00766F4C"/>
    <w:rsid w:val="007672DF"/>
    <w:rsid w:val="00767382"/>
    <w:rsid w:val="00767402"/>
    <w:rsid w:val="007676DA"/>
    <w:rsid w:val="007677B1"/>
    <w:rsid w:val="00767838"/>
    <w:rsid w:val="00767A2A"/>
    <w:rsid w:val="00767BBE"/>
    <w:rsid w:val="00767D7C"/>
    <w:rsid w:val="00767E81"/>
    <w:rsid w:val="007701A3"/>
    <w:rsid w:val="00770261"/>
    <w:rsid w:val="0077059B"/>
    <w:rsid w:val="00770628"/>
    <w:rsid w:val="007707E8"/>
    <w:rsid w:val="00770839"/>
    <w:rsid w:val="00770915"/>
    <w:rsid w:val="00770952"/>
    <w:rsid w:val="00770A5A"/>
    <w:rsid w:val="00770B9D"/>
    <w:rsid w:val="00770BE6"/>
    <w:rsid w:val="00770BF1"/>
    <w:rsid w:val="00770D63"/>
    <w:rsid w:val="00770F8C"/>
    <w:rsid w:val="00770FF9"/>
    <w:rsid w:val="007712F1"/>
    <w:rsid w:val="00771416"/>
    <w:rsid w:val="00771745"/>
    <w:rsid w:val="0077174C"/>
    <w:rsid w:val="00771789"/>
    <w:rsid w:val="0077183B"/>
    <w:rsid w:val="0077187A"/>
    <w:rsid w:val="00771B75"/>
    <w:rsid w:val="00771C1F"/>
    <w:rsid w:val="00771C49"/>
    <w:rsid w:val="00771CED"/>
    <w:rsid w:val="00771DBA"/>
    <w:rsid w:val="00771F71"/>
    <w:rsid w:val="0077228E"/>
    <w:rsid w:val="0077291B"/>
    <w:rsid w:val="007729EC"/>
    <w:rsid w:val="00772B20"/>
    <w:rsid w:val="00772BAA"/>
    <w:rsid w:val="00772D70"/>
    <w:rsid w:val="00772EA5"/>
    <w:rsid w:val="00772F08"/>
    <w:rsid w:val="00772F1C"/>
    <w:rsid w:val="00772F84"/>
    <w:rsid w:val="007730A0"/>
    <w:rsid w:val="007730DD"/>
    <w:rsid w:val="007731E0"/>
    <w:rsid w:val="00773344"/>
    <w:rsid w:val="007735FC"/>
    <w:rsid w:val="007739DF"/>
    <w:rsid w:val="00773A61"/>
    <w:rsid w:val="00773DA2"/>
    <w:rsid w:val="00773E54"/>
    <w:rsid w:val="00773F06"/>
    <w:rsid w:val="00773F29"/>
    <w:rsid w:val="00773F77"/>
    <w:rsid w:val="00773F8C"/>
    <w:rsid w:val="00774099"/>
    <w:rsid w:val="007740A2"/>
    <w:rsid w:val="00774180"/>
    <w:rsid w:val="00774187"/>
    <w:rsid w:val="007743B3"/>
    <w:rsid w:val="007745A5"/>
    <w:rsid w:val="0077460A"/>
    <w:rsid w:val="00774630"/>
    <w:rsid w:val="00774B0E"/>
    <w:rsid w:val="00774B28"/>
    <w:rsid w:val="00774D0B"/>
    <w:rsid w:val="00774E70"/>
    <w:rsid w:val="00775002"/>
    <w:rsid w:val="007753D6"/>
    <w:rsid w:val="00775520"/>
    <w:rsid w:val="0077557F"/>
    <w:rsid w:val="00775631"/>
    <w:rsid w:val="007757A8"/>
    <w:rsid w:val="007758E8"/>
    <w:rsid w:val="00775BE8"/>
    <w:rsid w:val="00775C28"/>
    <w:rsid w:val="00775CF6"/>
    <w:rsid w:val="00775D9F"/>
    <w:rsid w:val="00776151"/>
    <w:rsid w:val="007761C7"/>
    <w:rsid w:val="00776262"/>
    <w:rsid w:val="00776282"/>
    <w:rsid w:val="007762E1"/>
    <w:rsid w:val="00776440"/>
    <w:rsid w:val="007764FA"/>
    <w:rsid w:val="007765EB"/>
    <w:rsid w:val="00776684"/>
    <w:rsid w:val="00776A9C"/>
    <w:rsid w:val="00776C39"/>
    <w:rsid w:val="00776C79"/>
    <w:rsid w:val="0077703C"/>
    <w:rsid w:val="00777130"/>
    <w:rsid w:val="00777796"/>
    <w:rsid w:val="00777AB9"/>
    <w:rsid w:val="00777ADF"/>
    <w:rsid w:val="00777B74"/>
    <w:rsid w:val="00777CA1"/>
    <w:rsid w:val="00777DFC"/>
    <w:rsid w:val="00780039"/>
    <w:rsid w:val="007803D6"/>
    <w:rsid w:val="007803E2"/>
    <w:rsid w:val="00780783"/>
    <w:rsid w:val="00780962"/>
    <w:rsid w:val="00780ACC"/>
    <w:rsid w:val="00780B43"/>
    <w:rsid w:val="00780C2E"/>
    <w:rsid w:val="00780ECF"/>
    <w:rsid w:val="00780F51"/>
    <w:rsid w:val="00780FE6"/>
    <w:rsid w:val="00781037"/>
    <w:rsid w:val="00781110"/>
    <w:rsid w:val="0078136B"/>
    <w:rsid w:val="007815D6"/>
    <w:rsid w:val="007816D4"/>
    <w:rsid w:val="00781937"/>
    <w:rsid w:val="0078194E"/>
    <w:rsid w:val="00781AD3"/>
    <w:rsid w:val="00781D12"/>
    <w:rsid w:val="00781D84"/>
    <w:rsid w:val="00781DDE"/>
    <w:rsid w:val="00781E6B"/>
    <w:rsid w:val="00781EB3"/>
    <w:rsid w:val="00782656"/>
    <w:rsid w:val="007828C2"/>
    <w:rsid w:val="00782A07"/>
    <w:rsid w:val="00782AFC"/>
    <w:rsid w:val="00782CD1"/>
    <w:rsid w:val="00782D75"/>
    <w:rsid w:val="00782E83"/>
    <w:rsid w:val="00782F71"/>
    <w:rsid w:val="007830B1"/>
    <w:rsid w:val="00783392"/>
    <w:rsid w:val="007836A3"/>
    <w:rsid w:val="0078398A"/>
    <w:rsid w:val="00783A08"/>
    <w:rsid w:val="00783A69"/>
    <w:rsid w:val="00783B65"/>
    <w:rsid w:val="00783CD4"/>
    <w:rsid w:val="00783CE5"/>
    <w:rsid w:val="00783E31"/>
    <w:rsid w:val="00783F5F"/>
    <w:rsid w:val="007840B4"/>
    <w:rsid w:val="00784115"/>
    <w:rsid w:val="007841B0"/>
    <w:rsid w:val="00784374"/>
    <w:rsid w:val="007844E7"/>
    <w:rsid w:val="007848C2"/>
    <w:rsid w:val="00784BCD"/>
    <w:rsid w:val="00784CB2"/>
    <w:rsid w:val="00784EC2"/>
    <w:rsid w:val="007854E7"/>
    <w:rsid w:val="00785690"/>
    <w:rsid w:val="007859D8"/>
    <w:rsid w:val="00785CFE"/>
    <w:rsid w:val="00785D31"/>
    <w:rsid w:val="00785EB6"/>
    <w:rsid w:val="007860F0"/>
    <w:rsid w:val="00786193"/>
    <w:rsid w:val="007866CB"/>
    <w:rsid w:val="00786785"/>
    <w:rsid w:val="007867A0"/>
    <w:rsid w:val="00786C93"/>
    <w:rsid w:val="00786D52"/>
    <w:rsid w:val="00786DD5"/>
    <w:rsid w:val="00786E4C"/>
    <w:rsid w:val="00786EE1"/>
    <w:rsid w:val="00786FE5"/>
    <w:rsid w:val="007873AB"/>
    <w:rsid w:val="0078751F"/>
    <w:rsid w:val="00787701"/>
    <w:rsid w:val="00787818"/>
    <w:rsid w:val="00787861"/>
    <w:rsid w:val="00787899"/>
    <w:rsid w:val="00787B6C"/>
    <w:rsid w:val="00787E28"/>
    <w:rsid w:val="00787E54"/>
    <w:rsid w:val="00790023"/>
    <w:rsid w:val="00790086"/>
    <w:rsid w:val="007901AC"/>
    <w:rsid w:val="007901FC"/>
    <w:rsid w:val="00790471"/>
    <w:rsid w:val="00790523"/>
    <w:rsid w:val="00790560"/>
    <w:rsid w:val="00790662"/>
    <w:rsid w:val="007906A4"/>
    <w:rsid w:val="007906BE"/>
    <w:rsid w:val="00790730"/>
    <w:rsid w:val="007908E7"/>
    <w:rsid w:val="00790C50"/>
    <w:rsid w:val="00790C76"/>
    <w:rsid w:val="00790CAF"/>
    <w:rsid w:val="0079131F"/>
    <w:rsid w:val="007914AB"/>
    <w:rsid w:val="007914FE"/>
    <w:rsid w:val="0079161A"/>
    <w:rsid w:val="007916D2"/>
    <w:rsid w:val="00791751"/>
    <w:rsid w:val="0079185F"/>
    <w:rsid w:val="00791878"/>
    <w:rsid w:val="0079194C"/>
    <w:rsid w:val="00791A35"/>
    <w:rsid w:val="00791B35"/>
    <w:rsid w:val="00791B42"/>
    <w:rsid w:val="0079207A"/>
    <w:rsid w:val="0079251F"/>
    <w:rsid w:val="007925E9"/>
    <w:rsid w:val="00792828"/>
    <w:rsid w:val="00792844"/>
    <w:rsid w:val="0079286D"/>
    <w:rsid w:val="00792B43"/>
    <w:rsid w:val="00792EC0"/>
    <w:rsid w:val="00792F0D"/>
    <w:rsid w:val="0079312C"/>
    <w:rsid w:val="00793157"/>
    <w:rsid w:val="0079334F"/>
    <w:rsid w:val="00793467"/>
    <w:rsid w:val="00793766"/>
    <w:rsid w:val="007939A0"/>
    <w:rsid w:val="00793A8E"/>
    <w:rsid w:val="00793D5B"/>
    <w:rsid w:val="00793E87"/>
    <w:rsid w:val="00793ECB"/>
    <w:rsid w:val="00793F4A"/>
    <w:rsid w:val="007941A2"/>
    <w:rsid w:val="007944A3"/>
    <w:rsid w:val="00794794"/>
    <w:rsid w:val="007947BC"/>
    <w:rsid w:val="007948F6"/>
    <w:rsid w:val="0079499A"/>
    <w:rsid w:val="00794AB5"/>
    <w:rsid w:val="00794AC0"/>
    <w:rsid w:val="00794CAD"/>
    <w:rsid w:val="00794DB0"/>
    <w:rsid w:val="00794E13"/>
    <w:rsid w:val="00794FDE"/>
    <w:rsid w:val="00794FE3"/>
    <w:rsid w:val="0079507D"/>
    <w:rsid w:val="007951FF"/>
    <w:rsid w:val="00795278"/>
    <w:rsid w:val="0079532A"/>
    <w:rsid w:val="00795508"/>
    <w:rsid w:val="007955CD"/>
    <w:rsid w:val="0079571B"/>
    <w:rsid w:val="00795793"/>
    <w:rsid w:val="007959AA"/>
    <w:rsid w:val="00795B1F"/>
    <w:rsid w:val="00795BB3"/>
    <w:rsid w:val="00795BCA"/>
    <w:rsid w:val="00795CEB"/>
    <w:rsid w:val="00795D17"/>
    <w:rsid w:val="00795DC6"/>
    <w:rsid w:val="00795DF2"/>
    <w:rsid w:val="0079618F"/>
    <w:rsid w:val="007961A1"/>
    <w:rsid w:val="007961AE"/>
    <w:rsid w:val="00796442"/>
    <w:rsid w:val="00796459"/>
    <w:rsid w:val="0079648B"/>
    <w:rsid w:val="00796795"/>
    <w:rsid w:val="007968B0"/>
    <w:rsid w:val="00796918"/>
    <w:rsid w:val="00796979"/>
    <w:rsid w:val="00796B29"/>
    <w:rsid w:val="00796B99"/>
    <w:rsid w:val="00796CF0"/>
    <w:rsid w:val="00796E4A"/>
    <w:rsid w:val="00796E4D"/>
    <w:rsid w:val="0079712B"/>
    <w:rsid w:val="007972F3"/>
    <w:rsid w:val="007974D9"/>
    <w:rsid w:val="007976C4"/>
    <w:rsid w:val="007979FE"/>
    <w:rsid w:val="00797BF2"/>
    <w:rsid w:val="00797C5A"/>
    <w:rsid w:val="00797CD4"/>
    <w:rsid w:val="007A045A"/>
    <w:rsid w:val="007A04AF"/>
    <w:rsid w:val="007A067E"/>
    <w:rsid w:val="007A070A"/>
    <w:rsid w:val="007A07B5"/>
    <w:rsid w:val="007A08B3"/>
    <w:rsid w:val="007A09B1"/>
    <w:rsid w:val="007A0A7C"/>
    <w:rsid w:val="007A0ABA"/>
    <w:rsid w:val="007A0B7D"/>
    <w:rsid w:val="007A0BA3"/>
    <w:rsid w:val="007A0CCE"/>
    <w:rsid w:val="007A0CE8"/>
    <w:rsid w:val="007A0DD8"/>
    <w:rsid w:val="007A0DFC"/>
    <w:rsid w:val="007A0F1D"/>
    <w:rsid w:val="007A15DD"/>
    <w:rsid w:val="007A16D9"/>
    <w:rsid w:val="007A17E7"/>
    <w:rsid w:val="007A194C"/>
    <w:rsid w:val="007A206B"/>
    <w:rsid w:val="007A218C"/>
    <w:rsid w:val="007A2203"/>
    <w:rsid w:val="007A22BC"/>
    <w:rsid w:val="007A27AF"/>
    <w:rsid w:val="007A29F3"/>
    <w:rsid w:val="007A2AC1"/>
    <w:rsid w:val="007A2B0D"/>
    <w:rsid w:val="007A2BB1"/>
    <w:rsid w:val="007A2D31"/>
    <w:rsid w:val="007A2DB6"/>
    <w:rsid w:val="007A2EC6"/>
    <w:rsid w:val="007A2F86"/>
    <w:rsid w:val="007A2F9B"/>
    <w:rsid w:val="007A306D"/>
    <w:rsid w:val="007A30B7"/>
    <w:rsid w:val="007A30FC"/>
    <w:rsid w:val="007A3224"/>
    <w:rsid w:val="007A35C7"/>
    <w:rsid w:val="007A3630"/>
    <w:rsid w:val="007A371F"/>
    <w:rsid w:val="007A3724"/>
    <w:rsid w:val="007A38C4"/>
    <w:rsid w:val="007A39D2"/>
    <w:rsid w:val="007A39D5"/>
    <w:rsid w:val="007A3B0A"/>
    <w:rsid w:val="007A3B63"/>
    <w:rsid w:val="007A3E22"/>
    <w:rsid w:val="007A3F29"/>
    <w:rsid w:val="007A3F5B"/>
    <w:rsid w:val="007A45C0"/>
    <w:rsid w:val="007A4A83"/>
    <w:rsid w:val="007A4B8A"/>
    <w:rsid w:val="007A4BBF"/>
    <w:rsid w:val="007A4CB8"/>
    <w:rsid w:val="007A4EE0"/>
    <w:rsid w:val="007A546B"/>
    <w:rsid w:val="007A54C0"/>
    <w:rsid w:val="007A56AA"/>
    <w:rsid w:val="007A5850"/>
    <w:rsid w:val="007A58AD"/>
    <w:rsid w:val="007A5A2E"/>
    <w:rsid w:val="007A5B6E"/>
    <w:rsid w:val="007A6160"/>
    <w:rsid w:val="007A631D"/>
    <w:rsid w:val="007A674F"/>
    <w:rsid w:val="007A6762"/>
    <w:rsid w:val="007A67E2"/>
    <w:rsid w:val="007A680D"/>
    <w:rsid w:val="007A6877"/>
    <w:rsid w:val="007A68F5"/>
    <w:rsid w:val="007A69AA"/>
    <w:rsid w:val="007A6A74"/>
    <w:rsid w:val="007A6A7B"/>
    <w:rsid w:val="007A6B54"/>
    <w:rsid w:val="007A6D51"/>
    <w:rsid w:val="007A6F16"/>
    <w:rsid w:val="007A71D6"/>
    <w:rsid w:val="007A7467"/>
    <w:rsid w:val="007A787D"/>
    <w:rsid w:val="007A7887"/>
    <w:rsid w:val="007A7A81"/>
    <w:rsid w:val="007A7C7F"/>
    <w:rsid w:val="007A7DD2"/>
    <w:rsid w:val="007A7E8D"/>
    <w:rsid w:val="007A7F9A"/>
    <w:rsid w:val="007B0162"/>
    <w:rsid w:val="007B0361"/>
    <w:rsid w:val="007B03BC"/>
    <w:rsid w:val="007B072B"/>
    <w:rsid w:val="007B074C"/>
    <w:rsid w:val="007B08F1"/>
    <w:rsid w:val="007B0A15"/>
    <w:rsid w:val="007B0D28"/>
    <w:rsid w:val="007B0D67"/>
    <w:rsid w:val="007B0EBD"/>
    <w:rsid w:val="007B0FAA"/>
    <w:rsid w:val="007B0FCF"/>
    <w:rsid w:val="007B1088"/>
    <w:rsid w:val="007B1136"/>
    <w:rsid w:val="007B11EC"/>
    <w:rsid w:val="007B125D"/>
    <w:rsid w:val="007B125F"/>
    <w:rsid w:val="007B15F3"/>
    <w:rsid w:val="007B1695"/>
    <w:rsid w:val="007B179A"/>
    <w:rsid w:val="007B18C6"/>
    <w:rsid w:val="007B1AC2"/>
    <w:rsid w:val="007B1B3E"/>
    <w:rsid w:val="007B1B88"/>
    <w:rsid w:val="007B1B97"/>
    <w:rsid w:val="007B1BA5"/>
    <w:rsid w:val="007B1CCB"/>
    <w:rsid w:val="007B23A9"/>
    <w:rsid w:val="007B23C3"/>
    <w:rsid w:val="007B2494"/>
    <w:rsid w:val="007B26E6"/>
    <w:rsid w:val="007B27A3"/>
    <w:rsid w:val="007B298C"/>
    <w:rsid w:val="007B2C26"/>
    <w:rsid w:val="007B2CD7"/>
    <w:rsid w:val="007B2D25"/>
    <w:rsid w:val="007B2E0B"/>
    <w:rsid w:val="007B2FA6"/>
    <w:rsid w:val="007B338E"/>
    <w:rsid w:val="007B34FD"/>
    <w:rsid w:val="007B3763"/>
    <w:rsid w:val="007B3B32"/>
    <w:rsid w:val="007B3D01"/>
    <w:rsid w:val="007B3F8C"/>
    <w:rsid w:val="007B4095"/>
    <w:rsid w:val="007B4120"/>
    <w:rsid w:val="007B426F"/>
    <w:rsid w:val="007B4424"/>
    <w:rsid w:val="007B456A"/>
    <w:rsid w:val="007B4698"/>
    <w:rsid w:val="007B46E9"/>
    <w:rsid w:val="007B476E"/>
    <w:rsid w:val="007B4809"/>
    <w:rsid w:val="007B4A67"/>
    <w:rsid w:val="007B4AA9"/>
    <w:rsid w:val="007B4C8B"/>
    <w:rsid w:val="007B4CD5"/>
    <w:rsid w:val="007B4DCB"/>
    <w:rsid w:val="007B4E56"/>
    <w:rsid w:val="007B5011"/>
    <w:rsid w:val="007B50C0"/>
    <w:rsid w:val="007B5257"/>
    <w:rsid w:val="007B5448"/>
    <w:rsid w:val="007B5710"/>
    <w:rsid w:val="007B586D"/>
    <w:rsid w:val="007B5871"/>
    <w:rsid w:val="007B58B1"/>
    <w:rsid w:val="007B5948"/>
    <w:rsid w:val="007B5B44"/>
    <w:rsid w:val="007B5B79"/>
    <w:rsid w:val="007B5BA7"/>
    <w:rsid w:val="007B5C61"/>
    <w:rsid w:val="007B5C7B"/>
    <w:rsid w:val="007B5ED1"/>
    <w:rsid w:val="007B5F58"/>
    <w:rsid w:val="007B601B"/>
    <w:rsid w:val="007B60D0"/>
    <w:rsid w:val="007B633B"/>
    <w:rsid w:val="007B6379"/>
    <w:rsid w:val="007B63C5"/>
    <w:rsid w:val="007B65DB"/>
    <w:rsid w:val="007B65E7"/>
    <w:rsid w:val="007B65E8"/>
    <w:rsid w:val="007B6713"/>
    <w:rsid w:val="007B67D2"/>
    <w:rsid w:val="007B68D3"/>
    <w:rsid w:val="007B6908"/>
    <w:rsid w:val="007B6B5F"/>
    <w:rsid w:val="007B6C74"/>
    <w:rsid w:val="007B6D2B"/>
    <w:rsid w:val="007B6E2A"/>
    <w:rsid w:val="007B6FED"/>
    <w:rsid w:val="007B714D"/>
    <w:rsid w:val="007B7210"/>
    <w:rsid w:val="007B7273"/>
    <w:rsid w:val="007B72AB"/>
    <w:rsid w:val="007B73CC"/>
    <w:rsid w:val="007B7507"/>
    <w:rsid w:val="007B750B"/>
    <w:rsid w:val="007B75BE"/>
    <w:rsid w:val="007B7646"/>
    <w:rsid w:val="007B7A83"/>
    <w:rsid w:val="007B7AE8"/>
    <w:rsid w:val="007B7CC4"/>
    <w:rsid w:val="007B7D13"/>
    <w:rsid w:val="007C0150"/>
    <w:rsid w:val="007C018E"/>
    <w:rsid w:val="007C0365"/>
    <w:rsid w:val="007C03DB"/>
    <w:rsid w:val="007C0645"/>
    <w:rsid w:val="007C06CC"/>
    <w:rsid w:val="007C0A6B"/>
    <w:rsid w:val="007C0BD6"/>
    <w:rsid w:val="007C0D63"/>
    <w:rsid w:val="007C10F3"/>
    <w:rsid w:val="007C126B"/>
    <w:rsid w:val="007C146F"/>
    <w:rsid w:val="007C1566"/>
    <w:rsid w:val="007C15C0"/>
    <w:rsid w:val="007C15E7"/>
    <w:rsid w:val="007C16FB"/>
    <w:rsid w:val="007C17C0"/>
    <w:rsid w:val="007C1907"/>
    <w:rsid w:val="007C1BBA"/>
    <w:rsid w:val="007C1BE5"/>
    <w:rsid w:val="007C2052"/>
    <w:rsid w:val="007C2484"/>
    <w:rsid w:val="007C25E9"/>
    <w:rsid w:val="007C273E"/>
    <w:rsid w:val="007C28FF"/>
    <w:rsid w:val="007C2A32"/>
    <w:rsid w:val="007C2AC5"/>
    <w:rsid w:val="007C2B8D"/>
    <w:rsid w:val="007C2D6C"/>
    <w:rsid w:val="007C2DEC"/>
    <w:rsid w:val="007C2EE0"/>
    <w:rsid w:val="007C2FBE"/>
    <w:rsid w:val="007C2FDF"/>
    <w:rsid w:val="007C31E2"/>
    <w:rsid w:val="007C3286"/>
    <w:rsid w:val="007C3659"/>
    <w:rsid w:val="007C378E"/>
    <w:rsid w:val="007C39E9"/>
    <w:rsid w:val="007C39EE"/>
    <w:rsid w:val="007C39F2"/>
    <w:rsid w:val="007C3E94"/>
    <w:rsid w:val="007C407D"/>
    <w:rsid w:val="007C4203"/>
    <w:rsid w:val="007C42E1"/>
    <w:rsid w:val="007C4313"/>
    <w:rsid w:val="007C4682"/>
    <w:rsid w:val="007C49F6"/>
    <w:rsid w:val="007C4BDC"/>
    <w:rsid w:val="007C4BE0"/>
    <w:rsid w:val="007C4C1A"/>
    <w:rsid w:val="007C4CC2"/>
    <w:rsid w:val="007C4CCC"/>
    <w:rsid w:val="007C4CFA"/>
    <w:rsid w:val="007C4E4A"/>
    <w:rsid w:val="007C51C7"/>
    <w:rsid w:val="007C52C0"/>
    <w:rsid w:val="007C5386"/>
    <w:rsid w:val="007C53B9"/>
    <w:rsid w:val="007C53F2"/>
    <w:rsid w:val="007C5900"/>
    <w:rsid w:val="007C5AB2"/>
    <w:rsid w:val="007C5AEB"/>
    <w:rsid w:val="007C5B32"/>
    <w:rsid w:val="007C5BEC"/>
    <w:rsid w:val="007C5D7A"/>
    <w:rsid w:val="007C5FEF"/>
    <w:rsid w:val="007C6259"/>
    <w:rsid w:val="007C625F"/>
    <w:rsid w:val="007C63EF"/>
    <w:rsid w:val="007C65C5"/>
    <w:rsid w:val="007C65E7"/>
    <w:rsid w:val="007C685C"/>
    <w:rsid w:val="007C698D"/>
    <w:rsid w:val="007C6B5A"/>
    <w:rsid w:val="007C6DBC"/>
    <w:rsid w:val="007C6E20"/>
    <w:rsid w:val="007C6F23"/>
    <w:rsid w:val="007C6FB0"/>
    <w:rsid w:val="007C6FDD"/>
    <w:rsid w:val="007C7423"/>
    <w:rsid w:val="007C7562"/>
    <w:rsid w:val="007C76C2"/>
    <w:rsid w:val="007C777B"/>
    <w:rsid w:val="007C7964"/>
    <w:rsid w:val="007C7A5D"/>
    <w:rsid w:val="007C7A9E"/>
    <w:rsid w:val="007C7CC0"/>
    <w:rsid w:val="007C7CE6"/>
    <w:rsid w:val="007D0183"/>
    <w:rsid w:val="007D01A0"/>
    <w:rsid w:val="007D0323"/>
    <w:rsid w:val="007D0337"/>
    <w:rsid w:val="007D04D4"/>
    <w:rsid w:val="007D058F"/>
    <w:rsid w:val="007D06A2"/>
    <w:rsid w:val="007D070D"/>
    <w:rsid w:val="007D09FF"/>
    <w:rsid w:val="007D0A60"/>
    <w:rsid w:val="007D0C25"/>
    <w:rsid w:val="007D0DE7"/>
    <w:rsid w:val="007D0EE8"/>
    <w:rsid w:val="007D0FD7"/>
    <w:rsid w:val="007D101D"/>
    <w:rsid w:val="007D1062"/>
    <w:rsid w:val="007D10D3"/>
    <w:rsid w:val="007D1499"/>
    <w:rsid w:val="007D15B9"/>
    <w:rsid w:val="007D186B"/>
    <w:rsid w:val="007D1A4F"/>
    <w:rsid w:val="007D1BE3"/>
    <w:rsid w:val="007D1D30"/>
    <w:rsid w:val="007D1D7A"/>
    <w:rsid w:val="007D1DF4"/>
    <w:rsid w:val="007D1EFD"/>
    <w:rsid w:val="007D1F94"/>
    <w:rsid w:val="007D1FA9"/>
    <w:rsid w:val="007D1FC9"/>
    <w:rsid w:val="007D20A1"/>
    <w:rsid w:val="007D2778"/>
    <w:rsid w:val="007D29EE"/>
    <w:rsid w:val="007D2AD3"/>
    <w:rsid w:val="007D2CC7"/>
    <w:rsid w:val="007D2D5B"/>
    <w:rsid w:val="007D2E8A"/>
    <w:rsid w:val="007D2F70"/>
    <w:rsid w:val="007D30D5"/>
    <w:rsid w:val="007D344F"/>
    <w:rsid w:val="007D3494"/>
    <w:rsid w:val="007D34D1"/>
    <w:rsid w:val="007D3852"/>
    <w:rsid w:val="007D3891"/>
    <w:rsid w:val="007D3B4B"/>
    <w:rsid w:val="007D3C2C"/>
    <w:rsid w:val="007D3C32"/>
    <w:rsid w:val="007D418A"/>
    <w:rsid w:val="007D46B6"/>
    <w:rsid w:val="007D46EA"/>
    <w:rsid w:val="007D477C"/>
    <w:rsid w:val="007D484C"/>
    <w:rsid w:val="007D48D2"/>
    <w:rsid w:val="007D4925"/>
    <w:rsid w:val="007D4954"/>
    <w:rsid w:val="007D4B15"/>
    <w:rsid w:val="007D4DC1"/>
    <w:rsid w:val="007D50B2"/>
    <w:rsid w:val="007D50C6"/>
    <w:rsid w:val="007D517E"/>
    <w:rsid w:val="007D5302"/>
    <w:rsid w:val="007D5307"/>
    <w:rsid w:val="007D56B9"/>
    <w:rsid w:val="007D56DD"/>
    <w:rsid w:val="007D57EF"/>
    <w:rsid w:val="007D592E"/>
    <w:rsid w:val="007D59E3"/>
    <w:rsid w:val="007D5A1A"/>
    <w:rsid w:val="007D5AE6"/>
    <w:rsid w:val="007D5BB4"/>
    <w:rsid w:val="007D5C4D"/>
    <w:rsid w:val="007D5CBC"/>
    <w:rsid w:val="007D5DE8"/>
    <w:rsid w:val="007D5E0B"/>
    <w:rsid w:val="007D5E5A"/>
    <w:rsid w:val="007D6090"/>
    <w:rsid w:val="007D60DE"/>
    <w:rsid w:val="007D6279"/>
    <w:rsid w:val="007D6416"/>
    <w:rsid w:val="007D65B6"/>
    <w:rsid w:val="007D65F7"/>
    <w:rsid w:val="007D6693"/>
    <w:rsid w:val="007D6881"/>
    <w:rsid w:val="007D694C"/>
    <w:rsid w:val="007D6A32"/>
    <w:rsid w:val="007D6A94"/>
    <w:rsid w:val="007D6B3A"/>
    <w:rsid w:val="007D6BA5"/>
    <w:rsid w:val="007D6C4A"/>
    <w:rsid w:val="007D6CAE"/>
    <w:rsid w:val="007D7058"/>
    <w:rsid w:val="007D7248"/>
    <w:rsid w:val="007D72F1"/>
    <w:rsid w:val="007D7443"/>
    <w:rsid w:val="007D749D"/>
    <w:rsid w:val="007D7739"/>
    <w:rsid w:val="007D7840"/>
    <w:rsid w:val="007D7982"/>
    <w:rsid w:val="007D7BBD"/>
    <w:rsid w:val="007D7C7A"/>
    <w:rsid w:val="007D7E06"/>
    <w:rsid w:val="007D7E96"/>
    <w:rsid w:val="007E0166"/>
    <w:rsid w:val="007E01BE"/>
    <w:rsid w:val="007E032B"/>
    <w:rsid w:val="007E061E"/>
    <w:rsid w:val="007E0665"/>
    <w:rsid w:val="007E0730"/>
    <w:rsid w:val="007E09F3"/>
    <w:rsid w:val="007E0AEA"/>
    <w:rsid w:val="007E0B7F"/>
    <w:rsid w:val="007E0DF3"/>
    <w:rsid w:val="007E0E8A"/>
    <w:rsid w:val="007E0F89"/>
    <w:rsid w:val="007E12D0"/>
    <w:rsid w:val="007E14BB"/>
    <w:rsid w:val="007E153F"/>
    <w:rsid w:val="007E1906"/>
    <w:rsid w:val="007E1B18"/>
    <w:rsid w:val="007E1BDD"/>
    <w:rsid w:val="007E1D8E"/>
    <w:rsid w:val="007E1DAD"/>
    <w:rsid w:val="007E1E24"/>
    <w:rsid w:val="007E1F20"/>
    <w:rsid w:val="007E1FDB"/>
    <w:rsid w:val="007E22B7"/>
    <w:rsid w:val="007E2310"/>
    <w:rsid w:val="007E2345"/>
    <w:rsid w:val="007E24B2"/>
    <w:rsid w:val="007E2709"/>
    <w:rsid w:val="007E2AC6"/>
    <w:rsid w:val="007E2C46"/>
    <w:rsid w:val="007E2DD3"/>
    <w:rsid w:val="007E2E47"/>
    <w:rsid w:val="007E2ED5"/>
    <w:rsid w:val="007E3182"/>
    <w:rsid w:val="007E3235"/>
    <w:rsid w:val="007E32F7"/>
    <w:rsid w:val="007E343F"/>
    <w:rsid w:val="007E34EA"/>
    <w:rsid w:val="007E372E"/>
    <w:rsid w:val="007E3A5A"/>
    <w:rsid w:val="007E3B0F"/>
    <w:rsid w:val="007E3D20"/>
    <w:rsid w:val="007E3F89"/>
    <w:rsid w:val="007E4185"/>
    <w:rsid w:val="007E443B"/>
    <w:rsid w:val="007E4491"/>
    <w:rsid w:val="007E45B7"/>
    <w:rsid w:val="007E47DF"/>
    <w:rsid w:val="007E4B69"/>
    <w:rsid w:val="007E4DE7"/>
    <w:rsid w:val="007E4EE9"/>
    <w:rsid w:val="007E4F81"/>
    <w:rsid w:val="007E4FF0"/>
    <w:rsid w:val="007E500B"/>
    <w:rsid w:val="007E5020"/>
    <w:rsid w:val="007E526C"/>
    <w:rsid w:val="007E5319"/>
    <w:rsid w:val="007E5422"/>
    <w:rsid w:val="007E54BA"/>
    <w:rsid w:val="007E568C"/>
    <w:rsid w:val="007E569C"/>
    <w:rsid w:val="007E56E3"/>
    <w:rsid w:val="007E5825"/>
    <w:rsid w:val="007E598C"/>
    <w:rsid w:val="007E599F"/>
    <w:rsid w:val="007E59DF"/>
    <w:rsid w:val="007E5A95"/>
    <w:rsid w:val="007E5E46"/>
    <w:rsid w:val="007E5F62"/>
    <w:rsid w:val="007E60AB"/>
    <w:rsid w:val="007E60BA"/>
    <w:rsid w:val="007E6114"/>
    <w:rsid w:val="007E625B"/>
    <w:rsid w:val="007E64BE"/>
    <w:rsid w:val="007E68FD"/>
    <w:rsid w:val="007E6B5C"/>
    <w:rsid w:val="007E6C39"/>
    <w:rsid w:val="007E6C4F"/>
    <w:rsid w:val="007E6D46"/>
    <w:rsid w:val="007E6FCE"/>
    <w:rsid w:val="007E7100"/>
    <w:rsid w:val="007E7236"/>
    <w:rsid w:val="007E7459"/>
    <w:rsid w:val="007E75F8"/>
    <w:rsid w:val="007E7642"/>
    <w:rsid w:val="007E7674"/>
    <w:rsid w:val="007E783B"/>
    <w:rsid w:val="007E7846"/>
    <w:rsid w:val="007E7A38"/>
    <w:rsid w:val="007E7DE5"/>
    <w:rsid w:val="007E7FF8"/>
    <w:rsid w:val="007F0235"/>
    <w:rsid w:val="007F02C2"/>
    <w:rsid w:val="007F05C2"/>
    <w:rsid w:val="007F078B"/>
    <w:rsid w:val="007F0CD9"/>
    <w:rsid w:val="007F0DB5"/>
    <w:rsid w:val="007F0E52"/>
    <w:rsid w:val="007F0E54"/>
    <w:rsid w:val="007F0FD3"/>
    <w:rsid w:val="007F10F6"/>
    <w:rsid w:val="007F12E0"/>
    <w:rsid w:val="007F1301"/>
    <w:rsid w:val="007F1417"/>
    <w:rsid w:val="007F1423"/>
    <w:rsid w:val="007F146B"/>
    <w:rsid w:val="007F1904"/>
    <w:rsid w:val="007F1ADB"/>
    <w:rsid w:val="007F1C31"/>
    <w:rsid w:val="007F1D04"/>
    <w:rsid w:val="007F1D77"/>
    <w:rsid w:val="007F1EDC"/>
    <w:rsid w:val="007F22D0"/>
    <w:rsid w:val="007F2370"/>
    <w:rsid w:val="007F2387"/>
    <w:rsid w:val="007F25C8"/>
    <w:rsid w:val="007F2712"/>
    <w:rsid w:val="007F27DE"/>
    <w:rsid w:val="007F2C5E"/>
    <w:rsid w:val="007F2CF5"/>
    <w:rsid w:val="007F2D3D"/>
    <w:rsid w:val="007F3217"/>
    <w:rsid w:val="007F339A"/>
    <w:rsid w:val="007F382E"/>
    <w:rsid w:val="007F3866"/>
    <w:rsid w:val="007F3A7D"/>
    <w:rsid w:val="007F3B81"/>
    <w:rsid w:val="007F3FF1"/>
    <w:rsid w:val="007F406E"/>
    <w:rsid w:val="007F40F0"/>
    <w:rsid w:val="007F4185"/>
    <w:rsid w:val="007F430F"/>
    <w:rsid w:val="007F43FA"/>
    <w:rsid w:val="007F4509"/>
    <w:rsid w:val="007F45CD"/>
    <w:rsid w:val="007F45E6"/>
    <w:rsid w:val="007F475C"/>
    <w:rsid w:val="007F4ACB"/>
    <w:rsid w:val="007F4D20"/>
    <w:rsid w:val="007F4E24"/>
    <w:rsid w:val="007F4F6E"/>
    <w:rsid w:val="007F4F95"/>
    <w:rsid w:val="007F52DC"/>
    <w:rsid w:val="007F53CB"/>
    <w:rsid w:val="007F53D6"/>
    <w:rsid w:val="007F571B"/>
    <w:rsid w:val="007F5928"/>
    <w:rsid w:val="007F5CD7"/>
    <w:rsid w:val="007F657D"/>
    <w:rsid w:val="007F65E8"/>
    <w:rsid w:val="007F6672"/>
    <w:rsid w:val="007F6761"/>
    <w:rsid w:val="007F6A17"/>
    <w:rsid w:val="007F6EA9"/>
    <w:rsid w:val="007F6F58"/>
    <w:rsid w:val="007F6FF0"/>
    <w:rsid w:val="007F71C1"/>
    <w:rsid w:val="007F749B"/>
    <w:rsid w:val="007F74E2"/>
    <w:rsid w:val="007F74EA"/>
    <w:rsid w:val="007F74EB"/>
    <w:rsid w:val="007F753F"/>
    <w:rsid w:val="007F75D0"/>
    <w:rsid w:val="007F7638"/>
    <w:rsid w:val="007F76D8"/>
    <w:rsid w:val="007F7B0C"/>
    <w:rsid w:val="007F7C9F"/>
    <w:rsid w:val="007F7D5D"/>
    <w:rsid w:val="007F7FF1"/>
    <w:rsid w:val="00800109"/>
    <w:rsid w:val="00800199"/>
    <w:rsid w:val="00800971"/>
    <w:rsid w:val="0080097A"/>
    <w:rsid w:val="008009E1"/>
    <w:rsid w:val="00800A73"/>
    <w:rsid w:val="00800B00"/>
    <w:rsid w:val="0080127B"/>
    <w:rsid w:val="008015D5"/>
    <w:rsid w:val="00801DC6"/>
    <w:rsid w:val="00801ED6"/>
    <w:rsid w:val="00802096"/>
    <w:rsid w:val="008020E1"/>
    <w:rsid w:val="00802147"/>
    <w:rsid w:val="00802454"/>
    <w:rsid w:val="00802610"/>
    <w:rsid w:val="008026D0"/>
    <w:rsid w:val="00802834"/>
    <w:rsid w:val="00802982"/>
    <w:rsid w:val="008029E2"/>
    <w:rsid w:val="00802AAA"/>
    <w:rsid w:val="00802CD9"/>
    <w:rsid w:val="00802D50"/>
    <w:rsid w:val="00802E12"/>
    <w:rsid w:val="0080314E"/>
    <w:rsid w:val="00803179"/>
    <w:rsid w:val="008035D3"/>
    <w:rsid w:val="008036FB"/>
    <w:rsid w:val="00803795"/>
    <w:rsid w:val="00803A09"/>
    <w:rsid w:val="00803C01"/>
    <w:rsid w:val="00803C5C"/>
    <w:rsid w:val="00803CAA"/>
    <w:rsid w:val="00803D32"/>
    <w:rsid w:val="00804150"/>
    <w:rsid w:val="0080428A"/>
    <w:rsid w:val="008043D8"/>
    <w:rsid w:val="008046C2"/>
    <w:rsid w:val="008046DC"/>
    <w:rsid w:val="008046E5"/>
    <w:rsid w:val="00804919"/>
    <w:rsid w:val="00804A00"/>
    <w:rsid w:val="00804B7A"/>
    <w:rsid w:val="00804CFF"/>
    <w:rsid w:val="00804DDB"/>
    <w:rsid w:val="00805088"/>
    <w:rsid w:val="008050C2"/>
    <w:rsid w:val="00805216"/>
    <w:rsid w:val="0080523B"/>
    <w:rsid w:val="0080557C"/>
    <w:rsid w:val="0080565B"/>
    <w:rsid w:val="00805B4E"/>
    <w:rsid w:val="00805D53"/>
    <w:rsid w:val="00805EAC"/>
    <w:rsid w:val="00805EEF"/>
    <w:rsid w:val="00805FB0"/>
    <w:rsid w:val="00805FF8"/>
    <w:rsid w:val="0080600D"/>
    <w:rsid w:val="00806233"/>
    <w:rsid w:val="0080680E"/>
    <w:rsid w:val="00806930"/>
    <w:rsid w:val="00806963"/>
    <w:rsid w:val="00806BDD"/>
    <w:rsid w:val="00806BF5"/>
    <w:rsid w:val="00806E09"/>
    <w:rsid w:val="008073DC"/>
    <w:rsid w:val="00807434"/>
    <w:rsid w:val="008074FE"/>
    <w:rsid w:val="008076BA"/>
    <w:rsid w:val="00807785"/>
    <w:rsid w:val="008077BB"/>
    <w:rsid w:val="00807845"/>
    <w:rsid w:val="00807A80"/>
    <w:rsid w:val="00807B68"/>
    <w:rsid w:val="00807CA1"/>
    <w:rsid w:val="00807EFD"/>
    <w:rsid w:val="00807F70"/>
    <w:rsid w:val="0081007C"/>
    <w:rsid w:val="0081016F"/>
    <w:rsid w:val="00810213"/>
    <w:rsid w:val="00810273"/>
    <w:rsid w:val="00810388"/>
    <w:rsid w:val="008106EA"/>
    <w:rsid w:val="0081074B"/>
    <w:rsid w:val="00810AEE"/>
    <w:rsid w:val="00810CDB"/>
    <w:rsid w:val="00810FAF"/>
    <w:rsid w:val="00811356"/>
    <w:rsid w:val="008113A9"/>
    <w:rsid w:val="008114B1"/>
    <w:rsid w:val="008114B4"/>
    <w:rsid w:val="00811560"/>
    <w:rsid w:val="0081158E"/>
    <w:rsid w:val="0081172E"/>
    <w:rsid w:val="008118FC"/>
    <w:rsid w:val="00811D1F"/>
    <w:rsid w:val="008120CA"/>
    <w:rsid w:val="008122F4"/>
    <w:rsid w:val="00812474"/>
    <w:rsid w:val="008124AB"/>
    <w:rsid w:val="0081254F"/>
    <w:rsid w:val="008125C8"/>
    <w:rsid w:val="008127C0"/>
    <w:rsid w:val="0081289E"/>
    <w:rsid w:val="00812B57"/>
    <w:rsid w:val="00812B66"/>
    <w:rsid w:val="00812CA2"/>
    <w:rsid w:val="00812D47"/>
    <w:rsid w:val="00812E0B"/>
    <w:rsid w:val="008132AC"/>
    <w:rsid w:val="008135CB"/>
    <w:rsid w:val="008135FA"/>
    <w:rsid w:val="0081363F"/>
    <w:rsid w:val="00813787"/>
    <w:rsid w:val="008137FD"/>
    <w:rsid w:val="00813A17"/>
    <w:rsid w:val="00813B5D"/>
    <w:rsid w:val="00813BB1"/>
    <w:rsid w:val="00813C4A"/>
    <w:rsid w:val="00813F20"/>
    <w:rsid w:val="00813F9B"/>
    <w:rsid w:val="00814081"/>
    <w:rsid w:val="0081412F"/>
    <w:rsid w:val="00814315"/>
    <w:rsid w:val="0081444A"/>
    <w:rsid w:val="008147C8"/>
    <w:rsid w:val="008148FF"/>
    <w:rsid w:val="0081495D"/>
    <w:rsid w:val="00814991"/>
    <w:rsid w:val="00814A22"/>
    <w:rsid w:val="00814DD1"/>
    <w:rsid w:val="00814E33"/>
    <w:rsid w:val="00814E92"/>
    <w:rsid w:val="00814FCF"/>
    <w:rsid w:val="00815482"/>
    <w:rsid w:val="0081561E"/>
    <w:rsid w:val="008158E3"/>
    <w:rsid w:val="008158F5"/>
    <w:rsid w:val="00815D94"/>
    <w:rsid w:val="00816011"/>
    <w:rsid w:val="00816050"/>
    <w:rsid w:val="00816139"/>
    <w:rsid w:val="00816263"/>
    <w:rsid w:val="00816265"/>
    <w:rsid w:val="00816279"/>
    <w:rsid w:val="0081638C"/>
    <w:rsid w:val="008166D9"/>
    <w:rsid w:val="008167F2"/>
    <w:rsid w:val="008169BC"/>
    <w:rsid w:val="00816ABB"/>
    <w:rsid w:val="00816BE0"/>
    <w:rsid w:val="00816D80"/>
    <w:rsid w:val="00816E8D"/>
    <w:rsid w:val="008170C7"/>
    <w:rsid w:val="008171B2"/>
    <w:rsid w:val="00817220"/>
    <w:rsid w:val="00817333"/>
    <w:rsid w:val="00817528"/>
    <w:rsid w:val="0081776D"/>
    <w:rsid w:val="0081777D"/>
    <w:rsid w:val="008177C7"/>
    <w:rsid w:val="00817B1C"/>
    <w:rsid w:val="00817B22"/>
    <w:rsid w:val="00817E5C"/>
    <w:rsid w:val="00817F10"/>
    <w:rsid w:val="00820137"/>
    <w:rsid w:val="008203D2"/>
    <w:rsid w:val="00820646"/>
    <w:rsid w:val="008206FC"/>
    <w:rsid w:val="0082087C"/>
    <w:rsid w:val="00820C1E"/>
    <w:rsid w:val="00820D59"/>
    <w:rsid w:val="00820D5C"/>
    <w:rsid w:val="00820DFF"/>
    <w:rsid w:val="00820E1B"/>
    <w:rsid w:val="00820FC3"/>
    <w:rsid w:val="0082110B"/>
    <w:rsid w:val="00821289"/>
    <w:rsid w:val="008212C8"/>
    <w:rsid w:val="00821422"/>
    <w:rsid w:val="008214DC"/>
    <w:rsid w:val="008214F5"/>
    <w:rsid w:val="008215DC"/>
    <w:rsid w:val="0082162B"/>
    <w:rsid w:val="008217AC"/>
    <w:rsid w:val="008217BD"/>
    <w:rsid w:val="0082189D"/>
    <w:rsid w:val="00821AE4"/>
    <w:rsid w:val="00821AE9"/>
    <w:rsid w:val="00821AF2"/>
    <w:rsid w:val="00821BF5"/>
    <w:rsid w:val="00821D8E"/>
    <w:rsid w:val="00821DD6"/>
    <w:rsid w:val="00821EFD"/>
    <w:rsid w:val="0082202C"/>
    <w:rsid w:val="0082207C"/>
    <w:rsid w:val="008224E8"/>
    <w:rsid w:val="008225C2"/>
    <w:rsid w:val="008225E2"/>
    <w:rsid w:val="008226E3"/>
    <w:rsid w:val="008226F1"/>
    <w:rsid w:val="00822A38"/>
    <w:rsid w:val="00822AAE"/>
    <w:rsid w:val="00822B5A"/>
    <w:rsid w:val="00822C23"/>
    <w:rsid w:val="00822D1B"/>
    <w:rsid w:val="00822EA4"/>
    <w:rsid w:val="00823278"/>
    <w:rsid w:val="008235AD"/>
    <w:rsid w:val="00823822"/>
    <w:rsid w:val="00823C03"/>
    <w:rsid w:val="00823D1F"/>
    <w:rsid w:val="00823DA2"/>
    <w:rsid w:val="00823EF8"/>
    <w:rsid w:val="0082412B"/>
    <w:rsid w:val="008242DB"/>
    <w:rsid w:val="00824534"/>
    <w:rsid w:val="0082461A"/>
    <w:rsid w:val="008246EF"/>
    <w:rsid w:val="0082472C"/>
    <w:rsid w:val="008249F3"/>
    <w:rsid w:val="00824CA1"/>
    <w:rsid w:val="00824FA6"/>
    <w:rsid w:val="00825132"/>
    <w:rsid w:val="00825600"/>
    <w:rsid w:val="0082596E"/>
    <w:rsid w:val="008259D9"/>
    <w:rsid w:val="00825A9A"/>
    <w:rsid w:val="00825BEB"/>
    <w:rsid w:val="00825F37"/>
    <w:rsid w:val="00826042"/>
    <w:rsid w:val="00826128"/>
    <w:rsid w:val="00826349"/>
    <w:rsid w:val="00826384"/>
    <w:rsid w:val="008265AC"/>
    <w:rsid w:val="008266B5"/>
    <w:rsid w:val="008266CB"/>
    <w:rsid w:val="00826AE3"/>
    <w:rsid w:val="00826C5D"/>
    <w:rsid w:val="00826E7A"/>
    <w:rsid w:val="00826F6D"/>
    <w:rsid w:val="00827510"/>
    <w:rsid w:val="00827788"/>
    <w:rsid w:val="008277E7"/>
    <w:rsid w:val="00827E7E"/>
    <w:rsid w:val="0083005D"/>
    <w:rsid w:val="00830176"/>
    <w:rsid w:val="008304C7"/>
    <w:rsid w:val="008304F2"/>
    <w:rsid w:val="00830621"/>
    <w:rsid w:val="008306FF"/>
    <w:rsid w:val="00830770"/>
    <w:rsid w:val="0083083E"/>
    <w:rsid w:val="0083088D"/>
    <w:rsid w:val="00830923"/>
    <w:rsid w:val="00830A32"/>
    <w:rsid w:val="00830BC2"/>
    <w:rsid w:val="00830C2C"/>
    <w:rsid w:val="00830D1A"/>
    <w:rsid w:val="00830E82"/>
    <w:rsid w:val="00830F55"/>
    <w:rsid w:val="008312B0"/>
    <w:rsid w:val="008314DB"/>
    <w:rsid w:val="0083194A"/>
    <w:rsid w:val="0083198B"/>
    <w:rsid w:val="00831CA9"/>
    <w:rsid w:val="00831D7F"/>
    <w:rsid w:val="00831DFE"/>
    <w:rsid w:val="00831F09"/>
    <w:rsid w:val="00831F31"/>
    <w:rsid w:val="00831F38"/>
    <w:rsid w:val="00832017"/>
    <w:rsid w:val="00832029"/>
    <w:rsid w:val="008320FC"/>
    <w:rsid w:val="00832553"/>
    <w:rsid w:val="00832690"/>
    <w:rsid w:val="00832858"/>
    <w:rsid w:val="008328A1"/>
    <w:rsid w:val="008328F2"/>
    <w:rsid w:val="00832A67"/>
    <w:rsid w:val="00832B64"/>
    <w:rsid w:val="00832C87"/>
    <w:rsid w:val="00832D26"/>
    <w:rsid w:val="00832D43"/>
    <w:rsid w:val="008331CC"/>
    <w:rsid w:val="00833617"/>
    <w:rsid w:val="00833643"/>
    <w:rsid w:val="00833708"/>
    <w:rsid w:val="00833722"/>
    <w:rsid w:val="008337AA"/>
    <w:rsid w:val="00833807"/>
    <w:rsid w:val="00833861"/>
    <w:rsid w:val="00833C3B"/>
    <w:rsid w:val="00833E37"/>
    <w:rsid w:val="0083414C"/>
    <w:rsid w:val="00834265"/>
    <w:rsid w:val="00834591"/>
    <w:rsid w:val="00834608"/>
    <w:rsid w:val="008346A5"/>
    <w:rsid w:val="008346D6"/>
    <w:rsid w:val="008347A7"/>
    <w:rsid w:val="008349E3"/>
    <w:rsid w:val="00834E15"/>
    <w:rsid w:val="00834F6D"/>
    <w:rsid w:val="0083506F"/>
    <w:rsid w:val="008350A8"/>
    <w:rsid w:val="008351F0"/>
    <w:rsid w:val="00835487"/>
    <w:rsid w:val="00835548"/>
    <w:rsid w:val="008357FF"/>
    <w:rsid w:val="00835931"/>
    <w:rsid w:val="0083595D"/>
    <w:rsid w:val="00835D74"/>
    <w:rsid w:val="00835E6A"/>
    <w:rsid w:val="00836104"/>
    <w:rsid w:val="0083626C"/>
    <w:rsid w:val="00836284"/>
    <w:rsid w:val="008362F7"/>
    <w:rsid w:val="008363F7"/>
    <w:rsid w:val="0083676B"/>
    <w:rsid w:val="00836841"/>
    <w:rsid w:val="0083697F"/>
    <w:rsid w:val="00836ABD"/>
    <w:rsid w:val="00836FEC"/>
    <w:rsid w:val="00837609"/>
    <w:rsid w:val="0083760F"/>
    <w:rsid w:val="0083762F"/>
    <w:rsid w:val="0083785A"/>
    <w:rsid w:val="00837B82"/>
    <w:rsid w:val="00837C71"/>
    <w:rsid w:val="00837FBC"/>
    <w:rsid w:val="00840347"/>
    <w:rsid w:val="00840435"/>
    <w:rsid w:val="00840454"/>
    <w:rsid w:val="00840525"/>
    <w:rsid w:val="0084059C"/>
    <w:rsid w:val="008408B7"/>
    <w:rsid w:val="00840A61"/>
    <w:rsid w:val="00840BB6"/>
    <w:rsid w:val="00840C9D"/>
    <w:rsid w:val="00840CBC"/>
    <w:rsid w:val="00840F00"/>
    <w:rsid w:val="00840F23"/>
    <w:rsid w:val="0084106F"/>
    <w:rsid w:val="00841400"/>
    <w:rsid w:val="0084162E"/>
    <w:rsid w:val="00841776"/>
    <w:rsid w:val="00841958"/>
    <w:rsid w:val="00841973"/>
    <w:rsid w:val="0084199A"/>
    <w:rsid w:val="00841A8F"/>
    <w:rsid w:val="00841AFE"/>
    <w:rsid w:val="00841B5B"/>
    <w:rsid w:val="0084204E"/>
    <w:rsid w:val="008422EA"/>
    <w:rsid w:val="00842465"/>
    <w:rsid w:val="00842529"/>
    <w:rsid w:val="0084255F"/>
    <w:rsid w:val="008426A3"/>
    <w:rsid w:val="008426D6"/>
    <w:rsid w:val="008427AF"/>
    <w:rsid w:val="0084297D"/>
    <w:rsid w:val="008429AA"/>
    <w:rsid w:val="00842AB9"/>
    <w:rsid w:val="00842ADA"/>
    <w:rsid w:val="008430DC"/>
    <w:rsid w:val="00843123"/>
    <w:rsid w:val="0084320C"/>
    <w:rsid w:val="00843357"/>
    <w:rsid w:val="00843399"/>
    <w:rsid w:val="00843432"/>
    <w:rsid w:val="0084359C"/>
    <w:rsid w:val="0084382F"/>
    <w:rsid w:val="00843843"/>
    <w:rsid w:val="00843931"/>
    <w:rsid w:val="008439B2"/>
    <w:rsid w:val="00843A16"/>
    <w:rsid w:val="00843B7E"/>
    <w:rsid w:val="00843E3D"/>
    <w:rsid w:val="00843E80"/>
    <w:rsid w:val="00843FCF"/>
    <w:rsid w:val="0084412A"/>
    <w:rsid w:val="0084412B"/>
    <w:rsid w:val="00844226"/>
    <w:rsid w:val="00844239"/>
    <w:rsid w:val="00844257"/>
    <w:rsid w:val="00844345"/>
    <w:rsid w:val="00844650"/>
    <w:rsid w:val="008447C0"/>
    <w:rsid w:val="00844807"/>
    <w:rsid w:val="008449D5"/>
    <w:rsid w:val="00844A42"/>
    <w:rsid w:val="00844BAA"/>
    <w:rsid w:val="00844D47"/>
    <w:rsid w:val="0084502D"/>
    <w:rsid w:val="00845084"/>
    <w:rsid w:val="0084537C"/>
    <w:rsid w:val="008454BE"/>
    <w:rsid w:val="00845550"/>
    <w:rsid w:val="008456E1"/>
    <w:rsid w:val="008458C3"/>
    <w:rsid w:val="00845AE2"/>
    <w:rsid w:val="00845B0F"/>
    <w:rsid w:val="00845C36"/>
    <w:rsid w:val="00845C82"/>
    <w:rsid w:val="00845EEB"/>
    <w:rsid w:val="00845EED"/>
    <w:rsid w:val="00845F1D"/>
    <w:rsid w:val="00845F67"/>
    <w:rsid w:val="008461F5"/>
    <w:rsid w:val="0084641E"/>
    <w:rsid w:val="00846462"/>
    <w:rsid w:val="008464A0"/>
    <w:rsid w:val="00846633"/>
    <w:rsid w:val="00846951"/>
    <w:rsid w:val="00846AAF"/>
    <w:rsid w:val="00846B35"/>
    <w:rsid w:val="00846C66"/>
    <w:rsid w:val="00846CA0"/>
    <w:rsid w:val="00846CF1"/>
    <w:rsid w:val="00846EE6"/>
    <w:rsid w:val="00846F60"/>
    <w:rsid w:val="00847037"/>
    <w:rsid w:val="008470F1"/>
    <w:rsid w:val="00847264"/>
    <w:rsid w:val="00847289"/>
    <w:rsid w:val="008472E2"/>
    <w:rsid w:val="00847403"/>
    <w:rsid w:val="0084742A"/>
    <w:rsid w:val="0084753E"/>
    <w:rsid w:val="00847590"/>
    <w:rsid w:val="00847640"/>
    <w:rsid w:val="0084765D"/>
    <w:rsid w:val="008476D9"/>
    <w:rsid w:val="00847793"/>
    <w:rsid w:val="008479E5"/>
    <w:rsid w:val="00847BE3"/>
    <w:rsid w:val="00847C81"/>
    <w:rsid w:val="00847D2B"/>
    <w:rsid w:val="00847D76"/>
    <w:rsid w:val="00850036"/>
    <w:rsid w:val="00850409"/>
    <w:rsid w:val="00850990"/>
    <w:rsid w:val="00850D24"/>
    <w:rsid w:val="00851032"/>
    <w:rsid w:val="008510A6"/>
    <w:rsid w:val="00851213"/>
    <w:rsid w:val="0085123F"/>
    <w:rsid w:val="008512D4"/>
    <w:rsid w:val="00851666"/>
    <w:rsid w:val="00851862"/>
    <w:rsid w:val="008518BB"/>
    <w:rsid w:val="00851BF9"/>
    <w:rsid w:val="00851DB3"/>
    <w:rsid w:val="00852146"/>
    <w:rsid w:val="0085228D"/>
    <w:rsid w:val="008522CC"/>
    <w:rsid w:val="008522E8"/>
    <w:rsid w:val="00852337"/>
    <w:rsid w:val="008524C2"/>
    <w:rsid w:val="0085258A"/>
    <w:rsid w:val="00852803"/>
    <w:rsid w:val="00852A18"/>
    <w:rsid w:val="00852A63"/>
    <w:rsid w:val="00852A73"/>
    <w:rsid w:val="00852BCE"/>
    <w:rsid w:val="00852CC4"/>
    <w:rsid w:val="00852E5E"/>
    <w:rsid w:val="00852E96"/>
    <w:rsid w:val="00852EA4"/>
    <w:rsid w:val="00852F00"/>
    <w:rsid w:val="00853009"/>
    <w:rsid w:val="00853053"/>
    <w:rsid w:val="00853137"/>
    <w:rsid w:val="00853240"/>
    <w:rsid w:val="00853294"/>
    <w:rsid w:val="008532A1"/>
    <w:rsid w:val="0085330E"/>
    <w:rsid w:val="00853478"/>
    <w:rsid w:val="008534C5"/>
    <w:rsid w:val="008534F9"/>
    <w:rsid w:val="00853915"/>
    <w:rsid w:val="008539C7"/>
    <w:rsid w:val="00853D96"/>
    <w:rsid w:val="00853EB9"/>
    <w:rsid w:val="0085450F"/>
    <w:rsid w:val="00854630"/>
    <w:rsid w:val="008547D0"/>
    <w:rsid w:val="00854ACB"/>
    <w:rsid w:val="00854D26"/>
    <w:rsid w:val="00854D35"/>
    <w:rsid w:val="00854E06"/>
    <w:rsid w:val="00854E16"/>
    <w:rsid w:val="00855127"/>
    <w:rsid w:val="008553C3"/>
    <w:rsid w:val="0085541F"/>
    <w:rsid w:val="008554FE"/>
    <w:rsid w:val="008555E7"/>
    <w:rsid w:val="00855907"/>
    <w:rsid w:val="00855A91"/>
    <w:rsid w:val="00855DB3"/>
    <w:rsid w:val="00855EA4"/>
    <w:rsid w:val="00855FDC"/>
    <w:rsid w:val="00856019"/>
    <w:rsid w:val="008560A6"/>
    <w:rsid w:val="008560EF"/>
    <w:rsid w:val="0085614E"/>
    <w:rsid w:val="00856196"/>
    <w:rsid w:val="008561A6"/>
    <w:rsid w:val="00856336"/>
    <w:rsid w:val="008563BE"/>
    <w:rsid w:val="008563FB"/>
    <w:rsid w:val="00856562"/>
    <w:rsid w:val="00856577"/>
    <w:rsid w:val="0085673B"/>
    <w:rsid w:val="0085673F"/>
    <w:rsid w:val="008567A5"/>
    <w:rsid w:val="00856983"/>
    <w:rsid w:val="008569D2"/>
    <w:rsid w:val="00856A73"/>
    <w:rsid w:val="00856AE2"/>
    <w:rsid w:val="00856C0F"/>
    <w:rsid w:val="00856C9C"/>
    <w:rsid w:val="00856E0D"/>
    <w:rsid w:val="00856E3C"/>
    <w:rsid w:val="00856E69"/>
    <w:rsid w:val="00856F43"/>
    <w:rsid w:val="0085715E"/>
    <w:rsid w:val="0085726C"/>
    <w:rsid w:val="00857367"/>
    <w:rsid w:val="0085747B"/>
    <w:rsid w:val="00857543"/>
    <w:rsid w:val="008575FB"/>
    <w:rsid w:val="0085786D"/>
    <w:rsid w:val="00857BDB"/>
    <w:rsid w:val="00857D4D"/>
    <w:rsid w:val="00857F32"/>
    <w:rsid w:val="00857F43"/>
    <w:rsid w:val="00860048"/>
    <w:rsid w:val="00860223"/>
    <w:rsid w:val="0086030A"/>
    <w:rsid w:val="0086041D"/>
    <w:rsid w:val="00860607"/>
    <w:rsid w:val="008607E9"/>
    <w:rsid w:val="00860B36"/>
    <w:rsid w:val="00860F6F"/>
    <w:rsid w:val="008611DE"/>
    <w:rsid w:val="008616CD"/>
    <w:rsid w:val="0086170F"/>
    <w:rsid w:val="00861725"/>
    <w:rsid w:val="008618EB"/>
    <w:rsid w:val="0086192E"/>
    <w:rsid w:val="00861BAE"/>
    <w:rsid w:val="00861BFB"/>
    <w:rsid w:val="00861C3D"/>
    <w:rsid w:val="00861CB2"/>
    <w:rsid w:val="00861D1C"/>
    <w:rsid w:val="00861F12"/>
    <w:rsid w:val="00861F34"/>
    <w:rsid w:val="00861F75"/>
    <w:rsid w:val="00861FF2"/>
    <w:rsid w:val="00862532"/>
    <w:rsid w:val="00862542"/>
    <w:rsid w:val="00862C0A"/>
    <w:rsid w:val="00862DC4"/>
    <w:rsid w:val="008630C1"/>
    <w:rsid w:val="008630CC"/>
    <w:rsid w:val="00863134"/>
    <w:rsid w:val="008631D4"/>
    <w:rsid w:val="00863261"/>
    <w:rsid w:val="0086332A"/>
    <w:rsid w:val="00863416"/>
    <w:rsid w:val="008634ED"/>
    <w:rsid w:val="00863A03"/>
    <w:rsid w:val="00863C83"/>
    <w:rsid w:val="00863D87"/>
    <w:rsid w:val="00863DED"/>
    <w:rsid w:val="00863E09"/>
    <w:rsid w:val="00863E36"/>
    <w:rsid w:val="0086404F"/>
    <w:rsid w:val="00864124"/>
    <w:rsid w:val="0086419E"/>
    <w:rsid w:val="00864623"/>
    <w:rsid w:val="00864657"/>
    <w:rsid w:val="00864736"/>
    <w:rsid w:val="0086473D"/>
    <w:rsid w:val="0086473F"/>
    <w:rsid w:val="0086477B"/>
    <w:rsid w:val="00864A0A"/>
    <w:rsid w:val="00864B6A"/>
    <w:rsid w:val="00864B80"/>
    <w:rsid w:val="00864CBA"/>
    <w:rsid w:val="00864F15"/>
    <w:rsid w:val="00864FDB"/>
    <w:rsid w:val="00865122"/>
    <w:rsid w:val="008651F1"/>
    <w:rsid w:val="008657AB"/>
    <w:rsid w:val="008657EC"/>
    <w:rsid w:val="00865873"/>
    <w:rsid w:val="00865E2D"/>
    <w:rsid w:val="00865EE1"/>
    <w:rsid w:val="008661A3"/>
    <w:rsid w:val="00866595"/>
    <w:rsid w:val="00866611"/>
    <w:rsid w:val="00866630"/>
    <w:rsid w:val="008667B7"/>
    <w:rsid w:val="00866B51"/>
    <w:rsid w:val="00866C3B"/>
    <w:rsid w:val="00866C4D"/>
    <w:rsid w:val="00866D07"/>
    <w:rsid w:val="00866E01"/>
    <w:rsid w:val="00866E14"/>
    <w:rsid w:val="00866FC1"/>
    <w:rsid w:val="00866FE5"/>
    <w:rsid w:val="0086707C"/>
    <w:rsid w:val="008673C4"/>
    <w:rsid w:val="008673FE"/>
    <w:rsid w:val="0086741F"/>
    <w:rsid w:val="00867593"/>
    <w:rsid w:val="0086760A"/>
    <w:rsid w:val="0086777C"/>
    <w:rsid w:val="00867A77"/>
    <w:rsid w:val="00867A84"/>
    <w:rsid w:val="00867E8F"/>
    <w:rsid w:val="00867FD6"/>
    <w:rsid w:val="00870064"/>
    <w:rsid w:val="00870070"/>
    <w:rsid w:val="008700DB"/>
    <w:rsid w:val="008703CA"/>
    <w:rsid w:val="00870410"/>
    <w:rsid w:val="0087052E"/>
    <w:rsid w:val="00870601"/>
    <w:rsid w:val="00870661"/>
    <w:rsid w:val="008706BC"/>
    <w:rsid w:val="00870806"/>
    <w:rsid w:val="00870A84"/>
    <w:rsid w:val="00870B60"/>
    <w:rsid w:val="00870D5A"/>
    <w:rsid w:val="0087103F"/>
    <w:rsid w:val="0087109E"/>
    <w:rsid w:val="0087114B"/>
    <w:rsid w:val="0087118A"/>
    <w:rsid w:val="008712DE"/>
    <w:rsid w:val="0087133F"/>
    <w:rsid w:val="00871561"/>
    <w:rsid w:val="00871829"/>
    <w:rsid w:val="00871A78"/>
    <w:rsid w:val="00871E87"/>
    <w:rsid w:val="00872057"/>
    <w:rsid w:val="008720CF"/>
    <w:rsid w:val="00872337"/>
    <w:rsid w:val="008723CC"/>
    <w:rsid w:val="00872446"/>
    <w:rsid w:val="00872469"/>
    <w:rsid w:val="0087250E"/>
    <w:rsid w:val="008726C6"/>
    <w:rsid w:val="008726E9"/>
    <w:rsid w:val="00872894"/>
    <w:rsid w:val="008728C9"/>
    <w:rsid w:val="00872A17"/>
    <w:rsid w:val="00872BEB"/>
    <w:rsid w:val="00872EFC"/>
    <w:rsid w:val="008730C0"/>
    <w:rsid w:val="008731C8"/>
    <w:rsid w:val="00873877"/>
    <w:rsid w:val="00873C47"/>
    <w:rsid w:val="00873DEC"/>
    <w:rsid w:val="00873ECC"/>
    <w:rsid w:val="008740B5"/>
    <w:rsid w:val="0087432F"/>
    <w:rsid w:val="00874521"/>
    <w:rsid w:val="0087452F"/>
    <w:rsid w:val="008745F2"/>
    <w:rsid w:val="0087469C"/>
    <w:rsid w:val="0087492F"/>
    <w:rsid w:val="00874976"/>
    <w:rsid w:val="00874A28"/>
    <w:rsid w:val="008753C1"/>
    <w:rsid w:val="0087579C"/>
    <w:rsid w:val="00875862"/>
    <w:rsid w:val="00875A2D"/>
    <w:rsid w:val="00875B7A"/>
    <w:rsid w:val="00875B95"/>
    <w:rsid w:val="00875BE4"/>
    <w:rsid w:val="00875E0A"/>
    <w:rsid w:val="00875EEC"/>
    <w:rsid w:val="00875F1C"/>
    <w:rsid w:val="008760A9"/>
    <w:rsid w:val="008760EC"/>
    <w:rsid w:val="00876553"/>
    <w:rsid w:val="00876692"/>
    <w:rsid w:val="008766BC"/>
    <w:rsid w:val="008768C0"/>
    <w:rsid w:val="008769F5"/>
    <w:rsid w:val="00876FB2"/>
    <w:rsid w:val="008770E0"/>
    <w:rsid w:val="00877271"/>
    <w:rsid w:val="008772BA"/>
    <w:rsid w:val="00877323"/>
    <w:rsid w:val="00877337"/>
    <w:rsid w:val="00877371"/>
    <w:rsid w:val="00877754"/>
    <w:rsid w:val="008777B8"/>
    <w:rsid w:val="00877822"/>
    <w:rsid w:val="008779E8"/>
    <w:rsid w:val="0088002C"/>
    <w:rsid w:val="00880233"/>
    <w:rsid w:val="008803F8"/>
    <w:rsid w:val="00880665"/>
    <w:rsid w:val="008806EA"/>
    <w:rsid w:val="008808B5"/>
    <w:rsid w:val="00880AB5"/>
    <w:rsid w:val="00880CAB"/>
    <w:rsid w:val="00880E7A"/>
    <w:rsid w:val="00880F98"/>
    <w:rsid w:val="00881081"/>
    <w:rsid w:val="008810DA"/>
    <w:rsid w:val="008813A2"/>
    <w:rsid w:val="008813CA"/>
    <w:rsid w:val="008813D9"/>
    <w:rsid w:val="00881688"/>
    <w:rsid w:val="00881787"/>
    <w:rsid w:val="008817AE"/>
    <w:rsid w:val="008818D0"/>
    <w:rsid w:val="00881969"/>
    <w:rsid w:val="00881AF0"/>
    <w:rsid w:val="00881C28"/>
    <w:rsid w:val="00881DE5"/>
    <w:rsid w:val="00881E76"/>
    <w:rsid w:val="00881F6F"/>
    <w:rsid w:val="008822BC"/>
    <w:rsid w:val="008822CF"/>
    <w:rsid w:val="00882726"/>
    <w:rsid w:val="0088272A"/>
    <w:rsid w:val="00882736"/>
    <w:rsid w:val="00882767"/>
    <w:rsid w:val="008828D4"/>
    <w:rsid w:val="00882CFE"/>
    <w:rsid w:val="00883131"/>
    <w:rsid w:val="00883270"/>
    <w:rsid w:val="008835B3"/>
    <w:rsid w:val="008836A4"/>
    <w:rsid w:val="008837A3"/>
    <w:rsid w:val="00883AC3"/>
    <w:rsid w:val="00883C48"/>
    <w:rsid w:val="008841D3"/>
    <w:rsid w:val="00884291"/>
    <w:rsid w:val="00884312"/>
    <w:rsid w:val="00884359"/>
    <w:rsid w:val="0088441A"/>
    <w:rsid w:val="0088448C"/>
    <w:rsid w:val="0088452A"/>
    <w:rsid w:val="00884598"/>
    <w:rsid w:val="008847B0"/>
    <w:rsid w:val="00884F62"/>
    <w:rsid w:val="00885012"/>
    <w:rsid w:val="008852EF"/>
    <w:rsid w:val="0088546F"/>
    <w:rsid w:val="008856F9"/>
    <w:rsid w:val="00885723"/>
    <w:rsid w:val="008859C0"/>
    <w:rsid w:val="00885C29"/>
    <w:rsid w:val="00885D90"/>
    <w:rsid w:val="00885DD2"/>
    <w:rsid w:val="00885FEC"/>
    <w:rsid w:val="008865B0"/>
    <w:rsid w:val="00886857"/>
    <w:rsid w:val="00886957"/>
    <w:rsid w:val="0088699B"/>
    <w:rsid w:val="00886A2C"/>
    <w:rsid w:val="00886AC9"/>
    <w:rsid w:val="00886E17"/>
    <w:rsid w:val="00886EA3"/>
    <w:rsid w:val="00886F55"/>
    <w:rsid w:val="00886F7E"/>
    <w:rsid w:val="0088715D"/>
    <w:rsid w:val="00887260"/>
    <w:rsid w:val="00887350"/>
    <w:rsid w:val="008874D7"/>
    <w:rsid w:val="008876D1"/>
    <w:rsid w:val="0088798C"/>
    <w:rsid w:val="00887A97"/>
    <w:rsid w:val="00887ACD"/>
    <w:rsid w:val="00887C5C"/>
    <w:rsid w:val="00887D3E"/>
    <w:rsid w:val="00887E6B"/>
    <w:rsid w:val="008901DB"/>
    <w:rsid w:val="008908A1"/>
    <w:rsid w:val="008908DD"/>
    <w:rsid w:val="00890B24"/>
    <w:rsid w:val="00890BFD"/>
    <w:rsid w:val="00890DF0"/>
    <w:rsid w:val="00891288"/>
    <w:rsid w:val="00891312"/>
    <w:rsid w:val="008917DD"/>
    <w:rsid w:val="00891871"/>
    <w:rsid w:val="008918E3"/>
    <w:rsid w:val="00891A3D"/>
    <w:rsid w:val="00891A9D"/>
    <w:rsid w:val="00891B4E"/>
    <w:rsid w:val="00891BBD"/>
    <w:rsid w:val="00891D04"/>
    <w:rsid w:val="00891DCA"/>
    <w:rsid w:val="00891E0C"/>
    <w:rsid w:val="00891EB7"/>
    <w:rsid w:val="00891EC6"/>
    <w:rsid w:val="00892000"/>
    <w:rsid w:val="00892120"/>
    <w:rsid w:val="00892227"/>
    <w:rsid w:val="0089230E"/>
    <w:rsid w:val="00892571"/>
    <w:rsid w:val="0089284A"/>
    <w:rsid w:val="0089293C"/>
    <w:rsid w:val="008929CA"/>
    <w:rsid w:val="00892D04"/>
    <w:rsid w:val="00892D6E"/>
    <w:rsid w:val="008931E0"/>
    <w:rsid w:val="008932A1"/>
    <w:rsid w:val="008932E6"/>
    <w:rsid w:val="008934BA"/>
    <w:rsid w:val="0089367F"/>
    <w:rsid w:val="00893845"/>
    <w:rsid w:val="008938DD"/>
    <w:rsid w:val="00893919"/>
    <w:rsid w:val="00893D22"/>
    <w:rsid w:val="00893D47"/>
    <w:rsid w:val="00893E5B"/>
    <w:rsid w:val="00893F5D"/>
    <w:rsid w:val="008940D8"/>
    <w:rsid w:val="00894209"/>
    <w:rsid w:val="00894310"/>
    <w:rsid w:val="0089457B"/>
    <w:rsid w:val="0089461E"/>
    <w:rsid w:val="008946A2"/>
    <w:rsid w:val="008949BB"/>
    <w:rsid w:val="008949D2"/>
    <w:rsid w:val="00894A18"/>
    <w:rsid w:val="00894A27"/>
    <w:rsid w:val="00894A2C"/>
    <w:rsid w:val="00894AE8"/>
    <w:rsid w:val="00894B18"/>
    <w:rsid w:val="00894D8C"/>
    <w:rsid w:val="00894FA5"/>
    <w:rsid w:val="00894FE2"/>
    <w:rsid w:val="00895004"/>
    <w:rsid w:val="0089510A"/>
    <w:rsid w:val="0089536C"/>
    <w:rsid w:val="008953D5"/>
    <w:rsid w:val="0089544D"/>
    <w:rsid w:val="00895519"/>
    <w:rsid w:val="00895554"/>
    <w:rsid w:val="00895624"/>
    <w:rsid w:val="008958BC"/>
    <w:rsid w:val="00895A29"/>
    <w:rsid w:val="00895A38"/>
    <w:rsid w:val="00895B72"/>
    <w:rsid w:val="00895C40"/>
    <w:rsid w:val="00895D38"/>
    <w:rsid w:val="00895DED"/>
    <w:rsid w:val="00895EB4"/>
    <w:rsid w:val="00896014"/>
    <w:rsid w:val="008960A9"/>
    <w:rsid w:val="008962DD"/>
    <w:rsid w:val="00896593"/>
    <w:rsid w:val="00896FB1"/>
    <w:rsid w:val="0089739E"/>
    <w:rsid w:val="00897CE2"/>
    <w:rsid w:val="00897D27"/>
    <w:rsid w:val="00897E84"/>
    <w:rsid w:val="00897FDF"/>
    <w:rsid w:val="008A000B"/>
    <w:rsid w:val="008A016C"/>
    <w:rsid w:val="008A0344"/>
    <w:rsid w:val="008A03D5"/>
    <w:rsid w:val="008A0470"/>
    <w:rsid w:val="008A073B"/>
    <w:rsid w:val="008A0A1C"/>
    <w:rsid w:val="008A0B5D"/>
    <w:rsid w:val="008A0CA6"/>
    <w:rsid w:val="008A1178"/>
    <w:rsid w:val="008A1373"/>
    <w:rsid w:val="008A1426"/>
    <w:rsid w:val="008A146E"/>
    <w:rsid w:val="008A1775"/>
    <w:rsid w:val="008A177F"/>
    <w:rsid w:val="008A18CB"/>
    <w:rsid w:val="008A1912"/>
    <w:rsid w:val="008A1963"/>
    <w:rsid w:val="008A1B69"/>
    <w:rsid w:val="008A1E8D"/>
    <w:rsid w:val="008A20CB"/>
    <w:rsid w:val="008A2118"/>
    <w:rsid w:val="008A2646"/>
    <w:rsid w:val="008A28AD"/>
    <w:rsid w:val="008A2BC4"/>
    <w:rsid w:val="008A2EF3"/>
    <w:rsid w:val="008A2F00"/>
    <w:rsid w:val="008A2F07"/>
    <w:rsid w:val="008A3188"/>
    <w:rsid w:val="008A31F5"/>
    <w:rsid w:val="008A3502"/>
    <w:rsid w:val="008A358E"/>
    <w:rsid w:val="008A3594"/>
    <w:rsid w:val="008A35AB"/>
    <w:rsid w:val="008A3813"/>
    <w:rsid w:val="008A384C"/>
    <w:rsid w:val="008A3B2E"/>
    <w:rsid w:val="008A3B91"/>
    <w:rsid w:val="008A3C11"/>
    <w:rsid w:val="008A3C5C"/>
    <w:rsid w:val="008A3CAB"/>
    <w:rsid w:val="008A42AB"/>
    <w:rsid w:val="008A42C9"/>
    <w:rsid w:val="008A43CA"/>
    <w:rsid w:val="008A4459"/>
    <w:rsid w:val="008A44D1"/>
    <w:rsid w:val="008A47B8"/>
    <w:rsid w:val="008A4D06"/>
    <w:rsid w:val="008A502D"/>
    <w:rsid w:val="008A5319"/>
    <w:rsid w:val="008A5331"/>
    <w:rsid w:val="008A54F2"/>
    <w:rsid w:val="008A56D3"/>
    <w:rsid w:val="008A5882"/>
    <w:rsid w:val="008A59CC"/>
    <w:rsid w:val="008A5A92"/>
    <w:rsid w:val="008A5BD6"/>
    <w:rsid w:val="008A5C6E"/>
    <w:rsid w:val="008A5FAF"/>
    <w:rsid w:val="008A60DE"/>
    <w:rsid w:val="008A6349"/>
    <w:rsid w:val="008A64CF"/>
    <w:rsid w:val="008A651B"/>
    <w:rsid w:val="008A6626"/>
    <w:rsid w:val="008A6640"/>
    <w:rsid w:val="008A664D"/>
    <w:rsid w:val="008A6A27"/>
    <w:rsid w:val="008A6A28"/>
    <w:rsid w:val="008A6A58"/>
    <w:rsid w:val="008A6B9D"/>
    <w:rsid w:val="008A6C06"/>
    <w:rsid w:val="008A6EAA"/>
    <w:rsid w:val="008A6EFB"/>
    <w:rsid w:val="008A6F9B"/>
    <w:rsid w:val="008A6FB0"/>
    <w:rsid w:val="008A704E"/>
    <w:rsid w:val="008A7392"/>
    <w:rsid w:val="008A73A7"/>
    <w:rsid w:val="008A743A"/>
    <w:rsid w:val="008A74FB"/>
    <w:rsid w:val="008A7A0D"/>
    <w:rsid w:val="008A7A8F"/>
    <w:rsid w:val="008A7C08"/>
    <w:rsid w:val="008A7C41"/>
    <w:rsid w:val="008A7E25"/>
    <w:rsid w:val="008A7E3A"/>
    <w:rsid w:val="008A7F3F"/>
    <w:rsid w:val="008A7F53"/>
    <w:rsid w:val="008B0134"/>
    <w:rsid w:val="008B01C6"/>
    <w:rsid w:val="008B038E"/>
    <w:rsid w:val="008B03B9"/>
    <w:rsid w:val="008B0403"/>
    <w:rsid w:val="008B04AA"/>
    <w:rsid w:val="008B069A"/>
    <w:rsid w:val="008B0708"/>
    <w:rsid w:val="008B0931"/>
    <w:rsid w:val="008B09A3"/>
    <w:rsid w:val="008B09CF"/>
    <w:rsid w:val="008B0ADE"/>
    <w:rsid w:val="008B0CAB"/>
    <w:rsid w:val="008B11B8"/>
    <w:rsid w:val="008B11BE"/>
    <w:rsid w:val="008B143A"/>
    <w:rsid w:val="008B149C"/>
    <w:rsid w:val="008B1531"/>
    <w:rsid w:val="008B1654"/>
    <w:rsid w:val="008B17EC"/>
    <w:rsid w:val="008B1944"/>
    <w:rsid w:val="008B1BCF"/>
    <w:rsid w:val="008B1D7D"/>
    <w:rsid w:val="008B2070"/>
    <w:rsid w:val="008B2087"/>
    <w:rsid w:val="008B20D8"/>
    <w:rsid w:val="008B2156"/>
    <w:rsid w:val="008B2400"/>
    <w:rsid w:val="008B2BC4"/>
    <w:rsid w:val="008B2BCF"/>
    <w:rsid w:val="008B2EB2"/>
    <w:rsid w:val="008B2F66"/>
    <w:rsid w:val="008B362D"/>
    <w:rsid w:val="008B397C"/>
    <w:rsid w:val="008B3A17"/>
    <w:rsid w:val="008B3C4F"/>
    <w:rsid w:val="008B3DEB"/>
    <w:rsid w:val="008B3E98"/>
    <w:rsid w:val="008B3EFC"/>
    <w:rsid w:val="008B40E8"/>
    <w:rsid w:val="008B42D9"/>
    <w:rsid w:val="008B4474"/>
    <w:rsid w:val="008B4589"/>
    <w:rsid w:val="008B4624"/>
    <w:rsid w:val="008B4710"/>
    <w:rsid w:val="008B476C"/>
    <w:rsid w:val="008B48DE"/>
    <w:rsid w:val="008B48EE"/>
    <w:rsid w:val="008B4B47"/>
    <w:rsid w:val="008B4DF0"/>
    <w:rsid w:val="008B4E5E"/>
    <w:rsid w:val="008B5039"/>
    <w:rsid w:val="008B504B"/>
    <w:rsid w:val="008B5230"/>
    <w:rsid w:val="008B53C9"/>
    <w:rsid w:val="008B547B"/>
    <w:rsid w:val="008B549F"/>
    <w:rsid w:val="008B5548"/>
    <w:rsid w:val="008B57E8"/>
    <w:rsid w:val="008B585E"/>
    <w:rsid w:val="008B5AF1"/>
    <w:rsid w:val="008B5B7F"/>
    <w:rsid w:val="008B5DC3"/>
    <w:rsid w:val="008B5ED2"/>
    <w:rsid w:val="008B5FA0"/>
    <w:rsid w:val="008B62A6"/>
    <w:rsid w:val="008B662C"/>
    <w:rsid w:val="008B68B2"/>
    <w:rsid w:val="008B6920"/>
    <w:rsid w:val="008B6D93"/>
    <w:rsid w:val="008B6DDD"/>
    <w:rsid w:val="008B71B2"/>
    <w:rsid w:val="008B735F"/>
    <w:rsid w:val="008B7602"/>
    <w:rsid w:val="008B7732"/>
    <w:rsid w:val="008B77C7"/>
    <w:rsid w:val="008B7ABD"/>
    <w:rsid w:val="008B7B5D"/>
    <w:rsid w:val="008B7DE1"/>
    <w:rsid w:val="008B7E4D"/>
    <w:rsid w:val="008C00E3"/>
    <w:rsid w:val="008C0194"/>
    <w:rsid w:val="008C01D4"/>
    <w:rsid w:val="008C0842"/>
    <w:rsid w:val="008C087A"/>
    <w:rsid w:val="008C0AB6"/>
    <w:rsid w:val="008C0C36"/>
    <w:rsid w:val="008C0CE3"/>
    <w:rsid w:val="008C0CFE"/>
    <w:rsid w:val="008C0D27"/>
    <w:rsid w:val="008C100D"/>
    <w:rsid w:val="008C1425"/>
    <w:rsid w:val="008C1483"/>
    <w:rsid w:val="008C1495"/>
    <w:rsid w:val="008C151E"/>
    <w:rsid w:val="008C1569"/>
    <w:rsid w:val="008C17A6"/>
    <w:rsid w:val="008C1C94"/>
    <w:rsid w:val="008C1DB4"/>
    <w:rsid w:val="008C1E16"/>
    <w:rsid w:val="008C1E80"/>
    <w:rsid w:val="008C1FE8"/>
    <w:rsid w:val="008C203E"/>
    <w:rsid w:val="008C2169"/>
    <w:rsid w:val="008C227E"/>
    <w:rsid w:val="008C2288"/>
    <w:rsid w:val="008C23A3"/>
    <w:rsid w:val="008C23F2"/>
    <w:rsid w:val="008C2792"/>
    <w:rsid w:val="008C27B0"/>
    <w:rsid w:val="008C27D6"/>
    <w:rsid w:val="008C2B6C"/>
    <w:rsid w:val="008C2B8A"/>
    <w:rsid w:val="008C2CC3"/>
    <w:rsid w:val="008C2CCD"/>
    <w:rsid w:val="008C2E48"/>
    <w:rsid w:val="008C2E52"/>
    <w:rsid w:val="008C2E92"/>
    <w:rsid w:val="008C3016"/>
    <w:rsid w:val="008C3038"/>
    <w:rsid w:val="008C3166"/>
    <w:rsid w:val="008C31BD"/>
    <w:rsid w:val="008C32E0"/>
    <w:rsid w:val="008C3599"/>
    <w:rsid w:val="008C3601"/>
    <w:rsid w:val="008C3671"/>
    <w:rsid w:val="008C396F"/>
    <w:rsid w:val="008C3B79"/>
    <w:rsid w:val="008C3B9D"/>
    <w:rsid w:val="008C3CF7"/>
    <w:rsid w:val="008C40C7"/>
    <w:rsid w:val="008C40C8"/>
    <w:rsid w:val="008C4244"/>
    <w:rsid w:val="008C430A"/>
    <w:rsid w:val="008C4415"/>
    <w:rsid w:val="008C451E"/>
    <w:rsid w:val="008C45CC"/>
    <w:rsid w:val="008C485C"/>
    <w:rsid w:val="008C4BC9"/>
    <w:rsid w:val="008C4C28"/>
    <w:rsid w:val="008C4CA4"/>
    <w:rsid w:val="008C4CDA"/>
    <w:rsid w:val="008C4D6E"/>
    <w:rsid w:val="008C4F77"/>
    <w:rsid w:val="008C4FA8"/>
    <w:rsid w:val="008C5179"/>
    <w:rsid w:val="008C524C"/>
    <w:rsid w:val="008C52AD"/>
    <w:rsid w:val="008C54CF"/>
    <w:rsid w:val="008C54F6"/>
    <w:rsid w:val="008C557B"/>
    <w:rsid w:val="008C55AB"/>
    <w:rsid w:val="008C5678"/>
    <w:rsid w:val="008C5718"/>
    <w:rsid w:val="008C5775"/>
    <w:rsid w:val="008C5957"/>
    <w:rsid w:val="008C604A"/>
    <w:rsid w:val="008C618F"/>
    <w:rsid w:val="008C6292"/>
    <w:rsid w:val="008C6372"/>
    <w:rsid w:val="008C63EA"/>
    <w:rsid w:val="008C64B7"/>
    <w:rsid w:val="008C6692"/>
    <w:rsid w:val="008C6780"/>
    <w:rsid w:val="008C67FD"/>
    <w:rsid w:val="008C6880"/>
    <w:rsid w:val="008C69A1"/>
    <w:rsid w:val="008C6B8D"/>
    <w:rsid w:val="008C6EFE"/>
    <w:rsid w:val="008C7179"/>
    <w:rsid w:val="008C71E1"/>
    <w:rsid w:val="008C74FB"/>
    <w:rsid w:val="008C7600"/>
    <w:rsid w:val="008C7653"/>
    <w:rsid w:val="008C767E"/>
    <w:rsid w:val="008C76E7"/>
    <w:rsid w:val="008C78FB"/>
    <w:rsid w:val="008C7AE3"/>
    <w:rsid w:val="008C7B4D"/>
    <w:rsid w:val="008C7DE5"/>
    <w:rsid w:val="008C7F2C"/>
    <w:rsid w:val="008C7FE5"/>
    <w:rsid w:val="008D014D"/>
    <w:rsid w:val="008D0398"/>
    <w:rsid w:val="008D0420"/>
    <w:rsid w:val="008D05E3"/>
    <w:rsid w:val="008D0674"/>
    <w:rsid w:val="008D071D"/>
    <w:rsid w:val="008D0788"/>
    <w:rsid w:val="008D0838"/>
    <w:rsid w:val="008D0845"/>
    <w:rsid w:val="008D0CB1"/>
    <w:rsid w:val="008D0CCF"/>
    <w:rsid w:val="008D0D77"/>
    <w:rsid w:val="008D0EB3"/>
    <w:rsid w:val="008D0F4C"/>
    <w:rsid w:val="008D0F62"/>
    <w:rsid w:val="008D0F70"/>
    <w:rsid w:val="008D108A"/>
    <w:rsid w:val="008D1201"/>
    <w:rsid w:val="008D12CA"/>
    <w:rsid w:val="008D14B8"/>
    <w:rsid w:val="008D161A"/>
    <w:rsid w:val="008D182F"/>
    <w:rsid w:val="008D1A49"/>
    <w:rsid w:val="008D1BB7"/>
    <w:rsid w:val="008D1BC5"/>
    <w:rsid w:val="008D1CF0"/>
    <w:rsid w:val="008D1D90"/>
    <w:rsid w:val="008D2056"/>
    <w:rsid w:val="008D216E"/>
    <w:rsid w:val="008D2422"/>
    <w:rsid w:val="008D2691"/>
    <w:rsid w:val="008D273E"/>
    <w:rsid w:val="008D2907"/>
    <w:rsid w:val="008D2963"/>
    <w:rsid w:val="008D2A0B"/>
    <w:rsid w:val="008D2A12"/>
    <w:rsid w:val="008D2B3E"/>
    <w:rsid w:val="008D2CDC"/>
    <w:rsid w:val="008D2CE5"/>
    <w:rsid w:val="008D2E95"/>
    <w:rsid w:val="008D32AE"/>
    <w:rsid w:val="008D3405"/>
    <w:rsid w:val="008D34ED"/>
    <w:rsid w:val="008D3581"/>
    <w:rsid w:val="008D36A5"/>
    <w:rsid w:val="008D3774"/>
    <w:rsid w:val="008D3A7B"/>
    <w:rsid w:val="008D3AA7"/>
    <w:rsid w:val="008D3C06"/>
    <w:rsid w:val="008D3DAF"/>
    <w:rsid w:val="008D3FD5"/>
    <w:rsid w:val="008D401C"/>
    <w:rsid w:val="008D4141"/>
    <w:rsid w:val="008D4568"/>
    <w:rsid w:val="008D478F"/>
    <w:rsid w:val="008D4A74"/>
    <w:rsid w:val="008D4B91"/>
    <w:rsid w:val="008D4C46"/>
    <w:rsid w:val="008D4D4A"/>
    <w:rsid w:val="008D4ED8"/>
    <w:rsid w:val="008D5111"/>
    <w:rsid w:val="008D51EB"/>
    <w:rsid w:val="008D5836"/>
    <w:rsid w:val="008D58A2"/>
    <w:rsid w:val="008D58F8"/>
    <w:rsid w:val="008D5A45"/>
    <w:rsid w:val="008D5B19"/>
    <w:rsid w:val="008D5B48"/>
    <w:rsid w:val="008D5BA0"/>
    <w:rsid w:val="008D5CA3"/>
    <w:rsid w:val="008D5D15"/>
    <w:rsid w:val="008D5D61"/>
    <w:rsid w:val="008D5DB7"/>
    <w:rsid w:val="008D5E41"/>
    <w:rsid w:val="008D6078"/>
    <w:rsid w:val="008D6220"/>
    <w:rsid w:val="008D6353"/>
    <w:rsid w:val="008D65A5"/>
    <w:rsid w:val="008D66B5"/>
    <w:rsid w:val="008D6AC3"/>
    <w:rsid w:val="008D6BA7"/>
    <w:rsid w:val="008D6DFA"/>
    <w:rsid w:val="008D71B5"/>
    <w:rsid w:val="008D72A4"/>
    <w:rsid w:val="008D749A"/>
    <w:rsid w:val="008D7876"/>
    <w:rsid w:val="008D79E1"/>
    <w:rsid w:val="008D7B68"/>
    <w:rsid w:val="008D7B79"/>
    <w:rsid w:val="008D7CD7"/>
    <w:rsid w:val="008D7CF2"/>
    <w:rsid w:val="008D7D82"/>
    <w:rsid w:val="008E0232"/>
    <w:rsid w:val="008E0264"/>
    <w:rsid w:val="008E0317"/>
    <w:rsid w:val="008E06BE"/>
    <w:rsid w:val="008E0867"/>
    <w:rsid w:val="008E0AA6"/>
    <w:rsid w:val="008E0C88"/>
    <w:rsid w:val="008E0C92"/>
    <w:rsid w:val="008E0CEF"/>
    <w:rsid w:val="008E117C"/>
    <w:rsid w:val="008E1388"/>
    <w:rsid w:val="008E1990"/>
    <w:rsid w:val="008E19F3"/>
    <w:rsid w:val="008E1E17"/>
    <w:rsid w:val="008E1E2A"/>
    <w:rsid w:val="008E1EA7"/>
    <w:rsid w:val="008E20E8"/>
    <w:rsid w:val="008E2777"/>
    <w:rsid w:val="008E277D"/>
    <w:rsid w:val="008E2866"/>
    <w:rsid w:val="008E2890"/>
    <w:rsid w:val="008E2A0A"/>
    <w:rsid w:val="008E2BCA"/>
    <w:rsid w:val="008E2D2A"/>
    <w:rsid w:val="008E3048"/>
    <w:rsid w:val="008E3398"/>
    <w:rsid w:val="008E37D9"/>
    <w:rsid w:val="008E37EA"/>
    <w:rsid w:val="008E3832"/>
    <w:rsid w:val="008E3984"/>
    <w:rsid w:val="008E3A21"/>
    <w:rsid w:val="008E3A79"/>
    <w:rsid w:val="008E3B4D"/>
    <w:rsid w:val="008E3F17"/>
    <w:rsid w:val="008E4023"/>
    <w:rsid w:val="008E40BE"/>
    <w:rsid w:val="008E4158"/>
    <w:rsid w:val="008E418C"/>
    <w:rsid w:val="008E4191"/>
    <w:rsid w:val="008E4512"/>
    <w:rsid w:val="008E46E8"/>
    <w:rsid w:val="008E47CD"/>
    <w:rsid w:val="008E48AC"/>
    <w:rsid w:val="008E49A4"/>
    <w:rsid w:val="008E49EB"/>
    <w:rsid w:val="008E4B26"/>
    <w:rsid w:val="008E4D8F"/>
    <w:rsid w:val="008E5144"/>
    <w:rsid w:val="008E541D"/>
    <w:rsid w:val="008E5433"/>
    <w:rsid w:val="008E54A9"/>
    <w:rsid w:val="008E554B"/>
    <w:rsid w:val="008E560B"/>
    <w:rsid w:val="008E592A"/>
    <w:rsid w:val="008E5B4A"/>
    <w:rsid w:val="008E6072"/>
    <w:rsid w:val="008E6186"/>
    <w:rsid w:val="008E6188"/>
    <w:rsid w:val="008E6193"/>
    <w:rsid w:val="008E61FE"/>
    <w:rsid w:val="008E649C"/>
    <w:rsid w:val="008E655D"/>
    <w:rsid w:val="008E67B6"/>
    <w:rsid w:val="008E6B19"/>
    <w:rsid w:val="008E6B1D"/>
    <w:rsid w:val="008E6BB7"/>
    <w:rsid w:val="008E6CDD"/>
    <w:rsid w:val="008E6F19"/>
    <w:rsid w:val="008E72A9"/>
    <w:rsid w:val="008E72B4"/>
    <w:rsid w:val="008E77C6"/>
    <w:rsid w:val="008E7931"/>
    <w:rsid w:val="008E7987"/>
    <w:rsid w:val="008E7AB4"/>
    <w:rsid w:val="008E7CB2"/>
    <w:rsid w:val="008F0313"/>
    <w:rsid w:val="008F043D"/>
    <w:rsid w:val="008F0523"/>
    <w:rsid w:val="008F0612"/>
    <w:rsid w:val="008F07D0"/>
    <w:rsid w:val="008F08D8"/>
    <w:rsid w:val="008F0D15"/>
    <w:rsid w:val="008F0F6F"/>
    <w:rsid w:val="008F12B7"/>
    <w:rsid w:val="008F17D8"/>
    <w:rsid w:val="008F18E5"/>
    <w:rsid w:val="008F1C67"/>
    <w:rsid w:val="008F1CF4"/>
    <w:rsid w:val="008F1F68"/>
    <w:rsid w:val="008F2096"/>
    <w:rsid w:val="008F2098"/>
    <w:rsid w:val="008F2108"/>
    <w:rsid w:val="008F23A8"/>
    <w:rsid w:val="008F23CF"/>
    <w:rsid w:val="008F240E"/>
    <w:rsid w:val="008F2638"/>
    <w:rsid w:val="008F2946"/>
    <w:rsid w:val="008F2C7F"/>
    <w:rsid w:val="008F2F22"/>
    <w:rsid w:val="008F2F90"/>
    <w:rsid w:val="008F3249"/>
    <w:rsid w:val="008F32AB"/>
    <w:rsid w:val="008F36B8"/>
    <w:rsid w:val="008F3738"/>
    <w:rsid w:val="008F3772"/>
    <w:rsid w:val="008F3919"/>
    <w:rsid w:val="008F39FA"/>
    <w:rsid w:val="008F3A5F"/>
    <w:rsid w:val="008F3A6C"/>
    <w:rsid w:val="008F3B2A"/>
    <w:rsid w:val="008F3B42"/>
    <w:rsid w:val="008F3D33"/>
    <w:rsid w:val="008F3E00"/>
    <w:rsid w:val="008F4178"/>
    <w:rsid w:val="008F426B"/>
    <w:rsid w:val="008F4365"/>
    <w:rsid w:val="008F4764"/>
    <w:rsid w:val="008F4790"/>
    <w:rsid w:val="008F4A6F"/>
    <w:rsid w:val="008F51ED"/>
    <w:rsid w:val="008F5895"/>
    <w:rsid w:val="008F5AB1"/>
    <w:rsid w:val="008F5B2B"/>
    <w:rsid w:val="008F5C61"/>
    <w:rsid w:val="008F5C70"/>
    <w:rsid w:val="008F5DDD"/>
    <w:rsid w:val="008F5E27"/>
    <w:rsid w:val="008F5ECF"/>
    <w:rsid w:val="008F6139"/>
    <w:rsid w:val="008F616E"/>
    <w:rsid w:val="008F61D8"/>
    <w:rsid w:val="008F61F8"/>
    <w:rsid w:val="008F64BF"/>
    <w:rsid w:val="008F6553"/>
    <w:rsid w:val="008F6588"/>
    <w:rsid w:val="008F68EE"/>
    <w:rsid w:val="008F6C39"/>
    <w:rsid w:val="008F6C48"/>
    <w:rsid w:val="008F6F83"/>
    <w:rsid w:val="008F701C"/>
    <w:rsid w:val="008F706E"/>
    <w:rsid w:val="008F7156"/>
    <w:rsid w:val="008F7183"/>
    <w:rsid w:val="008F71B3"/>
    <w:rsid w:val="008F72F5"/>
    <w:rsid w:val="008F745A"/>
    <w:rsid w:val="008F75B0"/>
    <w:rsid w:val="008F75F1"/>
    <w:rsid w:val="008F766D"/>
    <w:rsid w:val="008F7784"/>
    <w:rsid w:val="008F7871"/>
    <w:rsid w:val="008F7D82"/>
    <w:rsid w:val="008F7E80"/>
    <w:rsid w:val="008F7FBC"/>
    <w:rsid w:val="009000F4"/>
    <w:rsid w:val="0090020F"/>
    <w:rsid w:val="009003E1"/>
    <w:rsid w:val="00900414"/>
    <w:rsid w:val="0090051A"/>
    <w:rsid w:val="0090078E"/>
    <w:rsid w:val="00900B8D"/>
    <w:rsid w:val="00900C02"/>
    <w:rsid w:val="00900F23"/>
    <w:rsid w:val="00901270"/>
    <w:rsid w:val="0090139A"/>
    <w:rsid w:val="00901691"/>
    <w:rsid w:val="009016CE"/>
    <w:rsid w:val="00901780"/>
    <w:rsid w:val="00901B18"/>
    <w:rsid w:val="00901B52"/>
    <w:rsid w:val="00901B57"/>
    <w:rsid w:val="00901BEE"/>
    <w:rsid w:val="00901E11"/>
    <w:rsid w:val="00901F1C"/>
    <w:rsid w:val="00901F91"/>
    <w:rsid w:val="009021D7"/>
    <w:rsid w:val="00902421"/>
    <w:rsid w:val="00902554"/>
    <w:rsid w:val="00902720"/>
    <w:rsid w:val="00902961"/>
    <w:rsid w:val="00902AEC"/>
    <w:rsid w:val="00902B8D"/>
    <w:rsid w:val="00902C31"/>
    <w:rsid w:val="00902C45"/>
    <w:rsid w:val="00902C80"/>
    <w:rsid w:val="00902F35"/>
    <w:rsid w:val="00902FE9"/>
    <w:rsid w:val="00903015"/>
    <w:rsid w:val="0090305B"/>
    <w:rsid w:val="0090305D"/>
    <w:rsid w:val="009031AE"/>
    <w:rsid w:val="009032B3"/>
    <w:rsid w:val="009032FF"/>
    <w:rsid w:val="0090333C"/>
    <w:rsid w:val="009034C2"/>
    <w:rsid w:val="00903504"/>
    <w:rsid w:val="0090358F"/>
    <w:rsid w:val="009035A6"/>
    <w:rsid w:val="009035E5"/>
    <w:rsid w:val="00903804"/>
    <w:rsid w:val="0090391E"/>
    <w:rsid w:val="00903A0E"/>
    <w:rsid w:val="00903A80"/>
    <w:rsid w:val="00903BA8"/>
    <w:rsid w:val="00903C0F"/>
    <w:rsid w:val="00903C65"/>
    <w:rsid w:val="00903D38"/>
    <w:rsid w:val="00903E91"/>
    <w:rsid w:val="00904347"/>
    <w:rsid w:val="0090439A"/>
    <w:rsid w:val="0090453B"/>
    <w:rsid w:val="00904609"/>
    <w:rsid w:val="00904839"/>
    <w:rsid w:val="00904AA1"/>
    <w:rsid w:val="00904F73"/>
    <w:rsid w:val="00904F8E"/>
    <w:rsid w:val="00904FC8"/>
    <w:rsid w:val="0090509C"/>
    <w:rsid w:val="00905298"/>
    <w:rsid w:val="0090590E"/>
    <w:rsid w:val="00905A35"/>
    <w:rsid w:val="00905A6C"/>
    <w:rsid w:val="00905D9F"/>
    <w:rsid w:val="00905DBA"/>
    <w:rsid w:val="00906020"/>
    <w:rsid w:val="009062A1"/>
    <w:rsid w:val="009062CB"/>
    <w:rsid w:val="009062D3"/>
    <w:rsid w:val="009065B3"/>
    <w:rsid w:val="00906775"/>
    <w:rsid w:val="0090679F"/>
    <w:rsid w:val="00906A34"/>
    <w:rsid w:val="00906DE0"/>
    <w:rsid w:val="00906E9A"/>
    <w:rsid w:val="00906FC6"/>
    <w:rsid w:val="00907034"/>
    <w:rsid w:val="009072AC"/>
    <w:rsid w:val="009072EB"/>
    <w:rsid w:val="0090743E"/>
    <w:rsid w:val="00907587"/>
    <w:rsid w:val="009077C7"/>
    <w:rsid w:val="00907953"/>
    <w:rsid w:val="00907D08"/>
    <w:rsid w:val="00910069"/>
    <w:rsid w:val="009107B6"/>
    <w:rsid w:val="009107D4"/>
    <w:rsid w:val="00910828"/>
    <w:rsid w:val="009108E4"/>
    <w:rsid w:val="00910B25"/>
    <w:rsid w:val="00910BF5"/>
    <w:rsid w:val="00910D43"/>
    <w:rsid w:val="00910FD1"/>
    <w:rsid w:val="0091103A"/>
    <w:rsid w:val="009110E0"/>
    <w:rsid w:val="009111EC"/>
    <w:rsid w:val="00911272"/>
    <w:rsid w:val="009112FF"/>
    <w:rsid w:val="009115AD"/>
    <w:rsid w:val="00911734"/>
    <w:rsid w:val="00911758"/>
    <w:rsid w:val="0091175E"/>
    <w:rsid w:val="00911C1C"/>
    <w:rsid w:val="009120E3"/>
    <w:rsid w:val="009121AB"/>
    <w:rsid w:val="0091259E"/>
    <w:rsid w:val="00912800"/>
    <w:rsid w:val="0091284E"/>
    <w:rsid w:val="0091289C"/>
    <w:rsid w:val="009128CB"/>
    <w:rsid w:val="0091296E"/>
    <w:rsid w:val="00912A18"/>
    <w:rsid w:val="00912A88"/>
    <w:rsid w:val="00912C5A"/>
    <w:rsid w:val="00912F4D"/>
    <w:rsid w:val="009130C3"/>
    <w:rsid w:val="00913157"/>
    <w:rsid w:val="00913A04"/>
    <w:rsid w:val="00913E0F"/>
    <w:rsid w:val="00913E7C"/>
    <w:rsid w:val="00913E99"/>
    <w:rsid w:val="00913F65"/>
    <w:rsid w:val="0091435A"/>
    <w:rsid w:val="009143AD"/>
    <w:rsid w:val="009144E0"/>
    <w:rsid w:val="0091451C"/>
    <w:rsid w:val="00914778"/>
    <w:rsid w:val="0091490A"/>
    <w:rsid w:val="009149B8"/>
    <w:rsid w:val="00914C42"/>
    <w:rsid w:val="00914C5B"/>
    <w:rsid w:val="00914E08"/>
    <w:rsid w:val="00914E1D"/>
    <w:rsid w:val="00915114"/>
    <w:rsid w:val="009154BB"/>
    <w:rsid w:val="00915667"/>
    <w:rsid w:val="00915764"/>
    <w:rsid w:val="00915873"/>
    <w:rsid w:val="009158EC"/>
    <w:rsid w:val="00915ADC"/>
    <w:rsid w:val="00915B40"/>
    <w:rsid w:val="00915B78"/>
    <w:rsid w:val="009160DC"/>
    <w:rsid w:val="009168F9"/>
    <w:rsid w:val="00916AC7"/>
    <w:rsid w:val="00916BE8"/>
    <w:rsid w:val="00916CCE"/>
    <w:rsid w:val="009171AC"/>
    <w:rsid w:val="00917522"/>
    <w:rsid w:val="0091754A"/>
    <w:rsid w:val="0091759B"/>
    <w:rsid w:val="0091761D"/>
    <w:rsid w:val="00917A27"/>
    <w:rsid w:val="00917E2C"/>
    <w:rsid w:val="00917E6B"/>
    <w:rsid w:val="00917EC5"/>
    <w:rsid w:val="009202D4"/>
    <w:rsid w:val="00920312"/>
    <w:rsid w:val="00920367"/>
    <w:rsid w:val="00920583"/>
    <w:rsid w:val="0092064B"/>
    <w:rsid w:val="00920930"/>
    <w:rsid w:val="00920B74"/>
    <w:rsid w:val="00920CCA"/>
    <w:rsid w:val="00920DA6"/>
    <w:rsid w:val="00920EDA"/>
    <w:rsid w:val="00921098"/>
    <w:rsid w:val="00921404"/>
    <w:rsid w:val="00921834"/>
    <w:rsid w:val="0092184C"/>
    <w:rsid w:val="009219EE"/>
    <w:rsid w:val="00921E1D"/>
    <w:rsid w:val="009220A7"/>
    <w:rsid w:val="009222B7"/>
    <w:rsid w:val="0092260A"/>
    <w:rsid w:val="00922705"/>
    <w:rsid w:val="009229DB"/>
    <w:rsid w:val="00922B02"/>
    <w:rsid w:val="00922B29"/>
    <w:rsid w:val="00922B67"/>
    <w:rsid w:val="00922F79"/>
    <w:rsid w:val="00923067"/>
    <w:rsid w:val="00923158"/>
    <w:rsid w:val="009234D9"/>
    <w:rsid w:val="009235FA"/>
    <w:rsid w:val="00923773"/>
    <w:rsid w:val="009238A3"/>
    <w:rsid w:val="00923A0A"/>
    <w:rsid w:val="00923A96"/>
    <w:rsid w:val="00923ACF"/>
    <w:rsid w:val="00923B9B"/>
    <w:rsid w:val="00923D55"/>
    <w:rsid w:val="00924106"/>
    <w:rsid w:val="00924127"/>
    <w:rsid w:val="0092436E"/>
    <w:rsid w:val="0092450F"/>
    <w:rsid w:val="00924678"/>
    <w:rsid w:val="00924D1D"/>
    <w:rsid w:val="0092524A"/>
    <w:rsid w:val="009252AD"/>
    <w:rsid w:val="0092571B"/>
    <w:rsid w:val="009258C6"/>
    <w:rsid w:val="009258C8"/>
    <w:rsid w:val="00925A0D"/>
    <w:rsid w:val="00925D1A"/>
    <w:rsid w:val="00925DAB"/>
    <w:rsid w:val="00925F9F"/>
    <w:rsid w:val="00926006"/>
    <w:rsid w:val="009261B5"/>
    <w:rsid w:val="009262B1"/>
    <w:rsid w:val="009262DA"/>
    <w:rsid w:val="009263DD"/>
    <w:rsid w:val="009265FA"/>
    <w:rsid w:val="0092661C"/>
    <w:rsid w:val="00926629"/>
    <w:rsid w:val="0092678C"/>
    <w:rsid w:val="009268F8"/>
    <w:rsid w:val="00926A32"/>
    <w:rsid w:val="00926DEA"/>
    <w:rsid w:val="00926E77"/>
    <w:rsid w:val="00926F0B"/>
    <w:rsid w:val="00926FEB"/>
    <w:rsid w:val="00927043"/>
    <w:rsid w:val="00927479"/>
    <w:rsid w:val="0092777E"/>
    <w:rsid w:val="009277FA"/>
    <w:rsid w:val="00927A61"/>
    <w:rsid w:val="00927AD6"/>
    <w:rsid w:val="00927C33"/>
    <w:rsid w:val="00927C9D"/>
    <w:rsid w:val="00927CA2"/>
    <w:rsid w:val="00927D74"/>
    <w:rsid w:val="00927F6E"/>
    <w:rsid w:val="009301A0"/>
    <w:rsid w:val="00930331"/>
    <w:rsid w:val="0093050B"/>
    <w:rsid w:val="00930B4B"/>
    <w:rsid w:val="00930D3B"/>
    <w:rsid w:val="0093147F"/>
    <w:rsid w:val="00931515"/>
    <w:rsid w:val="009315A9"/>
    <w:rsid w:val="00931683"/>
    <w:rsid w:val="00931757"/>
    <w:rsid w:val="0093175D"/>
    <w:rsid w:val="00931925"/>
    <w:rsid w:val="00931A55"/>
    <w:rsid w:val="00931A92"/>
    <w:rsid w:val="00931CD8"/>
    <w:rsid w:val="00931E7E"/>
    <w:rsid w:val="00931EBB"/>
    <w:rsid w:val="00931F55"/>
    <w:rsid w:val="00931FA0"/>
    <w:rsid w:val="0093211A"/>
    <w:rsid w:val="009322E1"/>
    <w:rsid w:val="00932424"/>
    <w:rsid w:val="00932639"/>
    <w:rsid w:val="0093264F"/>
    <w:rsid w:val="00932B36"/>
    <w:rsid w:val="00932BCA"/>
    <w:rsid w:val="00932C97"/>
    <w:rsid w:val="00932DD6"/>
    <w:rsid w:val="00932EFB"/>
    <w:rsid w:val="00933238"/>
    <w:rsid w:val="009337DA"/>
    <w:rsid w:val="00933822"/>
    <w:rsid w:val="00933A91"/>
    <w:rsid w:val="00933ACB"/>
    <w:rsid w:val="00933B82"/>
    <w:rsid w:val="00933C32"/>
    <w:rsid w:val="00933CE3"/>
    <w:rsid w:val="00933E30"/>
    <w:rsid w:val="00933EAD"/>
    <w:rsid w:val="0093430C"/>
    <w:rsid w:val="00934AC2"/>
    <w:rsid w:val="00934D2E"/>
    <w:rsid w:val="00934F6B"/>
    <w:rsid w:val="00934FB1"/>
    <w:rsid w:val="00935039"/>
    <w:rsid w:val="0093521B"/>
    <w:rsid w:val="009353FC"/>
    <w:rsid w:val="009354CD"/>
    <w:rsid w:val="00935F48"/>
    <w:rsid w:val="00935F4E"/>
    <w:rsid w:val="009362F1"/>
    <w:rsid w:val="009366F2"/>
    <w:rsid w:val="009369A8"/>
    <w:rsid w:val="00936A24"/>
    <w:rsid w:val="00936C39"/>
    <w:rsid w:val="00936D64"/>
    <w:rsid w:val="00936E39"/>
    <w:rsid w:val="00937076"/>
    <w:rsid w:val="00937135"/>
    <w:rsid w:val="009372B7"/>
    <w:rsid w:val="00937343"/>
    <w:rsid w:val="00937816"/>
    <w:rsid w:val="00937A4D"/>
    <w:rsid w:val="00937AF0"/>
    <w:rsid w:val="00937FF4"/>
    <w:rsid w:val="0094038A"/>
    <w:rsid w:val="009404DE"/>
    <w:rsid w:val="00940702"/>
    <w:rsid w:val="009409E7"/>
    <w:rsid w:val="00940BF1"/>
    <w:rsid w:val="00940D07"/>
    <w:rsid w:val="00940D23"/>
    <w:rsid w:val="00941139"/>
    <w:rsid w:val="0094118E"/>
    <w:rsid w:val="00941255"/>
    <w:rsid w:val="0094157C"/>
    <w:rsid w:val="00941694"/>
    <w:rsid w:val="0094171D"/>
    <w:rsid w:val="009417A4"/>
    <w:rsid w:val="00941862"/>
    <w:rsid w:val="009419B7"/>
    <w:rsid w:val="00941B29"/>
    <w:rsid w:val="00941D5F"/>
    <w:rsid w:val="00941F3C"/>
    <w:rsid w:val="009422AF"/>
    <w:rsid w:val="00942358"/>
    <w:rsid w:val="009425E0"/>
    <w:rsid w:val="00942683"/>
    <w:rsid w:val="00942ACB"/>
    <w:rsid w:val="00942BAD"/>
    <w:rsid w:val="00942EBB"/>
    <w:rsid w:val="00942F2B"/>
    <w:rsid w:val="00943000"/>
    <w:rsid w:val="00943003"/>
    <w:rsid w:val="009431C3"/>
    <w:rsid w:val="00943272"/>
    <w:rsid w:val="009432D6"/>
    <w:rsid w:val="00943470"/>
    <w:rsid w:val="0094351C"/>
    <w:rsid w:val="0094356D"/>
    <w:rsid w:val="009435CE"/>
    <w:rsid w:val="009437A7"/>
    <w:rsid w:val="009438B9"/>
    <w:rsid w:val="0094391F"/>
    <w:rsid w:val="009439DC"/>
    <w:rsid w:val="00943AD4"/>
    <w:rsid w:val="00943CA7"/>
    <w:rsid w:val="00943CF4"/>
    <w:rsid w:val="00944275"/>
    <w:rsid w:val="00944341"/>
    <w:rsid w:val="00944382"/>
    <w:rsid w:val="009444A1"/>
    <w:rsid w:val="00944633"/>
    <w:rsid w:val="00944847"/>
    <w:rsid w:val="00944866"/>
    <w:rsid w:val="00944AA8"/>
    <w:rsid w:val="00944BE6"/>
    <w:rsid w:val="00944E86"/>
    <w:rsid w:val="00944ECE"/>
    <w:rsid w:val="00944F8D"/>
    <w:rsid w:val="00944FD0"/>
    <w:rsid w:val="00945160"/>
    <w:rsid w:val="009452E5"/>
    <w:rsid w:val="00945559"/>
    <w:rsid w:val="00945564"/>
    <w:rsid w:val="00945597"/>
    <w:rsid w:val="00945684"/>
    <w:rsid w:val="009456A8"/>
    <w:rsid w:val="00945787"/>
    <w:rsid w:val="00945B8C"/>
    <w:rsid w:val="00945FBF"/>
    <w:rsid w:val="00945FF0"/>
    <w:rsid w:val="0094623A"/>
    <w:rsid w:val="00946246"/>
    <w:rsid w:val="009463AE"/>
    <w:rsid w:val="009463D3"/>
    <w:rsid w:val="009463DB"/>
    <w:rsid w:val="009465E7"/>
    <w:rsid w:val="00946800"/>
    <w:rsid w:val="00946849"/>
    <w:rsid w:val="009468A5"/>
    <w:rsid w:val="00946AE9"/>
    <w:rsid w:val="00946D44"/>
    <w:rsid w:val="00947044"/>
    <w:rsid w:val="00947182"/>
    <w:rsid w:val="0094725F"/>
    <w:rsid w:val="00947733"/>
    <w:rsid w:val="009477D5"/>
    <w:rsid w:val="0094782C"/>
    <w:rsid w:val="009478A4"/>
    <w:rsid w:val="00947915"/>
    <w:rsid w:val="00947A03"/>
    <w:rsid w:val="00947C7C"/>
    <w:rsid w:val="00947D3B"/>
    <w:rsid w:val="00947DB7"/>
    <w:rsid w:val="00947F8B"/>
    <w:rsid w:val="00947FD5"/>
    <w:rsid w:val="00950052"/>
    <w:rsid w:val="009502FD"/>
    <w:rsid w:val="00950814"/>
    <w:rsid w:val="00950A97"/>
    <w:rsid w:val="00950C35"/>
    <w:rsid w:val="00950EE5"/>
    <w:rsid w:val="009513DB"/>
    <w:rsid w:val="0095141A"/>
    <w:rsid w:val="0095143C"/>
    <w:rsid w:val="0095178D"/>
    <w:rsid w:val="0095181D"/>
    <w:rsid w:val="009519FA"/>
    <w:rsid w:val="00951B7D"/>
    <w:rsid w:val="00951C03"/>
    <w:rsid w:val="00951E1E"/>
    <w:rsid w:val="00951E44"/>
    <w:rsid w:val="0095226C"/>
    <w:rsid w:val="009522B7"/>
    <w:rsid w:val="00952312"/>
    <w:rsid w:val="00952580"/>
    <w:rsid w:val="00952598"/>
    <w:rsid w:val="00952689"/>
    <w:rsid w:val="009526CD"/>
    <w:rsid w:val="009527E6"/>
    <w:rsid w:val="00952D7A"/>
    <w:rsid w:val="00952E21"/>
    <w:rsid w:val="00952F93"/>
    <w:rsid w:val="00953064"/>
    <w:rsid w:val="009530E2"/>
    <w:rsid w:val="00953112"/>
    <w:rsid w:val="0095338C"/>
    <w:rsid w:val="0095344E"/>
    <w:rsid w:val="00953960"/>
    <w:rsid w:val="00953AAB"/>
    <w:rsid w:val="00953AD3"/>
    <w:rsid w:val="00953BF0"/>
    <w:rsid w:val="00953C0C"/>
    <w:rsid w:val="00953D19"/>
    <w:rsid w:val="0095404C"/>
    <w:rsid w:val="0095408B"/>
    <w:rsid w:val="009542CC"/>
    <w:rsid w:val="009544E3"/>
    <w:rsid w:val="00954791"/>
    <w:rsid w:val="009549FE"/>
    <w:rsid w:val="00954CFC"/>
    <w:rsid w:val="00954EB7"/>
    <w:rsid w:val="00955052"/>
    <w:rsid w:val="0095510D"/>
    <w:rsid w:val="0095513C"/>
    <w:rsid w:val="00955187"/>
    <w:rsid w:val="0095528C"/>
    <w:rsid w:val="009553D4"/>
    <w:rsid w:val="009553DE"/>
    <w:rsid w:val="00955541"/>
    <w:rsid w:val="0095560A"/>
    <w:rsid w:val="00955628"/>
    <w:rsid w:val="009556B8"/>
    <w:rsid w:val="00955721"/>
    <w:rsid w:val="00955737"/>
    <w:rsid w:val="00955904"/>
    <w:rsid w:val="00955C74"/>
    <w:rsid w:val="00955CB2"/>
    <w:rsid w:val="00955D55"/>
    <w:rsid w:val="00955E23"/>
    <w:rsid w:val="00955E46"/>
    <w:rsid w:val="00956141"/>
    <w:rsid w:val="009561D3"/>
    <w:rsid w:val="0095620A"/>
    <w:rsid w:val="00956566"/>
    <w:rsid w:val="00956631"/>
    <w:rsid w:val="009566AF"/>
    <w:rsid w:val="009568D6"/>
    <w:rsid w:val="00956B90"/>
    <w:rsid w:val="00956B99"/>
    <w:rsid w:val="00956C71"/>
    <w:rsid w:val="00956E1B"/>
    <w:rsid w:val="00956E59"/>
    <w:rsid w:val="00957019"/>
    <w:rsid w:val="00957335"/>
    <w:rsid w:val="009574C8"/>
    <w:rsid w:val="0095770B"/>
    <w:rsid w:val="009577D7"/>
    <w:rsid w:val="0095781F"/>
    <w:rsid w:val="0095788F"/>
    <w:rsid w:val="009579C4"/>
    <w:rsid w:val="00957A9A"/>
    <w:rsid w:val="00957BF6"/>
    <w:rsid w:val="00957C7D"/>
    <w:rsid w:val="009603C2"/>
    <w:rsid w:val="00960607"/>
    <w:rsid w:val="00960C2D"/>
    <w:rsid w:val="00960D26"/>
    <w:rsid w:val="00960DC1"/>
    <w:rsid w:val="00960F52"/>
    <w:rsid w:val="0096107F"/>
    <w:rsid w:val="00961177"/>
    <w:rsid w:val="0096122A"/>
    <w:rsid w:val="009615F9"/>
    <w:rsid w:val="009616FE"/>
    <w:rsid w:val="00961A8C"/>
    <w:rsid w:val="00961B79"/>
    <w:rsid w:val="00961BE0"/>
    <w:rsid w:val="00961E52"/>
    <w:rsid w:val="0096207C"/>
    <w:rsid w:val="009620A0"/>
    <w:rsid w:val="009624A9"/>
    <w:rsid w:val="009625D1"/>
    <w:rsid w:val="00962CC2"/>
    <w:rsid w:val="00962E12"/>
    <w:rsid w:val="0096318D"/>
    <w:rsid w:val="0096324D"/>
    <w:rsid w:val="009632AA"/>
    <w:rsid w:val="00963329"/>
    <w:rsid w:val="0096343B"/>
    <w:rsid w:val="00963525"/>
    <w:rsid w:val="009636E5"/>
    <w:rsid w:val="009637BF"/>
    <w:rsid w:val="0096389A"/>
    <w:rsid w:val="00963904"/>
    <w:rsid w:val="0096392F"/>
    <w:rsid w:val="009639A1"/>
    <w:rsid w:val="00963A04"/>
    <w:rsid w:val="00963A7D"/>
    <w:rsid w:val="00963B61"/>
    <w:rsid w:val="00963E2B"/>
    <w:rsid w:val="00963E53"/>
    <w:rsid w:val="00964113"/>
    <w:rsid w:val="0096421F"/>
    <w:rsid w:val="0096429C"/>
    <w:rsid w:val="009642D3"/>
    <w:rsid w:val="00964385"/>
    <w:rsid w:val="009643A5"/>
    <w:rsid w:val="009643D5"/>
    <w:rsid w:val="00964827"/>
    <w:rsid w:val="00964934"/>
    <w:rsid w:val="00964A37"/>
    <w:rsid w:val="00964AF3"/>
    <w:rsid w:val="00964C36"/>
    <w:rsid w:val="00964C5C"/>
    <w:rsid w:val="00964D12"/>
    <w:rsid w:val="00964D5C"/>
    <w:rsid w:val="0096502D"/>
    <w:rsid w:val="009651F1"/>
    <w:rsid w:val="0096529A"/>
    <w:rsid w:val="009652FD"/>
    <w:rsid w:val="00965318"/>
    <w:rsid w:val="00965478"/>
    <w:rsid w:val="009656E9"/>
    <w:rsid w:val="00965745"/>
    <w:rsid w:val="00965A4E"/>
    <w:rsid w:val="00965B9D"/>
    <w:rsid w:val="00965CDD"/>
    <w:rsid w:val="00965D66"/>
    <w:rsid w:val="00965E9A"/>
    <w:rsid w:val="00966148"/>
    <w:rsid w:val="0096620E"/>
    <w:rsid w:val="009663B6"/>
    <w:rsid w:val="00966527"/>
    <w:rsid w:val="0096662C"/>
    <w:rsid w:val="00966673"/>
    <w:rsid w:val="0096670B"/>
    <w:rsid w:val="00966756"/>
    <w:rsid w:val="009668E9"/>
    <w:rsid w:val="00966A98"/>
    <w:rsid w:val="00966C37"/>
    <w:rsid w:val="00966D4C"/>
    <w:rsid w:val="00966D67"/>
    <w:rsid w:val="00967103"/>
    <w:rsid w:val="0096712F"/>
    <w:rsid w:val="0096721B"/>
    <w:rsid w:val="0096727A"/>
    <w:rsid w:val="0096729A"/>
    <w:rsid w:val="009672C2"/>
    <w:rsid w:val="009673A5"/>
    <w:rsid w:val="0096772B"/>
    <w:rsid w:val="00967825"/>
    <w:rsid w:val="0096787D"/>
    <w:rsid w:val="00967A2B"/>
    <w:rsid w:val="00967B7A"/>
    <w:rsid w:val="00967E4D"/>
    <w:rsid w:val="00967EB8"/>
    <w:rsid w:val="00970011"/>
    <w:rsid w:val="0097001B"/>
    <w:rsid w:val="009700B1"/>
    <w:rsid w:val="00970861"/>
    <w:rsid w:val="00970C52"/>
    <w:rsid w:val="00970C87"/>
    <w:rsid w:val="00970C91"/>
    <w:rsid w:val="00970D74"/>
    <w:rsid w:val="00970E42"/>
    <w:rsid w:val="00971243"/>
    <w:rsid w:val="009712D9"/>
    <w:rsid w:val="009712DE"/>
    <w:rsid w:val="0097132C"/>
    <w:rsid w:val="009713CD"/>
    <w:rsid w:val="00971589"/>
    <w:rsid w:val="0097179B"/>
    <w:rsid w:val="00971967"/>
    <w:rsid w:val="00971BC4"/>
    <w:rsid w:val="00971D9A"/>
    <w:rsid w:val="00971ED3"/>
    <w:rsid w:val="0097218C"/>
    <w:rsid w:val="00972239"/>
    <w:rsid w:val="00972256"/>
    <w:rsid w:val="009722F2"/>
    <w:rsid w:val="0097239F"/>
    <w:rsid w:val="0097242B"/>
    <w:rsid w:val="009725C9"/>
    <w:rsid w:val="00972A43"/>
    <w:rsid w:val="00972B9B"/>
    <w:rsid w:val="00972EA0"/>
    <w:rsid w:val="00972FD8"/>
    <w:rsid w:val="00973006"/>
    <w:rsid w:val="0097303D"/>
    <w:rsid w:val="0097318C"/>
    <w:rsid w:val="0097319D"/>
    <w:rsid w:val="00973358"/>
    <w:rsid w:val="00973ADD"/>
    <w:rsid w:val="00973D29"/>
    <w:rsid w:val="00973D5B"/>
    <w:rsid w:val="00973E2D"/>
    <w:rsid w:val="00973F51"/>
    <w:rsid w:val="009740E6"/>
    <w:rsid w:val="00974323"/>
    <w:rsid w:val="0097434D"/>
    <w:rsid w:val="009744E6"/>
    <w:rsid w:val="00974530"/>
    <w:rsid w:val="009747C7"/>
    <w:rsid w:val="0097497B"/>
    <w:rsid w:val="00974A7E"/>
    <w:rsid w:val="00974CEE"/>
    <w:rsid w:val="00974D07"/>
    <w:rsid w:val="00974D15"/>
    <w:rsid w:val="00974E13"/>
    <w:rsid w:val="009750F9"/>
    <w:rsid w:val="009751C0"/>
    <w:rsid w:val="009753D2"/>
    <w:rsid w:val="009753FB"/>
    <w:rsid w:val="00975532"/>
    <w:rsid w:val="009756B0"/>
    <w:rsid w:val="0097583C"/>
    <w:rsid w:val="00975884"/>
    <w:rsid w:val="009758C5"/>
    <w:rsid w:val="00975C1D"/>
    <w:rsid w:val="00975CFB"/>
    <w:rsid w:val="00975DD5"/>
    <w:rsid w:val="00976069"/>
    <w:rsid w:val="0097619A"/>
    <w:rsid w:val="0097626B"/>
    <w:rsid w:val="009762A3"/>
    <w:rsid w:val="009765EA"/>
    <w:rsid w:val="00976904"/>
    <w:rsid w:val="00976956"/>
    <w:rsid w:val="00976982"/>
    <w:rsid w:val="00976B90"/>
    <w:rsid w:val="00976BC2"/>
    <w:rsid w:val="00976D0B"/>
    <w:rsid w:val="00976D0D"/>
    <w:rsid w:val="00976DAB"/>
    <w:rsid w:val="00976EFC"/>
    <w:rsid w:val="00977009"/>
    <w:rsid w:val="00977107"/>
    <w:rsid w:val="00977285"/>
    <w:rsid w:val="009773EA"/>
    <w:rsid w:val="009774AD"/>
    <w:rsid w:val="009774F5"/>
    <w:rsid w:val="009775C9"/>
    <w:rsid w:val="0097776E"/>
    <w:rsid w:val="009777C5"/>
    <w:rsid w:val="009778F8"/>
    <w:rsid w:val="00977A80"/>
    <w:rsid w:val="00977BE6"/>
    <w:rsid w:val="009800F4"/>
    <w:rsid w:val="009804DC"/>
    <w:rsid w:val="00980865"/>
    <w:rsid w:val="009809CC"/>
    <w:rsid w:val="00980A35"/>
    <w:rsid w:val="00980DCE"/>
    <w:rsid w:val="00980E58"/>
    <w:rsid w:val="00980F41"/>
    <w:rsid w:val="00980F9E"/>
    <w:rsid w:val="0098108A"/>
    <w:rsid w:val="009810E5"/>
    <w:rsid w:val="0098123B"/>
    <w:rsid w:val="00981249"/>
    <w:rsid w:val="009815CB"/>
    <w:rsid w:val="00981609"/>
    <w:rsid w:val="0098162B"/>
    <w:rsid w:val="00981A67"/>
    <w:rsid w:val="00981A83"/>
    <w:rsid w:val="00981B0B"/>
    <w:rsid w:val="00981B4E"/>
    <w:rsid w:val="00981C01"/>
    <w:rsid w:val="00981EA3"/>
    <w:rsid w:val="00981FD9"/>
    <w:rsid w:val="00982439"/>
    <w:rsid w:val="0098283C"/>
    <w:rsid w:val="00982879"/>
    <w:rsid w:val="00982B60"/>
    <w:rsid w:val="00982C9B"/>
    <w:rsid w:val="009830F4"/>
    <w:rsid w:val="00983156"/>
    <w:rsid w:val="009831CF"/>
    <w:rsid w:val="009832DA"/>
    <w:rsid w:val="009832E2"/>
    <w:rsid w:val="009834C3"/>
    <w:rsid w:val="009835C2"/>
    <w:rsid w:val="009835E1"/>
    <w:rsid w:val="009836DA"/>
    <w:rsid w:val="009837A0"/>
    <w:rsid w:val="00983992"/>
    <w:rsid w:val="00983B13"/>
    <w:rsid w:val="00983C04"/>
    <w:rsid w:val="00983C5C"/>
    <w:rsid w:val="00983C73"/>
    <w:rsid w:val="00983DA2"/>
    <w:rsid w:val="00983F84"/>
    <w:rsid w:val="009845A2"/>
    <w:rsid w:val="00984899"/>
    <w:rsid w:val="00984BCD"/>
    <w:rsid w:val="00984C55"/>
    <w:rsid w:val="00984DA2"/>
    <w:rsid w:val="00984DC5"/>
    <w:rsid w:val="00985158"/>
    <w:rsid w:val="009852CC"/>
    <w:rsid w:val="00985337"/>
    <w:rsid w:val="009856D5"/>
    <w:rsid w:val="00985807"/>
    <w:rsid w:val="00985A66"/>
    <w:rsid w:val="00985A7E"/>
    <w:rsid w:val="00985BAC"/>
    <w:rsid w:val="00985F54"/>
    <w:rsid w:val="0098612C"/>
    <w:rsid w:val="00986198"/>
    <w:rsid w:val="009863DD"/>
    <w:rsid w:val="00986702"/>
    <w:rsid w:val="00986826"/>
    <w:rsid w:val="00986994"/>
    <w:rsid w:val="00986B9A"/>
    <w:rsid w:val="00986BD7"/>
    <w:rsid w:val="00986C51"/>
    <w:rsid w:val="00986C69"/>
    <w:rsid w:val="00986C73"/>
    <w:rsid w:val="00986D6C"/>
    <w:rsid w:val="00986E5C"/>
    <w:rsid w:val="00986EE2"/>
    <w:rsid w:val="00986F38"/>
    <w:rsid w:val="00987007"/>
    <w:rsid w:val="00987172"/>
    <w:rsid w:val="009871AF"/>
    <w:rsid w:val="0098722A"/>
    <w:rsid w:val="00987315"/>
    <w:rsid w:val="00987439"/>
    <w:rsid w:val="00987497"/>
    <w:rsid w:val="0098792E"/>
    <w:rsid w:val="00987E94"/>
    <w:rsid w:val="00987F98"/>
    <w:rsid w:val="00987FD9"/>
    <w:rsid w:val="009901C4"/>
    <w:rsid w:val="009902BC"/>
    <w:rsid w:val="00990370"/>
    <w:rsid w:val="0099041B"/>
    <w:rsid w:val="00990545"/>
    <w:rsid w:val="009907F6"/>
    <w:rsid w:val="00990A53"/>
    <w:rsid w:val="00990A60"/>
    <w:rsid w:val="00990D56"/>
    <w:rsid w:val="00990E7C"/>
    <w:rsid w:val="00991186"/>
    <w:rsid w:val="009911B2"/>
    <w:rsid w:val="00991388"/>
    <w:rsid w:val="009915C3"/>
    <w:rsid w:val="009915DE"/>
    <w:rsid w:val="00991765"/>
    <w:rsid w:val="00991B04"/>
    <w:rsid w:val="00992160"/>
    <w:rsid w:val="0099256B"/>
    <w:rsid w:val="009926A1"/>
    <w:rsid w:val="00992769"/>
    <w:rsid w:val="009929A4"/>
    <w:rsid w:val="00992A19"/>
    <w:rsid w:val="00992D9C"/>
    <w:rsid w:val="0099311D"/>
    <w:rsid w:val="009932FA"/>
    <w:rsid w:val="0099334D"/>
    <w:rsid w:val="009935C7"/>
    <w:rsid w:val="009935F7"/>
    <w:rsid w:val="00993AF7"/>
    <w:rsid w:val="00993B54"/>
    <w:rsid w:val="00993BCA"/>
    <w:rsid w:val="00993C4A"/>
    <w:rsid w:val="00993D87"/>
    <w:rsid w:val="00993E43"/>
    <w:rsid w:val="00993F5F"/>
    <w:rsid w:val="00994376"/>
    <w:rsid w:val="00994385"/>
    <w:rsid w:val="00994408"/>
    <w:rsid w:val="00994482"/>
    <w:rsid w:val="009945AD"/>
    <w:rsid w:val="00994BC4"/>
    <w:rsid w:val="00994D1C"/>
    <w:rsid w:val="00995038"/>
    <w:rsid w:val="00995258"/>
    <w:rsid w:val="00995359"/>
    <w:rsid w:val="00995376"/>
    <w:rsid w:val="009953C6"/>
    <w:rsid w:val="009956F7"/>
    <w:rsid w:val="00995769"/>
    <w:rsid w:val="00995807"/>
    <w:rsid w:val="009959BF"/>
    <w:rsid w:val="00995D0C"/>
    <w:rsid w:val="00995F0D"/>
    <w:rsid w:val="00996421"/>
    <w:rsid w:val="009965BE"/>
    <w:rsid w:val="0099680D"/>
    <w:rsid w:val="00996878"/>
    <w:rsid w:val="009970A0"/>
    <w:rsid w:val="009971B2"/>
    <w:rsid w:val="0099723D"/>
    <w:rsid w:val="00997330"/>
    <w:rsid w:val="00997473"/>
    <w:rsid w:val="00997644"/>
    <w:rsid w:val="00997828"/>
    <w:rsid w:val="00997CFE"/>
    <w:rsid w:val="009A019E"/>
    <w:rsid w:val="009A04BC"/>
    <w:rsid w:val="009A0749"/>
    <w:rsid w:val="009A0853"/>
    <w:rsid w:val="009A09DB"/>
    <w:rsid w:val="009A0A6E"/>
    <w:rsid w:val="009A0AE9"/>
    <w:rsid w:val="009A0C4E"/>
    <w:rsid w:val="009A0DB1"/>
    <w:rsid w:val="009A0EFA"/>
    <w:rsid w:val="009A0F3E"/>
    <w:rsid w:val="009A1306"/>
    <w:rsid w:val="009A144B"/>
    <w:rsid w:val="009A146F"/>
    <w:rsid w:val="009A1487"/>
    <w:rsid w:val="009A163B"/>
    <w:rsid w:val="009A1774"/>
    <w:rsid w:val="009A17A6"/>
    <w:rsid w:val="009A1BC2"/>
    <w:rsid w:val="009A1C0E"/>
    <w:rsid w:val="009A1C86"/>
    <w:rsid w:val="009A1DD5"/>
    <w:rsid w:val="009A1EE0"/>
    <w:rsid w:val="009A1F47"/>
    <w:rsid w:val="009A1F9B"/>
    <w:rsid w:val="009A2296"/>
    <w:rsid w:val="009A2316"/>
    <w:rsid w:val="009A257A"/>
    <w:rsid w:val="009A27C5"/>
    <w:rsid w:val="009A290B"/>
    <w:rsid w:val="009A29E4"/>
    <w:rsid w:val="009A2AE3"/>
    <w:rsid w:val="009A2CE9"/>
    <w:rsid w:val="009A2CEF"/>
    <w:rsid w:val="009A2E08"/>
    <w:rsid w:val="009A2FA4"/>
    <w:rsid w:val="009A3070"/>
    <w:rsid w:val="009A31FD"/>
    <w:rsid w:val="009A3259"/>
    <w:rsid w:val="009A36E4"/>
    <w:rsid w:val="009A385F"/>
    <w:rsid w:val="009A39AA"/>
    <w:rsid w:val="009A3A03"/>
    <w:rsid w:val="009A3A26"/>
    <w:rsid w:val="009A3A49"/>
    <w:rsid w:val="009A3BCA"/>
    <w:rsid w:val="009A3C56"/>
    <w:rsid w:val="009A3C69"/>
    <w:rsid w:val="009A3DB4"/>
    <w:rsid w:val="009A3EF6"/>
    <w:rsid w:val="009A4038"/>
    <w:rsid w:val="009A4130"/>
    <w:rsid w:val="009A414D"/>
    <w:rsid w:val="009A41E2"/>
    <w:rsid w:val="009A4273"/>
    <w:rsid w:val="009A42D3"/>
    <w:rsid w:val="009A431A"/>
    <w:rsid w:val="009A45B6"/>
    <w:rsid w:val="009A46B2"/>
    <w:rsid w:val="009A48CC"/>
    <w:rsid w:val="009A49EE"/>
    <w:rsid w:val="009A4ACD"/>
    <w:rsid w:val="009A4B0A"/>
    <w:rsid w:val="009A4BBD"/>
    <w:rsid w:val="009A4D2C"/>
    <w:rsid w:val="009A4D74"/>
    <w:rsid w:val="009A4DD6"/>
    <w:rsid w:val="009A51DC"/>
    <w:rsid w:val="009A52D2"/>
    <w:rsid w:val="009A5389"/>
    <w:rsid w:val="009A541A"/>
    <w:rsid w:val="009A57F5"/>
    <w:rsid w:val="009A5831"/>
    <w:rsid w:val="009A59F1"/>
    <w:rsid w:val="009A5A06"/>
    <w:rsid w:val="009A5C9E"/>
    <w:rsid w:val="009A5F34"/>
    <w:rsid w:val="009A5FC7"/>
    <w:rsid w:val="009A643C"/>
    <w:rsid w:val="009A644C"/>
    <w:rsid w:val="009A68B5"/>
    <w:rsid w:val="009A6EFA"/>
    <w:rsid w:val="009A6F20"/>
    <w:rsid w:val="009A7195"/>
    <w:rsid w:val="009A7585"/>
    <w:rsid w:val="009A772A"/>
    <w:rsid w:val="009A78A8"/>
    <w:rsid w:val="009A7B9B"/>
    <w:rsid w:val="009A7E12"/>
    <w:rsid w:val="009B0700"/>
    <w:rsid w:val="009B08ED"/>
    <w:rsid w:val="009B0925"/>
    <w:rsid w:val="009B0BA6"/>
    <w:rsid w:val="009B0DA2"/>
    <w:rsid w:val="009B0E56"/>
    <w:rsid w:val="009B0EAE"/>
    <w:rsid w:val="009B1012"/>
    <w:rsid w:val="009B12F3"/>
    <w:rsid w:val="009B14C7"/>
    <w:rsid w:val="009B1716"/>
    <w:rsid w:val="009B1833"/>
    <w:rsid w:val="009B1B8F"/>
    <w:rsid w:val="009B1BB7"/>
    <w:rsid w:val="009B1BC5"/>
    <w:rsid w:val="009B1C73"/>
    <w:rsid w:val="009B1DF0"/>
    <w:rsid w:val="009B216E"/>
    <w:rsid w:val="009B21DE"/>
    <w:rsid w:val="009B22D4"/>
    <w:rsid w:val="009B230C"/>
    <w:rsid w:val="009B2311"/>
    <w:rsid w:val="009B23C0"/>
    <w:rsid w:val="009B24D2"/>
    <w:rsid w:val="009B2531"/>
    <w:rsid w:val="009B272E"/>
    <w:rsid w:val="009B29DF"/>
    <w:rsid w:val="009B2A34"/>
    <w:rsid w:val="009B2A92"/>
    <w:rsid w:val="009B2C6A"/>
    <w:rsid w:val="009B2CE6"/>
    <w:rsid w:val="009B2F24"/>
    <w:rsid w:val="009B3464"/>
    <w:rsid w:val="009B3498"/>
    <w:rsid w:val="009B36BA"/>
    <w:rsid w:val="009B36CE"/>
    <w:rsid w:val="009B3851"/>
    <w:rsid w:val="009B397A"/>
    <w:rsid w:val="009B3B9C"/>
    <w:rsid w:val="009B3F3D"/>
    <w:rsid w:val="009B3F7D"/>
    <w:rsid w:val="009B416D"/>
    <w:rsid w:val="009B42B5"/>
    <w:rsid w:val="009B42D3"/>
    <w:rsid w:val="009B43D6"/>
    <w:rsid w:val="009B4418"/>
    <w:rsid w:val="009B4640"/>
    <w:rsid w:val="009B4704"/>
    <w:rsid w:val="009B4A57"/>
    <w:rsid w:val="009B4ADF"/>
    <w:rsid w:val="009B4B1B"/>
    <w:rsid w:val="009B4C26"/>
    <w:rsid w:val="009B4C2E"/>
    <w:rsid w:val="009B4CDC"/>
    <w:rsid w:val="009B4D8B"/>
    <w:rsid w:val="009B4FC8"/>
    <w:rsid w:val="009B5225"/>
    <w:rsid w:val="009B5326"/>
    <w:rsid w:val="009B562D"/>
    <w:rsid w:val="009B5706"/>
    <w:rsid w:val="009B5846"/>
    <w:rsid w:val="009B5BB6"/>
    <w:rsid w:val="009B5C9A"/>
    <w:rsid w:val="009B5F62"/>
    <w:rsid w:val="009B6000"/>
    <w:rsid w:val="009B612D"/>
    <w:rsid w:val="009B61C7"/>
    <w:rsid w:val="009B6207"/>
    <w:rsid w:val="009B6264"/>
    <w:rsid w:val="009B63BF"/>
    <w:rsid w:val="009B65B9"/>
    <w:rsid w:val="009B65CC"/>
    <w:rsid w:val="009B6626"/>
    <w:rsid w:val="009B6D17"/>
    <w:rsid w:val="009B6F33"/>
    <w:rsid w:val="009B7030"/>
    <w:rsid w:val="009B71DE"/>
    <w:rsid w:val="009B71FE"/>
    <w:rsid w:val="009B72B8"/>
    <w:rsid w:val="009B7469"/>
    <w:rsid w:val="009B74F0"/>
    <w:rsid w:val="009B768A"/>
    <w:rsid w:val="009B7ACE"/>
    <w:rsid w:val="009B7CB3"/>
    <w:rsid w:val="009B7CBF"/>
    <w:rsid w:val="009C04FA"/>
    <w:rsid w:val="009C0528"/>
    <w:rsid w:val="009C0652"/>
    <w:rsid w:val="009C08E3"/>
    <w:rsid w:val="009C095D"/>
    <w:rsid w:val="009C0993"/>
    <w:rsid w:val="009C0B03"/>
    <w:rsid w:val="009C0B39"/>
    <w:rsid w:val="009C0C5E"/>
    <w:rsid w:val="009C0C8B"/>
    <w:rsid w:val="009C0FDC"/>
    <w:rsid w:val="009C101F"/>
    <w:rsid w:val="009C1195"/>
    <w:rsid w:val="009C1640"/>
    <w:rsid w:val="009C166A"/>
    <w:rsid w:val="009C18FB"/>
    <w:rsid w:val="009C198C"/>
    <w:rsid w:val="009C1A27"/>
    <w:rsid w:val="009C1A47"/>
    <w:rsid w:val="009C1C1D"/>
    <w:rsid w:val="009C1D42"/>
    <w:rsid w:val="009C1E18"/>
    <w:rsid w:val="009C1E85"/>
    <w:rsid w:val="009C1F85"/>
    <w:rsid w:val="009C21A6"/>
    <w:rsid w:val="009C226E"/>
    <w:rsid w:val="009C22D1"/>
    <w:rsid w:val="009C23E5"/>
    <w:rsid w:val="009C24A5"/>
    <w:rsid w:val="009C2625"/>
    <w:rsid w:val="009C276B"/>
    <w:rsid w:val="009C2879"/>
    <w:rsid w:val="009C2917"/>
    <w:rsid w:val="009C2A5B"/>
    <w:rsid w:val="009C2B10"/>
    <w:rsid w:val="009C2B58"/>
    <w:rsid w:val="009C2CE5"/>
    <w:rsid w:val="009C2DA1"/>
    <w:rsid w:val="009C3431"/>
    <w:rsid w:val="009C349E"/>
    <w:rsid w:val="009C34A2"/>
    <w:rsid w:val="009C3524"/>
    <w:rsid w:val="009C3BD6"/>
    <w:rsid w:val="009C3D6E"/>
    <w:rsid w:val="009C4076"/>
    <w:rsid w:val="009C40A4"/>
    <w:rsid w:val="009C479D"/>
    <w:rsid w:val="009C4818"/>
    <w:rsid w:val="009C48B5"/>
    <w:rsid w:val="009C4A99"/>
    <w:rsid w:val="009C4BAD"/>
    <w:rsid w:val="009C4D10"/>
    <w:rsid w:val="009C4E4A"/>
    <w:rsid w:val="009C51D5"/>
    <w:rsid w:val="009C523A"/>
    <w:rsid w:val="009C563F"/>
    <w:rsid w:val="009C5879"/>
    <w:rsid w:val="009C5884"/>
    <w:rsid w:val="009C59AC"/>
    <w:rsid w:val="009C5C36"/>
    <w:rsid w:val="009C5DB0"/>
    <w:rsid w:val="009C5DDA"/>
    <w:rsid w:val="009C6142"/>
    <w:rsid w:val="009C6218"/>
    <w:rsid w:val="009C659B"/>
    <w:rsid w:val="009C6643"/>
    <w:rsid w:val="009C6648"/>
    <w:rsid w:val="009C6813"/>
    <w:rsid w:val="009C6A1C"/>
    <w:rsid w:val="009C6A50"/>
    <w:rsid w:val="009C6BA4"/>
    <w:rsid w:val="009C6E7F"/>
    <w:rsid w:val="009C6E9E"/>
    <w:rsid w:val="009C7000"/>
    <w:rsid w:val="009C707C"/>
    <w:rsid w:val="009C733F"/>
    <w:rsid w:val="009C7455"/>
    <w:rsid w:val="009C793F"/>
    <w:rsid w:val="009C7A3E"/>
    <w:rsid w:val="009C7AC0"/>
    <w:rsid w:val="009C7B91"/>
    <w:rsid w:val="009C7C0F"/>
    <w:rsid w:val="009C7C4B"/>
    <w:rsid w:val="009C7D7C"/>
    <w:rsid w:val="009D0218"/>
    <w:rsid w:val="009D0228"/>
    <w:rsid w:val="009D02DC"/>
    <w:rsid w:val="009D0348"/>
    <w:rsid w:val="009D036A"/>
    <w:rsid w:val="009D04FC"/>
    <w:rsid w:val="009D0512"/>
    <w:rsid w:val="009D0675"/>
    <w:rsid w:val="009D0C4B"/>
    <w:rsid w:val="009D0C9F"/>
    <w:rsid w:val="009D0E23"/>
    <w:rsid w:val="009D0E5E"/>
    <w:rsid w:val="009D0F6D"/>
    <w:rsid w:val="009D1055"/>
    <w:rsid w:val="009D1780"/>
    <w:rsid w:val="009D1BAC"/>
    <w:rsid w:val="009D1C51"/>
    <w:rsid w:val="009D1D70"/>
    <w:rsid w:val="009D1FE6"/>
    <w:rsid w:val="009D2081"/>
    <w:rsid w:val="009D212C"/>
    <w:rsid w:val="009D22EC"/>
    <w:rsid w:val="009D22FB"/>
    <w:rsid w:val="009D237F"/>
    <w:rsid w:val="009D276D"/>
    <w:rsid w:val="009D2995"/>
    <w:rsid w:val="009D2A23"/>
    <w:rsid w:val="009D2C78"/>
    <w:rsid w:val="009D3062"/>
    <w:rsid w:val="009D33DE"/>
    <w:rsid w:val="009D3439"/>
    <w:rsid w:val="009D3960"/>
    <w:rsid w:val="009D39FF"/>
    <w:rsid w:val="009D3A8F"/>
    <w:rsid w:val="009D3AA2"/>
    <w:rsid w:val="009D3E8D"/>
    <w:rsid w:val="009D4112"/>
    <w:rsid w:val="009D416D"/>
    <w:rsid w:val="009D43C5"/>
    <w:rsid w:val="009D45A8"/>
    <w:rsid w:val="009D4719"/>
    <w:rsid w:val="009D4851"/>
    <w:rsid w:val="009D49B8"/>
    <w:rsid w:val="009D4C71"/>
    <w:rsid w:val="009D52B0"/>
    <w:rsid w:val="009D568B"/>
    <w:rsid w:val="009D58D2"/>
    <w:rsid w:val="009D5972"/>
    <w:rsid w:val="009D5A05"/>
    <w:rsid w:val="009D5ADF"/>
    <w:rsid w:val="009D5B59"/>
    <w:rsid w:val="009D5B69"/>
    <w:rsid w:val="009D5C19"/>
    <w:rsid w:val="009D5D4B"/>
    <w:rsid w:val="009D5D82"/>
    <w:rsid w:val="009D5DF5"/>
    <w:rsid w:val="009D5EE6"/>
    <w:rsid w:val="009D5F47"/>
    <w:rsid w:val="009D5F7A"/>
    <w:rsid w:val="009D6118"/>
    <w:rsid w:val="009D6139"/>
    <w:rsid w:val="009D6275"/>
    <w:rsid w:val="009D6706"/>
    <w:rsid w:val="009D68E8"/>
    <w:rsid w:val="009D6964"/>
    <w:rsid w:val="009D6C6A"/>
    <w:rsid w:val="009D6DE3"/>
    <w:rsid w:val="009D6E0D"/>
    <w:rsid w:val="009D6F25"/>
    <w:rsid w:val="009D71A3"/>
    <w:rsid w:val="009D73C6"/>
    <w:rsid w:val="009D7473"/>
    <w:rsid w:val="009D75D8"/>
    <w:rsid w:val="009D76F2"/>
    <w:rsid w:val="009D7946"/>
    <w:rsid w:val="009D7A12"/>
    <w:rsid w:val="009D7AB9"/>
    <w:rsid w:val="009D7BDD"/>
    <w:rsid w:val="009D7DEB"/>
    <w:rsid w:val="009D7E47"/>
    <w:rsid w:val="009D7FE9"/>
    <w:rsid w:val="009E0051"/>
    <w:rsid w:val="009E0187"/>
    <w:rsid w:val="009E01D8"/>
    <w:rsid w:val="009E022B"/>
    <w:rsid w:val="009E02AA"/>
    <w:rsid w:val="009E0422"/>
    <w:rsid w:val="009E091E"/>
    <w:rsid w:val="009E096F"/>
    <w:rsid w:val="009E09F6"/>
    <w:rsid w:val="009E0A6F"/>
    <w:rsid w:val="009E0ADB"/>
    <w:rsid w:val="009E0CBF"/>
    <w:rsid w:val="009E0DAA"/>
    <w:rsid w:val="009E1173"/>
    <w:rsid w:val="009E1228"/>
    <w:rsid w:val="009E130B"/>
    <w:rsid w:val="009E1337"/>
    <w:rsid w:val="009E15F8"/>
    <w:rsid w:val="009E1609"/>
    <w:rsid w:val="009E181C"/>
    <w:rsid w:val="009E182D"/>
    <w:rsid w:val="009E1892"/>
    <w:rsid w:val="009E1A1C"/>
    <w:rsid w:val="009E206C"/>
    <w:rsid w:val="009E240A"/>
    <w:rsid w:val="009E263E"/>
    <w:rsid w:val="009E2988"/>
    <w:rsid w:val="009E2A9B"/>
    <w:rsid w:val="009E2F99"/>
    <w:rsid w:val="009E320E"/>
    <w:rsid w:val="009E39C7"/>
    <w:rsid w:val="009E3BAD"/>
    <w:rsid w:val="009E3CAD"/>
    <w:rsid w:val="009E41D2"/>
    <w:rsid w:val="009E4438"/>
    <w:rsid w:val="009E4498"/>
    <w:rsid w:val="009E45FC"/>
    <w:rsid w:val="009E46B3"/>
    <w:rsid w:val="009E49AF"/>
    <w:rsid w:val="009E4BA1"/>
    <w:rsid w:val="009E4C29"/>
    <w:rsid w:val="009E4D25"/>
    <w:rsid w:val="009E4E15"/>
    <w:rsid w:val="009E5214"/>
    <w:rsid w:val="009E523F"/>
    <w:rsid w:val="009E526A"/>
    <w:rsid w:val="009E5346"/>
    <w:rsid w:val="009E5481"/>
    <w:rsid w:val="009E56D3"/>
    <w:rsid w:val="009E5796"/>
    <w:rsid w:val="009E5830"/>
    <w:rsid w:val="009E5851"/>
    <w:rsid w:val="009E591E"/>
    <w:rsid w:val="009E5A82"/>
    <w:rsid w:val="009E5ECE"/>
    <w:rsid w:val="009E5F4A"/>
    <w:rsid w:val="009E6190"/>
    <w:rsid w:val="009E61EC"/>
    <w:rsid w:val="009E62E3"/>
    <w:rsid w:val="009E6317"/>
    <w:rsid w:val="009E694C"/>
    <w:rsid w:val="009E69C4"/>
    <w:rsid w:val="009E6B7C"/>
    <w:rsid w:val="009E6B8F"/>
    <w:rsid w:val="009E7367"/>
    <w:rsid w:val="009E7619"/>
    <w:rsid w:val="009E76D7"/>
    <w:rsid w:val="009E7780"/>
    <w:rsid w:val="009E785E"/>
    <w:rsid w:val="009E7AD3"/>
    <w:rsid w:val="009E7B57"/>
    <w:rsid w:val="009F02D7"/>
    <w:rsid w:val="009F0444"/>
    <w:rsid w:val="009F0479"/>
    <w:rsid w:val="009F04AF"/>
    <w:rsid w:val="009F0503"/>
    <w:rsid w:val="009F0583"/>
    <w:rsid w:val="009F09F1"/>
    <w:rsid w:val="009F0C13"/>
    <w:rsid w:val="009F0C2A"/>
    <w:rsid w:val="009F106B"/>
    <w:rsid w:val="009F11AA"/>
    <w:rsid w:val="009F11B3"/>
    <w:rsid w:val="009F14A8"/>
    <w:rsid w:val="009F14C9"/>
    <w:rsid w:val="009F153F"/>
    <w:rsid w:val="009F15E1"/>
    <w:rsid w:val="009F1629"/>
    <w:rsid w:val="009F163D"/>
    <w:rsid w:val="009F1A54"/>
    <w:rsid w:val="009F1DA8"/>
    <w:rsid w:val="009F1E6E"/>
    <w:rsid w:val="009F1EB0"/>
    <w:rsid w:val="009F1F04"/>
    <w:rsid w:val="009F204D"/>
    <w:rsid w:val="009F212A"/>
    <w:rsid w:val="009F220C"/>
    <w:rsid w:val="009F23FA"/>
    <w:rsid w:val="009F24CB"/>
    <w:rsid w:val="009F24FD"/>
    <w:rsid w:val="009F2552"/>
    <w:rsid w:val="009F26FE"/>
    <w:rsid w:val="009F2937"/>
    <w:rsid w:val="009F2CDF"/>
    <w:rsid w:val="009F30C0"/>
    <w:rsid w:val="009F31FC"/>
    <w:rsid w:val="009F3372"/>
    <w:rsid w:val="009F351E"/>
    <w:rsid w:val="009F35AE"/>
    <w:rsid w:val="009F36AD"/>
    <w:rsid w:val="009F37FF"/>
    <w:rsid w:val="009F3B9B"/>
    <w:rsid w:val="009F3C78"/>
    <w:rsid w:val="009F3CC6"/>
    <w:rsid w:val="009F3DC0"/>
    <w:rsid w:val="009F3E67"/>
    <w:rsid w:val="009F3EB3"/>
    <w:rsid w:val="009F401A"/>
    <w:rsid w:val="009F4047"/>
    <w:rsid w:val="009F4094"/>
    <w:rsid w:val="009F4476"/>
    <w:rsid w:val="009F4903"/>
    <w:rsid w:val="009F4BEC"/>
    <w:rsid w:val="009F4F56"/>
    <w:rsid w:val="009F4F96"/>
    <w:rsid w:val="009F4FB2"/>
    <w:rsid w:val="009F51C1"/>
    <w:rsid w:val="009F5351"/>
    <w:rsid w:val="009F5383"/>
    <w:rsid w:val="009F53F3"/>
    <w:rsid w:val="009F5422"/>
    <w:rsid w:val="009F5431"/>
    <w:rsid w:val="009F54E7"/>
    <w:rsid w:val="009F5557"/>
    <w:rsid w:val="009F558F"/>
    <w:rsid w:val="009F5ECC"/>
    <w:rsid w:val="009F5F7E"/>
    <w:rsid w:val="009F6013"/>
    <w:rsid w:val="009F60CA"/>
    <w:rsid w:val="009F6200"/>
    <w:rsid w:val="009F6265"/>
    <w:rsid w:val="009F6301"/>
    <w:rsid w:val="009F64A1"/>
    <w:rsid w:val="009F6627"/>
    <w:rsid w:val="009F669A"/>
    <w:rsid w:val="009F66C9"/>
    <w:rsid w:val="009F6D82"/>
    <w:rsid w:val="009F6EB0"/>
    <w:rsid w:val="009F6EEB"/>
    <w:rsid w:val="009F71C8"/>
    <w:rsid w:val="009F7262"/>
    <w:rsid w:val="009F754F"/>
    <w:rsid w:val="009F77A1"/>
    <w:rsid w:val="009F78FE"/>
    <w:rsid w:val="009F7B5E"/>
    <w:rsid w:val="009F7BF8"/>
    <w:rsid w:val="009F7DE8"/>
    <w:rsid w:val="00A000B2"/>
    <w:rsid w:val="00A00187"/>
    <w:rsid w:val="00A00203"/>
    <w:rsid w:val="00A00311"/>
    <w:rsid w:val="00A00319"/>
    <w:rsid w:val="00A0047E"/>
    <w:rsid w:val="00A00637"/>
    <w:rsid w:val="00A00704"/>
    <w:rsid w:val="00A00920"/>
    <w:rsid w:val="00A00BE3"/>
    <w:rsid w:val="00A00D1D"/>
    <w:rsid w:val="00A00D3F"/>
    <w:rsid w:val="00A00E16"/>
    <w:rsid w:val="00A00FB8"/>
    <w:rsid w:val="00A00FC0"/>
    <w:rsid w:val="00A00FDB"/>
    <w:rsid w:val="00A01057"/>
    <w:rsid w:val="00A01093"/>
    <w:rsid w:val="00A0123A"/>
    <w:rsid w:val="00A01344"/>
    <w:rsid w:val="00A01824"/>
    <w:rsid w:val="00A0198D"/>
    <w:rsid w:val="00A019D0"/>
    <w:rsid w:val="00A01A80"/>
    <w:rsid w:val="00A01BEA"/>
    <w:rsid w:val="00A01CDD"/>
    <w:rsid w:val="00A01DBA"/>
    <w:rsid w:val="00A01E5F"/>
    <w:rsid w:val="00A01E6C"/>
    <w:rsid w:val="00A020D6"/>
    <w:rsid w:val="00A0218E"/>
    <w:rsid w:val="00A02347"/>
    <w:rsid w:val="00A024AD"/>
    <w:rsid w:val="00A025F4"/>
    <w:rsid w:val="00A02799"/>
    <w:rsid w:val="00A027E1"/>
    <w:rsid w:val="00A027FF"/>
    <w:rsid w:val="00A02913"/>
    <w:rsid w:val="00A02BC1"/>
    <w:rsid w:val="00A02CE9"/>
    <w:rsid w:val="00A02D45"/>
    <w:rsid w:val="00A02EF7"/>
    <w:rsid w:val="00A02F6A"/>
    <w:rsid w:val="00A03014"/>
    <w:rsid w:val="00A03063"/>
    <w:rsid w:val="00A0308B"/>
    <w:rsid w:val="00A030B9"/>
    <w:rsid w:val="00A0331F"/>
    <w:rsid w:val="00A0365F"/>
    <w:rsid w:val="00A0370F"/>
    <w:rsid w:val="00A038A4"/>
    <w:rsid w:val="00A039FC"/>
    <w:rsid w:val="00A03A8F"/>
    <w:rsid w:val="00A03AD6"/>
    <w:rsid w:val="00A03E39"/>
    <w:rsid w:val="00A0400C"/>
    <w:rsid w:val="00A04338"/>
    <w:rsid w:val="00A04938"/>
    <w:rsid w:val="00A04B7A"/>
    <w:rsid w:val="00A04FBC"/>
    <w:rsid w:val="00A050BA"/>
    <w:rsid w:val="00A050BF"/>
    <w:rsid w:val="00A0519B"/>
    <w:rsid w:val="00A052D1"/>
    <w:rsid w:val="00A052FB"/>
    <w:rsid w:val="00A0532E"/>
    <w:rsid w:val="00A05375"/>
    <w:rsid w:val="00A05514"/>
    <w:rsid w:val="00A057F2"/>
    <w:rsid w:val="00A05B2D"/>
    <w:rsid w:val="00A05BBF"/>
    <w:rsid w:val="00A05C7F"/>
    <w:rsid w:val="00A05D57"/>
    <w:rsid w:val="00A05DAE"/>
    <w:rsid w:val="00A05E85"/>
    <w:rsid w:val="00A05FC1"/>
    <w:rsid w:val="00A060F9"/>
    <w:rsid w:val="00A061F8"/>
    <w:rsid w:val="00A0630E"/>
    <w:rsid w:val="00A063C3"/>
    <w:rsid w:val="00A06790"/>
    <w:rsid w:val="00A0682F"/>
    <w:rsid w:val="00A068EC"/>
    <w:rsid w:val="00A069F7"/>
    <w:rsid w:val="00A06D7D"/>
    <w:rsid w:val="00A06E76"/>
    <w:rsid w:val="00A06EF7"/>
    <w:rsid w:val="00A0705A"/>
    <w:rsid w:val="00A071E3"/>
    <w:rsid w:val="00A07384"/>
    <w:rsid w:val="00A07559"/>
    <w:rsid w:val="00A076EB"/>
    <w:rsid w:val="00A0793A"/>
    <w:rsid w:val="00A07986"/>
    <w:rsid w:val="00A079E7"/>
    <w:rsid w:val="00A07A2D"/>
    <w:rsid w:val="00A07A57"/>
    <w:rsid w:val="00A07A75"/>
    <w:rsid w:val="00A07B54"/>
    <w:rsid w:val="00A07D6A"/>
    <w:rsid w:val="00A07DF7"/>
    <w:rsid w:val="00A1016B"/>
    <w:rsid w:val="00A101AD"/>
    <w:rsid w:val="00A101FD"/>
    <w:rsid w:val="00A1023D"/>
    <w:rsid w:val="00A1057A"/>
    <w:rsid w:val="00A10749"/>
    <w:rsid w:val="00A10915"/>
    <w:rsid w:val="00A10A74"/>
    <w:rsid w:val="00A10ADE"/>
    <w:rsid w:val="00A10C55"/>
    <w:rsid w:val="00A10F38"/>
    <w:rsid w:val="00A11005"/>
    <w:rsid w:val="00A11058"/>
    <w:rsid w:val="00A11283"/>
    <w:rsid w:val="00A112C6"/>
    <w:rsid w:val="00A1133F"/>
    <w:rsid w:val="00A1156A"/>
    <w:rsid w:val="00A115DC"/>
    <w:rsid w:val="00A1163E"/>
    <w:rsid w:val="00A116AA"/>
    <w:rsid w:val="00A116B0"/>
    <w:rsid w:val="00A116DC"/>
    <w:rsid w:val="00A118FA"/>
    <w:rsid w:val="00A1190F"/>
    <w:rsid w:val="00A11C38"/>
    <w:rsid w:val="00A11CFE"/>
    <w:rsid w:val="00A121AF"/>
    <w:rsid w:val="00A12427"/>
    <w:rsid w:val="00A124B3"/>
    <w:rsid w:val="00A1265C"/>
    <w:rsid w:val="00A12DD0"/>
    <w:rsid w:val="00A12FAE"/>
    <w:rsid w:val="00A131A9"/>
    <w:rsid w:val="00A13208"/>
    <w:rsid w:val="00A13417"/>
    <w:rsid w:val="00A135A6"/>
    <w:rsid w:val="00A138B4"/>
    <w:rsid w:val="00A13961"/>
    <w:rsid w:val="00A13A68"/>
    <w:rsid w:val="00A13A9C"/>
    <w:rsid w:val="00A13AA2"/>
    <w:rsid w:val="00A13C27"/>
    <w:rsid w:val="00A13F82"/>
    <w:rsid w:val="00A13FA8"/>
    <w:rsid w:val="00A143ED"/>
    <w:rsid w:val="00A14733"/>
    <w:rsid w:val="00A148BF"/>
    <w:rsid w:val="00A148E1"/>
    <w:rsid w:val="00A14964"/>
    <w:rsid w:val="00A14988"/>
    <w:rsid w:val="00A14B0B"/>
    <w:rsid w:val="00A14B24"/>
    <w:rsid w:val="00A15014"/>
    <w:rsid w:val="00A1521B"/>
    <w:rsid w:val="00A1531F"/>
    <w:rsid w:val="00A153E9"/>
    <w:rsid w:val="00A1548C"/>
    <w:rsid w:val="00A154C7"/>
    <w:rsid w:val="00A155C4"/>
    <w:rsid w:val="00A15779"/>
    <w:rsid w:val="00A159AA"/>
    <w:rsid w:val="00A15A07"/>
    <w:rsid w:val="00A15A58"/>
    <w:rsid w:val="00A15ADD"/>
    <w:rsid w:val="00A15CC4"/>
    <w:rsid w:val="00A15E7B"/>
    <w:rsid w:val="00A15EBB"/>
    <w:rsid w:val="00A15EBD"/>
    <w:rsid w:val="00A15EC5"/>
    <w:rsid w:val="00A15F5D"/>
    <w:rsid w:val="00A15FCE"/>
    <w:rsid w:val="00A16060"/>
    <w:rsid w:val="00A16189"/>
    <w:rsid w:val="00A16198"/>
    <w:rsid w:val="00A161E8"/>
    <w:rsid w:val="00A162AB"/>
    <w:rsid w:val="00A165A2"/>
    <w:rsid w:val="00A1676D"/>
    <w:rsid w:val="00A1679B"/>
    <w:rsid w:val="00A168B7"/>
    <w:rsid w:val="00A1696F"/>
    <w:rsid w:val="00A16B23"/>
    <w:rsid w:val="00A16BAA"/>
    <w:rsid w:val="00A16C0F"/>
    <w:rsid w:val="00A16D2E"/>
    <w:rsid w:val="00A16E77"/>
    <w:rsid w:val="00A16EFF"/>
    <w:rsid w:val="00A17050"/>
    <w:rsid w:val="00A17073"/>
    <w:rsid w:val="00A172BC"/>
    <w:rsid w:val="00A17328"/>
    <w:rsid w:val="00A1749C"/>
    <w:rsid w:val="00A17A56"/>
    <w:rsid w:val="00A17AA4"/>
    <w:rsid w:val="00A17F2F"/>
    <w:rsid w:val="00A17FEC"/>
    <w:rsid w:val="00A20330"/>
    <w:rsid w:val="00A20355"/>
    <w:rsid w:val="00A203F7"/>
    <w:rsid w:val="00A2048A"/>
    <w:rsid w:val="00A206C9"/>
    <w:rsid w:val="00A20835"/>
    <w:rsid w:val="00A20896"/>
    <w:rsid w:val="00A20ADD"/>
    <w:rsid w:val="00A20B1A"/>
    <w:rsid w:val="00A20C4D"/>
    <w:rsid w:val="00A20DBA"/>
    <w:rsid w:val="00A20E9C"/>
    <w:rsid w:val="00A21354"/>
    <w:rsid w:val="00A21481"/>
    <w:rsid w:val="00A215CC"/>
    <w:rsid w:val="00A21632"/>
    <w:rsid w:val="00A21633"/>
    <w:rsid w:val="00A2170C"/>
    <w:rsid w:val="00A21726"/>
    <w:rsid w:val="00A219A9"/>
    <w:rsid w:val="00A21A34"/>
    <w:rsid w:val="00A21E13"/>
    <w:rsid w:val="00A21E26"/>
    <w:rsid w:val="00A22027"/>
    <w:rsid w:val="00A2220F"/>
    <w:rsid w:val="00A22385"/>
    <w:rsid w:val="00A22569"/>
    <w:rsid w:val="00A22618"/>
    <w:rsid w:val="00A226AA"/>
    <w:rsid w:val="00A22899"/>
    <w:rsid w:val="00A22BED"/>
    <w:rsid w:val="00A22EDB"/>
    <w:rsid w:val="00A230D3"/>
    <w:rsid w:val="00A23139"/>
    <w:rsid w:val="00A23232"/>
    <w:rsid w:val="00A23410"/>
    <w:rsid w:val="00A236A9"/>
    <w:rsid w:val="00A23746"/>
    <w:rsid w:val="00A237C8"/>
    <w:rsid w:val="00A2398D"/>
    <w:rsid w:val="00A23A6F"/>
    <w:rsid w:val="00A23BE4"/>
    <w:rsid w:val="00A23D40"/>
    <w:rsid w:val="00A23D52"/>
    <w:rsid w:val="00A23E00"/>
    <w:rsid w:val="00A23E31"/>
    <w:rsid w:val="00A23E91"/>
    <w:rsid w:val="00A2402D"/>
    <w:rsid w:val="00A2416F"/>
    <w:rsid w:val="00A24173"/>
    <w:rsid w:val="00A241BD"/>
    <w:rsid w:val="00A24214"/>
    <w:rsid w:val="00A244C7"/>
    <w:rsid w:val="00A2461A"/>
    <w:rsid w:val="00A2498C"/>
    <w:rsid w:val="00A24BD0"/>
    <w:rsid w:val="00A24BE9"/>
    <w:rsid w:val="00A24E23"/>
    <w:rsid w:val="00A24E28"/>
    <w:rsid w:val="00A25292"/>
    <w:rsid w:val="00A25337"/>
    <w:rsid w:val="00A2562D"/>
    <w:rsid w:val="00A259C0"/>
    <w:rsid w:val="00A25BBA"/>
    <w:rsid w:val="00A25EBF"/>
    <w:rsid w:val="00A25F51"/>
    <w:rsid w:val="00A26073"/>
    <w:rsid w:val="00A260CB"/>
    <w:rsid w:val="00A260FB"/>
    <w:rsid w:val="00A2622C"/>
    <w:rsid w:val="00A26405"/>
    <w:rsid w:val="00A26433"/>
    <w:rsid w:val="00A2650F"/>
    <w:rsid w:val="00A26555"/>
    <w:rsid w:val="00A26673"/>
    <w:rsid w:val="00A26971"/>
    <w:rsid w:val="00A270F8"/>
    <w:rsid w:val="00A272EC"/>
    <w:rsid w:val="00A2785B"/>
    <w:rsid w:val="00A27928"/>
    <w:rsid w:val="00A27A3D"/>
    <w:rsid w:val="00A27C68"/>
    <w:rsid w:val="00A27DD3"/>
    <w:rsid w:val="00A30070"/>
    <w:rsid w:val="00A303E9"/>
    <w:rsid w:val="00A30820"/>
    <w:rsid w:val="00A30854"/>
    <w:rsid w:val="00A309E6"/>
    <w:rsid w:val="00A30A4C"/>
    <w:rsid w:val="00A30BBF"/>
    <w:rsid w:val="00A30CE6"/>
    <w:rsid w:val="00A30EC7"/>
    <w:rsid w:val="00A30F4F"/>
    <w:rsid w:val="00A31281"/>
    <w:rsid w:val="00A312B8"/>
    <w:rsid w:val="00A3140A"/>
    <w:rsid w:val="00A3149F"/>
    <w:rsid w:val="00A315F6"/>
    <w:rsid w:val="00A31718"/>
    <w:rsid w:val="00A3187B"/>
    <w:rsid w:val="00A31A3A"/>
    <w:rsid w:val="00A31A56"/>
    <w:rsid w:val="00A3215B"/>
    <w:rsid w:val="00A32335"/>
    <w:rsid w:val="00A323CF"/>
    <w:rsid w:val="00A32624"/>
    <w:rsid w:val="00A32781"/>
    <w:rsid w:val="00A3279C"/>
    <w:rsid w:val="00A32875"/>
    <w:rsid w:val="00A32A73"/>
    <w:rsid w:val="00A32FA5"/>
    <w:rsid w:val="00A33000"/>
    <w:rsid w:val="00A332AA"/>
    <w:rsid w:val="00A33531"/>
    <w:rsid w:val="00A3365C"/>
    <w:rsid w:val="00A33B5B"/>
    <w:rsid w:val="00A33BE7"/>
    <w:rsid w:val="00A33D40"/>
    <w:rsid w:val="00A33DAC"/>
    <w:rsid w:val="00A33ED6"/>
    <w:rsid w:val="00A34106"/>
    <w:rsid w:val="00A34120"/>
    <w:rsid w:val="00A34146"/>
    <w:rsid w:val="00A34380"/>
    <w:rsid w:val="00A346F3"/>
    <w:rsid w:val="00A34ABC"/>
    <w:rsid w:val="00A34CAE"/>
    <w:rsid w:val="00A34E27"/>
    <w:rsid w:val="00A34F96"/>
    <w:rsid w:val="00A34FD8"/>
    <w:rsid w:val="00A35107"/>
    <w:rsid w:val="00A35149"/>
    <w:rsid w:val="00A352EC"/>
    <w:rsid w:val="00A354C8"/>
    <w:rsid w:val="00A354F1"/>
    <w:rsid w:val="00A35530"/>
    <w:rsid w:val="00A356F2"/>
    <w:rsid w:val="00A357AC"/>
    <w:rsid w:val="00A35912"/>
    <w:rsid w:val="00A35C57"/>
    <w:rsid w:val="00A35C8F"/>
    <w:rsid w:val="00A35D54"/>
    <w:rsid w:val="00A35F2D"/>
    <w:rsid w:val="00A36000"/>
    <w:rsid w:val="00A360F1"/>
    <w:rsid w:val="00A361BC"/>
    <w:rsid w:val="00A36288"/>
    <w:rsid w:val="00A363E6"/>
    <w:rsid w:val="00A36402"/>
    <w:rsid w:val="00A364C4"/>
    <w:rsid w:val="00A364DD"/>
    <w:rsid w:val="00A366CF"/>
    <w:rsid w:val="00A36819"/>
    <w:rsid w:val="00A36843"/>
    <w:rsid w:val="00A3692A"/>
    <w:rsid w:val="00A36985"/>
    <w:rsid w:val="00A369B3"/>
    <w:rsid w:val="00A36AF0"/>
    <w:rsid w:val="00A36C97"/>
    <w:rsid w:val="00A36D71"/>
    <w:rsid w:val="00A36D87"/>
    <w:rsid w:val="00A36E73"/>
    <w:rsid w:val="00A3736A"/>
    <w:rsid w:val="00A37685"/>
    <w:rsid w:val="00A378B8"/>
    <w:rsid w:val="00A379C3"/>
    <w:rsid w:val="00A37BF4"/>
    <w:rsid w:val="00A37F01"/>
    <w:rsid w:val="00A37FD3"/>
    <w:rsid w:val="00A4024E"/>
    <w:rsid w:val="00A40286"/>
    <w:rsid w:val="00A402F1"/>
    <w:rsid w:val="00A4047C"/>
    <w:rsid w:val="00A40490"/>
    <w:rsid w:val="00A40522"/>
    <w:rsid w:val="00A40691"/>
    <w:rsid w:val="00A40716"/>
    <w:rsid w:val="00A40742"/>
    <w:rsid w:val="00A4080F"/>
    <w:rsid w:val="00A409FA"/>
    <w:rsid w:val="00A40A79"/>
    <w:rsid w:val="00A40ADE"/>
    <w:rsid w:val="00A40CF0"/>
    <w:rsid w:val="00A40FFB"/>
    <w:rsid w:val="00A412CB"/>
    <w:rsid w:val="00A418C5"/>
    <w:rsid w:val="00A418D3"/>
    <w:rsid w:val="00A41915"/>
    <w:rsid w:val="00A41CDF"/>
    <w:rsid w:val="00A41D43"/>
    <w:rsid w:val="00A42363"/>
    <w:rsid w:val="00A42393"/>
    <w:rsid w:val="00A42467"/>
    <w:rsid w:val="00A4246D"/>
    <w:rsid w:val="00A426D5"/>
    <w:rsid w:val="00A426FE"/>
    <w:rsid w:val="00A42EB3"/>
    <w:rsid w:val="00A42F08"/>
    <w:rsid w:val="00A4310B"/>
    <w:rsid w:val="00A43384"/>
    <w:rsid w:val="00A43456"/>
    <w:rsid w:val="00A4357B"/>
    <w:rsid w:val="00A4357C"/>
    <w:rsid w:val="00A437DF"/>
    <w:rsid w:val="00A43851"/>
    <w:rsid w:val="00A43855"/>
    <w:rsid w:val="00A439E7"/>
    <w:rsid w:val="00A43C78"/>
    <w:rsid w:val="00A43D2F"/>
    <w:rsid w:val="00A43FC3"/>
    <w:rsid w:val="00A44625"/>
    <w:rsid w:val="00A447F9"/>
    <w:rsid w:val="00A4496D"/>
    <w:rsid w:val="00A449CD"/>
    <w:rsid w:val="00A44C3F"/>
    <w:rsid w:val="00A44D02"/>
    <w:rsid w:val="00A44DC4"/>
    <w:rsid w:val="00A44E96"/>
    <w:rsid w:val="00A44FDE"/>
    <w:rsid w:val="00A450D4"/>
    <w:rsid w:val="00A4515B"/>
    <w:rsid w:val="00A45742"/>
    <w:rsid w:val="00A458CC"/>
    <w:rsid w:val="00A45A91"/>
    <w:rsid w:val="00A45A95"/>
    <w:rsid w:val="00A45CBA"/>
    <w:rsid w:val="00A45EC7"/>
    <w:rsid w:val="00A45F33"/>
    <w:rsid w:val="00A45F8B"/>
    <w:rsid w:val="00A460CF"/>
    <w:rsid w:val="00A4631B"/>
    <w:rsid w:val="00A46517"/>
    <w:rsid w:val="00A468EA"/>
    <w:rsid w:val="00A46B83"/>
    <w:rsid w:val="00A46D67"/>
    <w:rsid w:val="00A46DB0"/>
    <w:rsid w:val="00A46E60"/>
    <w:rsid w:val="00A473E9"/>
    <w:rsid w:val="00A475E3"/>
    <w:rsid w:val="00A4768C"/>
    <w:rsid w:val="00A4787B"/>
    <w:rsid w:val="00A478CD"/>
    <w:rsid w:val="00A47912"/>
    <w:rsid w:val="00A47BBB"/>
    <w:rsid w:val="00A47BF6"/>
    <w:rsid w:val="00A47CFE"/>
    <w:rsid w:val="00A500D6"/>
    <w:rsid w:val="00A50478"/>
    <w:rsid w:val="00A5049F"/>
    <w:rsid w:val="00A505C0"/>
    <w:rsid w:val="00A506BB"/>
    <w:rsid w:val="00A50755"/>
    <w:rsid w:val="00A50A2B"/>
    <w:rsid w:val="00A50A4F"/>
    <w:rsid w:val="00A50B19"/>
    <w:rsid w:val="00A50B25"/>
    <w:rsid w:val="00A50D1F"/>
    <w:rsid w:val="00A50DBD"/>
    <w:rsid w:val="00A515E8"/>
    <w:rsid w:val="00A5160B"/>
    <w:rsid w:val="00A5162F"/>
    <w:rsid w:val="00A519C7"/>
    <w:rsid w:val="00A51E03"/>
    <w:rsid w:val="00A52078"/>
    <w:rsid w:val="00A522DE"/>
    <w:rsid w:val="00A5243C"/>
    <w:rsid w:val="00A524BE"/>
    <w:rsid w:val="00A524D6"/>
    <w:rsid w:val="00A526F5"/>
    <w:rsid w:val="00A52752"/>
    <w:rsid w:val="00A52ADC"/>
    <w:rsid w:val="00A52BD3"/>
    <w:rsid w:val="00A52CF0"/>
    <w:rsid w:val="00A52D44"/>
    <w:rsid w:val="00A530C0"/>
    <w:rsid w:val="00A532A3"/>
    <w:rsid w:val="00A532C3"/>
    <w:rsid w:val="00A53420"/>
    <w:rsid w:val="00A53744"/>
    <w:rsid w:val="00A53847"/>
    <w:rsid w:val="00A53907"/>
    <w:rsid w:val="00A539FE"/>
    <w:rsid w:val="00A54394"/>
    <w:rsid w:val="00A546F2"/>
    <w:rsid w:val="00A547AB"/>
    <w:rsid w:val="00A54817"/>
    <w:rsid w:val="00A54ADE"/>
    <w:rsid w:val="00A54D9A"/>
    <w:rsid w:val="00A54E6F"/>
    <w:rsid w:val="00A54E9C"/>
    <w:rsid w:val="00A54F2E"/>
    <w:rsid w:val="00A54FED"/>
    <w:rsid w:val="00A5501F"/>
    <w:rsid w:val="00A551C2"/>
    <w:rsid w:val="00A55330"/>
    <w:rsid w:val="00A55372"/>
    <w:rsid w:val="00A555C3"/>
    <w:rsid w:val="00A55624"/>
    <w:rsid w:val="00A556A8"/>
    <w:rsid w:val="00A55766"/>
    <w:rsid w:val="00A5579B"/>
    <w:rsid w:val="00A5588A"/>
    <w:rsid w:val="00A55891"/>
    <w:rsid w:val="00A55969"/>
    <w:rsid w:val="00A55988"/>
    <w:rsid w:val="00A55B6E"/>
    <w:rsid w:val="00A55E64"/>
    <w:rsid w:val="00A56061"/>
    <w:rsid w:val="00A560B8"/>
    <w:rsid w:val="00A564C6"/>
    <w:rsid w:val="00A56602"/>
    <w:rsid w:val="00A56653"/>
    <w:rsid w:val="00A566EF"/>
    <w:rsid w:val="00A56772"/>
    <w:rsid w:val="00A567D4"/>
    <w:rsid w:val="00A568BC"/>
    <w:rsid w:val="00A569BF"/>
    <w:rsid w:val="00A56A87"/>
    <w:rsid w:val="00A56CB9"/>
    <w:rsid w:val="00A56CC8"/>
    <w:rsid w:val="00A56F0E"/>
    <w:rsid w:val="00A56F92"/>
    <w:rsid w:val="00A57245"/>
    <w:rsid w:val="00A5733C"/>
    <w:rsid w:val="00A573B4"/>
    <w:rsid w:val="00A573B8"/>
    <w:rsid w:val="00A574ED"/>
    <w:rsid w:val="00A576A5"/>
    <w:rsid w:val="00A576E4"/>
    <w:rsid w:val="00A57805"/>
    <w:rsid w:val="00A57AD2"/>
    <w:rsid w:val="00A57B87"/>
    <w:rsid w:val="00A57BA5"/>
    <w:rsid w:val="00A57D4A"/>
    <w:rsid w:val="00A57D6A"/>
    <w:rsid w:val="00A57E1B"/>
    <w:rsid w:val="00A60051"/>
    <w:rsid w:val="00A60108"/>
    <w:rsid w:val="00A601AC"/>
    <w:rsid w:val="00A60238"/>
    <w:rsid w:val="00A60281"/>
    <w:rsid w:val="00A602D3"/>
    <w:rsid w:val="00A60582"/>
    <w:rsid w:val="00A60DED"/>
    <w:rsid w:val="00A60F76"/>
    <w:rsid w:val="00A60F85"/>
    <w:rsid w:val="00A610ED"/>
    <w:rsid w:val="00A61394"/>
    <w:rsid w:val="00A6172C"/>
    <w:rsid w:val="00A6187D"/>
    <w:rsid w:val="00A619B4"/>
    <w:rsid w:val="00A621BE"/>
    <w:rsid w:val="00A6221E"/>
    <w:rsid w:val="00A623F5"/>
    <w:rsid w:val="00A62563"/>
    <w:rsid w:val="00A62585"/>
    <w:rsid w:val="00A62614"/>
    <w:rsid w:val="00A6275A"/>
    <w:rsid w:val="00A6284B"/>
    <w:rsid w:val="00A62996"/>
    <w:rsid w:val="00A62ADC"/>
    <w:rsid w:val="00A62B3A"/>
    <w:rsid w:val="00A62C18"/>
    <w:rsid w:val="00A62C8F"/>
    <w:rsid w:val="00A62DF5"/>
    <w:rsid w:val="00A62E8F"/>
    <w:rsid w:val="00A62FE5"/>
    <w:rsid w:val="00A63397"/>
    <w:rsid w:val="00A633E3"/>
    <w:rsid w:val="00A63471"/>
    <w:rsid w:val="00A63580"/>
    <w:rsid w:val="00A635A9"/>
    <w:rsid w:val="00A638F0"/>
    <w:rsid w:val="00A63CF4"/>
    <w:rsid w:val="00A63E64"/>
    <w:rsid w:val="00A64300"/>
    <w:rsid w:val="00A643ED"/>
    <w:rsid w:val="00A6445E"/>
    <w:rsid w:val="00A64638"/>
    <w:rsid w:val="00A646BE"/>
    <w:rsid w:val="00A6486B"/>
    <w:rsid w:val="00A64B3E"/>
    <w:rsid w:val="00A64B5A"/>
    <w:rsid w:val="00A64C80"/>
    <w:rsid w:val="00A6534A"/>
    <w:rsid w:val="00A65400"/>
    <w:rsid w:val="00A65421"/>
    <w:rsid w:val="00A654BA"/>
    <w:rsid w:val="00A6563B"/>
    <w:rsid w:val="00A65763"/>
    <w:rsid w:val="00A659DB"/>
    <w:rsid w:val="00A65B68"/>
    <w:rsid w:val="00A65BA0"/>
    <w:rsid w:val="00A65D70"/>
    <w:rsid w:val="00A65E6B"/>
    <w:rsid w:val="00A65F8C"/>
    <w:rsid w:val="00A65F99"/>
    <w:rsid w:val="00A6609E"/>
    <w:rsid w:val="00A6644F"/>
    <w:rsid w:val="00A6657D"/>
    <w:rsid w:val="00A665BB"/>
    <w:rsid w:val="00A6664C"/>
    <w:rsid w:val="00A6689D"/>
    <w:rsid w:val="00A66C0A"/>
    <w:rsid w:val="00A66CBD"/>
    <w:rsid w:val="00A66F00"/>
    <w:rsid w:val="00A675E9"/>
    <w:rsid w:val="00A67738"/>
    <w:rsid w:val="00A67831"/>
    <w:rsid w:val="00A6797D"/>
    <w:rsid w:val="00A679B5"/>
    <w:rsid w:val="00A679F3"/>
    <w:rsid w:val="00A67AF8"/>
    <w:rsid w:val="00A67B39"/>
    <w:rsid w:val="00A67B61"/>
    <w:rsid w:val="00A67BC1"/>
    <w:rsid w:val="00A67E68"/>
    <w:rsid w:val="00A70082"/>
    <w:rsid w:val="00A70296"/>
    <w:rsid w:val="00A7034D"/>
    <w:rsid w:val="00A70449"/>
    <w:rsid w:val="00A704BB"/>
    <w:rsid w:val="00A704C8"/>
    <w:rsid w:val="00A70574"/>
    <w:rsid w:val="00A70890"/>
    <w:rsid w:val="00A709B3"/>
    <w:rsid w:val="00A709FA"/>
    <w:rsid w:val="00A70C7D"/>
    <w:rsid w:val="00A70CF4"/>
    <w:rsid w:val="00A70E05"/>
    <w:rsid w:val="00A70EC9"/>
    <w:rsid w:val="00A70F4D"/>
    <w:rsid w:val="00A71241"/>
    <w:rsid w:val="00A71254"/>
    <w:rsid w:val="00A71267"/>
    <w:rsid w:val="00A712AA"/>
    <w:rsid w:val="00A71457"/>
    <w:rsid w:val="00A715C9"/>
    <w:rsid w:val="00A71800"/>
    <w:rsid w:val="00A71978"/>
    <w:rsid w:val="00A71B3E"/>
    <w:rsid w:val="00A71BD7"/>
    <w:rsid w:val="00A72094"/>
    <w:rsid w:val="00A7254B"/>
    <w:rsid w:val="00A7261D"/>
    <w:rsid w:val="00A72916"/>
    <w:rsid w:val="00A729DC"/>
    <w:rsid w:val="00A72C38"/>
    <w:rsid w:val="00A72CAD"/>
    <w:rsid w:val="00A72D0A"/>
    <w:rsid w:val="00A72F68"/>
    <w:rsid w:val="00A72F8D"/>
    <w:rsid w:val="00A73844"/>
    <w:rsid w:val="00A73857"/>
    <w:rsid w:val="00A73862"/>
    <w:rsid w:val="00A73A4B"/>
    <w:rsid w:val="00A73C51"/>
    <w:rsid w:val="00A73C5A"/>
    <w:rsid w:val="00A73E60"/>
    <w:rsid w:val="00A74036"/>
    <w:rsid w:val="00A740A4"/>
    <w:rsid w:val="00A74243"/>
    <w:rsid w:val="00A743E1"/>
    <w:rsid w:val="00A7462A"/>
    <w:rsid w:val="00A747F8"/>
    <w:rsid w:val="00A7495C"/>
    <w:rsid w:val="00A7495D"/>
    <w:rsid w:val="00A7499A"/>
    <w:rsid w:val="00A749DA"/>
    <w:rsid w:val="00A74D15"/>
    <w:rsid w:val="00A74E03"/>
    <w:rsid w:val="00A74FE2"/>
    <w:rsid w:val="00A7503C"/>
    <w:rsid w:val="00A751E1"/>
    <w:rsid w:val="00A7526F"/>
    <w:rsid w:val="00A755B2"/>
    <w:rsid w:val="00A7593F"/>
    <w:rsid w:val="00A75BE7"/>
    <w:rsid w:val="00A75C83"/>
    <w:rsid w:val="00A75F99"/>
    <w:rsid w:val="00A76109"/>
    <w:rsid w:val="00A7625B"/>
    <w:rsid w:val="00A762FE"/>
    <w:rsid w:val="00A76335"/>
    <w:rsid w:val="00A76349"/>
    <w:rsid w:val="00A76690"/>
    <w:rsid w:val="00A766B9"/>
    <w:rsid w:val="00A7672F"/>
    <w:rsid w:val="00A76961"/>
    <w:rsid w:val="00A76E61"/>
    <w:rsid w:val="00A76FD3"/>
    <w:rsid w:val="00A76FDD"/>
    <w:rsid w:val="00A77329"/>
    <w:rsid w:val="00A77396"/>
    <w:rsid w:val="00A77569"/>
    <w:rsid w:val="00A776CA"/>
    <w:rsid w:val="00A77729"/>
    <w:rsid w:val="00A77753"/>
    <w:rsid w:val="00A77799"/>
    <w:rsid w:val="00A77885"/>
    <w:rsid w:val="00A778FD"/>
    <w:rsid w:val="00A77BA2"/>
    <w:rsid w:val="00A77CB7"/>
    <w:rsid w:val="00A77F52"/>
    <w:rsid w:val="00A8013E"/>
    <w:rsid w:val="00A8055B"/>
    <w:rsid w:val="00A80598"/>
    <w:rsid w:val="00A807D2"/>
    <w:rsid w:val="00A80942"/>
    <w:rsid w:val="00A809F8"/>
    <w:rsid w:val="00A80C60"/>
    <w:rsid w:val="00A80D96"/>
    <w:rsid w:val="00A80E0D"/>
    <w:rsid w:val="00A80F7C"/>
    <w:rsid w:val="00A810E6"/>
    <w:rsid w:val="00A813D3"/>
    <w:rsid w:val="00A8153E"/>
    <w:rsid w:val="00A818A1"/>
    <w:rsid w:val="00A81A70"/>
    <w:rsid w:val="00A81BC8"/>
    <w:rsid w:val="00A8209F"/>
    <w:rsid w:val="00A820AF"/>
    <w:rsid w:val="00A82189"/>
    <w:rsid w:val="00A821DA"/>
    <w:rsid w:val="00A822F6"/>
    <w:rsid w:val="00A82478"/>
    <w:rsid w:val="00A82514"/>
    <w:rsid w:val="00A82780"/>
    <w:rsid w:val="00A82797"/>
    <w:rsid w:val="00A82807"/>
    <w:rsid w:val="00A82984"/>
    <w:rsid w:val="00A82A2C"/>
    <w:rsid w:val="00A82B42"/>
    <w:rsid w:val="00A82E3F"/>
    <w:rsid w:val="00A82E9D"/>
    <w:rsid w:val="00A82F5C"/>
    <w:rsid w:val="00A830B8"/>
    <w:rsid w:val="00A830FD"/>
    <w:rsid w:val="00A83176"/>
    <w:rsid w:val="00A8318E"/>
    <w:rsid w:val="00A8325A"/>
    <w:rsid w:val="00A8344F"/>
    <w:rsid w:val="00A83598"/>
    <w:rsid w:val="00A835A5"/>
    <w:rsid w:val="00A83647"/>
    <w:rsid w:val="00A83713"/>
    <w:rsid w:val="00A839FE"/>
    <w:rsid w:val="00A83CF3"/>
    <w:rsid w:val="00A83D5B"/>
    <w:rsid w:val="00A84088"/>
    <w:rsid w:val="00A841B5"/>
    <w:rsid w:val="00A843F1"/>
    <w:rsid w:val="00A8443D"/>
    <w:rsid w:val="00A845A5"/>
    <w:rsid w:val="00A84629"/>
    <w:rsid w:val="00A8480C"/>
    <w:rsid w:val="00A84812"/>
    <w:rsid w:val="00A84CFA"/>
    <w:rsid w:val="00A84D1A"/>
    <w:rsid w:val="00A84E04"/>
    <w:rsid w:val="00A84E35"/>
    <w:rsid w:val="00A84E9F"/>
    <w:rsid w:val="00A84F25"/>
    <w:rsid w:val="00A84FBD"/>
    <w:rsid w:val="00A8510A"/>
    <w:rsid w:val="00A85112"/>
    <w:rsid w:val="00A853F4"/>
    <w:rsid w:val="00A85414"/>
    <w:rsid w:val="00A855A2"/>
    <w:rsid w:val="00A8566C"/>
    <w:rsid w:val="00A8572C"/>
    <w:rsid w:val="00A85750"/>
    <w:rsid w:val="00A857C5"/>
    <w:rsid w:val="00A85850"/>
    <w:rsid w:val="00A85BF3"/>
    <w:rsid w:val="00A86351"/>
    <w:rsid w:val="00A86455"/>
    <w:rsid w:val="00A86482"/>
    <w:rsid w:val="00A864F4"/>
    <w:rsid w:val="00A8656B"/>
    <w:rsid w:val="00A86623"/>
    <w:rsid w:val="00A8677C"/>
    <w:rsid w:val="00A868DE"/>
    <w:rsid w:val="00A86ACF"/>
    <w:rsid w:val="00A86BFD"/>
    <w:rsid w:val="00A86C50"/>
    <w:rsid w:val="00A86FFB"/>
    <w:rsid w:val="00A870E9"/>
    <w:rsid w:val="00A87469"/>
    <w:rsid w:val="00A87486"/>
    <w:rsid w:val="00A874D0"/>
    <w:rsid w:val="00A87513"/>
    <w:rsid w:val="00A877D0"/>
    <w:rsid w:val="00A87899"/>
    <w:rsid w:val="00A878DB"/>
    <w:rsid w:val="00A87BEE"/>
    <w:rsid w:val="00A87C00"/>
    <w:rsid w:val="00A87C99"/>
    <w:rsid w:val="00A87F2D"/>
    <w:rsid w:val="00A90000"/>
    <w:rsid w:val="00A9008D"/>
    <w:rsid w:val="00A90113"/>
    <w:rsid w:val="00A902FB"/>
    <w:rsid w:val="00A90451"/>
    <w:rsid w:val="00A90495"/>
    <w:rsid w:val="00A908D9"/>
    <w:rsid w:val="00A90AEB"/>
    <w:rsid w:val="00A90D50"/>
    <w:rsid w:val="00A91007"/>
    <w:rsid w:val="00A9118C"/>
    <w:rsid w:val="00A911E6"/>
    <w:rsid w:val="00A9124D"/>
    <w:rsid w:val="00A913F9"/>
    <w:rsid w:val="00A9145F"/>
    <w:rsid w:val="00A91700"/>
    <w:rsid w:val="00A917F3"/>
    <w:rsid w:val="00A91937"/>
    <w:rsid w:val="00A919B2"/>
    <w:rsid w:val="00A91B17"/>
    <w:rsid w:val="00A91B9A"/>
    <w:rsid w:val="00A91D44"/>
    <w:rsid w:val="00A91D8F"/>
    <w:rsid w:val="00A91E17"/>
    <w:rsid w:val="00A92027"/>
    <w:rsid w:val="00A92066"/>
    <w:rsid w:val="00A920AF"/>
    <w:rsid w:val="00A92840"/>
    <w:rsid w:val="00A92873"/>
    <w:rsid w:val="00A92BB4"/>
    <w:rsid w:val="00A92E5E"/>
    <w:rsid w:val="00A92EB9"/>
    <w:rsid w:val="00A92F55"/>
    <w:rsid w:val="00A931C5"/>
    <w:rsid w:val="00A93291"/>
    <w:rsid w:val="00A93472"/>
    <w:rsid w:val="00A9349C"/>
    <w:rsid w:val="00A93620"/>
    <w:rsid w:val="00A9369B"/>
    <w:rsid w:val="00A936BB"/>
    <w:rsid w:val="00A9371D"/>
    <w:rsid w:val="00A93949"/>
    <w:rsid w:val="00A939EB"/>
    <w:rsid w:val="00A939FF"/>
    <w:rsid w:val="00A93A99"/>
    <w:rsid w:val="00A93AAB"/>
    <w:rsid w:val="00A93B06"/>
    <w:rsid w:val="00A93B0B"/>
    <w:rsid w:val="00A93D46"/>
    <w:rsid w:val="00A93F15"/>
    <w:rsid w:val="00A943DD"/>
    <w:rsid w:val="00A94417"/>
    <w:rsid w:val="00A94457"/>
    <w:rsid w:val="00A94463"/>
    <w:rsid w:val="00A946F2"/>
    <w:rsid w:val="00A94812"/>
    <w:rsid w:val="00A9488F"/>
    <w:rsid w:val="00A94B87"/>
    <w:rsid w:val="00A94BE2"/>
    <w:rsid w:val="00A94C21"/>
    <w:rsid w:val="00A94C31"/>
    <w:rsid w:val="00A94EA6"/>
    <w:rsid w:val="00A94FC7"/>
    <w:rsid w:val="00A95187"/>
    <w:rsid w:val="00A951C0"/>
    <w:rsid w:val="00A9536B"/>
    <w:rsid w:val="00A954B5"/>
    <w:rsid w:val="00A954C3"/>
    <w:rsid w:val="00A95657"/>
    <w:rsid w:val="00A959C8"/>
    <w:rsid w:val="00A95D87"/>
    <w:rsid w:val="00A95EDE"/>
    <w:rsid w:val="00A96317"/>
    <w:rsid w:val="00A96355"/>
    <w:rsid w:val="00A964D8"/>
    <w:rsid w:val="00A965E9"/>
    <w:rsid w:val="00A96B2C"/>
    <w:rsid w:val="00A96D33"/>
    <w:rsid w:val="00A97173"/>
    <w:rsid w:val="00A97216"/>
    <w:rsid w:val="00A9736E"/>
    <w:rsid w:val="00A9741C"/>
    <w:rsid w:val="00A97529"/>
    <w:rsid w:val="00A97BAF"/>
    <w:rsid w:val="00A97BC3"/>
    <w:rsid w:val="00A97E64"/>
    <w:rsid w:val="00A97EC5"/>
    <w:rsid w:val="00AA008F"/>
    <w:rsid w:val="00AA0234"/>
    <w:rsid w:val="00AA0476"/>
    <w:rsid w:val="00AA061B"/>
    <w:rsid w:val="00AA06CD"/>
    <w:rsid w:val="00AA06ED"/>
    <w:rsid w:val="00AA0716"/>
    <w:rsid w:val="00AA0735"/>
    <w:rsid w:val="00AA07D6"/>
    <w:rsid w:val="00AA0C47"/>
    <w:rsid w:val="00AA0D31"/>
    <w:rsid w:val="00AA0D76"/>
    <w:rsid w:val="00AA1128"/>
    <w:rsid w:val="00AA1405"/>
    <w:rsid w:val="00AA1598"/>
    <w:rsid w:val="00AA15E1"/>
    <w:rsid w:val="00AA19AF"/>
    <w:rsid w:val="00AA1B33"/>
    <w:rsid w:val="00AA1BF6"/>
    <w:rsid w:val="00AA1F6A"/>
    <w:rsid w:val="00AA2557"/>
    <w:rsid w:val="00AA2566"/>
    <w:rsid w:val="00AA2570"/>
    <w:rsid w:val="00AA2589"/>
    <w:rsid w:val="00AA2679"/>
    <w:rsid w:val="00AA295A"/>
    <w:rsid w:val="00AA29A1"/>
    <w:rsid w:val="00AA2C8C"/>
    <w:rsid w:val="00AA2F5F"/>
    <w:rsid w:val="00AA33F2"/>
    <w:rsid w:val="00AA341A"/>
    <w:rsid w:val="00AA355B"/>
    <w:rsid w:val="00AA3576"/>
    <w:rsid w:val="00AA359C"/>
    <w:rsid w:val="00AA35AD"/>
    <w:rsid w:val="00AA3748"/>
    <w:rsid w:val="00AA3A80"/>
    <w:rsid w:val="00AA3B23"/>
    <w:rsid w:val="00AA3C93"/>
    <w:rsid w:val="00AA45C0"/>
    <w:rsid w:val="00AA46D1"/>
    <w:rsid w:val="00AA4927"/>
    <w:rsid w:val="00AA4946"/>
    <w:rsid w:val="00AA4A4E"/>
    <w:rsid w:val="00AA4A5E"/>
    <w:rsid w:val="00AA4A85"/>
    <w:rsid w:val="00AA4C74"/>
    <w:rsid w:val="00AA50BB"/>
    <w:rsid w:val="00AA5581"/>
    <w:rsid w:val="00AA5752"/>
    <w:rsid w:val="00AA59EB"/>
    <w:rsid w:val="00AA5BB9"/>
    <w:rsid w:val="00AA5E93"/>
    <w:rsid w:val="00AA5F6E"/>
    <w:rsid w:val="00AA647D"/>
    <w:rsid w:val="00AA65EC"/>
    <w:rsid w:val="00AA6690"/>
    <w:rsid w:val="00AA6784"/>
    <w:rsid w:val="00AA6AEA"/>
    <w:rsid w:val="00AA6B81"/>
    <w:rsid w:val="00AA6B8C"/>
    <w:rsid w:val="00AA6DDA"/>
    <w:rsid w:val="00AA6EAD"/>
    <w:rsid w:val="00AA6EFC"/>
    <w:rsid w:val="00AA6F30"/>
    <w:rsid w:val="00AA6F51"/>
    <w:rsid w:val="00AA70A1"/>
    <w:rsid w:val="00AA747D"/>
    <w:rsid w:val="00AA7843"/>
    <w:rsid w:val="00AA7874"/>
    <w:rsid w:val="00AA78AB"/>
    <w:rsid w:val="00AA7900"/>
    <w:rsid w:val="00AA795A"/>
    <w:rsid w:val="00AA79B2"/>
    <w:rsid w:val="00AA7B30"/>
    <w:rsid w:val="00AA7B90"/>
    <w:rsid w:val="00AA7CE9"/>
    <w:rsid w:val="00AA7D54"/>
    <w:rsid w:val="00AB022A"/>
    <w:rsid w:val="00AB071D"/>
    <w:rsid w:val="00AB09C1"/>
    <w:rsid w:val="00AB0ACE"/>
    <w:rsid w:val="00AB0D0C"/>
    <w:rsid w:val="00AB0F13"/>
    <w:rsid w:val="00AB0FB1"/>
    <w:rsid w:val="00AB102C"/>
    <w:rsid w:val="00AB1134"/>
    <w:rsid w:val="00AB163A"/>
    <w:rsid w:val="00AB16E8"/>
    <w:rsid w:val="00AB18D2"/>
    <w:rsid w:val="00AB1A0A"/>
    <w:rsid w:val="00AB1F8A"/>
    <w:rsid w:val="00AB20EE"/>
    <w:rsid w:val="00AB213C"/>
    <w:rsid w:val="00AB2169"/>
    <w:rsid w:val="00AB228C"/>
    <w:rsid w:val="00AB22F3"/>
    <w:rsid w:val="00AB237C"/>
    <w:rsid w:val="00AB256A"/>
    <w:rsid w:val="00AB25C1"/>
    <w:rsid w:val="00AB26DE"/>
    <w:rsid w:val="00AB287D"/>
    <w:rsid w:val="00AB2A82"/>
    <w:rsid w:val="00AB2B0A"/>
    <w:rsid w:val="00AB2F60"/>
    <w:rsid w:val="00AB317B"/>
    <w:rsid w:val="00AB3184"/>
    <w:rsid w:val="00AB318E"/>
    <w:rsid w:val="00AB31FD"/>
    <w:rsid w:val="00AB3520"/>
    <w:rsid w:val="00AB3666"/>
    <w:rsid w:val="00AB36CF"/>
    <w:rsid w:val="00AB3701"/>
    <w:rsid w:val="00AB39FC"/>
    <w:rsid w:val="00AB3CCC"/>
    <w:rsid w:val="00AB3D39"/>
    <w:rsid w:val="00AB3F76"/>
    <w:rsid w:val="00AB4033"/>
    <w:rsid w:val="00AB405B"/>
    <w:rsid w:val="00AB41DD"/>
    <w:rsid w:val="00AB4283"/>
    <w:rsid w:val="00AB429E"/>
    <w:rsid w:val="00AB44E8"/>
    <w:rsid w:val="00AB458B"/>
    <w:rsid w:val="00AB4665"/>
    <w:rsid w:val="00AB46BF"/>
    <w:rsid w:val="00AB4E3C"/>
    <w:rsid w:val="00AB4F28"/>
    <w:rsid w:val="00AB506B"/>
    <w:rsid w:val="00AB5090"/>
    <w:rsid w:val="00AB51D7"/>
    <w:rsid w:val="00AB5226"/>
    <w:rsid w:val="00AB5634"/>
    <w:rsid w:val="00AB5640"/>
    <w:rsid w:val="00AB569C"/>
    <w:rsid w:val="00AB5982"/>
    <w:rsid w:val="00AB5A62"/>
    <w:rsid w:val="00AB5D55"/>
    <w:rsid w:val="00AB5EFD"/>
    <w:rsid w:val="00AB5F95"/>
    <w:rsid w:val="00AB60D2"/>
    <w:rsid w:val="00AB616E"/>
    <w:rsid w:val="00AB62D5"/>
    <w:rsid w:val="00AB6509"/>
    <w:rsid w:val="00AB6510"/>
    <w:rsid w:val="00AB65D1"/>
    <w:rsid w:val="00AB662D"/>
    <w:rsid w:val="00AB66BB"/>
    <w:rsid w:val="00AB6921"/>
    <w:rsid w:val="00AB6D11"/>
    <w:rsid w:val="00AB6D31"/>
    <w:rsid w:val="00AB6D65"/>
    <w:rsid w:val="00AB7029"/>
    <w:rsid w:val="00AB729F"/>
    <w:rsid w:val="00AB72C2"/>
    <w:rsid w:val="00AB72E2"/>
    <w:rsid w:val="00AB747A"/>
    <w:rsid w:val="00AB7597"/>
    <w:rsid w:val="00AB75EB"/>
    <w:rsid w:val="00AB797F"/>
    <w:rsid w:val="00AB7980"/>
    <w:rsid w:val="00AB7A59"/>
    <w:rsid w:val="00AB7B15"/>
    <w:rsid w:val="00AB7DA3"/>
    <w:rsid w:val="00AC00D7"/>
    <w:rsid w:val="00AC027E"/>
    <w:rsid w:val="00AC061F"/>
    <w:rsid w:val="00AC0A0B"/>
    <w:rsid w:val="00AC0C1D"/>
    <w:rsid w:val="00AC0CE6"/>
    <w:rsid w:val="00AC10B1"/>
    <w:rsid w:val="00AC11B4"/>
    <w:rsid w:val="00AC151C"/>
    <w:rsid w:val="00AC1523"/>
    <w:rsid w:val="00AC17B2"/>
    <w:rsid w:val="00AC1848"/>
    <w:rsid w:val="00AC1B2E"/>
    <w:rsid w:val="00AC1BB0"/>
    <w:rsid w:val="00AC1BDF"/>
    <w:rsid w:val="00AC1F26"/>
    <w:rsid w:val="00AC1F80"/>
    <w:rsid w:val="00AC20B5"/>
    <w:rsid w:val="00AC23E7"/>
    <w:rsid w:val="00AC2447"/>
    <w:rsid w:val="00AC278B"/>
    <w:rsid w:val="00AC2967"/>
    <w:rsid w:val="00AC2A3E"/>
    <w:rsid w:val="00AC2B3B"/>
    <w:rsid w:val="00AC2B3C"/>
    <w:rsid w:val="00AC2BF4"/>
    <w:rsid w:val="00AC2FBA"/>
    <w:rsid w:val="00AC30EA"/>
    <w:rsid w:val="00AC3184"/>
    <w:rsid w:val="00AC34D1"/>
    <w:rsid w:val="00AC363C"/>
    <w:rsid w:val="00AC36C6"/>
    <w:rsid w:val="00AC372C"/>
    <w:rsid w:val="00AC3A12"/>
    <w:rsid w:val="00AC3A39"/>
    <w:rsid w:val="00AC3BD3"/>
    <w:rsid w:val="00AC3CC6"/>
    <w:rsid w:val="00AC3E84"/>
    <w:rsid w:val="00AC3F64"/>
    <w:rsid w:val="00AC3F70"/>
    <w:rsid w:val="00AC4061"/>
    <w:rsid w:val="00AC417A"/>
    <w:rsid w:val="00AC41EC"/>
    <w:rsid w:val="00AC4325"/>
    <w:rsid w:val="00AC45A5"/>
    <w:rsid w:val="00AC4A49"/>
    <w:rsid w:val="00AC4B52"/>
    <w:rsid w:val="00AC4C62"/>
    <w:rsid w:val="00AC4CE3"/>
    <w:rsid w:val="00AC4D40"/>
    <w:rsid w:val="00AC4F43"/>
    <w:rsid w:val="00AC510C"/>
    <w:rsid w:val="00AC511E"/>
    <w:rsid w:val="00AC516F"/>
    <w:rsid w:val="00AC52FC"/>
    <w:rsid w:val="00AC543F"/>
    <w:rsid w:val="00AC565F"/>
    <w:rsid w:val="00AC56A8"/>
    <w:rsid w:val="00AC57DA"/>
    <w:rsid w:val="00AC58E3"/>
    <w:rsid w:val="00AC5930"/>
    <w:rsid w:val="00AC59A6"/>
    <w:rsid w:val="00AC5C9C"/>
    <w:rsid w:val="00AC62BC"/>
    <w:rsid w:val="00AC6413"/>
    <w:rsid w:val="00AC64EE"/>
    <w:rsid w:val="00AC65B3"/>
    <w:rsid w:val="00AC6B6E"/>
    <w:rsid w:val="00AC6EAE"/>
    <w:rsid w:val="00AC6F53"/>
    <w:rsid w:val="00AC6F6E"/>
    <w:rsid w:val="00AC7707"/>
    <w:rsid w:val="00AC7782"/>
    <w:rsid w:val="00AC78FC"/>
    <w:rsid w:val="00AC78FD"/>
    <w:rsid w:val="00AC7DE3"/>
    <w:rsid w:val="00AC7DEC"/>
    <w:rsid w:val="00AC7E93"/>
    <w:rsid w:val="00AC7EB1"/>
    <w:rsid w:val="00AC7F22"/>
    <w:rsid w:val="00AC7FF7"/>
    <w:rsid w:val="00AD012C"/>
    <w:rsid w:val="00AD01D6"/>
    <w:rsid w:val="00AD0299"/>
    <w:rsid w:val="00AD034B"/>
    <w:rsid w:val="00AD0475"/>
    <w:rsid w:val="00AD0537"/>
    <w:rsid w:val="00AD0971"/>
    <w:rsid w:val="00AD0A6D"/>
    <w:rsid w:val="00AD0A87"/>
    <w:rsid w:val="00AD0D31"/>
    <w:rsid w:val="00AD0E5D"/>
    <w:rsid w:val="00AD0F2E"/>
    <w:rsid w:val="00AD1075"/>
    <w:rsid w:val="00AD10EC"/>
    <w:rsid w:val="00AD1260"/>
    <w:rsid w:val="00AD1362"/>
    <w:rsid w:val="00AD13AB"/>
    <w:rsid w:val="00AD1423"/>
    <w:rsid w:val="00AD1459"/>
    <w:rsid w:val="00AD1612"/>
    <w:rsid w:val="00AD1772"/>
    <w:rsid w:val="00AD17BD"/>
    <w:rsid w:val="00AD17F1"/>
    <w:rsid w:val="00AD1845"/>
    <w:rsid w:val="00AD1AA5"/>
    <w:rsid w:val="00AD1BA6"/>
    <w:rsid w:val="00AD1C13"/>
    <w:rsid w:val="00AD1D6E"/>
    <w:rsid w:val="00AD1DAF"/>
    <w:rsid w:val="00AD1ECD"/>
    <w:rsid w:val="00AD1F7E"/>
    <w:rsid w:val="00AD207B"/>
    <w:rsid w:val="00AD217D"/>
    <w:rsid w:val="00AD225A"/>
    <w:rsid w:val="00AD22EC"/>
    <w:rsid w:val="00AD2325"/>
    <w:rsid w:val="00AD2409"/>
    <w:rsid w:val="00AD241E"/>
    <w:rsid w:val="00AD24F1"/>
    <w:rsid w:val="00AD26DD"/>
    <w:rsid w:val="00AD2A7E"/>
    <w:rsid w:val="00AD2ACA"/>
    <w:rsid w:val="00AD2B24"/>
    <w:rsid w:val="00AD2DB5"/>
    <w:rsid w:val="00AD2DC4"/>
    <w:rsid w:val="00AD2E40"/>
    <w:rsid w:val="00AD2EC9"/>
    <w:rsid w:val="00AD2EEB"/>
    <w:rsid w:val="00AD3016"/>
    <w:rsid w:val="00AD34B9"/>
    <w:rsid w:val="00AD35A0"/>
    <w:rsid w:val="00AD395F"/>
    <w:rsid w:val="00AD3B57"/>
    <w:rsid w:val="00AD3BCB"/>
    <w:rsid w:val="00AD3C5F"/>
    <w:rsid w:val="00AD3CB5"/>
    <w:rsid w:val="00AD3DEE"/>
    <w:rsid w:val="00AD3EDC"/>
    <w:rsid w:val="00AD41C6"/>
    <w:rsid w:val="00AD435B"/>
    <w:rsid w:val="00AD43A1"/>
    <w:rsid w:val="00AD45F5"/>
    <w:rsid w:val="00AD4650"/>
    <w:rsid w:val="00AD475E"/>
    <w:rsid w:val="00AD4BE3"/>
    <w:rsid w:val="00AD4BFA"/>
    <w:rsid w:val="00AD4C3F"/>
    <w:rsid w:val="00AD4DB3"/>
    <w:rsid w:val="00AD4F0D"/>
    <w:rsid w:val="00AD51E5"/>
    <w:rsid w:val="00AD5230"/>
    <w:rsid w:val="00AD52E9"/>
    <w:rsid w:val="00AD538A"/>
    <w:rsid w:val="00AD53BD"/>
    <w:rsid w:val="00AD5634"/>
    <w:rsid w:val="00AD572E"/>
    <w:rsid w:val="00AD579F"/>
    <w:rsid w:val="00AD5B37"/>
    <w:rsid w:val="00AD5B8C"/>
    <w:rsid w:val="00AD5CFE"/>
    <w:rsid w:val="00AD5F5D"/>
    <w:rsid w:val="00AD5FF1"/>
    <w:rsid w:val="00AD610C"/>
    <w:rsid w:val="00AD648A"/>
    <w:rsid w:val="00AD6529"/>
    <w:rsid w:val="00AD654A"/>
    <w:rsid w:val="00AD659F"/>
    <w:rsid w:val="00AD65ED"/>
    <w:rsid w:val="00AD685B"/>
    <w:rsid w:val="00AD695B"/>
    <w:rsid w:val="00AD69BC"/>
    <w:rsid w:val="00AD6A39"/>
    <w:rsid w:val="00AD6B0B"/>
    <w:rsid w:val="00AD6C73"/>
    <w:rsid w:val="00AD6D3C"/>
    <w:rsid w:val="00AD6E15"/>
    <w:rsid w:val="00AD6E25"/>
    <w:rsid w:val="00AD70E1"/>
    <w:rsid w:val="00AD758C"/>
    <w:rsid w:val="00AD761F"/>
    <w:rsid w:val="00AD763D"/>
    <w:rsid w:val="00AD770E"/>
    <w:rsid w:val="00AD78EA"/>
    <w:rsid w:val="00AD794E"/>
    <w:rsid w:val="00AD7C10"/>
    <w:rsid w:val="00AE013D"/>
    <w:rsid w:val="00AE02F6"/>
    <w:rsid w:val="00AE0307"/>
    <w:rsid w:val="00AE04B4"/>
    <w:rsid w:val="00AE06C1"/>
    <w:rsid w:val="00AE0707"/>
    <w:rsid w:val="00AE079F"/>
    <w:rsid w:val="00AE07F9"/>
    <w:rsid w:val="00AE0B8D"/>
    <w:rsid w:val="00AE0DF3"/>
    <w:rsid w:val="00AE1157"/>
    <w:rsid w:val="00AE11FB"/>
    <w:rsid w:val="00AE157A"/>
    <w:rsid w:val="00AE178B"/>
    <w:rsid w:val="00AE1DAB"/>
    <w:rsid w:val="00AE1FEB"/>
    <w:rsid w:val="00AE22AD"/>
    <w:rsid w:val="00AE2490"/>
    <w:rsid w:val="00AE2679"/>
    <w:rsid w:val="00AE26A1"/>
    <w:rsid w:val="00AE27C4"/>
    <w:rsid w:val="00AE2940"/>
    <w:rsid w:val="00AE2A59"/>
    <w:rsid w:val="00AE2AD5"/>
    <w:rsid w:val="00AE2D44"/>
    <w:rsid w:val="00AE2DE7"/>
    <w:rsid w:val="00AE2EB5"/>
    <w:rsid w:val="00AE306F"/>
    <w:rsid w:val="00AE30F9"/>
    <w:rsid w:val="00AE37E8"/>
    <w:rsid w:val="00AE385A"/>
    <w:rsid w:val="00AE3EBE"/>
    <w:rsid w:val="00AE3EC1"/>
    <w:rsid w:val="00AE4345"/>
    <w:rsid w:val="00AE459F"/>
    <w:rsid w:val="00AE468F"/>
    <w:rsid w:val="00AE4889"/>
    <w:rsid w:val="00AE496E"/>
    <w:rsid w:val="00AE4A39"/>
    <w:rsid w:val="00AE4E8F"/>
    <w:rsid w:val="00AE505A"/>
    <w:rsid w:val="00AE517E"/>
    <w:rsid w:val="00AE5246"/>
    <w:rsid w:val="00AE52E7"/>
    <w:rsid w:val="00AE540F"/>
    <w:rsid w:val="00AE5676"/>
    <w:rsid w:val="00AE57C0"/>
    <w:rsid w:val="00AE5915"/>
    <w:rsid w:val="00AE5A4D"/>
    <w:rsid w:val="00AE5B59"/>
    <w:rsid w:val="00AE5D7B"/>
    <w:rsid w:val="00AE60A7"/>
    <w:rsid w:val="00AE6159"/>
    <w:rsid w:val="00AE6324"/>
    <w:rsid w:val="00AE635C"/>
    <w:rsid w:val="00AE63BC"/>
    <w:rsid w:val="00AE67B5"/>
    <w:rsid w:val="00AE68A1"/>
    <w:rsid w:val="00AE68A5"/>
    <w:rsid w:val="00AE69EA"/>
    <w:rsid w:val="00AE6C17"/>
    <w:rsid w:val="00AE6EEB"/>
    <w:rsid w:val="00AE70E1"/>
    <w:rsid w:val="00AE71B2"/>
    <w:rsid w:val="00AE71D7"/>
    <w:rsid w:val="00AE7310"/>
    <w:rsid w:val="00AE738B"/>
    <w:rsid w:val="00AE746D"/>
    <w:rsid w:val="00AE7476"/>
    <w:rsid w:val="00AE749B"/>
    <w:rsid w:val="00AE7773"/>
    <w:rsid w:val="00AE777E"/>
    <w:rsid w:val="00AE7A61"/>
    <w:rsid w:val="00AE7BB9"/>
    <w:rsid w:val="00AE7CD0"/>
    <w:rsid w:val="00AE7D97"/>
    <w:rsid w:val="00AE7DDE"/>
    <w:rsid w:val="00AE7E5F"/>
    <w:rsid w:val="00AF002F"/>
    <w:rsid w:val="00AF035C"/>
    <w:rsid w:val="00AF04BC"/>
    <w:rsid w:val="00AF05AF"/>
    <w:rsid w:val="00AF0661"/>
    <w:rsid w:val="00AF067E"/>
    <w:rsid w:val="00AF0698"/>
    <w:rsid w:val="00AF07AF"/>
    <w:rsid w:val="00AF0A79"/>
    <w:rsid w:val="00AF0B1F"/>
    <w:rsid w:val="00AF0B66"/>
    <w:rsid w:val="00AF0BEA"/>
    <w:rsid w:val="00AF0C76"/>
    <w:rsid w:val="00AF0D5C"/>
    <w:rsid w:val="00AF0D65"/>
    <w:rsid w:val="00AF0D6D"/>
    <w:rsid w:val="00AF164D"/>
    <w:rsid w:val="00AF16DB"/>
    <w:rsid w:val="00AF18A0"/>
    <w:rsid w:val="00AF18D4"/>
    <w:rsid w:val="00AF19BB"/>
    <w:rsid w:val="00AF1B0D"/>
    <w:rsid w:val="00AF1E32"/>
    <w:rsid w:val="00AF1E91"/>
    <w:rsid w:val="00AF1F28"/>
    <w:rsid w:val="00AF20A0"/>
    <w:rsid w:val="00AF21C8"/>
    <w:rsid w:val="00AF239D"/>
    <w:rsid w:val="00AF2465"/>
    <w:rsid w:val="00AF24FC"/>
    <w:rsid w:val="00AF2612"/>
    <w:rsid w:val="00AF297A"/>
    <w:rsid w:val="00AF2983"/>
    <w:rsid w:val="00AF2A08"/>
    <w:rsid w:val="00AF2DE9"/>
    <w:rsid w:val="00AF2FBF"/>
    <w:rsid w:val="00AF3313"/>
    <w:rsid w:val="00AF33B9"/>
    <w:rsid w:val="00AF367F"/>
    <w:rsid w:val="00AF36B6"/>
    <w:rsid w:val="00AF3A75"/>
    <w:rsid w:val="00AF3BF5"/>
    <w:rsid w:val="00AF3CE0"/>
    <w:rsid w:val="00AF3E7B"/>
    <w:rsid w:val="00AF4086"/>
    <w:rsid w:val="00AF40D1"/>
    <w:rsid w:val="00AF4362"/>
    <w:rsid w:val="00AF4388"/>
    <w:rsid w:val="00AF4397"/>
    <w:rsid w:val="00AF4483"/>
    <w:rsid w:val="00AF4593"/>
    <w:rsid w:val="00AF4623"/>
    <w:rsid w:val="00AF46A9"/>
    <w:rsid w:val="00AF4810"/>
    <w:rsid w:val="00AF4A56"/>
    <w:rsid w:val="00AF4B89"/>
    <w:rsid w:val="00AF4B91"/>
    <w:rsid w:val="00AF525E"/>
    <w:rsid w:val="00AF58CF"/>
    <w:rsid w:val="00AF598E"/>
    <w:rsid w:val="00AF59ED"/>
    <w:rsid w:val="00AF5F25"/>
    <w:rsid w:val="00AF5FAB"/>
    <w:rsid w:val="00AF6012"/>
    <w:rsid w:val="00AF626C"/>
    <w:rsid w:val="00AF627E"/>
    <w:rsid w:val="00AF6588"/>
    <w:rsid w:val="00AF67C8"/>
    <w:rsid w:val="00AF68B3"/>
    <w:rsid w:val="00AF6A6A"/>
    <w:rsid w:val="00AF6BED"/>
    <w:rsid w:val="00AF6E68"/>
    <w:rsid w:val="00AF7100"/>
    <w:rsid w:val="00AF726A"/>
    <w:rsid w:val="00AF74A3"/>
    <w:rsid w:val="00AF7A6A"/>
    <w:rsid w:val="00AF7F17"/>
    <w:rsid w:val="00AF7FA9"/>
    <w:rsid w:val="00B0004B"/>
    <w:rsid w:val="00B000D0"/>
    <w:rsid w:val="00B001DC"/>
    <w:rsid w:val="00B0050A"/>
    <w:rsid w:val="00B00520"/>
    <w:rsid w:val="00B00791"/>
    <w:rsid w:val="00B00909"/>
    <w:rsid w:val="00B0093B"/>
    <w:rsid w:val="00B00AE9"/>
    <w:rsid w:val="00B00D1C"/>
    <w:rsid w:val="00B00DAC"/>
    <w:rsid w:val="00B00E15"/>
    <w:rsid w:val="00B00E88"/>
    <w:rsid w:val="00B00EBC"/>
    <w:rsid w:val="00B01077"/>
    <w:rsid w:val="00B01100"/>
    <w:rsid w:val="00B011D8"/>
    <w:rsid w:val="00B01470"/>
    <w:rsid w:val="00B01589"/>
    <w:rsid w:val="00B01768"/>
    <w:rsid w:val="00B01918"/>
    <w:rsid w:val="00B01933"/>
    <w:rsid w:val="00B01A53"/>
    <w:rsid w:val="00B0206D"/>
    <w:rsid w:val="00B020A4"/>
    <w:rsid w:val="00B02272"/>
    <w:rsid w:val="00B02B80"/>
    <w:rsid w:val="00B02CEA"/>
    <w:rsid w:val="00B02D2D"/>
    <w:rsid w:val="00B02EBB"/>
    <w:rsid w:val="00B0311D"/>
    <w:rsid w:val="00B0314C"/>
    <w:rsid w:val="00B033AC"/>
    <w:rsid w:val="00B034B3"/>
    <w:rsid w:val="00B03562"/>
    <w:rsid w:val="00B037B7"/>
    <w:rsid w:val="00B03813"/>
    <w:rsid w:val="00B0385C"/>
    <w:rsid w:val="00B039D6"/>
    <w:rsid w:val="00B03B13"/>
    <w:rsid w:val="00B03B27"/>
    <w:rsid w:val="00B03DA4"/>
    <w:rsid w:val="00B03DAD"/>
    <w:rsid w:val="00B03ED1"/>
    <w:rsid w:val="00B04020"/>
    <w:rsid w:val="00B0431A"/>
    <w:rsid w:val="00B047E4"/>
    <w:rsid w:val="00B049CB"/>
    <w:rsid w:val="00B04B6B"/>
    <w:rsid w:val="00B04F7E"/>
    <w:rsid w:val="00B04F85"/>
    <w:rsid w:val="00B04FB7"/>
    <w:rsid w:val="00B0502A"/>
    <w:rsid w:val="00B05255"/>
    <w:rsid w:val="00B05416"/>
    <w:rsid w:val="00B05738"/>
    <w:rsid w:val="00B0593A"/>
    <w:rsid w:val="00B05AF9"/>
    <w:rsid w:val="00B05CCC"/>
    <w:rsid w:val="00B05E12"/>
    <w:rsid w:val="00B05E87"/>
    <w:rsid w:val="00B0606F"/>
    <w:rsid w:val="00B0609D"/>
    <w:rsid w:val="00B060E6"/>
    <w:rsid w:val="00B061A1"/>
    <w:rsid w:val="00B0625F"/>
    <w:rsid w:val="00B0640C"/>
    <w:rsid w:val="00B06465"/>
    <w:rsid w:val="00B064D6"/>
    <w:rsid w:val="00B065FA"/>
    <w:rsid w:val="00B0671D"/>
    <w:rsid w:val="00B068DD"/>
    <w:rsid w:val="00B06935"/>
    <w:rsid w:val="00B0696C"/>
    <w:rsid w:val="00B06B4D"/>
    <w:rsid w:val="00B06CB3"/>
    <w:rsid w:val="00B06CD4"/>
    <w:rsid w:val="00B06FA1"/>
    <w:rsid w:val="00B07020"/>
    <w:rsid w:val="00B07110"/>
    <w:rsid w:val="00B0730A"/>
    <w:rsid w:val="00B078C5"/>
    <w:rsid w:val="00B07991"/>
    <w:rsid w:val="00B07A93"/>
    <w:rsid w:val="00B07A97"/>
    <w:rsid w:val="00B07D11"/>
    <w:rsid w:val="00B07E59"/>
    <w:rsid w:val="00B10072"/>
    <w:rsid w:val="00B10103"/>
    <w:rsid w:val="00B10157"/>
    <w:rsid w:val="00B10197"/>
    <w:rsid w:val="00B1032A"/>
    <w:rsid w:val="00B10466"/>
    <w:rsid w:val="00B10630"/>
    <w:rsid w:val="00B1073C"/>
    <w:rsid w:val="00B10991"/>
    <w:rsid w:val="00B10AD8"/>
    <w:rsid w:val="00B10FC0"/>
    <w:rsid w:val="00B1123A"/>
    <w:rsid w:val="00B1124D"/>
    <w:rsid w:val="00B112BE"/>
    <w:rsid w:val="00B113A4"/>
    <w:rsid w:val="00B116F1"/>
    <w:rsid w:val="00B117E7"/>
    <w:rsid w:val="00B11809"/>
    <w:rsid w:val="00B11819"/>
    <w:rsid w:val="00B119FA"/>
    <w:rsid w:val="00B11B2F"/>
    <w:rsid w:val="00B11E25"/>
    <w:rsid w:val="00B11F51"/>
    <w:rsid w:val="00B11F91"/>
    <w:rsid w:val="00B12341"/>
    <w:rsid w:val="00B1262F"/>
    <w:rsid w:val="00B126D5"/>
    <w:rsid w:val="00B128D6"/>
    <w:rsid w:val="00B128F0"/>
    <w:rsid w:val="00B12922"/>
    <w:rsid w:val="00B129D8"/>
    <w:rsid w:val="00B12D58"/>
    <w:rsid w:val="00B12E1E"/>
    <w:rsid w:val="00B12EA4"/>
    <w:rsid w:val="00B12FBE"/>
    <w:rsid w:val="00B12FC0"/>
    <w:rsid w:val="00B13050"/>
    <w:rsid w:val="00B13117"/>
    <w:rsid w:val="00B132DF"/>
    <w:rsid w:val="00B132E7"/>
    <w:rsid w:val="00B133EF"/>
    <w:rsid w:val="00B1349B"/>
    <w:rsid w:val="00B13504"/>
    <w:rsid w:val="00B1385C"/>
    <w:rsid w:val="00B138BC"/>
    <w:rsid w:val="00B13BB6"/>
    <w:rsid w:val="00B13C9C"/>
    <w:rsid w:val="00B13CB9"/>
    <w:rsid w:val="00B13CBA"/>
    <w:rsid w:val="00B13DE3"/>
    <w:rsid w:val="00B13E47"/>
    <w:rsid w:val="00B13F47"/>
    <w:rsid w:val="00B14046"/>
    <w:rsid w:val="00B141F5"/>
    <w:rsid w:val="00B142C1"/>
    <w:rsid w:val="00B142F5"/>
    <w:rsid w:val="00B14338"/>
    <w:rsid w:val="00B144E3"/>
    <w:rsid w:val="00B144FF"/>
    <w:rsid w:val="00B14639"/>
    <w:rsid w:val="00B14AC4"/>
    <w:rsid w:val="00B14BBE"/>
    <w:rsid w:val="00B14EE4"/>
    <w:rsid w:val="00B15147"/>
    <w:rsid w:val="00B15262"/>
    <w:rsid w:val="00B153B2"/>
    <w:rsid w:val="00B156E3"/>
    <w:rsid w:val="00B15A07"/>
    <w:rsid w:val="00B15A0F"/>
    <w:rsid w:val="00B15A69"/>
    <w:rsid w:val="00B15AC3"/>
    <w:rsid w:val="00B15C25"/>
    <w:rsid w:val="00B15E52"/>
    <w:rsid w:val="00B16002"/>
    <w:rsid w:val="00B16092"/>
    <w:rsid w:val="00B1617D"/>
    <w:rsid w:val="00B162C1"/>
    <w:rsid w:val="00B164E2"/>
    <w:rsid w:val="00B1689F"/>
    <w:rsid w:val="00B16C40"/>
    <w:rsid w:val="00B16C78"/>
    <w:rsid w:val="00B16C94"/>
    <w:rsid w:val="00B16E62"/>
    <w:rsid w:val="00B16E80"/>
    <w:rsid w:val="00B17140"/>
    <w:rsid w:val="00B17331"/>
    <w:rsid w:val="00B17844"/>
    <w:rsid w:val="00B179F8"/>
    <w:rsid w:val="00B17AF1"/>
    <w:rsid w:val="00B17C7C"/>
    <w:rsid w:val="00B17CD2"/>
    <w:rsid w:val="00B17CDC"/>
    <w:rsid w:val="00B17D56"/>
    <w:rsid w:val="00B17F2B"/>
    <w:rsid w:val="00B200B2"/>
    <w:rsid w:val="00B20225"/>
    <w:rsid w:val="00B202E6"/>
    <w:rsid w:val="00B2043D"/>
    <w:rsid w:val="00B2057F"/>
    <w:rsid w:val="00B2064B"/>
    <w:rsid w:val="00B2072C"/>
    <w:rsid w:val="00B207FE"/>
    <w:rsid w:val="00B20842"/>
    <w:rsid w:val="00B208AF"/>
    <w:rsid w:val="00B208B9"/>
    <w:rsid w:val="00B208D5"/>
    <w:rsid w:val="00B20A31"/>
    <w:rsid w:val="00B2131C"/>
    <w:rsid w:val="00B2148F"/>
    <w:rsid w:val="00B2149D"/>
    <w:rsid w:val="00B2186D"/>
    <w:rsid w:val="00B21C5D"/>
    <w:rsid w:val="00B21C6E"/>
    <w:rsid w:val="00B21FAF"/>
    <w:rsid w:val="00B2203D"/>
    <w:rsid w:val="00B220BB"/>
    <w:rsid w:val="00B22243"/>
    <w:rsid w:val="00B22264"/>
    <w:rsid w:val="00B222E6"/>
    <w:rsid w:val="00B223F5"/>
    <w:rsid w:val="00B22577"/>
    <w:rsid w:val="00B22C70"/>
    <w:rsid w:val="00B22CFD"/>
    <w:rsid w:val="00B22EB5"/>
    <w:rsid w:val="00B22F10"/>
    <w:rsid w:val="00B23063"/>
    <w:rsid w:val="00B230B9"/>
    <w:rsid w:val="00B23212"/>
    <w:rsid w:val="00B232A0"/>
    <w:rsid w:val="00B235B3"/>
    <w:rsid w:val="00B235BE"/>
    <w:rsid w:val="00B23710"/>
    <w:rsid w:val="00B23801"/>
    <w:rsid w:val="00B23A89"/>
    <w:rsid w:val="00B23AF4"/>
    <w:rsid w:val="00B23D24"/>
    <w:rsid w:val="00B23D3A"/>
    <w:rsid w:val="00B24071"/>
    <w:rsid w:val="00B242A0"/>
    <w:rsid w:val="00B24494"/>
    <w:rsid w:val="00B24521"/>
    <w:rsid w:val="00B24525"/>
    <w:rsid w:val="00B24867"/>
    <w:rsid w:val="00B24A96"/>
    <w:rsid w:val="00B24B54"/>
    <w:rsid w:val="00B24DE8"/>
    <w:rsid w:val="00B24E3F"/>
    <w:rsid w:val="00B24E58"/>
    <w:rsid w:val="00B24E9E"/>
    <w:rsid w:val="00B24EC0"/>
    <w:rsid w:val="00B25096"/>
    <w:rsid w:val="00B25298"/>
    <w:rsid w:val="00B2534E"/>
    <w:rsid w:val="00B254EB"/>
    <w:rsid w:val="00B256B5"/>
    <w:rsid w:val="00B259DD"/>
    <w:rsid w:val="00B25A29"/>
    <w:rsid w:val="00B25FDD"/>
    <w:rsid w:val="00B26153"/>
    <w:rsid w:val="00B26539"/>
    <w:rsid w:val="00B265B6"/>
    <w:rsid w:val="00B265C9"/>
    <w:rsid w:val="00B265D2"/>
    <w:rsid w:val="00B266B5"/>
    <w:rsid w:val="00B26765"/>
    <w:rsid w:val="00B268DE"/>
    <w:rsid w:val="00B26D35"/>
    <w:rsid w:val="00B26D37"/>
    <w:rsid w:val="00B270C6"/>
    <w:rsid w:val="00B27204"/>
    <w:rsid w:val="00B272E2"/>
    <w:rsid w:val="00B27432"/>
    <w:rsid w:val="00B274A9"/>
    <w:rsid w:val="00B2757E"/>
    <w:rsid w:val="00B27966"/>
    <w:rsid w:val="00B27C66"/>
    <w:rsid w:val="00B27C8D"/>
    <w:rsid w:val="00B3013B"/>
    <w:rsid w:val="00B301C3"/>
    <w:rsid w:val="00B302F1"/>
    <w:rsid w:val="00B303D4"/>
    <w:rsid w:val="00B3067A"/>
    <w:rsid w:val="00B30723"/>
    <w:rsid w:val="00B308AC"/>
    <w:rsid w:val="00B30922"/>
    <w:rsid w:val="00B30AE7"/>
    <w:rsid w:val="00B30B50"/>
    <w:rsid w:val="00B30E1C"/>
    <w:rsid w:val="00B31323"/>
    <w:rsid w:val="00B31640"/>
    <w:rsid w:val="00B31664"/>
    <w:rsid w:val="00B31760"/>
    <w:rsid w:val="00B318AB"/>
    <w:rsid w:val="00B31919"/>
    <w:rsid w:val="00B31D6D"/>
    <w:rsid w:val="00B31DD5"/>
    <w:rsid w:val="00B31E8F"/>
    <w:rsid w:val="00B3207B"/>
    <w:rsid w:val="00B320A1"/>
    <w:rsid w:val="00B32338"/>
    <w:rsid w:val="00B32371"/>
    <w:rsid w:val="00B324F1"/>
    <w:rsid w:val="00B32675"/>
    <w:rsid w:val="00B32795"/>
    <w:rsid w:val="00B32844"/>
    <w:rsid w:val="00B32B16"/>
    <w:rsid w:val="00B32EB2"/>
    <w:rsid w:val="00B32F72"/>
    <w:rsid w:val="00B33149"/>
    <w:rsid w:val="00B33237"/>
    <w:rsid w:val="00B33387"/>
    <w:rsid w:val="00B3346E"/>
    <w:rsid w:val="00B334AE"/>
    <w:rsid w:val="00B335F8"/>
    <w:rsid w:val="00B338D4"/>
    <w:rsid w:val="00B33C11"/>
    <w:rsid w:val="00B33D6B"/>
    <w:rsid w:val="00B33DF4"/>
    <w:rsid w:val="00B33DF9"/>
    <w:rsid w:val="00B33E32"/>
    <w:rsid w:val="00B34032"/>
    <w:rsid w:val="00B342D9"/>
    <w:rsid w:val="00B342FD"/>
    <w:rsid w:val="00B344D5"/>
    <w:rsid w:val="00B34584"/>
    <w:rsid w:val="00B345FB"/>
    <w:rsid w:val="00B34656"/>
    <w:rsid w:val="00B346DE"/>
    <w:rsid w:val="00B34905"/>
    <w:rsid w:val="00B34962"/>
    <w:rsid w:val="00B34A66"/>
    <w:rsid w:val="00B34BF5"/>
    <w:rsid w:val="00B34C83"/>
    <w:rsid w:val="00B34F52"/>
    <w:rsid w:val="00B350C0"/>
    <w:rsid w:val="00B350F4"/>
    <w:rsid w:val="00B350F9"/>
    <w:rsid w:val="00B3521B"/>
    <w:rsid w:val="00B3550C"/>
    <w:rsid w:val="00B35789"/>
    <w:rsid w:val="00B35886"/>
    <w:rsid w:val="00B359C0"/>
    <w:rsid w:val="00B35DFB"/>
    <w:rsid w:val="00B35E91"/>
    <w:rsid w:val="00B35F6B"/>
    <w:rsid w:val="00B3600C"/>
    <w:rsid w:val="00B36057"/>
    <w:rsid w:val="00B365CF"/>
    <w:rsid w:val="00B365DA"/>
    <w:rsid w:val="00B368D2"/>
    <w:rsid w:val="00B36A65"/>
    <w:rsid w:val="00B36E39"/>
    <w:rsid w:val="00B370BB"/>
    <w:rsid w:val="00B37390"/>
    <w:rsid w:val="00B3743C"/>
    <w:rsid w:val="00B374FD"/>
    <w:rsid w:val="00B37A96"/>
    <w:rsid w:val="00B37AB4"/>
    <w:rsid w:val="00B37AFA"/>
    <w:rsid w:val="00B37B52"/>
    <w:rsid w:val="00B37B86"/>
    <w:rsid w:val="00B37C75"/>
    <w:rsid w:val="00B37CC2"/>
    <w:rsid w:val="00B37D5D"/>
    <w:rsid w:val="00B37DC4"/>
    <w:rsid w:val="00B37EB1"/>
    <w:rsid w:val="00B40095"/>
    <w:rsid w:val="00B400A0"/>
    <w:rsid w:val="00B4016A"/>
    <w:rsid w:val="00B401D9"/>
    <w:rsid w:val="00B40298"/>
    <w:rsid w:val="00B4059E"/>
    <w:rsid w:val="00B4063F"/>
    <w:rsid w:val="00B40706"/>
    <w:rsid w:val="00B40742"/>
    <w:rsid w:val="00B407A1"/>
    <w:rsid w:val="00B40967"/>
    <w:rsid w:val="00B40A17"/>
    <w:rsid w:val="00B40B18"/>
    <w:rsid w:val="00B40C94"/>
    <w:rsid w:val="00B40D9E"/>
    <w:rsid w:val="00B40DA8"/>
    <w:rsid w:val="00B40E08"/>
    <w:rsid w:val="00B40F3F"/>
    <w:rsid w:val="00B4108F"/>
    <w:rsid w:val="00B417C5"/>
    <w:rsid w:val="00B4193C"/>
    <w:rsid w:val="00B41A34"/>
    <w:rsid w:val="00B41A5B"/>
    <w:rsid w:val="00B41AE6"/>
    <w:rsid w:val="00B41C43"/>
    <w:rsid w:val="00B41DEB"/>
    <w:rsid w:val="00B41FF0"/>
    <w:rsid w:val="00B420A2"/>
    <w:rsid w:val="00B42128"/>
    <w:rsid w:val="00B4229F"/>
    <w:rsid w:val="00B42307"/>
    <w:rsid w:val="00B42330"/>
    <w:rsid w:val="00B4287B"/>
    <w:rsid w:val="00B42893"/>
    <w:rsid w:val="00B42A26"/>
    <w:rsid w:val="00B42B59"/>
    <w:rsid w:val="00B42BDF"/>
    <w:rsid w:val="00B42BE0"/>
    <w:rsid w:val="00B42D33"/>
    <w:rsid w:val="00B42D42"/>
    <w:rsid w:val="00B42E4D"/>
    <w:rsid w:val="00B42EE9"/>
    <w:rsid w:val="00B42F19"/>
    <w:rsid w:val="00B4329E"/>
    <w:rsid w:val="00B43305"/>
    <w:rsid w:val="00B43782"/>
    <w:rsid w:val="00B43AF9"/>
    <w:rsid w:val="00B43E73"/>
    <w:rsid w:val="00B43F64"/>
    <w:rsid w:val="00B440B5"/>
    <w:rsid w:val="00B441E0"/>
    <w:rsid w:val="00B442DE"/>
    <w:rsid w:val="00B44606"/>
    <w:rsid w:val="00B44842"/>
    <w:rsid w:val="00B44CB1"/>
    <w:rsid w:val="00B44D24"/>
    <w:rsid w:val="00B4502E"/>
    <w:rsid w:val="00B45042"/>
    <w:rsid w:val="00B450FB"/>
    <w:rsid w:val="00B4521B"/>
    <w:rsid w:val="00B4522F"/>
    <w:rsid w:val="00B4538B"/>
    <w:rsid w:val="00B456D4"/>
    <w:rsid w:val="00B45B7C"/>
    <w:rsid w:val="00B45CAE"/>
    <w:rsid w:val="00B45EF3"/>
    <w:rsid w:val="00B45F43"/>
    <w:rsid w:val="00B4600E"/>
    <w:rsid w:val="00B460D8"/>
    <w:rsid w:val="00B464CB"/>
    <w:rsid w:val="00B46675"/>
    <w:rsid w:val="00B46A51"/>
    <w:rsid w:val="00B46C1D"/>
    <w:rsid w:val="00B46C98"/>
    <w:rsid w:val="00B46DA4"/>
    <w:rsid w:val="00B46DF8"/>
    <w:rsid w:val="00B46FF9"/>
    <w:rsid w:val="00B47027"/>
    <w:rsid w:val="00B4703D"/>
    <w:rsid w:val="00B471E1"/>
    <w:rsid w:val="00B47211"/>
    <w:rsid w:val="00B476F0"/>
    <w:rsid w:val="00B476F1"/>
    <w:rsid w:val="00B4782C"/>
    <w:rsid w:val="00B47AEE"/>
    <w:rsid w:val="00B47BFB"/>
    <w:rsid w:val="00B47E62"/>
    <w:rsid w:val="00B47EFA"/>
    <w:rsid w:val="00B47F2B"/>
    <w:rsid w:val="00B47FB0"/>
    <w:rsid w:val="00B50241"/>
    <w:rsid w:val="00B50284"/>
    <w:rsid w:val="00B50453"/>
    <w:rsid w:val="00B50652"/>
    <w:rsid w:val="00B508A0"/>
    <w:rsid w:val="00B509FB"/>
    <w:rsid w:val="00B50B8D"/>
    <w:rsid w:val="00B50BCA"/>
    <w:rsid w:val="00B50E08"/>
    <w:rsid w:val="00B50EB1"/>
    <w:rsid w:val="00B50F1C"/>
    <w:rsid w:val="00B510CD"/>
    <w:rsid w:val="00B51160"/>
    <w:rsid w:val="00B51284"/>
    <w:rsid w:val="00B513A7"/>
    <w:rsid w:val="00B518A8"/>
    <w:rsid w:val="00B519E8"/>
    <w:rsid w:val="00B51B4E"/>
    <w:rsid w:val="00B51C0B"/>
    <w:rsid w:val="00B51D3A"/>
    <w:rsid w:val="00B51D6B"/>
    <w:rsid w:val="00B52012"/>
    <w:rsid w:val="00B524F9"/>
    <w:rsid w:val="00B526E7"/>
    <w:rsid w:val="00B52A0B"/>
    <w:rsid w:val="00B52C47"/>
    <w:rsid w:val="00B52F8D"/>
    <w:rsid w:val="00B530F7"/>
    <w:rsid w:val="00B5327C"/>
    <w:rsid w:val="00B5340B"/>
    <w:rsid w:val="00B53534"/>
    <w:rsid w:val="00B53591"/>
    <w:rsid w:val="00B53680"/>
    <w:rsid w:val="00B53804"/>
    <w:rsid w:val="00B53882"/>
    <w:rsid w:val="00B53891"/>
    <w:rsid w:val="00B538DA"/>
    <w:rsid w:val="00B5394D"/>
    <w:rsid w:val="00B53C18"/>
    <w:rsid w:val="00B53E72"/>
    <w:rsid w:val="00B53F1D"/>
    <w:rsid w:val="00B53F3E"/>
    <w:rsid w:val="00B542AD"/>
    <w:rsid w:val="00B54474"/>
    <w:rsid w:val="00B54552"/>
    <w:rsid w:val="00B54620"/>
    <w:rsid w:val="00B5466C"/>
    <w:rsid w:val="00B54673"/>
    <w:rsid w:val="00B54B41"/>
    <w:rsid w:val="00B54B47"/>
    <w:rsid w:val="00B54B8F"/>
    <w:rsid w:val="00B54CB7"/>
    <w:rsid w:val="00B54D1C"/>
    <w:rsid w:val="00B54E1E"/>
    <w:rsid w:val="00B552DF"/>
    <w:rsid w:val="00B5531A"/>
    <w:rsid w:val="00B5535A"/>
    <w:rsid w:val="00B555F2"/>
    <w:rsid w:val="00B557C1"/>
    <w:rsid w:val="00B559B9"/>
    <w:rsid w:val="00B55A50"/>
    <w:rsid w:val="00B55AA9"/>
    <w:rsid w:val="00B55CAA"/>
    <w:rsid w:val="00B55E28"/>
    <w:rsid w:val="00B55EEB"/>
    <w:rsid w:val="00B56528"/>
    <w:rsid w:val="00B5662C"/>
    <w:rsid w:val="00B5691C"/>
    <w:rsid w:val="00B569FB"/>
    <w:rsid w:val="00B56A51"/>
    <w:rsid w:val="00B56D04"/>
    <w:rsid w:val="00B56E38"/>
    <w:rsid w:val="00B56F62"/>
    <w:rsid w:val="00B56FDF"/>
    <w:rsid w:val="00B572FC"/>
    <w:rsid w:val="00B573E1"/>
    <w:rsid w:val="00B5767C"/>
    <w:rsid w:val="00B578B3"/>
    <w:rsid w:val="00B578E3"/>
    <w:rsid w:val="00B579AE"/>
    <w:rsid w:val="00B57A54"/>
    <w:rsid w:val="00B57C1D"/>
    <w:rsid w:val="00B57C9E"/>
    <w:rsid w:val="00B57DF3"/>
    <w:rsid w:val="00B57F47"/>
    <w:rsid w:val="00B60007"/>
    <w:rsid w:val="00B603A7"/>
    <w:rsid w:val="00B603F1"/>
    <w:rsid w:val="00B60474"/>
    <w:rsid w:val="00B60765"/>
    <w:rsid w:val="00B60A30"/>
    <w:rsid w:val="00B60B6C"/>
    <w:rsid w:val="00B60C7A"/>
    <w:rsid w:val="00B60D1C"/>
    <w:rsid w:val="00B60DCA"/>
    <w:rsid w:val="00B60EBE"/>
    <w:rsid w:val="00B610EF"/>
    <w:rsid w:val="00B61116"/>
    <w:rsid w:val="00B613DA"/>
    <w:rsid w:val="00B61407"/>
    <w:rsid w:val="00B61BEF"/>
    <w:rsid w:val="00B61DFA"/>
    <w:rsid w:val="00B61FB8"/>
    <w:rsid w:val="00B624A6"/>
    <w:rsid w:val="00B62768"/>
    <w:rsid w:val="00B6280E"/>
    <w:rsid w:val="00B62879"/>
    <w:rsid w:val="00B629C9"/>
    <w:rsid w:val="00B62CC2"/>
    <w:rsid w:val="00B62D8A"/>
    <w:rsid w:val="00B631BB"/>
    <w:rsid w:val="00B631EC"/>
    <w:rsid w:val="00B63224"/>
    <w:rsid w:val="00B636D5"/>
    <w:rsid w:val="00B63C68"/>
    <w:rsid w:val="00B63CDC"/>
    <w:rsid w:val="00B64108"/>
    <w:rsid w:val="00B64218"/>
    <w:rsid w:val="00B642DF"/>
    <w:rsid w:val="00B64310"/>
    <w:rsid w:val="00B643E6"/>
    <w:rsid w:val="00B643EA"/>
    <w:rsid w:val="00B64449"/>
    <w:rsid w:val="00B6444C"/>
    <w:rsid w:val="00B64555"/>
    <w:rsid w:val="00B645D1"/>
    <w:rsid w:val="00B647A6"/>
    <w:rsid w:val="00B647B2"/>
    <w:rsid w:val="00B64A3E"/>
    <w:rsid w:val="00B64A71"/>
    <w:rsid w:val="00B64AC9"/>
    <w:rsid w:val="00B64D5D"/>
    <w:rsid w:val="00B64F04"/>
    <w:rsid w:val="00B6520E"/>
    <w:rsid w:val="00B6526D"/>
    <w:rsid w:val="00B652F9"/>
    <w:rsid w:val="00B656BF"/>
    <w:rsid w:val="00B65747"/>
    <w:rsid w:val="00B657CD"/>
    <w:rsid w:val="00B657E6"/>
    <w:rsid w:val="00B65913"/>
    <w:rsid w:val="00B65932"/>
    <w:rsid w:val="00B659B0"/>
    <w:rsid w:val="00B65B34"/>
    <w:rsid w:val="00B65BEB"/>
    <w:rsid w:val="00B65E90"/>
    <w:rsid w:val="00B65F9D"/>
    <w:rsid w:val="00B661EE"/>
    <w:rsid w:val="00B665A8"/>
    <w:rsid w:val="00B665E3"/>
    <w:rsid w:val="00B66663"/>
    <w:rsid w:val="00B66790"/>
    <w:rsid w:val="00B6692E"/>
    <w:rsid w:val="00B669D5"/>
    <w:rsid w:val="00B66A32"/>
    <w:rsid w:val="00B66A5C"/>
    <w:rsid w:val="00B66BDD"/>
    <w:rsid w:val="00B66BFB"/>
    <w:rsid w:val="00B66C2B"/>
    <w:rsid w:val="00B66FA6"/>
    <w:rsid w:val="00B67056"/>
    <w:rsid w:val="00B673E7"/>
    <w:rsid w:val="00B6750C"/>
    <w:rsid w:val="00B67574"/>
    <w:rsid w:val="00B677DD"/>
    <w:rsid w:val="00B67ADE"/>
    <w:rsid w:val="00B67B39"/>
    <w:rsid w:val="00B67BB1"/>
    <w:rsid w:val="00B70074"/>
    <w:rsid w:val="00B70150"/>
    <w:rsid w:val="00B70464"/>
    <w:rsid w:val="00B70585"/>
    <w:rsid w:val="00B706C3"/>
    <w:rsid w:val="00B70828"/>
    <w:rsid w:val="00B709ED"/>
    <w:rsid w:val="00B70AD6"/>
    <w:rsid w:val="00B70B17"/>
    <w:rsid w:val="00B70BDC"/>
    <w:rsid w:val="00B70C9B"/>
    <w:rsid w:val="00B70CE0"/>
    <w:rsid w:val="00B70EFF"/>
    <w:rsid w:val="00B70FFD"/>
    <w:rsid w:val="00B7178C"/>
    <w:rsid w:val="00B7181E"/>
    <w:rsid w:val="00B718F8"/>
    <w:rsid w:val="00B719FC"/>
    <w:rsid w:val="00B71BCD"/>
    <w:rsid w:val="00B71C15"/>
    <w:rsid w:val="00B71DC3"/>
    <w:rsid w:val="00B71E25"/>
    <w:rsid w:val="00B71EB6"/>
    <w:rsid w:val="00B71F14"/>
    <w:rsid w:val="00B71FD3"/>
    <w:rsid w:val="00B72108"/>
    <w:rsid w:val="00B7241D"/>
    <w:rsid w:val="00B7277B"/>
    <w:rsid w:val="00B729FF"/>
    <w:rsid w:val="00B72C38"/>
    <w:rsid w:val="00B72D01"/>
    <w:rsid w:val="00B72E52"/>
    <w:rsid w:val="00B73097"/>
    <w:rsid w:val="00B730AC"/>
    <w:rsid w:val="00B730F3"/>
    <w:rsid w:val="00B73543"/>
    <w:rsid w:val="00B73635"/>
    <w:rsid w:val="00B7382A"/>
    <w:rsid w:val="00B73B43"/>
    <w:rsid w:val="00B73C8D"/>
    <w:rsid w:val="00B73CE5"/>
    <w:rsid w:val="00B73E6F"/>
    <w:rsid w:val="00B7417E"/>
    <w:rsid w:val="00B74190"/>
    <w:rsid w:val="00B74670"/>
    <w:rsid w:val="00B746D3"/>
    <w:rsid w:val="00B74849"/>
    <w:rsid w:val="00B749DE"/>
    <w:rsid w:val="00B74CB3"/>
    <w:rsid w:val="00B74F95"/>
    <w:rsid w:val="00B750AA"/>
    <w:rsid w:val="00B753B7"/>
    <w:rsid w:val="00B757F4"/>
    <w:rsid w:val="00B758B9"/>
    <w:rsid w:val="00B758E5"/>
    <w:rsid w:val="00B759C8"/>
    <w:rsid w:val="00B75BA7"/>
    <w:rsid w:val="00B75BCD"/>
    <w:rsid w:val="00B75D54"/>
    <w:rsid w:val="00B75F50"/>
    <w:rsid w:val="00B76022"/>
    <w:rsid w:val="00B7608D"/>
    <w:rsid w:val="00B7624F"/>
    <w:rsid w:val="00B762D4"/>
    <w:rsid w:val="00B7638E"/>
    <w:rsid w:val="00B763F0"/>
    <w:rsid w:val="00B7648E"/>
    <w:rsid w:val="00B764B4"/>
    <w:rsid w:val="00B76510"/>
    <w:rsid w:val="00B76601"/>
    <w:rsid w:val="00B76796"/>
    <w:rsid w:val="00B7681B"/>
    <w:rsid w:val="00B76ACB"/>
    <w:rsid w:val="00B76D44"/>
    <w:rsid w:val="00B76F07"/>
    <w:rsid w:val="00B76F9E"/>
    <w:rsid w:val="00B77033"/>
    <w:rsid w:val="00B7708B"/>
    <w:rsid w:val="00B77315"/>
    <w:rsid w:val="00B77317"/>
    <w:rsid w:val="00B773BC"/>
    <w:rsid w:val="00B77543"/>
    <w:rsid w:val="00B775B2"/>
    <w:rsid w:val="00B775C0"/>
    <w:rsid w:val="00B777A3"/>
    <w:rsid w:val="00B777E2"/>
    <w:rsid w:val="00B77CAB"/>
    <w:rsid w:val="00B77D42"/>
    <w:rsid w:val="00B77EC9"/>
    <w:rsid w:val="00B80190"/>
    <w:rsid w:val="00B80261"/>
    <w:rsid w:val="00B8048A"/>
    <w:rsid w:val="00B80582"/>
    <w:rsid w:val="00B80662"/>
    <w:rsid w:val="00B806CF"/>
    <w:rsid w:val="00B80942"/>
    <w:rsid w:val="00B80955"/>
    <w:rsid w:val="00B809A8"/>
    <w:rsid w:val="00B80BBA"/>
    <w:rsid w:val="00B80CB2"/>
    <w:rsid w:val="00B80D29"/>
    <w:rsid w:val="00B811B2"/>
    <w:rsid w:val="00B811CC"/>
    <w:rsid w:val="00B8124F"/>
    <w:rsid w:val="00B813D9"/>
    <w:rsid w:val="00B814E4"/>
    <w:rsid w:val="00B81541"/>
    <w:rsid w:val="00B81671"/>
    <w:rsid w:val="00B81741"/>
    <w:rsid w:val="00B81B3C"/>
    <w:rsid w:val="00B81CCF"/>
    <w:rsid w:val="00B81CD8"/>
    <w:rsid w:val="00B81D03"/>
    <w:rsid w:val="00B81D50"/>
    <w:rsid w:val="00B8209D"/>
    <w:rsid w:val="00B821A6"/>
    <w:rsid w:val="00B82223"/>
    <w:rsid w:val="00B823A3"/>
    <w:rsid w:val="00B825AC"/>
    <w:rsid w:val="00B82777"/>
    <w:rsid w:val="00B828F9"/>
    <w:rsid w:val="00B8292D"/>
    <w:rsid w:val="00B82A86"/>
    <w:rsid w:val="00B82AE7"/>
    <w:rsid w:val="00B82F73"/>
    <w:rsid w:val="00B82F76"/>
    <w:rsid w:val="00B8302A"/>
    <w:rsid w:val="00B8315B"/>
    <w:rsid w:val="00B831A4"/>
    <w:rsid w:val="00B831C2"/>
    <w:rsid w:val="00B8324F"/>
    <w:rsid w:val="00B8345F"/>
    <w:rsid w:val="00B8363C"/>
    <w:rsid w:val="00B83644"/>
    <w:rsid w:val="00B837FA"/>
    <w:rsid w:val="00B839DC"/>
    <w:rsid w:val="00B83B18"/>
    <w:rsid w:val="00B83B8C"/>
    <w:rsid w:val="00B83CD5"/>
    <w:rsid w:val="00B83F23"/>
    <w:rsid w:val="00B84223"/>
    <w:rsid w:val="00B842D2"/>
    <w:rsid w:val="00B8448A"/>
    <w:rsid w:val="00B844AE"/>
    <w:rsid w:val="00B844D7"/>
    <w:rsid w:val="00B8457B"/>
    <w:rsid w:val="00B845D0"/>
    <w:rsid w:val="00B845FB"/>
    <w:rsid w:val="00B8466F"/>
    <w:rsid w:val="00B846E0"/>
    <w:rsid w:val="00B847C4"/>
    <w:rsid w:val="00B8492C"/>
    <w:rsid w:val="00B84942"/>
    <w:rsid w:val="00B8499D"/>
    <w:rsid w:val="00B849C6"/>
    <w:rsid w:val="00B849F2"/>
    <w:rsid w:val="00B84F0E"/>
    <w:rsid w:val="00B851DD"/>
    <w:rsid w:val="00B85214"/>
    <w:rsid w:val="00B8535E"/>
    <w:rsid w:val="00B853E5"/>
    <w:rsid w:val="00B856E3"/>
    <w:rsid w:val="00B85DA5"/>
    <w:rsid w:val="00B85EA4"/>
    <w:rsid w:val="00B85F0C"/>
    <w:rsid w:val="00B86112"/>
    <w:rsid w:val="00B86277"/>
    <w:rsid w:val="00B863FD"/>
    <w:rsid w:val="00B866E9"/>
    <w:rsid w:val="00B86A2B"/>
    <w:rsid w:val="00B86C5D"/>
    <w:rsid w:val="00B86E02"/>
    <w:rsid w:val="00B86F54"/>
    <w:rsid w:val="00B87224"/>
    <w:rsid w:val="00B87249"/>
    <w:rsid w:val="00B87331"/>
    <w:rsid w:val="00B87375"/>
    <w:rsid w:val="00B874E2"/>
    <w:rsid w:val="00B87518"/>
    <w:rsid w:val="00B8759E"/>
    <w:rsid w:val="00B877ED"/>
    <w:rsid w:val="00B87ABF"/>
    <w:rsid w:val="00B87BAE"/>
    <w:rsid w:val="00B87C5B"/>
    <w:rsid w:val="00B87EB8"/>
    <w:rsid w:val="00B90187"/>
    <w:rsid w:val="00B901EF"/>
    <w:rsid w:val="00B90231"/>
    <w:rsid w:val="00B90406"/>
    <w:rsid w:val="00B90441"/>
    <w:rsid w:val="00B906AC"/>
    <w:rsid w:val="00B90701"/>
    <w:rsid w:val="00B907F8"/>
    <w:rsid w:val="00B908B0"/>
    <w:rsid w:val="00B90AC0"/>
    <w:rsid w:val="00B90C8A"/>
    <w:rsid w:val="00B9105D"/>
    <w:rsid w:val="00B91778"/>
    <w:rsid w:val="00B9194C"/>
    <w:rsid w:val="00B920AC"/>
    <w:rsid w:val="00B920F1"/>
    <w:rsid w:val="00B92257"/>
    <w:rsid w:val="00B9245D"/>
    <w:rsid w:val="00B924BF"/>
    <w:rsid w:val="00B9266E"/>
    <w:rsid w:val="00B92A40"/>
    <w:rsid w:val="00B92C27"/>
    <w:rsid w:val="00B92E25"/>
    <w:rsid w:val="00B92F5E"/>
    <w:rsid w:val="00B93006"/>
    <w:rsid w:val="00B930F5"/>
    <w:rsid w:val="00B931DB"/>
    <w:rsid w:val="00B93443"/>
    <w:rsid w:val="00B934EE"/>
    <w:rsid w:val="00B93583"/>
    <w:rsid w:val="00B9376A"/>
    <w:rsid w:val="00B93AEA"/>
    <w:rsid w:val="00B93BE9"/>
    <w:rsid w:val="00B93CD4"/>
    <w:rsid w:val="00B94083"/>
    <w:rsid w:val="00B94222"/>
    <w:rsid w:val="00B942B6"/>
    <w:rsid w:val="00B942ED"/>
    <w:rsid w:val="00B942EE"/>
    <w:rsid w:val="00B94882"/>
    <w:rsid w:val="00B94951"/>
    <w:rsid w:val="00B949E2"/>
    <w:rsid w:val="00B94AA4"/>
    <w:rsid w:val="00B94BA3"/>
    <w:rsid w:val="00B94C1F"/>
    <w:rsid w:val="00B94D45"/>
    <w:rsid w:val="00B94D68"/>
    <w:rsid w:val="00B94E75"/>
    <w:rsid w:val="00B94EBB"/>
    <w:rsid w:val="00B94EDD"/>
    <w:rsid w:val="00B94F70"/>
    <w:rsid w:val="00B950EB"/>
    <w:rsid w:val="00B9522F"/>
    <w:rsid w:val="00B952FF"/>
    <w:rsid w:val="00B95369"/>
    <w:rsid w:val="00B95401"/>
    <w:rsid w:val="00B9555F"/>
    <w:rsid w:val="00B95A70"/>
    <w:rsid w:val="00B95AFC"/>
    <w:rsid w:val="00B95B7D"/>
    <w:rsid w:val="00B95CFA"/>
    <w:rsid w:val="00B95D13"/>
    <w:rsid w:val="00B95F5A"/>
    <w:rsid w:val="00B96028"/>
    <w:rsid w:val="00B96366"/>
    <w:rsid w:val="00B96409"/>
    <w:rsid w:val="00B9641A"/>
    <w:rsid w:val="00B965F9"/>
    <w:rsid w:val="00B96AFF"/>
    <w:rsid w:val="00B96BCD"/>
    <w:rsid w:val="00B96D53"/>
    <w:rsid w:val="00B96E34"/>
    <w:rsid w:val="00B96EA6"/>
    <w:rsid w:val="00B972C8"/>
    <w:rsid w:val="00B972D9"/>
    <w:rsid w:val="00B9752B"/>
    <w:rsid w:val="00B9756E"/>
    <w:rsid w:val="00B97678"/>
    <w:rsid w:val="00B97789"/>
    <w:rsid w:val="00B977D0"/>
    <w:rsid w:val="00B978E2"/>
    <w:rsid w:val="00B9796C"/>
    <w:rsid w:val="00B97A61"/>
    <w:rsid w:val="00B97BF3"/>
    <w:rsid w:val="00B97C6B"/>
    <w:rsid w:val="00BA008A"/>
    <w:rsid w:val="00BA0472"/>
    <w:rsid w:val="00BA04E1"/>
    <w:rsid w:val="00BA059F"/>
    <w:rsid w:val="00BA05E0"/>
    <w:rsid w:val="00BA0677"/>
    <w:rsid w:val="00BA0874"/>
    <w:rsid w:val="00BA09AB"/>
    <w:rsid w:val="00BA09F6"/>
    <w:rsid w:val="00BA0A15"/>
    <w:rsid w:val="00BA0D9E"/>
    <w:rsid w:val="00BA100E"/>
    <w:rsid w:val="00BA1108"/>
    <w:rsid w:val="00BA113A"/>
    <w:rsid w:val="00BA12C7"/>
    <w:rsid w:val="00BA131B"/>
    <w:rsid w:val="00BA1363"/>
    <w:rsid w:val="00BA15A4"/>
    <w:rsid w:val="00BA164F"/>
    <w:rsid w:val="00BA179A"/>
    <w:rsid w:val="00BA17C0"/>
    <w:rsid w:val="00BA1855"/>
    <w:rsid w:val="00BA1933"/>
    <w:rsid w:val="00BA1B55"/>
    <w:rsid w:val="00BA1C93"/>
    <w:rsid w:val="00BA1CE9"/>
    <w:rsid w:val="00BA1F32"/>
    <w:rsid w:val="00BA2121"/>
    <w:rsid w:val="00BA218B"/>
    <w:rsid w:val="00BA21A6"/>
    <w:rsid w:val="00BA2466"/>
    <w:rsid w:val="00BA2521"/>
    <w:rsid w:val="00BA252C"/>
    <w:rsid w:val="00BA26B3"/>
    <w:rsid w:val="00BA2802"/>
    <w:rsid w:val="00BA2816"/>
    <w:rsid w:val="00BA29C9"/>
    <w:rsid w:val="00BA29E6"/>
    <w:rsid w:val="00BA2A1E"/>
    <w:rsid w:val="00BA2A7E"/>
    <w:rsid w:val="00BA2ACB"/>
    <w:rsid w:val="00BA2B2C"/>
    <w:rsid w:val="00BA2B58"/>
    <w:rsid w:val="00BA2E5E"/>
    <w:rsid w:val="00BA2EC9"/>
    <w:rsid w:val="00BA2FB6"/>
    <w:rsid w:val="00BA33C5"/>
    <w:rsid w:val="00BA33EB"/>
    <w:rsid w:val="00BA381A"/>
    <w:rsid w:val="00BA3B18"/>
    <w:rsid w:val="00BA3B7B"/>
    <w:rsid w:val="00BA3BDD"/>
    <w:rsid w:val="00BA3C79"/>
    <w:rsid w:val="00BA3CE6"/>
    <w:rsid w:val="00BA3E55"/>
    <w:rsid w:val="00BA3E6E"/>
    <w:rsid w:val="00BA4208"/>
    <w:rsid w:val="00BA424A"/>
    <w:rsid w:val="00BA443C"/>
    <w:rsid w:val="00BA44D1"/>
    <w:rsid w:val="00BA4648"/>
    <w:rsid w:val="00BA46F4"/>
    <w:rsid w:val="00BA48B9"/>
    <w:rsid w:val="00BA48CF"/>
    <w:rsid w:val="00BA4918"/>
    <w:rsid w:val="00BA498C"/>
    <w:rsid w:val="00BA49CC"/>
    <w:rsid w:val="00BA4AFF"/>
    <w:rsid w:val="00BA4B78"/>
    <w:rsid w:val="00BA4C2E"/>
    <w:rsid w:val="00BA4FA0"/>
    <w:rsid w:val="00BA533E"/>
    <w:rsid w:val="00BA5372"/>
    <w:rsid w:val="00BA5685"/>
    <w:rsid w:val="00BA575D"/>
    <w:rsid w:val="00BA5831"/>
    <w:rsid w:val="00BA59A1"/>
    <w:rsid w:val="00BA5A4D"/>
    <w:rsid w:val="00BA5A8E"/>
    <w:rsid w:val="00BA5AC1"/>
    <w:rsid w:val="00BA5B16"/>
    <w:rsid w:val="00BA5C13"/>
    <w:rsid w:val="00BA5C25"/>
    <w:rsid w:val="00BA5CA0"/>
    <w:rsid w:val="00BA5CB5"/>
    <w:rsid w:val="00BA607D"/>
    <w:rsid w:val="00BA61CC"/>
    <w:rsid w:val="00BA6691"/>
    <w:rsid w:val="00BA66EA"/>
    <w:rsid w:val="00BA6781"/>
    <w:rsid w:val="00BA6822"/>
    <w:rsid w:val="00BA69BC"/>
    <w:rsid w:val="00BA6E46"/>
    <w:rsid w:val="00BA6FF6"/>
    <w:rsid w:val="00BA7150"/>
    <w:rsid w:val="00BA716B"/>
    <w:rsid w:val="00BA73C6"/>
    <w:rsid w:val="00BA73D1"/>
    <w:rsid w:val="00BA7427"/>
    <w:rsid w:val="00BA77E3"/>
    <w:rsid w:val="00BA7A52"/>
    <w:rsid w:val="00BA7E63"/>
    <w:rsid w:val="00BA7F62"/>
    <w:rsid w:val="00BB0077"/>
    <w:rsid w:val="00BB016E"/>
    <w:rsid w:val="00BB03C2"/>
    <w:rsid w:val="00BB03C7"/>
    <w:rsid w:val="00BB0412"/>
    <w:rsid w:val="00BB0833"/>
    <w:rsid w:val="00BB0834"/>
    <w:rsid w:val="00BB0B02"/>
    <w:rsid w:val="00BB0B27"/>
    <w:rsid w:val="00BB0C4B"/>
    <w:rsid w:val="00BB1089"/>
    <w:rsid w:val="00BB1269"/>
    <w:rsid w:val="00BB1612"/>
    <w:rsid w:val="00BB16FA"/>
    <w:rsid w:val="00BB1729"/>
    <w:rsid w:val="00BB1A03"/>
    <w:rsid w:val="00BB1A7D"/>
    <w:rsid w:val="00BB1AE2"/>
    <w:rsid w:val="00BB1E93"/>
    <w:rsid w:val="00BB206B"/>
    <w:rsid w:val="00BB2087"/>
    <w:rsid w:val="00BB2118"/>
    <w:rsid w:val="00BB21AD"/>
    <w:rsid w:val="00BB2483"/>
    <w:rsid w:val="00BB2585"/>
    <w:rsid w:val="00BB25E8"/>
    <w:rsid w:val="00BB2800"/>
    <w:rsid w:val="00BB28B6"/>
    <w:rsid w:val="00BB28F2"/>
    <w:rsid w:val="00BB29D5"/>
    <w:rsid w:val="00BB2F2B"/>
    <w:rsid w:val="00BB2F44"/>
    <w:rsid w:val="00BB2FDD"/>
    <w:rsid w:val="00BB30B1"/>
    <w:rsid w:val="00BB315B"/>
    <w:rsid w:val="00BB329C"/>
    <w:rsid w:val="00BB3333"/>
    <w:rsid w:val="00BB354B"/>
    <w:rsid w:val="00BB3661"/>
    <w:rsid w:val="00BB3752"/>
    <w:rsid w:val="00BB3879"/>
    <w:rsid w:val="00BB38F7"/>
    <w:rsid w:val="00BB39F4"/>
    <w:rsid w:val="00BB3A34"/>
    <w:rsid w:val="00BB3B2A"/>
    <w:rsid w:val="00BB3D2A"/>
    <w:rsid w:val="00BB3D9D"/>
    <w:rsid w:val="00BB3ECC"/>
    <w:rsid w:val="00BB3FF4"/>
    <w:rsid w:val="00BB403B"/>
    <w:rsid w:val="00BB42C7"/>
    <w:rsid w:val="00BB453F"/>
    <w:rsid w:val="00BB46D0"/>
    <w:rsid w:val="00BB4700"/>
    <w:rsid w:val="00BB4A4E"/>
    <w:rsid w:val="00BB4AC9"/>
    <w:rsid w:val="00BB4B64"/>
    <w:rsid w:val="00BB4CE2"/>
    <w:rsid w:val="00BB4DF0"/>
    <w:rsid w:val="00BB4F84"/>
    <w:rsid w:val="00BB5043"/>
    <w:rsid w:val="00BB51B5"/>
    <w:rsid w:val="00BB55D0"/>
    <w:rsid w:val="00BB5662"/>
    <w:rsid w:val="00BB5770"/>
    <w:rsid w:val="00BB5974"/>
    <w:rsid w:val="00BB5ACE"/>
    <w:rsid w:val="00BB5B3F"/>
    <w:rsid w:val="00BB5C52"/>
    <w:rsid w:val="00BB5D38"/>
    <w:rsid w:val="00BB5F7F"/>
    <w:rsid w:val="00BB600D"/>
    <w:rsid w:val="00BB601E"/>
    <w:rsid w:val="00BB6117"/>
    <w:rsid w:val="00BB63BA"/>
    <w:rsid w:val="00BB63FD"/>
    <w:rsid w:val="00BB667B"/>
    <w:rsid w:val="00BB673E"/>
    <w:rsid w:val="00BB674C"/>
    <w:rsid w:val="00BB68A5"/>
    <w:rsid w:val="00BB695B"/>
    <w:rsid w:val="00BB6971"/>
    <w:rsid w:val="00BB6A84"/>
    <w:rsid w:val="00BB6C32"/>
    <w:rsid w:val="00BB6D05"/>
    <w:rsid w:val="00BB6D30"/>
    <w:rsid w:val="00BB6DEC"/>
    <w:rsid w:val="00BB7120"/>
    <w:rsid w:val="00BB7401"/>
    <w:rsid w:val="00BB74BE"/>
    <w:rsid w:val="00BB74F2"/>
    <w:rsid w:val="00BB76F3"/>
    <w:rsid w:val="00BB772E"/>
    <w:rsid w:val="00BB794A"/>
    <w:rsid w:val="00BB7A2D"/>
    <w:rsid w:val="00BB7A72"/>
    <w:rsid w:val="00BB7F67"/>
    <w:rsid w:val="00BC0023"/>
    <w:rsid w:val="00BC04AA"/>
    <w:rsid w:val="00BC05C8"/>
    <w:rsid w:val="00BC06BA"/>
    <w:rsid w:val="00BC073E"/>
    <w:rsid w:val="00BC0814"/>
    <w:rsid w:val="00BC09C2"/>
    <w:rsid w:val="00BC0A14"/>
    <w:rsid w:val="00BC0AC5"/>
    <w:rsid w:val="00BC0BAA"/>
    <w:rsid w:val="00BC0F79"/>
    <w:rsid w:val="00BC0FF7"/>
    <w:rsid w:val="00BC1009"/>
    <w:rsid w:val="00BC109A"/>
    <w:rsid w:val="00BC1118"/>
    <w:rsid w:val="00BC11A8"/>
    <w:rsid w:val="00BC12A5"/>
    <w:rsid w:val="00BC12C8"/>
    <w:rsid w:val="00BC135C"/>
    <w:rsid w:val="00BC13C6"/>
    <w:rsid w:val="00BC150E"/>
    <w:rsid w:val="00BC15D7"/>
    <w:rsid w:val="00BC1678"/>
    <w:rsid w:val="00BC16F5"/>
    <w:rsid w:val="00BC1818"/>
    <w:rsid w:val="00BC191C"/>
    <w:rsid w:val="00BC1A88"/>
    <w:rsid w:val="00BC1D42"/>
    <w:rsid w:val="00BC21AE"/>
    <w:rsid w:val="00BC2226"/>
    <w:rsid w:val="00BC2360"/>
    <w:rsid w:val="00BC237A"/>
    <w:rsid w:val="00BC23DA"/>
    <w:rsid w:val="00BC2684"/>
    <w:rsid w:val="00BC272E"/>
    <w:rsid w:val="00BC2C8D"/>
    <w:rsid w:val="00BC2D72"/>
    <w:rsid w:val="00BC2DD4"/>
    <w:rsid w:val="00BC2E1B"/>
    <w:rsid w:val="00BC2F38"/>
    <w:rsid w:val="00BC2F44"/>
    <w:rsid w:val="00BC3291"/>
    <w:rsid w:val="00BC355B"/>
    <w:rsid w:val="00BC3840"/>
    <w:rsid w:val="00BC3947"/>
    <w:rsid w:val="00BC39D5"/>
    <w:rsid w:val="00BC3A74"/>
    <w:rsid w:val="00BC3D76"/>
    <w:rsid w:val="00BC3E10"/>
    <w:rsid w:val="00BC3F86"/>
    <w:rsid w:val="00BC4588"/>
    <w:rsid w:val="00BC4940"/>
    <w:rsid w:val="00BC4B7C"/>
    <w:rsid w:val="00BC4C64"/>
    <w:rsid w:val="00BC4D1F"/>
    <w:rsid w:val="00BC50E5"/>
    <w:rsid w:val="00BC5116"/>
    <w:rsid w:val="00BC5176"/>
    <w:rsid w:val="00BC5186"/>
    <w:rsid w:val="00BC52BE"/>
    <w:rsid w:val="00BC5474"/>
    <w:rsid w:val="00BC5482"/>
    <w:rsid w:val="00BC5494"/>
    <w:rsid w:val="00BC550F"/>
    <w:rsid w:val="00BC5572"/>
    <w:rsid w:val="00BC56E8"/>
    <w:rsid w:val="00BC58E0"/>
    <w:rsid w:val="00BC5ACF"/>
    <w:rsid w:val="00BC5BBF"/>
    <w:rsid w:val="00BC5E8E"/>
    <w:rsid w:val="00BC611F"/>
    <w:rsid w:val="00BC61D8"/>
    <w:rsid w:val="00BC6C41"/>
    <w:rsid w:val="00BC7451"/>
    <w:rsid w:val="00BC74A8"/>
    <w:rsid w:val="00BC751C"/>
    <w:rsid w:val="00BC78B9"/>
    <w:rsid w:val="00BC78F5"/>
    <w:rsid w:val="00BC796F"/>
    <w:rsid w:val="00BC7AF7"/>
    <w:rsid w:val="00BC7CCE"/>
    <w:rsid w:val="00BC7D1E"/>
    <w:rsid w:val="00BC7FD7"/>
    <w:rsid w:val="00BD0241"/>
    <w:rsid w:val="00BD02AE"/>
    <w:rsid w:val="00BD0548"/>
    <w:rsid w:val="00BD0824"/>
    <w:rsid w:val="00BD0CAC"/>
    <w:rsid w:val="00BD0CDE"/>
    <w:rsid w:val="00BD0D2C"/>
    <w:rsid w:val="00BD0D4D"/>
    <w:rsid w:val="00BD0E46"/>
    <w:rsid w:val="00BD0E9F"/>
    <w:rsid w:val="00BD101A"/>
    <w:rsid w:val="00BD10BD"/>
    <w:rsid w:val="00BD1101"/>
    <w:rsid w:val="00BD12F0"/>
    <w:rsid w:val="00BD14D7"/>
    <w:rsid w:val="00BD178B"/>
    <w:rsid w:val="00BD1840"/>
    <w:rsid w:val="00BD19D0"/>
    <w:rsid w:val="00BD19E5"/>
    <w:rsid w:val="00BD1A0E"/>
    <w:rsid w:val="00BD1DF7"/>
    <w:rsid w:val="00BD1E3B"/>
    <w:rsid w:val="00BD1E92"/>
    <w:rsid w:val="00BD1EDB"/>
    <w:rsid w:val="00BD1F76"/>
    <w:rsid w:val="00BD20DC"/>
    <w:rsid w:val="00BD217B"/>
    <w:rsid w:val="00BD225E"/>
    <w:rsid w:val="00BD2349"/>
    <w:rsid w:val="00BD25DE"/>
    <w:rsid w:val="00BD2664"/>
    <w:rsid w:val="00BD2758"/>
    <w:rsid w:val="00BD2778"/>
    <w:rsid w:val="00BD2AA3"/>
    <w:rsid w:val="00BD2B12"/>
    <w:rsid w:val="00BD2DE3"/>
    <w:rsid w:val="00BD2EDF"/>
    <w:rsid w:val="00BD2EFE"/>
    <w:rsid w:val="00BD2F0E"/>
    <w:rsid w:val="00BD2FFD"/>
    <w:rsid w:val="00BD3412"/>
    <w:rsid w:val="00BD34FE"/>
    <w:rsid w:val="00BD35FC"/>
    <w:rsid w:val="00BD3761"/>
    <w:rsid w:val="00BD382F"/>
    <w:rsid w:val="00BD3846"/>
    <w:rsid w:val="00BD39DD"/>
    <w:rsid w:val="00BD3BFC"/>
    <w:rsid w:val="00BD3C20"/>
    <w:rsid w:val="00BD3D77"/>
    <w:rsid w:val="00BD4393"/>
    <w:rsid w:val="00BD4663"/>
    <w:rsid w:val="00BD473A"/>
    <w:rsid w:val="00BD4829"/>
    <w:rsid w:val="00BD48C2"/>
    <w:rsid w:val="00BD4A81"/>
    <w:rsid w:val="00BD4B3D"/>
    <w:rsid w:val="00BD528B"/>
    <w:rsid w:val="00BD5337"/>
    <w:rsid w:val="00BD541D"/>
    <w:rsid w:val="00BD56EB"/>
    <w:rsid w:val="00BD5BF6"/>
    <w:rsid w:val="00BD5EB5"/>
    <w:rsid w:val="00BD6396"/>
    <w:rsid w:val="00BD63DE"/>
    <w:rsid w:val="00BD6643"/>
    <w:rsid w:val="00BD66E2"/>
    <w:rsid w:val="00BD67CC"/>
    <w:rsid w:val="00BD6D42"/>
    <w:rsid w:val="00BD6DCA"/>
    <w:rsid w:val="00BD6E03"/>
    <w:rsid w:val="00BD6FCA"/>
    <w:rsid w:val="00BD70B0"/>
    <w:rsid w:val="00BD7455"/>
    <w:rsid w:val="00BD7673"/>
    <w:rsid w:val="00BD7688"/>
    <w:rsid w:val="00BD7852"/>
    <w:rsid w:val="00BD7918"/>
    <w:rsid w:val="00BD7B6E"/>
    <w:rsid w:val="00BD7C26"/>
    <w:rsid w:val="00BD7C30"/>
    <w:rsid w:val="00BD7C32"/>
    <w:rsid w:val="00BD7CB6"/>
    <w:rsid w:val="00BD7D27"/>
    <w:rsid w:val="00BD7E15"/>
    <w:rsid w:val="00BD7E8C"/>
    <w:rsid w:val="00BE00A1"/>
    <w:rsid w:val="00BE0124"/>
    <w:rsid w:val="00BE0136"/>
    <w:rsid w:val="00BE03B7"/>
    <w:rsid w:val="00BE03D8"/>
    <w:rsid w:val="00BE05B7"/>
    <w:rsid w:val="00BE067A"/>
    <w:rsid w:val="00BE06ED"/>
    <w:rsid w:val="00BE0918"/>
    <w:rsid w:val="00BE0981"/>
    <w:rsid w:val="00BE0CF8"/>
    <w:rsid w:val="00BE1078"/>
    <w:rsid w:val="00BE122A"/>
    <w:rsid w:val="00BE12B7"/>
    <w:rsid w:val="00BE13FE"/>
    <w:rsid w:val="00BE147E"/>
    <w:rsid w:val="00BE162C"/>
    <w:rsid w:val="00BE16BC"/>
    <w:rsid w:val="00BE173F"/>
    <w:rsid w:val="00BE17BB"/>
    <w:rsid w:val="00BE19F0"/>
    <w:rsid w:val="00BE1A91"/>
    <w:rsid w:val="00BE1B05"/>
    <w:rsid w:val="00BE20AE"/>
    <w:rsid w:val="00BE21FC"/>
    <w:rsid w:val="00BE230E"/>
    <w:rsid w:val="00BE248D"/>
    <w:rsid w:val="00BE24CB"/>
    <w:rsid w:val="00BE2778"/>
    <w:rsid w:val="00BE290E"/>
    <w:rsid w:val="00BE29A5"/>
    <w:rsid w:val="00BE2B82"/>
    <w:rsid w:val="00BE2DBF"/>
    <w:rsid w:val="00BE2F66"/>
    <w:rsid w:val="00BE30EE"/>
    <w:rsid w:val="00BE312A"/>
    <w:rsid w:val="00BE32B0"/>
    <w:rsid w:val="00BE32BD"/>
    <w:rsid w:val="00BE336B"/>
    <w:rsid w:val="00BE33A4"/>
    <w:rsid w:val="00BE3419"/>
    <w:rsid w:val="00BE349E"/>
    <w:rsid w:val="00BE3708"/>
    <w:rsid w:val="00BE374B"/>
    <w:rsid w:val="00BE38D0"/>
    <w:rsid w:val="00BE397C"/>
    <w:rsid w:val="00BE39F8"/>
    <w:rsid w:val="00BE3B69"/>
    <w:rsid w:val="00BE3C7F"/>
    <w:rsid w:val="00BE407B"/>
    <w:rsid w:val="00BE4201"/>
    <w:rsid w:val="00BE4446"/>
    <w:rsid w:val="00BE450B"/>
    <w:rsid w:val="00BE4920"/>
    <w:rsid w:val="00BE4D20"/>
    <w:rsid w:val="00BE4DBA"/>
    <w:rsid w:val="00BE4DC8"/>
    <w:rsid w:val="00BE506C"/>
    <w:rsid w:val="00BE5269"/>
    <w:rsid w:val="00BE52D2"/>
    <w:rsid w:val="00BE5516"/>
    <w:rsid w:val="00BE5589"/>
    <w:rsid w:val="00BE564E"/>
    <w:rsid w:val="00BE56E1"/>
    <w:rsid w:val="00BE56F7"/>
    <w:rsid w:val="00BE5834"/>
    <w:rsid w:val="00BE5880"/>
    <w:rsid w:val="00BE589D"/>
    <w:rsid w:val="00BE5A87"/>
    <w:rsid w:val="00BE5BE2"/>
    <w:rsid w:val="00BE5C60"/>
    <w:rsid w:val="00BE5ED6"/>
    <w:rsid w:val="00BE60F6"/>
    <w:rsid w:val="00BE610F"/>
    <w:rsid w:val="00BE61A9"/>
    <w:rsid w:val="00BE64F1"/>
    <w:rsid w:val="00BE6611"/>
    <w:rsid w:val="00BE68F7"/>
    <w:rsid w:val="00BE6B3E"/>
    <w:rsid w:val="00BE6B99"/>
    <w:rsid w:val="00BE6E1E"/>
    <w:rsid w:val="00BE6E99"/>
    <w:rsid w:val="00BE6FBA"/>
    <w:rsid w:val="00BE7136"/>
    <w:rsid w:val="00BE75E2"/>
    <w:rsid w:val="00BE762A"/>
    <w:rsid w:val="00BE785B"/>
    <w:rsid w:val="00BE7885"/>
    <w:rsid w:val="00BE792F"/>
    <w:rsid w:val="00BE7C6A"/>
    <w:rsid w:val="00BE7EE1"/>
    <w:rsid w:val="00BE7FCB"/>
    <w:rsid w:val="00BE7FE2"/>
    <w:rsid w:val="00BF01E0"/>
    <w:rsid w:val="00BF02CE"/>
    <w:rsid w:val="00BF049F"/>
    <w:rsid w:val="00BF0528"/>
    <w:rsid w:val="00BF057B"/>
    <w:rsid w:val="00BF07F1"/>
    <w:rsid w:val="00BF08E7"/>
    <w:rsid w:val="00BF08FF"/>
    <w:rsid w:val="00BF0951"/>
    <w:rsid w:val="00BF09AF"/>
    <w:rsid w:val="00BF0E99"/>
    <w:rsid w:val="00BF0F7F"/>
    <w:rsid w:val="00BF0FB0"/>
    <w:rsid w:val="00BF1041"/>
    <w:rsid w:val="00BF13CF"/>
    <w:rsid w:val="00BF1445"/>
    <w:rsid w:val="00BF171B"/>
    <w:rsid w:val="00BF18B5"/>
    <w:rsid w:val="00BF1A75"/>
    <w:rsid w:val="00BF1AB7"/>
    <w:rsid w:val="00BF1B17"/>
    <w:rsid w:val="00BF1C58"/>
    <w:rsid w:val="00BF1E23"/>
    <w:rsid w:val="00BF1E9F"/>
    <w:rsid w:val="00BF1ED4"/>
    <w:rsid w:val="00BF1F18"/>
    <w:rsid w:val="00BF1F7E"/>
    <w:rsid w:val="00BF20CA"/>
    <w:rsid w:val="00BF21C2"/>
    <w:rsid w:val="00BF21F0"/>
    <w:rsid w:val="00BF2289"/>
    <w:rsid w:val="00BF2497"/>
    <w:rsid w:val="00BF24F7"/>
    <w:rsid w:val="00BF2501"/>
    <w:rsid w:val="00BF2503"/>
    <w:rsid w:val="00BF2657"/>
    <w:rsid w:val="00BF278F"/>
    <w:rsid w:val="00BF29FC"/>
    <w:rsid w:val="00BF2A44"/>
    <w:rsid w:val="00BF2B87"/>
    <w:rsid w:val="00BF2C4D"/>
    <w:rsid w:val="00BF2C66"/>
    <w:rsid w:val="00BF2F67"/>
    <w:rsid w:val="00BF2FC5"/>
    <w:rsid w:val="00BF3066"/>
    <w:rsid w:val="00BF31B6"/>
    <w:rsid w:val="00BF3335"/>
    <w:rsid w:val="00BF34CC"/>
    <w:rsid w:val="00BF3590"/>
    <w:rsid w:val="00BF3623"/>
    <w:rsid w:val="00BF3761"/>
    <w:rsid w:val="00BF3940"/>
    <w:rsid w:val="00BF3ACD"/>
    <w:rsid w:val="00BF3BD5"/>
    <w:rsid w:val="00BF3DCF"/>
    <w:rsid w:val="00BF3E93"/>
    <w:rsid w:val="00BF3EF2"/>
    <w:rsid w:val="00BF4064"/>
    <w:rsid w:val="00BF40C2"/>
    <w:rsid w:val="00BF40CC"/>
    <w:rsid w:val="00BF40F4"/>
    <w:rsid w:val="00BF4343"/>
    <w:rsid w:val="00BF44E3"/>
    <w:rsid w:val="00BF453C"/>
    <w:rsid w:val="00BF4578"/>
    <w:rsid w:val="00BF4695"/>
    <w:rsid w:val="00BF4959"/>
    <w:rsid w:val="00BF49D2"/>
    <w:rsid w:val="00BF4B03"/>
    <w:rsid w:val="00BF4C08"/>
    <w:rsid w:val="00BF4E9C"/>
    <w:rsid w:val="00BF5281"/>
    <w:rsid w:val="00BF536F"/>
    <w:rsid w:val="00BF5385"/>
    <w:rsid w:val="00BF5527"/>
    <w:rsid w:val="00BF55C8"/>
    <w:rsid w:val="00BF5679"/>
    <w:rsid w:val="00BF56F5"/>
    <w:rsid w:val="00BF5883"/>
    <w:rsid w:val="00BF58E7"/>
    <w:rsid w:val="00BF59AA"/>
    <w:rsid w:val="00BF5AE7"/>
    <w:rsid w:val="00BF5C49"/>
    <w:rsid w:val="00BF6076"/>
    <w:rsid w:val="00BF62BB"/>
    <w:rsid w:val="00BF64C6"/>
    <w:rsid w:val="00BF6553"/>
    <w:rsid w:val="00BF662C"/>
    <w:rsid w:val="00BF6B07"/>
    <w:rsid w:val="00BF6CC6"/>
    <w:rsid w:val="00BF6F89"/>
    <w:rsid w:val="00BF7082"/>
    <w:rsid w:val="00BF70D8"/>
    <w:rsid w:val="00BF7110"/>
    <w:rsid w:val="00BF73AD"/>
    <w:rsid w:val="00BF748F"/>
    <w:rsid w:val="00BF76A0"/>
    <w:rsid w:val="00BF76D6"/>
    <w:rsid w:val="00BF76E6"/>
    <w:rsid w:val="00BF7737"/>
    <w:rsid w:val="00BF7766"/>
    <w:rsid w:val="00BF7CFE"/>
    <w:rsid w:val="00BF7D59"/>
    <w:rsid w:val="00BF7ED1"/>
    <w:rsid w:val="00C00019"/>
    <w:rsid w:val="00C001AD"/>
    <w:rsid w:val="00C003B1"/>
    <w:rsid w:val="00C00555"/>
    <w:rsid w:val="00C008E2"/>
    <w:rsid w:val="00C00BCC"/>
    <w:rsid w:val="00C00E11"/>
    <w:rsid w:val="00C00F7D"/>
    <w:rsid w:val="00C0124A"/>
    <w:rsid w:val="00C01293"/>
    <w:rsid w:val="00C014D3"/>
    <w:rsid w:val="00C014E2"/>
    <w:rsid w:val="00C01661"/>
    <w:rsid w:val="00C016EB"/>
    <w:rsid w:val="00C01977"/>
    <w:rsid w:val="00C01A28"/>
    <w:rsid w:val="00C01C37"/>
    <w:rsid w:val="00C01C3A"/>
    <w:rsid w:val="00C01CCB"/>
    <w:rsid w:val="00C01CEE"/>
    <w:rsid w:val="00C01D9F"/>
    <w:rsid w:val="00C020F6"/>
    <w:rsid w:val="00C02249"/>
    <w:rsid w:val="00C02437"/>
    <w:rsid w:val="00C02508"/>
    <w:rsid w:val="00C02545"/>
    <w:rsid w:val="00C028E6"/>
    <w:rsid w:val="00C02994"/>
    <w:rsid w:val="00C029C4"/>
    <w:rsid w:val="00C029D4"/>
    <w:rsid w:val="00C02B96"/>
    <w:rsid w:val="00C02D0C"/>
    <w:rsid w:val="00C02D26"/>
    <w:rsid w:val="00C02D9D"/>
    <w:rsid w:val="00C02DDC"/>
    <w:rsid w:val="00C02EF0"/>
    <w:rsid w:val="00C031B0"/>
    <w:rsid w:val="00C0320A"/>
    <w:rsid w:val="00C0324E"/>
    <w:rsid w:val="00C03254"/>
    <w:rsid w:val="00C03307"/>
    <w:rsid w:val="00C0331B"/>
    <w:rsid w:val="00C033D8"/>
    <w:rsid w:val="00C03485"/>
    <w:rsid w:val="00C03527"/>
    <w:rsid w:val="00C037DF"/>
    <w:rsid w:val="00C03A36"/>
    <w:rsid w:val="00C03A62"/>
    <w:rsid w:val="00C03F06"/>
    <w:rsid w:val="00C0410D"/>
    <w:rsid w:val="00C0419B"/>
    <w:rsid w:val="00C041F6"/>
    <w:rsid w:val="00C043F3"/>
    <w:rsid w:val="00C04497"/>
    <w:rsid w:val="00C04884"/>
    <w:rsid w:val="00C049C0"/>
    <w:rsid w:val="00C04AC4"/>
    <w:rsid w:val="00C04AEC"/>
    <w:rsid w:val="00C04E56"/>
    <w:rsid w:val="00C04F62"/>
    <w:rsid w:val="00C0507C"/>
    <w:rsid w:val="00C05531"/>
    <w:rsid w:val="00C05651"/>
    <w:rsid w:val="00C059D9"/>
    <w:rsid w:val="00C05A0A"/>
    <w:rsid w:val="00C05ED7"/>
    <w:rsid w:val="00C05F88"/>
    <w:rsid w:val="00C05FB8"/>
    <w:rsid w:val="00C06069"/>
    <w:rsid w:val="00C062AD"/>
    <w:rsid w:val="00C0648D"/>
    <w:rsid w:val="00C06547"/>
    <w:rsid w:val="00C06562"/>
    <w:rsid w:val="00C065DA"/>
    <w:rsid w:val="00C06763"/>
    <w:rsid w:val="00C067F9"/>
    <w:rsid w:val="00C06A73"/>
    <w:rsid w:val="00C06C5A"/>
    <w:rsid w:val="00C06D6D"/>
    <w:rsid w:val="00C06E97"/>
    <w:rsid w:val="00C06EE7"/>
    <w:rsid w:val="00C06F4A"/>
    <w:rsid w:val="00C0706E"/>
    <w:rsid w:val="00C0719E"/>
    <w:rsid w:val="00C075A8"/>
    <w:rsid w:val="00C07C1A"/>
    <w:rsid w:val="00C07C34"/>
    <w:rsid w:val="00C07E26"/>
    <w:rsid w:val="00C07E9B"/>
    <w:rsid w:val="00C106F2"/>
    <w:rsid w:val="00C10762"/>
    <w:rsid w:val="00C10AC6"/>
    <w:rsid w:val="00C10ADC"/>
    <w:rsid w:val="00C10BEC"/>
    <w:rsid w:val="00C10E3A"/>
    <w:rsid w:val="00C110C6"/>
    <w:rsid w:val="00C113A2"/>
    <w:rsid w:val="00C11591"/>
    <w:rsid w:val="00C117F9"/>
    <w:rsid w:val="00C11898"/>
    <w:rsid w:val="00C118BC"/>
    <w:rsid w:val="00C11B3E"/>
    <w:rsid w:val="00C11B9D"/>
    <w:rsid w:val="00C11DF1"/>
    <w:rsid w:val="00C11F74"/>
    <w:rsid w:val="00C12040"/>
    <w:rsid w:val="00C1211D"/>
    <w:rsid w:val="00C12212"/>
    <w:rsid w:val="00C12222"/>
    <w:rsid w:val="00C12348"/>
    <w:rsid w:val="00C125D6"/>
    <w:rsid w:val="00C126B8"/>
    <w:rsid w:val="00C12817"/>
    <w:rsid w:val="00C12903"/>
    <w:rsid w:val="00C12975"/>
    <w:rsid w:val="00C129CF"/>
    <w:rsid w:val="00C12A3D"/>
    <w:rsid w:val="00C12BA1"/>
    <w:rsid w:val="00C12D36"/>
    <w:rsid w:val="00C12E88"/>
    <w:rsid w:val="00C12E91"/>
    <w:rsid w:val="00C12EDB"/>
    <w:rsid w:val="00C12F80"/>
    <w:rsid w:val="00C1334A"/>
    <w:rsid w:val="00C133C2"/>
    <w:rsid w:val="00C135E5"/>
    <w:rsid w:val="00C1362A"/>
    <w:rsid w:val="00C1397D"/>
    <w:rsid w:val="00C13B66"/>
    <w:rsid w:val="00C13C62"/>
    <w:rsid w:val="00C13F22"/>
    <w:rsid w:val="00C13F55"/>
    <w:rsid w:val="00C13FA1"/>
    <w:rsid w:val="00C14025"/>
    <w:rsid w:val="00C140D0"/>
    <w:rsid w:val="00C1448B"/>
    <w:rsid w:val="00C145C3"/>
    <w:rsid w:val="00C1481B"/>
    <w:rsid w:val="00C148A6"/>
    <w:rsid w:val="00C14ADF"/>
    <w:rsid w:val="00C14CD0"/>
    <w:rsid w:val="00C14DBF"/>
    <w:rsid w:val="00C14E1C"/>
    <w:rsid w:val="00C14E4A"/>
    <w:rsid w:val="00C151CE"/>
    <w:rsid w:val="00C152DE"/>
    <w:rsid w:val="00C15736"/>
    <w:rsid w:val="00C158DE"/>
    <w:rsid w:val="00C15954"/>
    <w:rsid w:val="00C159C8"/>
    <w:rsid w:val="00C15CCF"/>
    <w:rsid w:val="00C15D58"/>
    <w:rsid w:val="00C15E5A"/>
    <w:rsid w:val="00C15F0C"/>
    <w:rsid w:val="00C160FE"/>
    <w:rsid w:val="00C16107"/>
    <w:rsid w:val="00C1668A"/>
    <w:rsid w:val="00C1668D"/>
    <w:rsid w:val="00C16AB4"/>
    <w:rsid w:val="00C16BCD"/>
    <w:rsid w:val="00C16BE6"/>
    <w:rsid w:val="00C16CDB"/>
    <w:rsid w:val="00C16D19"/>
    <w:rsid w:val="00C16F8E"/>
    <w:rsid w:val="00C171D4"/>
    <w:rsid w:val="00C17771"/>
    <w:rsid w:val="00C17823"/>
    <w:rsid w:val="00C17B79"/>
    <w:rsid w:val="00C17BAB"/>
    <w:rsid w:val="00C17D00"/>
    <w:rsid w:val="00C17D03"/>
    <w:rsid w:val="00C2016F"/>
    <w:rsid w:val="00C203DE"/>
    <w:rsid w:val="00C203F0"/>
    <w:rsid w:val="00C2050E"/>
    <w:rsid w:val="00C20561"/>
    <w:rsid w:val="00C2061D"/>
    <w:rsid w:val="00C206EB"/>
    <w:rsid w:val="00C20903"/>
    <w:rsid w:val="00C20A51"/>
    <w:rsid w:val="00C20B0D"/>
    <w:rsid w:val="00C20FE1"/>
    <w:rsid w:val="00C210F5"/>
    <w:rsid w:val="00C21170"/>
    <w:rsid w:val="00C214B7"/>
    <w:rsid w:val="00C215A4"/>
    <w:rsid w:val="00C216CF"/>
    <w:rsid w:val="00C21777"/>
    <w:rsid w:val="00C21850"/>
    <w:rsid w:val="00C21939"/>
    <w:rsid w:val="00C2198E"/>
    <w:rsid w:val="00C21CA5"/>
    <w:rsid w:val="00C21CBD"/>
    <w:rsid w:val="00C21CD8"/>
    <w:rsid w:val="00C21F68"/>
    <w:rsid w:val="00C22003"/>
    <w:rsid w:val="00C22287"/>
    <w:rsid w:val="00C2254C"/>
    <w:rsid w:val="00C22692"/>
    <w:rsid w:val="00C226A6"/>
    <w:rsid w:val="00C227A2"/>
    <w:rsid w:val="00C22887"/>
    <w:rsid w:val="00C22890"/>
    <w:rsid w:val="00C22B99"/>
    <w:rsid w:val="00C22BBE"/>
    <w:rsid w:val="00C22C12"/>
    <w:rsid w:val="00C22DD0"/>
    <w:rsid w:val="00C22FFF"/>
    <w:rsid w:val="00C23050"/>
    <w:rsid w:val="00C2332D"/>
    <w:rsid w:val="00C233E1"/>
    <w:rsid w:val="00C2346D"/>
    <w:rsid w:val="00C23549"/>
    <w:rsid w:val="00C239FE"/>
    <w:rsid w:val="00C23B8D"/>
    <w:rsid w:val="00C23C87"/>
    <w:rsid w:val="00C24028"/>
    <w:rsid w:val="00C241FC"/>
    <w:rsid w:val="00C24842"/>
    <w:rsid w:val="00C2498D"/>
    <w:rsid w:val="00C24B0D"/>
    <w:rsid w:val="00C24C5C"/>
    <w:rsid w:val="00C25413"/>
    <w:rsid w:val="00C258B3"/>
    <w:rsid w:val="00C25A23"/>
    <w:rsid w:val="00C25CA2"/>
    <w:rsid w:val="00C25CA4"/>
    <w:rsid w:val="00C25D79"/>
    <w:rsid w:val="00C25DF6"/>
    <w:rsid w:val="00C25E63"/>
    <w:rsid w:val="00C25E7C"/>
    <w:rsid w:val="00C25EC9"/>
    <w:rsid w:val="00C25F6D"/>
    <w:rsid w:val="00C2618E"/>
    <w:rsid w:val="00C261F7"/>
    <w:rsid w:val="00C262D3"/>
    <w:rsid w:val="00C264E4"/>
    <w:rsid w:val="00C26725"/>
    <w:rsid w:val="00C26761"/>
    <w:rsid w:val="00C268D8"/>
    <w:rsid w:val="00C2694C"/>
    <w:rsid w:val="00C26C82"/>
    <w:rsid w:val="00C26D1A"/>
    <w:rsid w:val="00C26FD8"/>
    <w:rsid w:val="00C270BA"/>
    <w:rsid w:val="00C2715C"/>
    <w:rsid w:val="00C27308"/>
    <w:rsid w:val="00C2732E"/>
    <w:rsid w:val="00C27470"/>
    <w:rsid w:val="00C274B0"/>
    <w:rsid w:val="00C274BE"/>
    <w:rsid w:val="00C27576"/>
    <w:rsid w:val="00C276F1"/>
    <w:rsid w:val="00C27A57"/>
    <w:rsid w:val="00C27D61"/>
    <w:rsid w:val="00C27FD5"/>
    <w:rsid w:val="00C30076"/>
    <w:rsid w:val="00C3008B"/>
    <w:rsid w:val="00C30154"/>
    <w:rsid w:val="00C3049D"/>
    <w:rsid w:val="00C304C5"/>
    <w:rsid w:val="00C306F2"/>
    <w:rsid w:val="00C30704"/>
    <w:rsid w:val="00C30955"/>
    <w:rsid w:val="00C3097E"/>
    <w:rsid w:val="00C30A12"/>
    <w:rsid w:val="00C30A3F"/>
    <w:rsid w:val="00C30AC3"/>
    <w:rsid w:val="00C30C9A"/>
    <w:rsid w:val="00C30CE6"/>
    <w:rsid w:val="00C30D0C"/>
    <w:rsid w:val="00C30D74"/>
    <w:rsid w:val="00C30DDA"/>
    <w:rsid w:val="00C31296"/>
    <w:rsid w:val="00C31309"/>
    <w:rsid w:val="00C3172C"/>
    <w:rsid w:val="00C317BA"/>
    <w:rsid w:val="00C31859"/>
    <w:rsid w:val="00C3189F"/>
    <w:rsid w:val="00C318C1"/>
    <w:rsid w:val="00C31EEB"/>
    <w:rsid w:val="00C32253"/>
    <w:rsid w:val="00C324A4"/>
    <w:rsid w:val="00C3269C"/>
    <w:rsid w:val="00C326F9"/>
    <w:rsid w:val="00C3278D"/>
    <w:rsid w:val="00C32A5E"/>
    <w:rsid w:val="00C32C2D"/>
    <w:rsid w:val="00C32DB3"/>
    <w:rsid w:val="00C32EFB"/>
    <w:rsid w:val="00C32F67"/>
    <w:rsid w:val="00C33153"/>
    <w:rsid w:val="00C33199"/>
    <w:rsid w:val="00C331D7"/>
    <w:rsid w:val="00C33243"/>
    <w:rsid w:val="00C3347E"/>
    <w:rsid w:val="00C334A7"/>
    <w:rsid w:val="00C33768"/>
    <w:rsid w:val="00C338B0"/>
    <w:rsid w:val="00C338B9"/>
    <w:rsid w:val="00C33A45"/>
    <w:rsid w:val="00C33A57"/>
    <w:rsid w:val="00C33C7C"/>
    <w:rsid w:val="00C33DD4"/>
    <w:rsid w:val="00C33E23"/>
    <w:rsid w:val="00C33F04"/>
    <w:rsid w:val="00C33FF0"/>
    <w:rsid w:val="00C340A9"/>
    <w:rsid w:val="00C34230"/>
    <w:rsid w:val="00C34259"/>
    <w:rsid w:val="00C342EB"/>
    <w:rsid w:val="00C34323"/>
    <w:rsid w:val="00C3459D"/>
    <w:rsid w:val="00C347C0"/>
    <w:rsid w:val="00C3498E"/>
    <w:rsid w:val="00C349E8"/>
    <w:rsid w:val="00C349EE"/>
    <w:rsid w:val="00C34A05"/>
    <w:rsid w:val="00C34A8A"/>
    <w:rsid w:val="00C34C8A"/>
    <w:rsid w:val="00C34D22"/>
    <w:rsid w:val="00C34D2C"/>
    <w:rsid w:val="00C34D59"/>
    <w:rsid w:val="00C34DB9"/>
    <w:rsid w:val="00C34F8E"/>
    <w:rsid w:val="00C351D3"/>
    <w:rsid w:val="00C35472"/>
    <w:rsid w:val="00C3570F"/>
    <w:rsid w:val="00C35A2D"/>
    <w:rsid w:val="00C35A78"/>
    <w:rsid w:val="00C35B23"/>
    <w:rsid w:val="00C360DE"/>
    <w:rsid w:val="00C36608"/>
    <w:rsid w:val="00C366B9"/>
    <w:rsid w:val="00C36721"/>
    <w:rsid w:val="00C36898"/>
    <w:rsid w:val="00C36C13"/>
    <w:rsid w:val="00C36D2C"/>
    <w:rsid w:val="00C36EA8"/>
    <w:rsid w:val="00C36F87"/>
    <w:rsid w:val="00C36F96"/>
    <w:rsid w:val="00C36F9E"/>
    <w:rsid w:val="00C3702C"/>
    <w:rsid w:val="00C3707D"/>
    <w:rsid w:val="00C37324"/>
    <w:rsid w:val="00C374C0"/>
    <w:rsid w:val="00C377BC"/>
    <w:rsid w:val="00C377CA"/>
    <w:rsid w:val="00C37878"/>
    <w:rsid w:val="00C37941"/>
    <w:rsid w:val="00C37A1F"/>
    <w:rsid w:val="00C37B0F"/>
    <w:rsid w:val="00C37C97"/>
    <w:rsid w:val="00C37D0E"/>
    <w:rsid w:val="00C37D8A"/>
    <w:rsid w:val="00C37DD5"/>
    <w:rsid w:val="00C37DDB"/>
    <w:rsid w:val="00C40057"/>
    <w:rsid w:val="00C4012B"/>
    <w:rsid w:val="00C4012F"/>
    <w:rsid w:val="00C40395"/>
    <w:rsid w:val="00C4061C"/>
    <w:rsid w:val="00C407AB"/>
    <w:rsid w:val="00C409E5"/>
    <w:rsid w:val="00C40A3A"/>
    <w:rsid w:val="00C40ACA"/>
    <w:rsid w:val="00C40C92"/>
    <w:rsid w:val="00C40D52"/>
    <w:rsid w:val="00C40EC1"/>
    <w:rsid w:val="00C40FDF"/>
    <w:rsid w:val="00C410B6"/>
    <w:rsid w:val="00C411F7"/>
    <w:rsid w:val="00C41272"/>
    <w:rsid w:val="00C41339"/>
    <w:rsid w:val="00C41345"/>
    <w:rsid w:val="00C4158B"/>
    <w:rsid w:val="00C4176A"/>
    <w:rsid w:val="00C4177F"/>
    <w:rsid w:val="00C41941"/>
    <w:rsid w:val="00C41A28"/>
    <w:rsid w:val="00C41A62"/>
    <w:rsid w:val="00C41A74"/>
    <w:rsid w:val="00C41B6D"/>
    <w:rsid w:val="00C41D2D"/>
    <w:rsid w:val="00C41D59"/>
    <w:rsid w:val="00C41DD5"/>
    <w:rsid w:val="00C41FBF"/>
    <w:rsid w:val="00C4238D"/>
    <w:rsid w:val="00C424F0"/>
    <w:rsid w:val="00C425A9"/>
    <w:rsid w:val="00C426B2"/>
    <w:rsid w:val="00C42878"/>
    <w:rsid w:val="00C42912"/>
    <w:rsid w:val="00C429DF"/>
    <w:rsid w:val="00C429EF"/>
    <w:rsid w:val="00C42D15"/>
    <w:rsid w:val="00C42DC4"/>
    <w:rsid w:val="00C42E28"/>
    <w:rsid w:val="00C42FAA"/>
    <w:rsid w:val="00C43013"/>
    <w:rsid w:val="00C43233"/>
    <w:rsid w:val="00C43604"/>
    <w:rsid w:val="00C438D2"/>
    <w:rsid w:val="00C43B02"/>
    <w:rsid w:val="00C43C7B"/>
    <w:rsid w:val="00C43CBC"/>
    <w:rsid w:val="00C43D91"/>
    <w:rsid w:val="00C43EE9"/>
    <w:rsid w:val="00C43F63"/>
    <w:rsid w:val="00C44000"/>
    <w:rsid w:val="00C441A9"/>
    <w:rsid w:val="00C44293"/>
    <w:rsid w:val="00C44640"/>
    <w:rsid w:val="00C449B7"/>
    <w:rsid w:val="00C449C7"/>
    <w:rsid w:val="00C4503E"/>
    <w:rsid w:val="00C45251"/>
    <w:rsid w:val="00C453E7"/>
    <w:rsid w:val="00C455B4"/>
    <w:rsid w:val="00C45767"/>
    <w:rsid w:val="00C457B1"/>
    <w:rsid w:val="00C45876"/>
    <w:rsid w:val="00C45D41"/>
    <w:rsid w:val="00C4617F"/>
    <w:rsid w:val="00C4618A"/>
    <w:rsid w:val="00C4630D"/>
    <w:rsid w:val="00C4650A"/>
    <w:rsid w:val="00C466D8"/>
    <w:rsid w:val="00C466E5"/>
    <w:rsid w:val="00C46955"/>
    <w:rsid w:val="00C469A7"/>
    <w:rsid w:val="00C469D2"/>
    <w:rsid w:val="00C469F3"/>
    <w:rsid w:val="00C46C96"/>
    <w:rsid w:val="00C46DFE"/>
    <w:rsid w:val="00C46F4B"/>
    <w:rsid w:val="00C473CA"/>
    <w:rsid w:val="00C47663"/>
    <w:rsid w:val="00C47835"/>
    <w:rsid w:val="00C4790B"/>
    <w:rsid w:val="00C47DC7"/>
    <w:rsid w:val="00C47F68"/>
    <w:rsid w:val="00C50215"/>
    <w:rsid w:val="00C50293"/>
    <w:rsid w:val="00C50345"/>
    <w:rsid w:val="00C5052B"/>
    <w:rsid w:val="00C50854"/>
    <w:rsid w:val="00C50951"/>
    <w:rsid w:val="00C50A64"/>
    <w:rsid w:val="00C50AD8"/>
    <w:rsid w:val="00C50BA3"/>
    <w:rsid w:val="00C50C80"/>
    <w:rsid w:val="00C50D33"/>
    <w:rsid w:val="00C50FA4"/>
    <w:rsid w:val="00C510AB"/>
    <w:rsid w:val="00C51153"/>
    <w:rsid w:val="00C51344"/>
    <w:rsid w:val="00C5139E"/>
    <w:rsid w:val="00C51514"/>
    <w:rsid w:val="00C5164B"/>
    <w:rsid w:val="00C51776"/>
    <w:rsid w:val="00C51A3B"/>
    <w:rsid w:val="00C51B8E"/>
    <w:rsid w:val="00C51BA1"/>
    <w:rsid w:val="00C51C4F"/>
    <w:rsid w:val="00C51C56"/>
    <w:rsid w:val="00C51E7C"/>
    <w:rsid w:val="00C51F58"/>
    <w:rsid w:val="00C51F63"/>
    <w:rsid w:val="00C5202F"/>
    <w:rsid w:val="00C520B4"/>
    <w:rsid w:val="00C52679"/>
    <w:rsid w:val="00C526B7"/>
    <w:rsid w:val="00C52798"/>
    <w:rsid w:val="00C527E7"/>
    <w:rsid w:val="00C52B45"/>
    <w:rsid w:val="00C52C92"/>
    <w:rsid w:val="00C52CC8"/>
    <w:rsid w:val="00C52DF6"/>
    <w:rsid w:val="00C52FB0"/>
    <w:rsid w:val="00C52FE2"/>
    <w:rsid w:val="00C53113"/>
    <w:rsid w:val="00C531D5"/>
    <w:rsid w:val="00C53207"/>
    <w:rsid w:val="00C53256"/>
    <w:rsid w:val="00C5330C"/>
    <w:rsid w:val="00C538D5"/>
    <w:rsid w:val="00C539BE"/>
    <w:rsid w:val="00C53ABC"/>
    <w:rsid w:val="00C53C03"/>
    <w:rsid w:val="00C53C21"/>
    <w:rsid w:val="00C53D61"/>
    <w:rsid w:val="00C53E4E"/>
    <w:rsid w:val="00C53FC8"/>
    <w:rsid w:val="00C54074"/>
    <w:rsid w:val="00C540F3"/>
    <w:rsid w:val="00C542A2"/>
    <w:rsid w:val="00C54508"/>
    <w:rsid w:val="00C546C8"/>
    <w:rsid w:val="00C5472C"/>
    <w:rsid w:val="00C5493A"/>
    <w:rsid w:val="00C54A0C"/>
    <w:rsid w:val="00C54E58"/>
    <w:rsid w:val="00C54EF1"/>
    <w:rsid w:val="00C55008"/>
    <w:rsid w:val="00C5507B"/>
    <w:rsid w:val="00C5513F"/>
    <w:rsid w:val="00C552E8"/>
    <w:rsid w:val="00C5533E"/>
    <w:rsid w:val="00C553FE"/>
    <w:rsid w:val="00C5549F"/>
    <w:rsid w:val="00C555D3"/>
    <w:rsid w:val="00C55668"/>
    <w:rsid w:val="00C556B3"/>
    <w:rsid w:val="00C5584E"/>
    <w:rsid w:val="00C55A06"/>
    <w:rsid w:val="00C55ADE"/>
    <w:rsid w:val="00C55DBE"/>
    <w:rsid w:val="00C55EDE"/>
    <w:rsid w:val="00C56016"/>
    <w:rsid w:val="00C56188"/>
    <w:rsid w:val="00C5619C"/>
    <w:rsid w:val="00C5658C"/>
    <w:rsid w:val="00C56661"/>
    <w:rsid w:val="00C56665"/>
    <w:rsid w:val="00C5678E"/>
    <w:rsid w:val="00C56884"/>
    <w:rsid w:val="00C568E0"/>
    <w:rsid w:val="00C569F6"/>
    <w:rsid w:val="00C56A31"/>
    <w:rsid w:val="00C56A75"/>
    <w:rsid w:val="00C56E30"/>
    <w:rsid w:val="00C57404"/>
    <w:rsid w:val="00C5755D"/>
    <w:rsid w:val="00C579CF"/>
    <w:rsid w:val="00C57BB3"/>
    <w:rsid w:val="00C57BC4"/>
    <w:rsid w:val="00C57BC5"/>
    <w:rsid w:val="00C57C07"/>
    <w:rsid w:val="00C57C3F"/>
    <w:rsid w:val="00C57C76"/>
    <w:rsid w:val="00C57CB4"/>
    <w:rsid w:val="00C57CD3"/>
    <w:rsid w:val="00C57EFE"/>
    <w:rsid w:val="00C6013F"/>
    <w:rsid w:val="00C601B3"/>
    <w:rsid w:val="00C601EA"/>
    <w:rsid w:val="00C6025E"/>
    <w:rsid w:val="00C60298"/>
    <w:rsid w:val="00C60347"/>
    <w:rsid w:val="00C604F0"/>
    <w:rsid w:val="00C6059C"/>
    <w:rsid w:val="00C60629"/>
    <w:rsid w:val="00C6068B"/>
    <w:rsid w:val="00C607F5"/>
    <w:rsid w:val="00C608B7"/>
    <w:rsid w:val="00C60A81"/>
    <w:rsid w:val="00C60B00"/>
    <w:rsid w:val="00C60BDF"/>
    <w:rsid w:val="00C60C6F"/>
    <w:rsid w:val="00C60CD0"/>
    <w:rsid w:val="00C60D5D"/>
    <w:rsid w:val="00C60EB4"/>
    <w:rsid w:val="00C60F23"/>
    <w:rsid w:val="00C61008"/>
    <w:rsid w:val="00C61090"/>
    <w:rsid w:val="00C610A2"/>
    <w:rsid w:val="00C610D7"/>
    <w:rsid w:val="00C61118"/>
    <w:rsid w:val="00C61156"/>
    <w:rsid w:val="00C6120D"/>
    <w:rsid w:val="00C61295"/>
    <w:rsid w:val="00C612EE"/>
    <w:rsid w:val="00C615EA"/>
    <w:rsid w:val="00C61738"/>
    <w:rsid w:val="00C618EB"/>
    <w:rsid w:val="00C6199F"/>
    <w:rsid w:val="00C61AA2"/>
    <w:rsid w:val="00C61B80"/>
    <w:rsid w:val="00C61E2B"/>
    <w:rsid w:val="00C620E9"/>
    <w:rsid w:val="00C62140"/>
    <w:rsid w:val="00C62204"/>
    <w:rsid w:val="00C62223"/>
    <w:rsid w:val="00C62288"/>
    <w:rsid w:val="00C627E0"/>
    <w:rsid w:val="00C6297C"/>
    <w:rsid w:val="00C62B2D"/>
    <w:rsid w:val="00C62F4C"/>
    <w:rsid w:val="00C630E0"/>
    <w:rsid w:val="00C631A8"/>
    <w:rsid w:val="00C632F5"/>
    <w:rsid w:val="00C633DD"/>
    <w:rsid w:val="00C63420"/>
    <w:rsid w:val="00C63510"/>
    <w:rsid w:val="00C636EF"/>
    <w:rsid w:val="00C63856"/>
    <w:rsid w:val="00C63863"/>
    <w:rsid w:val="00C63984"/>
    <w:rsid w:val="00C63A3E"/>
    <w:rsid w:val="00C63C8F"/>
    <w:rsid w:val="00C63E6D"/>
    <w:rsid w:val="00C63E89"/>
    <w:rsid w:val="00C63F03"/>
    <w:rsid w:val="00C63F4B"/>
    <w:rsid w:val="00C64020"/>
    <w:rsid w:val="00C64069"/>
    <w:rsid w:val="00C6433B"/>
    <w:rsid w:val="00C643D0"/>
    <w:rsid w:val="00C64694"/>
    <w:rsid w:val="00C6482C"/>
    <w:rsid w:val="00C64906"/>
    <w:rsid w:val="00C64937"/>
    <w:rsid w:val="00C64A70"/>
    <w:rsid w:val="00C64BD5"/>
    <w:rsid w:val="00C64DE4"/>
    <w:rsid w:val="00C64FA9"/>
    <w:rsid w:val="00C65025"/>
    <w:rsid w:val="00C65141"/>
    <w:rsid w:val="00C65291"/>
    <w:rsid w:val="00C652B4"/>
    <w:rsid w:val="00C654F9"/>
    <w:rsid w:val="00C65529"/>
    <w:rsid w:val="00C6552C"/>
    <w:rsid w:val="00C6558F"/>
    <w:rsid w:val="00C65642"/>
    <w:rsid w:val="00C65701"/>
    <w:rsid w:val="00C6572D"/>
    <w:rsid w:val="00C65BDF"/>
    <w:rsid w:val="00C65BEC"/>
    <w:rsid w:val="00C65BF8"/>
    <w:rsid w:val="00C65C0C"/>
    <w:rsid w:val="00C65CEC"/>
    <w:rsid w:val="00C65D20"/>
    <w:rsid w:val="00C65E96"/>
    <w:rsid w:val="00C65FCF"/>
    <w:rsid w:val="00C66221"/>
    <w:rsid w:val="00C66764"/>
    <w:rsid w:val="00C66B5B"/>
    <w:rsid w:val="00C66DD5"/>
    <w:rsid w:val="00C66E97"/>
    <w:rsid w:val="00C66F4A"/>
    <w:rsid w:val="00C66F57"/>
    <w:rsid w:val="00C6724F"/>
    <w:rsid w:val="00C6725E"/>
    <w:rsid w:val="00C67288"/>
    <w:rsid w:val="00C67763"/>
    <w:rsid w:val="00C67852"/>
    <w:rsid w:val="00C67A80"/>
    <w:rsid w:val="00C67DC1"/>
    <w:rsid w:val="00C67F5C"/>
    <w:rsid w:val="00C702F8"/>
    <w:rsid w:val="00C70357"/>
    <w:rsid w:val="00C703F7"/>
    <w:rsid w:val="00C7043C"/>
    <w:rsid w:val="00C704CD"/>
    <w:rsid w:val="00C705D3"/>
    <w:rsid w:val="00C70691"/>
    <w:rsid w:val="00C70840"/>
    <w:rsid w:val="00C7092C"/>
    <w:rsid w:val="00C70989"/>
    <w:rsid w:val="00C709C2"/>
    <w:rsid w:val="00C70DBE"/>
    <w:rsid w:val="00C70E0B"/>
    <w:rsid w:val="00C71093"/>
    <w:rsid w:val="00C71137"/>
    <w:rsid w:val="00C71289"/>
    <w:rsid w:val="00C713EE"/>
    <w:rsid w:val="00C7186F"/>
    <w:rsid w:val="00C71A41"/>
    <w:rsid w:val="00C71AB5"/>
    <w:rsid w:val="00C71BEA"/>
    <w:rsid w:val="00C71C11"/>
    <w:rsid w:val="00C71DE9"/>
    <w:rsid w:val="00C71F00"/>
    <w:rsid w:val="00C72058"/>
    <w:rsid w:val="00C72220"/>
    <w:rsid w:val="00C72520"/>
    <w:rsid w:val="00C72934"/>
    <w:rsid w:val="00C72A0D"/>
    <w:rsid w:val="00C72A42"/>
    <w:rsid w:val="00C72C00"/>
    <w:rsid w:val="00C73186"/>
    <w:rsid w:val="00C731AF"/>
    <w:rsid w:val="00C734D6"/>
    <w:rsid w:val="00C73708"/>
    <w:rsid w:val="00C738BA"/>
    <w:rsid w:val="00C73C07"/>
    <w:rsid w:val="00C73D61"/>
    <w:rsid w:val="00C73D71"/>
    <w:rsid w:val="00C74063"/>
    <w:rsid w:val="00C741AA"/>
    <w:rsid w:val="00C74291"/>
    <w:rsid w:val="00C7439B"/>
    <w:rsid w:val="00C745C9"/>
    <w:rsid w:val="00C74775"/>
    <w:rsid w:val="00C74F38"/>
    <w:rsid w:val="00C75052"/>
    <w:rsid w:val="00C7506A"/>
    <w:rsid w:val="00C75091"/>
    <w:rsid w:val="00C75323"/>
    <w:rsid w:val="00C75490"/>
    <w:rsid w:val="00C754C0"/>
    <w:rsid w:val="00C75585"/>
    <w:rsid w:val="00C75781"/>
    <w:rsid w:val="00C75C88"/>
    <w:rsid w:val="00C75CF1"/>
    <w:rsid w:val="00C75DD9"/>
    <w:rsid w:val="00C75E3F"/>
    <w:rsid w:val="00C75EA6"/>
    <w:rsid w:val="00C760CB"/>
    <w:rsid w:val="00C76281"/>
    <w:rsid w:val="00C762FC"/>
    <w:rsid w:val="00C76677"/>
    <w:rsid w:val="00C768D8"/>
    <w:rsid w:val="00C769B1"/>
    <w:rsid w:val="00C76A03"/>
    <w:rsid w:val="00C76B7E"/>
    <w:rsid w:val="00C76BC3"/>
    <w:rsid w:val="00C76CBD"/>
    <w:rsid w:val="00C76CC0"/>
    <w:rsid w:val="00C76D91"/>
    <w:rsid w:val="00C76DFE"/>
    <w:rsid w:val="00C76F01"/>
    <w:rsid w:val="00C770D9"/>
    <w:rsid w:val="00C771C3"/>
    <w:rsid w:val="00C771F7"/>
    <w:rsid w:val="00C77537"/>
    <w:rsid w:val="00C77853"/>
    <w:rsid w:val="00C77902"/>
    <w:rsid w:val="00C7792D"/>
    <w:rsid w:val="00C77A47"/>
    <w:rsid w:val="00C77A95"/>
    <w:rsid w:val="00C77AC8"/>
    <w:rsid w:val="00C77AE4"/>
    <w:rsid w:val="00C77B8D"/>
    <w:rsid w:val="00C77B9E"/>
    <w:rsid w:val="00C77CD6"/>
    <w:rsid w:val="00C77FC7"/>
    <w:rsid w:val="00C80052"/>
    <w:rsid w:val="00C80116"/>
    <w:rsid w:val="00C8012E"/>
    <w:rsid w:val="00C8016B"/>
    <w:rsid w:val="00C8026A"/>
    <w:rsid w:val="00C8035C"/>
    <w:rsid w:val="00C80535"/>
    <w:rsid w:val="00C808AB"/>
    <w:rsid w:val="00C808CD"/>
    <w:rsid w:val="00C80974"/>
    <w:rsid w:val="00C80AE1"/>
    <w:rsid w:val="00C80D48"/>
    <w:rsid w:val="00C80FD7"/>
    <w:rsid w:val="00C81100"/>
    <w:rsid w:val="00C814B2"/>
    <w:rsid w:val="00C814C1"/>
    <w:rsid w:val="00C81563"/>
    <w:rsid w:val="00C8172F"/>
    <w:rsid w:val="00C81769"/>
    <w:rsid w:val="00C81854"/>
    <w:rsid w:val="00C81AB1"/>
    <w:rsid w:val="00C81D1D"/>
    <w:rsid w:val="00C82052"/>
    <w:rsid w:val="00C82150"/>
    <w:rsid w:val="00C82401"/>
    <w:rsid w:val="00C82410"/>
    <w:rsid w:val="00C82460"/>
    <w:rsid w:val="00C82514"/>
    <w:rsid w:val="00C826C3"/>
    <w:rsid w:val="00C82710"/>
    <w:rsid w:val="00C82785"/>
    <w:rsid w:val="00C82DBD"/>
    <w:rsid w:val="00C82F68"/>
    <w:rsid w:val="00C83215"/>
    <w:rsid w:val="00C8335C"/>
    <w:rsid w:val="00C83490"/>
    <w:rsid w:val="00C83552"/>
    <w:rsid w:val="00C836E8"/>
    <w:rsid w:val="00C83811"/>
    <w:rsid w:val="00C83AD5"/>
    <w:rsid w:val="00C83E35"/>
    <w:rsid w:val="00C84020"/>
    <w:rsid w:val="00C8403B"/>
    <w:rsid w:val="00C84085"/>
    <w:rsid w:val="00C840E1"/>
    <w:rsid w:val="00C84199"/>
    <w:rsid w:val="00C842B7"/>
    <w:rsid w:val="00C843BE"/>
    <w:rsid w:val="00C84727"/>
    <w:rsid w:val="00C847F5"/>
    <w:rsid w:val="00C84922"/>
    <w:rsid w:val="00C84AC4"/>
    <w:rsid w:val="00C84D04"/>
    <w:rsid w:val="00C853CA"/>
    <w:rsid w:val="00C8554B"/>
    <w:rsid w:val="00C856D6"/>
    <w:rsid w:val="00C85867"/>
    <w:rsid w:val="00C85A33"/>
    <w:rsid w:val="00C85CF9"/>
    <w:rsid w:val="00C85DC1"/>
    <w:rsid w:val="00C85E62"/>
    <w:rsid w:val="00C85ECD"/>
    <w:rsid w:val="00C85F1A"/>
    <w:rsid w:val="00C85F52"/>
    <w:rsid w:val="00C8613F"/>
    <w:rsid w:val="00C86335"/>
    <w:rsid w:val="00C863AA"/>
    <w:rsid w:val="00C865D5"/>
    <w:rsid w:val="00C866A9"/>
    <w:rsid w:val="00C86761"/>
    <w:rsid w:val="00C867EF"/>
    <w:rsid w:val="00C8686C"/>
    <w:rsid w:val="00C868A1"/>
    <w:rsid w:val="00C86993"/>
    <w:rsid w:val="00C869A5"/>
    <w:rsid w:val="00C86A0F"/>
    <w:rsid w:val="00C86AB9"/>
    <w:rsid w:val="00C86C9A"/>
    <w:rsid w:val="00C8703C"/>
    <w:rsid w:val="00C87196"/>
    <w:rsid w:val="00C871B0"/>
    <w:rsid w:val="00C87402"/>
    <w:rsid w:val="00C87440"/>
    <w:rsid w:val="00C87476"/>
    <w:rsid w:val="00C8750D"/>
    <w:rsid w:val="00C875E0"/>
    <w:rsid w:val="00C8789A"/>
    <w:rsid w:val="00C87969"/>
    <w:rsid w:val="00C87A73"/>
    <w:rsid w:val="00C87AEB"/>
    <w:rsid w:val="00C87B06"/>
    <w:rsid w:val="00C87B56"/>
    <w:rsid w:val="00C87C9A"/>
    <w:rsid w:val="00C87FEE"/>
    <w:rsid w:val="00C90038"/>
    <w:rsid w:val="00C90097"/>
    <w:rsid w:val="00C900B2"/>
    <w:rsid w:val="00C90137"/>
    <w:rsid w:val="00C901CA"/>
    <w:rsid w:val="00C90375"/>
    <w:rsid w:val="00C9075A"/>
    <w:rsid w:val="00C90771"/>
    <w:rsid w:val="00C90817"/>
    <w:rsid w:val="00C908D0"/>
    <w:rsid w:val="00C90939"/>
    <w:rsid w:val="00C909D9"/>
    <w:rsid w:val="00C90B08"/>
    <w:rsid w:val="00C90B29"/>
    <w:rsid w:val="00C90D13"/>
    <w:rsid w:val="00C90EDE"/>
    <w:rsid w:val="00C90F0B"/>
    <w:rsid w:val="00C90FE6"/>
    <w:rsid w:val="00C91160"/>
    <w:rsid w:val="00C911D5"/>
    <w:rsid w:val="00C91324"/>
    <w:rsid w:val="00C915B7"/>
    <w:rsid w:val="00C915C2"/>
    <w:rsid w:val="00C917A7"/>
    <w:rsid w:val="00C917BB"/>
    <w:rsid w:val="00C91C42"/>
    <w:rsid w:val="00C91C61"/>
    <w:rsid w:val="00C91D4A"/>
    <w:rsid w:val="00C91D62"/>
    <w:rsid w:val="00C92092"/>
    <w:rsid w:val="00C9211D"/>
    <w:rsid w:val="00C921AB"/>
    <w:rsid w:val="00C9242D"/>
    <w:rsid w:val="00C927CD"/>
    <w:rsid w:val="00C929AF"/>
    <w:rsid w:val="00C929C3"/>
    <w:rsid w:val="00C929D0"/>
    <w:rsid w:val="00C92B1B"/>
    <w:rsid w:val="00C93174"/>
    <w:rsid w:val="00C931C3"/>
    <w:rsid w:val="00C933D3"/>
    <w:rsid w:val="00C93557"/>
    <w:rsid w:val="00C93660"/>
    <w:rsid w:val="00C939D6"/>
    <w:rsid w:val="00C93A77"/>
    <w:rsid w:val="00C93BC9"/>
    <w:rsid w:val="00C93C28"/>
    <w:rsid w:val="00C93C75"/>
    <w:rsid w:val="00C93D3B"/>
    <w:rsid w:val="00C93FB2"/>
    <w:rsid w:val="00C94496"/>
    <w:rsid w:val="00C94560"/>
    <w:rsid w:val="00C94774"/>
    <w:rsid w:val="00C94859"/>
    <w:rsid w:val="00C94984"/>
    <w:rsid w:val="00C958C5"/>
    <w:rsid w:val="00C959E0"/>
    <w:rsid w:val="00C95A3C"/>
    <w:rsid w:val="00C95A63"/>
    <w:rsid w:val="00C95CAC"/>
    <w:rsid w:val="00C95D8F"/>
    <w:rsid w:val="00C95EC7"/>
    <w:rsid w:val="00C95EDE"/>
    <w:rsid w:val="00C963CD"/>
    <w:rsid w:val="00C965A8"/>
    <w:rsid w:val="00C965BE"/>
    <w:rsid w:val="00C9670B"/>
    <w:rsid w:val="00C968A1"/>
    <w:rsid w:val="00C96A49"/>
    <w:rsid w:val="00C96B2C"/>
    <w:rsid w:val="00C96B8B"/>
    <w:rsid w:val="00C96CAE"/>
    <w:rsid w:val="00C96D31"/>
    <w:rsid w:val="00C96DF5"/>
    <w:rsid w:val="00C96E08"/>
    <w:rsid w:val="00C970B1"/>
    <w:rsid w:val="00C97143"/>
    <w:rsid w:val="00C9722F"/>
    <w:rsid w:val="00C97274"/>
    <w:rsid w:val="00C97366"/>
    <w:rsid w:val="00C9738E"/>
    <w:rsid w:val="00C974E6"/>
    <w:rsid w:val="00C97677"/>
    <w:rsid w:val="00C977DF"/>
    <w:rsid w:val="00C97856"/>
    <w:rsid w:val="00C979B8"/>
    <w:rsid w:val="00C979FA"/>
    <w:rsid w:val="00C97C89"/>
    <w:rsid w:val="00C97E1C"/>
    <w:rsid w:val="00C97E64"/>
    <w:rsid w:val="00C97EA3"/>
    <w:rsid w:val="00CA02D7"/>
    <w:rsid w:val="00CA0510"/>
    <w:rsid w:val="00CA0806"/>
    <w:rsid w:val="00CA0859"/>
    <w:rsid w:val="00CA0A64"/>
    <w:rsid w:val="00CA0CAB"/>
    <w:rsid w:val="00CA0D12"/>
    <w:rsid w:val="00CA0FF1"/>
    <w:rsid w:val="00CA116F"/>
    <w:rsid w:val="00CA135F"/>
    <w:rsid w:val="00CA136C"/>
    <w:rsid w:val="00CA1597"/>
    <w:rsid w:val="00CA173E"/>
    <w:rsid w:val="00CA178F"/>
    <w:rsid w:val="00CA1C57"/>
    <w:rsid w:val="00CA1E07"/>
    <w:rsid w:val="00CA1EAE"/>
    <w:rsid w:val="00CA1ED7"/>
    <w:rsid w:val="00CA2180"/>
    <w:rsid w:val="00CA224B"/>
    <w:rsid w:val="00CA22C2"/>
    <w:rsid w:val="00CA23AC"/>
    <w:rsid w:val="00CA23AD"/>
    <w:rsid w:val="00CA23C7"/>
    <w:rsid w:val="00CA2751"/>
    <w:rsid w:val="00CA27F8"/>
    <w:rsid w:val="00CA2A25"/>
    <w:rsid w:val="00CA2D4F"/>
    <w:rsid w:val="00CA30D9"/>
    <w:rsid w:val="00CA3184"/>
    <w:rsid w:val="00CA319F"/>
    <w:rsid w:val="00CA31D4"/>
    <w:rsid w:val="00CA3291"/>
    <w:rsid w:val="00CA3B9D"/>
    <w:rsid w:val="00CA3DB1"/>
    <w:rsid w:val="00CA401E"/>
    <w:rsid w:val="00CA40BB"/>
    <w:rsid w:val="00CA4175"/>
    <w:rsid w:val="00CA4394"/>
    <w:rsid w:val="00CA442C"/>
    <w:rsid w:val="00CA44B0"/>
    <w:rsid w:val="00CA477D"/>
    <w:rsid w:val="00CA47C8"/>
    <w:rsid w:val="00CA48A7"/>
    <w:rsid w:val="00CA49A3"/>
    <w:rsid w:val="00CA49DA"/>
    <w:rsid w:val="00CA4A82"/>
    <w:rsid w:val="00CA4B3F"/>
    <w:rsid w:val="00CA4BC1"/>
    <w:rsid w:val="00CA4BEE"/>
    <w:rsid w:val="00CA4CC2"/>
    <w:rsid w:val="00CA4CCF"/>
    <w:rsid w:val="00CA50E4"/>
    <w:rsid w:val="00CA5106"/>
    <w:rsid w:val="00CA5334"/>
    <w:rsid w:val="00CA53D0"/>
    <w:rsid w:val="00CA5595"/>
    <w:rsid w:val="00CA55B6"/>
    <w:rsid w:val="00CA55EC"/>
    <w:rsid w:val="00CA56C4"/>
    <w:rsid w:val="00CA57F9"/>
    <w:rsid w:val="00CA590C"/>
    <w:rsid w:val="00CA5AE2"/>
    <w:rsid w:val="00CA5AE4"/>
    <w:rsid w:val="00CA5C02"/>
    <w:rsid w:val="00CA5C9F"/>
    <w:rsid w:val="00CA5D83"/>
    <w:rsid w:val="00CA5DCC"/>
    <w:rsid w:val="00CA5F1C"/>
    <w:rsid w:val="00CA6041"/>
    <w:rsid w:val="00CA61CF"/>
    <w:rsid w:val="00CA638B"/>
    <w:rsid w:val="00CA64D5"/>
    <w:rsid w:val="00CA6582"/>
    <w:rsid w:val="00CA6796"/>
    <w:rsid w:val="00CA681B"/>
    <w:rsid w:val="00CA6891"/>
    <w:rsid w:val="00CA69B6"/>
    <w:rsid w:val="00CA6A57"/>
    <w:rsid w:val="00CA6B52"/>
    <w:rsid w:val="00CA6B7D"/>
    <w:rsid w:val="00CA6CAB"/>
    <w:rsid w:val="00CA7377"/>
    <w:rsid w:val="00CA755C"/>
    <w:rsid w:val="00CA77D6"/>
    <w:rsid w:val="00CA7BB8"/>
    <w:rsid w:val="00CA7C97"/>
    <w:rsid w:val="00CA7D9C"/>
    <w:rsid w:val="00CA7E8A"/>
    <w:rsid w:val="00CB00A9"/>
    <w:rsid w:val="00CB030E"/>
    <w:rsid w:val="00CB03F3"/>
    <w:rsid w:val="00CB04C9"/>
    <w:rsid w:val="00CB056C"/>
    <w:rsid w:val="00CB0744"/>
    <w:rsid w:val="00CB07A3"/>
    <w:rsid w:val="00CB09B9"/>
    <w:rsid w:val="00CB0C3D"/>
    <w:rsid w:val="00CB0D06"/>
    <w:rsid w:val="00CB0E29"/>
    <w:rsid w:val="00CB0E63"/>
    <w:rsid w:val="00CB0F2B"/>
    <w:rsid w:val="00CB0F31"/>
    <w:rsid w:val="00CB131B"/>
    <w:rsid w:val="00CB1424"/>
    <w:rsid w:val="00CB147A"/>
    <w:rsid w:val="00CB188F"/>
    <w:rsid w:val="00CB1A82"/>
    <w:rsid w:val="00CB1AEE"/>
    <w:rsid w:val="00CB1D71"/>
    <w:rsid w:val="00CB2063"/>
    <w:rsid w:val="00CB206D"/>
    <w:rsid w:val="00CB2160"/>
    <w:rsid w:val="00CB21CA"/>
    <w:rsid w:val="00CB2317"/>
    <w:rsid w:val="00CB28C3"/>
    <w:rsid w:val="00CB298C"/>
    <w:rsid w:val="00CB2A08"/>
    <w:rsid w:val="00CB2AE4"/>
    <w:rsid w:val="00CB2B66"/>
    <w:rsid w:val="00CB2C57"/>
    <w:rsid w:val="00CB2CDB"/>
    <w:rsid w:val="00CB306B"/>
    <w:rsid w:val="00CB3074"/>
    <w:rsid w:val="00CB3216"/>
    <w:rsid w:val="00CB3331"/>
    <w:rsid w:val="00CB37BA"/>
    <w:rsid w:val="00CB3907"/>
    <w:rsid w:val="00CB3B53"/>
    <w:rsid w:val="00CB3C99"/>
    <w:rsid w:val="00CB3D8B"/>
    <w:rsid w:val="00CB3E13"/>
    <w:rsid w:val="00CB3E75"/>
    <w:rsid w:val="00CB4010"/>
    <w:rsid w:val="00CB4082"/>
    <w:rsid w:val="00CB40D8"/>
    <w:rsid w:val="00CB42DB"/>
    <w:rsid w:val="00CB4681"/>
    <w:rsid w:val="00CB46C9"/>
    <w:rsid w:val="00CB48DC"/>
    <w:rsid w:val="00CB4A71"/>
    <w:rsid w:val="00CB4C77"/>
    <w:rsid w:val="00CB4D66"/>
    <w:rsid w:val="00CB4E03"/>
    <w:rsid w:val="00CB519D"/>
    <w:rsid w:val="00CB5254"/>
    <w:rsid w:val="00CB5364"/>
    <w:rsid w:val="00CB542B"/>
    <w:rsid w:val="00CB5433"/>
    <w:rsid w:val="00CB54E3"/>
    <w:rsid w:val="00CB552B"/>
    <w:rsid w:val="00CB56E3"/>
    <w:rsid w:val="00CB57E9"/>
    <w:rsid w:val="00CB582F"/>
    <w:rsid w:val="00CB5878"/>
    <w:rsid w:val="00CB58F1"/>
    <w:rsid w:val="00CB5B70"/>
    <w:rsid w:val="00CB61AE"/>
    <w:rsid w:val="00CB61F2"/>
    <w:rsid w:val="00CB61F5"/>
    <w:rsid w:val="00CB63D9"/>
    <w:rsid w:val="00CB670E"/>
    <w:rsid w:val="00CB6B60"/>
    <w:rsid w:val="00CB6FEC"/>
    <w:rsid w:val="00CB7182"/>
    <w:rsid w:val="00CB71C8"/>
    <w:rsid w:val="00CB7270"/>
    <w:rsid w:val="00CB7322"/>
    <w:rsid w:val="00CB7661"/>
    <w:rsid w:val="00CB790D"/>
    <w:rsid w:val="00CB7990"/>
    <w:rsid w:val="00CB7A30"/>
    <w:rsid w:val="00CB7A49"/>
    <w:rsid w:val="00CB7B52"/>
    <w:rsid w:val="00CB7ED7"/>
    <w:rsid w:val="00CC0069"/>
    <w:rsid w:val="00CC04D4"/>
    <w:rsid w:val="00CC08AA"/>
    <w:rsid w:val="00CC09A7"/>
    <w:rsid w:val="00CC09BB"/>
    <w:rsid w:val="00CC0B60"/>
    <w:rsid w:val="00CC0B69"/>
    <w:rsid w:val="00CC0B9F"/>
    <w:rsid w:val="00CC0E6C"/>
    <w:rsid w:val="00CC12E9"/>
    <w:rsid w:val="00CC13F8"/>
    <w:rsid w:val="00CC144B"/>
    <w:rsid w:val="00CC1463"/>
    <w:rsid w:val="00CC19A2"/>
    <w:rsid w:val="00CC1A0B"/>
    <w:rsid w:val="00CC1E5F"/>
    <w:rsid w:val="00CC1EE2"/>
    <w:rsid w:val="00CC2033"/>
    <w:rsid w:val="00CC22CA"/>
    <w:rsid w:val="00CC22D1"/>
    <w:rsid w:val="00CC22EC"/>
    <w:rsid w:val="00CC2499"/>
    <w:rsid w:val="00CC24DF"/>
    <w:rsid w:val="00CC25B7"/>
    <w:rsid w:val="00CC2612"/>
    <w:rsid w:val="00CC26B8"/>
    <w:rsid w:val="00CC277B"/>
    <w:rsid w:val="00CC2786"/>
    <w:rsid w:val="00CC279A"/>
    <w:rsid w:val="00CC28FD"/>
    <w:rsid w:val="00CC294D"/>
    <w:rsid w:val="00CC2AF9"/>
    <w:rsid w:val="00CC2B30"/>
    <w:rsid w:val="00CC2BF2"/>
    <w:rsid w:val="00CC2D0B"/>
    <w:rsid w:val="00CC2EAA"/>
    <w:rsid w:val="00CC2F65"/>
    <w:rsid w:val="00CC3017"/>
    <w:rsid w:val="00CC3079"/>
    <w:rsid w:val="00CC309B"/>
    <w:rsid w:val="00CC3106"/>
    <w:rsid w:val="00CC3952"/>
    <w:rsid w:val="00CC3A4E"/>
    <w:rsid w:val="00CC3A62"/>
    <w:rsid w:val="00CC3AA2"/>
    <w:rsid w:val="00CC3CAE"/>
    <w:rsid w:val="00CC3DD4"/>
    <w:rsid w:val="00CC3E7E"/>
    <w:rsid w:val="00CC3F9A"/>
    <w:rsid w:val="00CC412F"/>
    <w:rsid w:val="00CC41B3"/>
    <w:rsid w:val="00CC41C8"/>
    <w:rsid w:val="00CC4210"/>
    <w:rsid w:val="00CC426B"/>
    <w:rsid w:val="00CC4304"/>
    <w:rsid w:val="00CC4320"/>
    <w:rsid w:val="00CC4595"/>
    <w:rsid w:val="00CC4C55"/>
    <w:rsid w:val="00CC4CDC"/>
    <w:rsid w:val="00CC4D73"/>
    <w:rsid w:val="00CC4E53"/>
    <w:rsid w:val="00CC4EC4"/>
    <w:rsid w:val="00CC4F41"/>
    <w:rsid w:val="00CC4F4E"/>
    <w:rsid w:val="00CC4FEB"/>
    <w:rsid w:val="00CC5049"/>
    <w:rsid w:val="00CC5061"/>
    <w:rsid w:val="00CC50AE"/>
    <w:rsid w:val="00CC5155"/>
    <w:rsid w:val="00CC52EC"/>
    <w:rsid w:val="00CC5346"/>
    <w:rsid w:val="00CC53C0"/>
    <w:rsid w:val="00CC53F7"/>
    <w:rsid w:val="00CC545B"/>
    <w:rsid w:val="00CC557F"/>
    <w:rsid w:val="00CC57B4"/>
    <w:rsid w:val="00CC58F9"/>
    <w:rsid w:val="00CC5A23"/>
    <w:rsid w:val="00CC5E04"/>
    <w:rsid w:val="00CC5E61"/>
    <w:rsid w:val="00CC621D"/>
    <w:rsid w:val="00CC63FA"/>
    <w:rsid w:val="00CC6417"/>
    <w:rsid w:val="00CC6546"/>
    <w:rsid w:val="00CC6557"/>
    <w:rsid w:val="00CC6897"/>
    <w:rsid w:val="00CC6C22"/>
    <w:rsid w:val="00CC6D40"/>
    <w:rsid w:val="00CC6F65"/>
    <w:rsid w:val="00CC6FFB"/>
    <w:rsid w:val="00CC6FFE"/>
    <w:rsid w:val="00CC7007"/>
    <w:rsid w:val="00CC701A"/>
    <w:rsid w:val="00CC715E"/>
    <w:rsid w:val="00CC7211"/>
    <w:rsid w:val="00CC7490"/>
    <w:rsid w:val="00CC7898"/>
    <w:rsid w:val="00CC78F7"/>
    <w:rsid w:val="00CC7A52"/>
    <w:rsid w:val="00CC7B09"/>
    <w:rsid w:val="00CC7B8A"/>
    <w:rsid w:val="00CD005B"/>
    <w:rsid w:val="00CD014D"/>
    <w:rsid w:val="00CD0571"/>
    <w:rsid w:val="00CD0619"/>
    <w:rsid w:val="00CD06CF"/>
    <w:rsid w:val="00CD0843"/>
    <w:rsid w:val="00CD0853"/>
    <w:rsid w:val="00CD087B"/>
    <w:rsid w:val="00CD0915"/>
    <w:rsid w:val="00CD097D"/>
    <w:rsid w:val="00CD09A8"/>
    <w:rsid w:val="00CD0C22"/>
    <w:rsid w:val="00CD0CF8"/>
    <w:rsid w:val="00CD1072"/>
    <w:rsid w:val="00CD12E6"/>
    <w:rsid w:val="00CD13E7"/>
    <w:rsid w:val="00CD1460"/>
    <w:rsid w:val="00CD15D7"/>
    <w:rsid w:val="00CD1745"/>
    <w:rsid w:val="00CD18D9"/>
    <w:rsid w:val="00CD1A8B"/>
    <w:rsid w:val="00CD1B54"/>
    <w:rsid w:val="00CD1C02"/>
    <w:rsid w:val="00CD226F"/>
    <w:rsid w:val="00CD2355"/>
    <w:rsid w:val="00CD2608"/>
    <w:rsid w:val="00CD2734"/>
    <w:rsid w:val="00CD282C"/>
    <w:rsid w:val="00CD2833"/>
    <w:rsid w:val="00CD2934"/>
    <w:rsid w:val="00CD2CBE"/>
    <w:rsid w:val="00CD2F9E"/>
    <w:rsid w:val="00CD3153"/>
    <w:rsid w:val="00CD3170"/>
    <w:rsid w:val="00CD31E9"/>
    <w:rsid w:val="00CD3203"/>
    <w:rsid w:val="00CD330D"/>
    <w:rsid w:val="00CD33DC"/>
    <w:rsid w:val="00CD3660"/>
    <w:rsid w:val="00CD3687"/>
    <w:rsid w:val="00CD3C75"/>
    <w:rsid w:val="00CD3E91"/>
    <w:rsid w:val="00CD3ED6"/>
    <w:rsid w:val="00CD41D1"/>
    <w:rsid w:val="00CD42F1"/>
    <w:rsid w:val="00CD438E"/>
    <w:rsid w:val="00CD43D4"/>
    <w:rsid w:val="00CD45A0"/>
    <w:rsid w:val="00CD4866"/>
    <w:rsid w:val="00CD4EB1"/>
    <w:rsid w:val="00CD5084"/>
    <w:rsid w:val="00CD5145"/>
    <w:rsid w:val="00CD5255"/>
    <w:rsid w:val="00CD535F"/>
    <w:rsid w:val="00CD53F3"/>
    <w:rsid w:val="00CD542C"/>
    <w:rsid w:val="00CD5607"/>
    <w:rsid w:val="00CD560F"/>
    <w:rsid w:val="00CD5742"/>
    <w:rsid w:val="00CD58C9"/>
    <w:rsid w:val="00CD5A28"/>
    <w:rsid w:val="00CD5A30"/>
    <w:rsid w:val="00CD5B64"/>
    <w:rsid w:val="00CD5BF7"/>
    <w:rsid w:val="00CD5C99"/>
    <w:rsid w:val="00CD5DAE"/>
    <w:rsid w:val="00CD5E04"/>
    <w:rsid w:val="00CD5EDF"/>
    <w:rsid w:val="00CD5EF4"/>
    <w:rsid w:val="00CD5F29"/>
    <w:rsid w:val="00CD646E"/>
    <w:rsid w:val="00CD64CC"/>
    <w:rsid w:val="00CD6525"/>
    <w:rsid w:val="00CD65C8"/>
    <w:rsid w:val="00CD6690"/>
    <w:rsid w:val="00CD6737"/>
    <w:rsid w:val="00CD6810"/>
    <w:rsid w:val="00CD688F"/>
    <w:rsid w:val="00CD690C"/>
    <w:rsid w:val="00CD69B7"/>
    <w:rsid w:val="00CD6B4A"/>
    <w:rsid w:val="00CD6C70"/>
    <w:rsid w:val="00CD6D7C"/>
    <w:rsid w:val="00CD6EC7"/>
    <w:rsid w:val="00CD6ECC"/>
    <w:rsid w:val="00CD6F3E"/>
    <w:rsid w:val="00CD6FD4"/>
    <w:rsid w:val="00CD724F"/>
    <w:rsid w:val="00CD7492"/>
    <w:rsid w:val="00CD750D"/>
    <w:rsid w:val="00CD76A6"/>
    <w:rsid w:val="00CD7743"/>
    <w:rsid w:val="00CD77EB"/>
    <w:rsid w:val="00CD77FF"/>
    <w:rsid w:val="00CD7824"/>
    <w:rsid w:val="00CD7D4C"/>
    <w:rsid w:val="00CD7F28"/>
    <w:rsid w:val="00CE03B7"/>
    <w:rsid w:val="00CE03C5"/>
    <w:rsid w:val="00CE045D"/>
    <w:rsid w:val="00CE05B6"/>
    <w:rsid w:val="00CE0780"/>
    <w:rsid w:val="00CE07B5"/>
    <w:rsid w:val="00CE0A1F"/>
    <w:rsid w:val="00CE0C8E"/>
    <w:rsid w:val="00CE0D3F"/>
    <w:rsid w:val="00CE0E7C"/>
    <w:rsid w:val="00CE1157"/>
    <w:rsid w:val="00CE1440"/>
    <w:rsid w:val="00CE148C"/>
    <w:rsid w:val="00CE1505"/>
    <w:rsid w:val="00CE195B"/>
    <w:rsid w:val="00CE1A14"/>
    <w:rsid w:val="00CE1ADB"/>
    <w:rsid w:val="00CE1C4A"/>
    <w:rsid w:val="00CE1CF5"/>
    <w:rsid w:val="00CE1EBB"/>
    <w:rsid w:val="00CE1F33"/>
    <w:rsid w:val="00CE20D8"/>
    <w:rsid w:val="00CE22EB"/>
    <w:rsid w:val="00CE246C"/>
    <w:rsid w:val="00CE246D"/>
    <w:rsid w:val="00CE25B7"/>
    <w:rsid w:val="00CE26C6"/>
    <w:rsid w:val="00CE2C63"/>
    <w:rsid w:val="00CE2E23"/>
    <w:rsid w:val="00CE2E7C"/>
    <w:rsid w:val="00CE2F60"/>
    <w:rsid w:val="00CE33BA"/>
    <w:rsid w:val="00CE34C6"/>
    <w:rsid w:val="00CE367C"/>
    <w:rsid w:val="00CE3C16"/>
    <w:rsid w:val="00CE409B"/>
    <w:rsid w:val="00CE41AC"/>
    <w:rsid w:val="00CE41E2"/>
    <w:rsid w:val="00CE43D7"/>
    <w:rsid w:val="00CE4429"/>
    <w:rsid w:val="00CE483E"/>
    <w:rsid w:val="00CE4919"/>
    <w:rsid w:val="00CE4987"/>
    <w:rsid w:val="00CE4E1F"/>
    <w:rsid w:val="00CE50B9"/>
    <w:rsid w:val="00CE5103"/>
    <w:rsid w:val="00CE519C"/>
    <w:rsid w:val="00CE51D6"/>
    <w:rsid w:val="00CE52A8"/>
    <w:rsid w:val="00CE53B2"/>
    <w:rsid w:val="00CE5480"/>
    <w:rsid w:val="00CE59BA"/>
    <w:rsid w:val="00CE5D4B"/>
    <w:rsid w:val="00CE6134"/>
    <w:rsid w:val="00CE624E"/>
    <w:rsid w:val="00CE6390"/>
    <w:rsid w:val="00CE658F"/>
    <w:rsid w:val="00CE6828"/>
    <w:rsid w:val="00CE68C0"/>
    <w:rsid w:val="00CE6C9B"/>
    <w:rsid w:val="00CE6ED9"/>
    <w:rsid w:val="00CE7033"/>
    <w:rsid w:val="00CE7068"/>
    <w:rsid w:val="00CE7069"/>
    <w:rsid w:val="00CE70FD"/>
    <w:rsid w:val="00CE713F"/>
    <w:rsid w:val="00CE7425"/>
    <w:rsid w:val="00CE76C3"/>
    <w:rsid w:val="00CE7828"/>
    <w:rsid w:val="00CE78E4"/>
    <w:rsid w:val="00CE7908"/>
    <w:rsid w:val="00CE79B8"/>
    <w:rsid w:val="00CE7AA2"/>
    <w:rsid w:val="00CE7AA6"/>
    <w:rsid w:val="00CE7D78"/>
    <w:rsid w:val="00CE7F4F"/>
    <w:rsid w:val="00CF01B3"/>
    <w:rsid w:val="00CF0337"/>
    <w:rsid w:val="00CF052D"/>
    <w:rsid w:val="00CF05B1"/>
    <w:rsid w:val="00CF0695"/>
    <w:rsid w:val="00CF06E4"/>
    <w:rsid w:val="00CF0992"/>
    <w:rsid w:val="00CF09A2"/>
    <w:rsid w:val="00CF0B6B"/>
    <w:rsid w:val="00CF0BA8"/>
    <w:rsid w:val="00CF0E68"/>
    <w:rsid w:val="00CF0E84"/>
    <w:rsid w:val="00CF0E99"/>
    <w:rsid w:val="00CF1141"/>
    <w:rsid w:val="00CF13F3"/>
    <w:rsid w:val="00CF14F6"/>
    <w:rsid w:val="00CF16FF"/>
    <w:rsid w:val="00CF193C"/>
    <w:rsid w:val="00CF195A"/>
    <w:rsid w:val="00CF1A09"/>
    <w:rsid w:val="00CF1ACF"/>
    <w:rsid w:val="00CF1B4D"/>
    <w:rsid w:val="00CF2103"/>
    <w:rsid w:val="00CF2128"/>
    <w:rsid w:val="00CF2341"/>
    <w:rsid w:val="00CF246D"/>
    <w:rsid w:val="00CF28BC"/>
    <w:rsid w:val="00CF2999"/>
    <w:rsid w:val="00CF2BDB"/>
    <w:rsid w:val="00CF2CCC"/>
    <w:rsid w:val="00CF2F62"/>
    <w:rsid w:val="00CF3176"/>
    <w:rsid w:val="00CF31C4"/>
    <w:rsid w:val="00CF3232"/>
    <w:rsid w:val="00CF33C5"/>
    <w:rsid w:val="00CF341A"/>
    <w:rsid w:val="00CF3533"/>
    <w:rsid w:val="00CF370B"/>
    <w:rsid w:val="00CF3761"/>
    <w:rsid w:val="00CF3AF8"/>
    <w:rsid w:val="00CF3B0B"/>
    <w:rsid w:val="00CF3CB7"/>
    <w:rsid w:val="00CF3CE7"/>
    <w:rsid w:val="00CF3E7C"/>
    <w:rsid w:val="00CF3F04"/>
    <w:rsid w:val="00CF3FEF"/>
    <w:rsid w:val="00CF442E"/>
    <w:rsid w:val="00CF4720"/>
    <w:rsid w:val="00CF4838"/>
    <w:rsid w:val="00CF49EF"/>
    <w:rsid w:val="00CF4AE2"/>
    <w:rsid w:val="00CF4C10"/>
    <w:rsid w:val="00CF4D2B"/>
    <w:rsid w:val="00CF4E2A"/>
    <w:rsid w:val="00CF4E75"/>
    <w:rsid w:val="00CF4F24"/>
    <w:rsid w:val="00CF5229"/>
    <w:rsid w:val="00CF5442"/>
    <w:rsid w:val="00CF55BE"/>
    <w:rsid w:val="00CF575D"/>
    <w:rsid w:val="00CF5828"/>
    <w:rsid w:val="00CF591C"/>
    <w:rsid w:val="00CF591D"/>
    <w:rsid w:val="00CF5AB8"/>
    <w:rsid w:val="00CF5CD8"/>
    <w:rsid w:val="00CF5DE8"/>
    <w:rsid w:val="00CF5F03"/>
    <w:rsid w:val="00CF644A"/>
    <w:rsid w:val="00CF6451"/>
    <w:rsid w:val="00CF67BF"/>
    <w:rsid w:val="00CF6ABF"/>
    <w:rsid w:val="00CF6ACE"/>
    <w:rsid w:val="00CF6BCF"/>
    <w:rsid w:val="00CF6D45"/>
    <w:rsid w:val="00CF6FA2"/>
    <w:rsid w:val="00CF724F"/>
    <w:rsid w:val="00CF72B1"/>
    <w:rsid w:val="00CF73E2"/>
    <w:rsid w:val="00CF75EB"/>
    <w:rsid w:val="00CF775F"/>
    <w:rsid w:val="00CF7D71"/>
    <w:rsid w:val="00CF7D76"/>
    <w:rsid w:val="00CF7DCF"/>
    <w:rsid w:val="00CF7E24"/>
    <w:rsid w:val="00D0005A"/>
    <w:rsid w:val="00D0028C"/>
    <w:rsid w:val="00D004CB"/>
    <w:rsid w:val="00D00652"/>
    <w:rsid w:val="00D0098C"/>
    <w:rsid w:val="00D00BF5"/>
    <w:rsid w:val="00D00CA6"/>
    <w:rsid w:val="00D00D38"/>
    <w:rsid w:val="00D00D8D"/>
    <w:rsid w:val="00D01025"/>
    <w:rsid w:val="00D010C5"/>
    <w:rsid w:val="00D0112E"/>
    <w:rsid w:val="00D01527"/>
    <w:rsid w:val="00D0153D"/>
    <w:rsid w:val="00D01888"/>
    <w:rsid w:val="00D018D4"/>
    <w:rsid w:val="00D01A75"/>
    <w:rsid w:val="00D01AB6"/>
    <w:rsid w:val="00D01BC1"/>
    <w:rsid w:val="00D01E79"/>
    <w:rsid w:val="00D02150"/>
    <w:rsid w:val="00D0218A"/>
    <w:rsid w:val="00D0254C"/>
    <w:rsid w:val="00D029C2"/>
    <w:rsid w:val="00D02ABC"/>
    <w:rsid w:val="00D02AFD"/>
    <w:rsid w:val="00D02B41"/>
    <w:rsid w:val="00D02BA9"/>
    <w:rsid w:val="00D02CB5"/>
    <w:rsid w:val="00D030C9"/>
    <w:rsid w:val="00D032AE"/>
    <w:rsid w:val="00D038CF"/>
    <w:rsid w:val="00D03A60"/>
    <w:rsid w:val="00D03B7A"/>
    <w:rsid w:val="00D03DBF"/>
    <w:rsid w:val="00D03EED"/>
    <w:rsid w:val="00D03F48"/>
    <w:rsid w:val="00D041EA"/>
    <w:rsid w:val="00D0432F"/>
    <w:rsid w:val="00D044B3"/>
    <w:rsid w:val="00D0454B"/>
    <w:rsid w:val="00D045AF"/>
    <w:rsid w:val="00D0461A"/>
    <w:rsid w:val="00D0478C"/>
    <w:rsid w:val="00D04851"/>
    <w:rsid w:val="00D048EA"/>
    <w:rsid w:val="00D04966"/>
    <w:rsid w:val="00D04D28"/>
    <w:rsid w:val="00D05116"/>
    <w:rsid w:val="00D05C04"/>
    <w:rsid w:val="00D05F7E"/>
    <w:rsid w:val="00D06184"/>
    <w:rsid w:val="00D06297"/>
    <w:rsid w:val="00D063E2"/>
    <w:rsid w:val="00D063FD"/>
    <w:rsid w:val="00D06448"/>
    <w:rsid w:val="00D06456"/>
    <w:rsid w:val="00D06535"/>
    <w:rsid w:val="00D0673E"/>
    <w:rsid w:val="00D06791"/>
    <w:rsid w:val="00D0681E"/>
    <w:rsid w:val="00D06967"/>
    <w:rsid w:val="00D06971"/>
    <w:rsid w:val="00D069D2"/>
    <w:rsid w:val="00D06ACD"/>
    <w:rsid w:val="00D06BC0"/>
    <w:rsid w:val="00D06E07"/>
    <w:rsid w:val="00D06E0D"/>
    <w:rsid w:val="00D06ECD"/>
    <w:rsid w:val="00D06FFC"/>
    <w:rsid w:val="00D07028"/>
    <w:rsid w:val="00D070CF"/>
    <w:rsid w:val="00D07109"/>
    <w:rsid w:val="00D07110"/>
    <w:rsid w:val="00D07166"/>
    <w:rsid w:val="00D0735C"/>
    <w:rsid w:val="00D0770F"/>
    <w:rsid w:val="00D078FA"/>
    <w:rsid w:val="00D07A25"/>
    <w:rsid w:val="00D07ABE"/>
    <w:rsid w:val="00D07E49"/>
    <w:rsid w:val="00D10148"/>
    <w:rsid w:val="00D101B0"/>
    <w:rsid w:val="00D10201"/>
    <w:rsid w:val="00D10202"/>
    <w:rsid w:val="00D10454"/>
    <w:rsid w:val="00D104C5"/>
    <w:rsid w:val="00D1059F"/>
    <w:rsid w:val="00D1080D"/>
    <w:rsid w:val="00D10810"/>
    <w:rsid w:val="00D10AE5"/>
    <w:rsid w:val="00D11171"/>
    <w:rsid w:val="00D11232"/>
    <w:rsid w:val="00D1135F"/>
    <w:rsid w:val="00D1146E"/>
    <w:rsid w:val="00D114E4"/>
    <w:rsid w:val="00D11503"/>
    <w:rsid w:val="00D11570"/>
    <w:rsid w:val="00D11688"/>
    <w:rsid w:val="00D116A3"/>
    <w:rsid w:val="00D116A7"/>
    <w:rsid w:val="00D11A67"/>
    <w:rsid w:val="00D11B59"/>
    <w:rsid w:val="00D11C15"/>
    <w:rsid w:val="00D123C2"/>
    <w:rsid w:val="00D12530"/>
    <w:rsid w:val="00D12706"/>
    <w:rsid w:val="00D127F9"/>
    <w:rsid w:val="00D12806"/>
    <w:rsid w:val="00D12A38"/>
    <w:rsid w:val="00D12DAF"/>
    <w:rsid w:val="00D12FBE"/>
    <w:rsid w:val="00D13055"/>
    <w:rsid w:val="00D1306D"/>
    <w:rsid w:val="00D13124"/>
    <w:rsid w:val="00D13821"/>
    <w:rsid w:val="00D138CB"/>
    <w:rsid w:val="00D138D4"/>
    <w:rsid w:val="00D139E4"/>
    <w:rsid w:val="00D13AAA"/>
    <w:rsid w:val="00D13D95"/>
    <w:rsid w:val="00D13DA1"/>
    <w:rsid w:val="00D13F3E"/>
    <w:rsid w:val="00D1445A"/>
    <w:rsid w:val="00D144BD"/>
    <w:rsid w:val="00D14A86"/>
    <w:rsid w:val="00D14C76"/>
    <w:rsid w:val="00D14E49"/>
    <w:rsid w:val="00D15204"/>
    <w:rsid w:val="00D15386"/>
    <w:rsid w:val="00D15674"/>
    <w:rsid w:val="00D15729"/>
    <w:rsid w:val="00D158E2"/>
    <w:rsid w:val="00D15A01"/>
    <w:rsid w:val="00D15AEE"/>
    <w:rsid w:val="00D15D69"/>
    <w:rsid w:val="00D15D7E"/>
    <w:rsid w:val="00D15DD0"/>
    <w:rsid w:val="00D15ED0"/>
    <w:rsid w:val="00D1602F"/>
    <w:rsid w:val="00D164FA"/>
    <w:rsid w:val="00D1691D"/>
    <w:rsid w:val="00D169C9"/>
    <w:rsid w:val="00D16AB5"/>
    <w:rsid w:val="00D16B99"/>
    <w:rsid w:val="00D16C33"/>
    <w:rsid w:val="00D16C65"/>
    <w:rsid w:val="00D16F24"/>
    <w:rsid w:val="00D1707F"/>
    <w:rsid w:val="00D17086"/>
    <w:rsid w:val="00D1769E"/>
    <w:rsid w:val="00D176CA"/>
    <w:rsid w:val="00D17724"/>
    <w:rsid w:val="00D177DB"/>
    <w:rsid w:val="00D178AC"/>
    <w:rsid w:val="00D17FAE"/>
    <w:rsid w:val="00D200AD"/>
    <w:rsid w:val="00D20190"/>
    <w:rsid w:val="00D201F0"/>
    <w:rsid w:val="00D202D9"/>
    <w:rsid w:val="00D2032C"/>
    <w:rsid w:val="00D203AC"/>
    <w:rsid w:val="00D204EF"/>
    <w:rsid w:val="00D20541"/>
    <w:rsid w:val="00D205CE"/>
    <w:rsid w:val="00D20717"/>
    <w:rsid w:val="00D2082F"/>
    <w:rsid w:val="00D208EE"/>
    <w:rsid w:val="00D20A96"/>
    <w:rsid w:val="00D20BDE"/>
    <w:rsid w:val="00D20D83"/>
    <w:rsid w:val="00D2113E"/>
    <w:rsid w:val="00D2143A"/>
    <w:rsid w:val="00D214A6"/>
    <w:rsid w:val="00D215B8"/>
    <w:rsid w:val="00D2177D"/>
    <w:rsid w:val="00D21AB3"/>
    <w:rsid w:val="00D21B18"/>
    <w:rsid w:val="00D21BC2"/>
    <w:rsid w:val="00D21F0A"/>
    <w:rsid w:val="00D22019"/>
    <w:rsid w:val="00D22103"/>
    <w:rsid w:val="00D222AC"/>
    <w:rsid w:val="00D22412"/>
    <w:rsid w:val="00D225FC"/>
    <w:rsid w:val="00D22829"/>
    <w:rsid w:val="00D22938"/>
    <w:rsid w:val="00D22B83"/>
    <w:rsid w:val="00D22EC6"/>
    <w:rsid w:val="00D22F46"/>
    <w:rsid w:val="00D230A9"/>
    <w:rsid w:val="00D230B8"/>
    <w:rsid w:val="00D236D2"/>
    <w:rsid w:val="00D2383B"/>
    <w:rsid w:val="00D2398A"/>
    <w:rsid w:val="00D239D7"/>
    <w:rsid w:val="00D23A03"/>
    <w:rsid w:val="00D241DF"/>
    <w:rsid w:val="00D24413"/>
    <w:rsid w:val="00D24580"/>
    <w:rsid w:val="00D24594"/>
    <w:rsid w:val="00D249C3"/>
    <w:rsid w:val="00D24AE1"/>
    <w:rsid w:val="00D24C74"/>
    <w:rsid w:val="00D24DC5"/>
    <w:rsid w:val="00D24E23"/>
    <w:rsid w:val="00D24E3E"/>
    <w:rsid w:val="00D25017"/>
    <w:rsid w:val="00D25198"/>
    <w:rsid w:val="00D25209"/>
    <w:rsid w:val="00D25419"/>
    <w:rsid w:val="00D254D9"/>
    <w:rsid w:val="00D2557B"/>
    <w:rsid w:val="00D2586C"/>
    <w:rsid w:val="00D25941"/>
    <w:rsid w:val="00D25B78"/>
    <w:rsid w:val="00D25C18"/>
    <w:rsid w:val="00D25CDD"/>
    <w:rsid w:val="00D25E02"/>
    <w:rsid w:val="00D25E2E"/>
    <w:rsid w:val="00D260EB"/>
    <w:rsid w:val="00D26294"/>
    <w:rsid w:val="00D26509"/>
    <w:rsid w:val="00D26756"/>
    <w:rsid w:val="00D26808"/>
    <w:rsid w:val="00D26910"/>
    <w:rsid w:val="00D2699E"/>
    <w:rsid w:val="00D26AAE"/>
    <w:rsid w:val="00D26AC2"/>
    <w:rsid w:val="00D26B91"/>
    <w:rsid w:val="00D26DB7"/>
    <w:rsid w:val="00D2722D"/>
    <w:rsid w:val="00D2727F"/>
    <w:rsid w:val="00D272B8"/>
    <w:rsid w:val="00D273A5"/>
    <w:rsid w:val="00D27464"/>
    <w:rsid w:val="00D274BC"/>
    <w:rsid w:val="00D274C9"/>
    <w:rsid w:val="00D277F6"/>
    <w:rsid w:val="00D27ACB"/>
    <w:rsid w:val="00D27CA9"/>
    <w:rsid w:val="00D27E73"/>
    <w:rsid w:val="00D27F5D"/>
    <w:rsid w:val="00D305AA"/>
    <w:rsid w:val="00D305FC"/>
    <w:rsid w:val="00D30690"/>
    <w:rsid w:val="00D3076C"/>
    <w:rsid w:val="00D30D51"/>
    <w:rsid w:val="00D30E01"/>
    <w:rsid w:val="00D31474"/>
    <w:rsid w:val="00D3153C"/>
    <w:rsid w:val="00D31592"/>
    <w:rsid w:val="00D318A1"/>
    <w:rsid w:val="00D3196E"/>
    <w:rsid w:val="00D319EC"/>
    <w:rsid w:val="00D31C80"/>
    <w:rsid w:val="00D31CDD"/>
    <w:rsid w:val="00D31F40"/>
    <w:rsid w:val="00D32114"/>
    <w:rsid w:val="00D321A4"/>
    <w:rsid w:val="00D32385"/>
    <w:rsid w:val="00D32401"/>
    <w:rsid w:val="00D325A7"/>
    <w:rsid w:val="00D32661"/>
    <w:rsid w:val="00D3273F"/>
    <w:rsid w:val="00D3278C"/>
    <w:rsid w:val="00D3282A"/>
    <w:rsid w:val="00D32958"/>
    <w:rsid w:val="00D32969"/>
    <w:rsid w:val="00D32997"/>
    <w:rsid w:val="00D32A8B"/>
    <w:rsid w:val="00D32BD2"/>
    <w:rsid w:val="00D32E48"/>
    <w:rsid w:val="00D32E9B"/>
    <w:rsid w:val="00D32F33"/>
    <w:rsid w:val="00D33264"/>
    <w:rsid w:val="00D335C0"/>
    <w:rsid w:val="00D335E2"/>
    <w:rsid w:val="00D33611"/>
    <w:rsid w:val="00D33753"/>
    <w:rsid w:val="00D3377F"/>
    <w:rsid w:val="00D33CE7"/>
    <w:rsid w:val="00D33F46"/>
    <w:rsid w:val="00D34076"/>
    <w:rsid w:val="00D342F0"/>
    <w:rsid w:val="00D34654"/>
    <w:rsid w:val="00D348BE"/>
    <w:rsid w:val="00D3492D"/>
    <w:rsid w:val="00D34AD6"/>
    <w:rsid w:val="00D34B1F"/>
    <w:rsid w:val="00D34BF0"/>
    <w:rsid w:val="00D34C14"/>
    <w:rsid w:val="00D34CDC"/>
    <w:rsid w:val="00D34CE2"/>
    <w:rsid w:val="00D34DD7"/>
    <w:rsid w:val="00D34E36"/>
    <w:rsid w:val="00D34ED0"/>
    <w:rsid w:val="00D34F21"/>
    <w:rsid w:val="00D34F60"/>
    <w:rsid w:val="00D34F76"/>
    <w:rsid w:val="00D34FB0"/>
    <w:rsid w:val="00D35054"/>
    <w:rsid w:val="00D35055"/>
    <w:rsid w:val="00D35172"/>
    <w:rsid w:val="00D35269"/>
    <w:rsid w:val="00D352F2"/>
    <w:rsid w:val="00D354B5"/>
    <w:rsid w:val="00D35657"/>
    <w:rsid w:val="00D35ABE"/>
    <w:rsid w:val="00D35B94"/>
    <w:rsid w:val="00D35C21"/>
    <w:rsid w:val="00D35E6B"/>
    <w:rsid w:val="00D35F02"/>
    <w:rsid w:val="00D3602A"/>
    <w:rsid w:val="00D3612A"/>
    <w:rsid w:val="00D3657F"/>
    <w:rsid w:val="00D36606"/>
    <w:rsid w:val="00D367E1"/>
    <w:rsid w:val="00D368ED"/>
    <w:rsid w:val="00D36999"/>
    <w:rsid w:val="00D36B93"/>
    <w:rsid w:val="00D36CDB"/>
    <w:rsid w:val="00D36E35"/>
    <w:rsid w:val="00D36FFA"/>
    <w:rsid w:val="00D37005"/>
    <w:rsid w:val="00D37133"/>
    <w:rsid w:val="00D371AB"/>
    <w:rsid w:val="00D37481"/>
    <w:rsid w:val="00D37574"/>
    <w:rsid w:val="00D37612"/>
    <w:rsid w:val="00D37666"/>
    <w:rsid w:val="00D377DC"/>
    <w:rsid w:val="00D37993"/>
    <w:rsid w:val="00D37DBD"/>
    <w:rsid w:val="00D37E46"/>
    <w:rsid w:val="00D37F42"/>
    <w:rsid w:val="00D400B6"/>
    <w:rsid w:val="00D402E5"/>
    <w:rsid w:val="00D403E0"/>
    <w:rsid w:val="00D40558"/>
    <w:rsid w:val="00D40578"/>
    <w:rsid w:val="00D405AB"/>
    <w:rsid w:val="00D40744"/>
    <w:rsid w:val="00D4081F"/>
    <w:rsid w:val="00D40965"/>
    <w:rsid w:val="00D40D6F"/>
    <w:rsid w:val="00D40DFF"/>
    <w:rsid w:val="00D4108B"/>
    <w:rsid w:val="00D410DD"/>
    <w:rsid w:val="00D415B1"/>
    <w:rsid w:val="00D416F6"/>
    <w:rsid w:val="00D41704"/>
    <w:rsid w:val="00D41B23"/>
    <w:rsid w:val="00D41BAC"/>
    <w:rsid w:val="00D41C2C"/>
    <w:rsid w:val="00D41C66"/>
    <w:rsid w:val="00D41DED"/>
    <w:rsid w:val="00D420AB"/>
    <w:rsid w:val="00D421A7"/>
    <w:rsid w:val="00D422BE"/>
    <w:rsid w:val="00D4232D"/>
    <w:rsid w:val="00D423CD"/>
    <w:rsid w:val="00D42726"/>
    <w:rsid w:val="00D428E4"/>
    <w:rsid w:val="00D42A61"/>
    <w:rsid w:val="00D42AEE"/>
    <w:rsid w:val="00D42CD1"/>
    <w:rsid w:val="00D42CE3"/>
    <w:rsid w:val="00D42DEC"/>
    <w:rsid w:val="00D42FAA"/>
    <w:rsid w:val="00D4304A"/>
    <w:rsid w:val="00D43073"/>
    <w:rsid w:val="00D43321"/>
    <w:rsid w:val="00D4343A"/>
    <w:rsid w:val="00D436D2"/>
    <w:rsid w:val="00D43A13"/>
    <w:rsid w:val="00D43C3D"/>
    <w:rsid w:val="00D43E0D"/>
    <w:rsid w:val="00D43FE3"/>
    <w:rsid w:val="00D4408B"/>
    <w:rsid w:val="00D4414B"/>
    <w:rsid w:val="00D441D1"/>
    <w:rsid w:val="00D445CF"/>
    <w:rsid w:val="00D4463B"/>
    <w:rsid w:val="00D44B50"/>
    <w:rsid w:val="00D44B85"/>
    <w:rsid w:val="00D44D08"/>
    <w:rsid w:val="00D44D20"/>
    <w:rsid w:val="00D44D4E"/>
    <w:rsid w:val="00D44D5B"/>
    <w:rsid w:val="00D44D90"/>
    <w:rsid w:val="00D44E00"/>
    <w:rsid w:val="00D45420"/>
    <w:rsid w:val="00D456FB"/>
    <w:rsid w:val="00D4580F"/>
    <w:rsid w:val="00D45843"/>
    <w:rsid w:val="00D45899"/>
    <w:rsid w:val="00D45C1D"/>
    <w:rsid w:val="00D45D07"/>
    <w:rsid w:val="00D45DF9"/>
    <w:rsid w:val="00D45E1D"/>
    <w:rsid w:val="00D45EF0"/>
    <w:rsid w:val="00D45F3E"/>
    <w:rsid w:val="00D45F5B"/>
    <w:rsid w:val="00D460FE"/>
    <w:rsid w:val="00D46441"/>
    <w:rsid w:val="00D466C4"/>
    <w:rsid w:val="00D46AD2"/>
    <w:rsid w:val="00D46B9B"/>
    <w:rsid w:val="00D46C10"/>
    <w:rsid w:val="00D46CA3"/>
    <w:rsid w:val="00D46DBD"/>
    <w:rsid w:val="00D46E10"/>
    <w:rsid w:val="00D46F61"/>
    <w:rsid w:val="00D46FF9"/>
    <w:rsid w:val="00D472B4"/>
    <w:rsid w:val="00D47A2F"/>
    <w:rsid w:val="00D47A3B"/>
    <w:rsid w:val="00D47B5A"/>
    <w:rsid w:val="00D47CF6"/>
    <w:rsid w:val="00D47DEF"/>
    <w:rsid w:val="00D50059"/>
    <w:rsid w:val="00D5031F"/>
    <w:rsid w:val="00D50594"/>
    <w:rsid w:val="00D5064C"/>
    <w:rsid w:val="00D50708"/>
    <w:rsid w:val="00D509E7"/>
    <w:rsid w:val="00D50ABC"/>
    <w:rsid w:val="00D50C85"/>
    <w:rsid w:val="00D50D2A"/>
    <w:rsid w:val="00D50E04"/>
    <w:rsid w:val="00D50ED2"/>
    <w:rsid w:val="00D511C5"/>
    <w:rsid w:val="00D51287"/>
    <w:rsid w:val="00D5138E"/>
    <w:rsid w:val="00D5147C"/>
    <w:rsid w:val="00D51716"/>
    <w:rsid w:val="00D5173A"/>
    <w:rsid w:val="00D5184E"/>
    <w:rsid w:val="00D51AF4"/>
    <w:rsid w:val="00D51AFF"/>
    <w:rsid w:val="00D51CE8"/>
    <w:rsid w:val="00D51D1F"/>
    <w:rsid w:val="00D51E17"/>
    <w:rsid w:val="00D51ECC"/>
    <w:rsid w:val="00D52026"/>
    <w:rsid w:val="00D5224C"/>
    <w:rsid w:val="00D523AF"/>
    <w:rsid w:val="00D523EB"/>
    <w:rsid w:val="00D5242F"/>
    <w:rsid w:val="00D524F2"/>
    <w:rsid w:val="00D5271C"/>
    <w:rsid w:val="00D5276E"/>
    <w:rsid w:val="00D5297A"/>
    <w:rsid w:val="00D52A74"/>
    <w:rsid w:val="00D52A88"/>
    <w:rsid w:val="00D52B9F"/>
    <w:rsid w:val="00D52D00"/>
    <w:rsid w:val="00D52D91"/>
    <w:rsid w:val="00D52F33"/>
    <w:rsid w:val="00D530E7"/>
    <w:rsid w:val="00D532AD"/>
    <w:rsid w:val="00D535D1"/>
    <w:rsid w:val="00D53631"/>
    <w:rsid w:val="00D53730"/>
    <w:rsid w:val="00D53846"/>
    <w:rsid w:val="00D538CC"/>
    <w:rsid w:val="00D539BA"/>
    <w:rsid w:val="00D53D1E"/>
    <w:rsid w:val="00D54062"/>
    <w:rsid w:val="00D54084"/>
    <w:rsid w:val="00D5410C"/>
    <w:rsid w:val="00D543DA"/>
    <w:rsid w:val="00D544BF"/>
    <w:rsid w:val="00D54927"/>
    <w:rsid w:val="00D5498A"/>
    <w:rsid w:val="00D54AE1"/>
    <w:rsid w:val="00D54AE8"/>
    <w:rsid w:val="00D54B75"/>
    <w:rsid w:val="00D54C40"/>
    <w:rsid w:val="00D54DAB"/>
    <w:rsid w:val="00D54E34"/>
    <w:rsid w:val="00D54ECD"/>
    <w:rsid w:val="00D550A2"/>
    <w:rsid w:val="00D551B7"/>
    <w:rsid w:val="00D552A2"/>
    <w:rsid w:val="00D55413"/>
    <w:rsid w:val="00D55480"/>
    <w:rsid w:val="00D554B8"/>
    <w:rsid w:val="00D5559D"/>
    <w:rsid w:val="00D55840"/>
    <w:rsid w:val="00D5584B"/>
    <w:rsid w:val="00D559F7"/>
    <w:rsid w:val="00D55AFE"/>
    <w:rsid w:val="00D55C60"/>
    <w:rsid w:val="00D55DC7"/>
    <w:rsid w:val="00D5616A"/>
    <w:rsid w:val="00D5617C"/>
    <w:rsid w:val="00D565C2"/>
    <w:rsid w:val="00D565E5"/>
    <w:rsid w:val="00D566B0"/>
    <w:rsid w:val="00D56D3B"/>
    <w:rsid w:val="00D56D70"/>
    <w:rsid w:val="00D56F82"/>
    <w:rsid w:val="00D571BF"/>
    <w:rsid w:val="00D57208"/>
    <w:rsid w:val="00D5726F"/>
    <w:rsid w:val="00D57301"/>
    <w:rsid w:val="00D57321"/>
    <w:rsid w:val="00D57493"/>
    <w:rsid w:val="00D57706"/>
    <w:rsid w:val="00D57B2C"/>
    <w:rsid w:val="00D57C1A"/>
    <w:rsid w:val="00D57CCE"/>
    <w:rsid w:val="00D57D53"/>
    <w:rsid w:val="00D57DBE"/>
    <w:rsid w:val="00D603B3"/>
    <w:rsid w:val="00D604C5"/>
    <w:rsid w:val="00D6050E"/>
    <w:rsid w:val="00D6052C"/>
    <w:rsid w:val="00D605C8"/>
    <w:rsid w:val="00D605F3"/>
    <w:rsid w:val="00D6066B"/>
    <w:rsid w:val="00D606C8"/>
    <w:rsid w:val="00D606FC"/>
    <w:rsid w:val="00D608D4"/>
    <w:rsid w:val="00D60951"/>
    <w:rsid w:val="00D60B41"/>
    <w:rsid w:val="00D60C09"/>
    <w:rsid w:val="00D6127C"/>
    <w:rsid w:val="00D6143A"/>
    <w:rsid w:val="00D6159C"/>
    <w:rsid w:val="00D61738"/>
    <w:rsid w:val="00D61748"/>
    <w:rsid w:val="00D61821"/>
    <w:rsid w:val="00D61A00"/>
    <w:rsid w:val="00D61AAF"/>
    <w:rsid w:val="00D61EA2"/>
    <w:rsid w:val="00D61F2A"/>
    <w:rsid w:val="00D61F8D"/>
    <w:rsid w:val="00D62020"/>
    <w:rsid w:val="00D62106"/>
    <w:rsid w:val="00D62202"/>
    <w:rsid w:val="00D62304"/>
    <w:rsid w:val="00D623CF"/>
    <w:rsid w:val="00D623E8"/>
    <w:rsid w:val="00D62431"/>
    <w:rsid w:val="00D624D0"/>
    <w:rsid w:val="00D62650"/>
    <w:rsid w:val="00D628F8"/>
    <w:rsid w:val="00D62A41"/>
    <w:rsid w:val="00D62D22"/>
    <w:rsid w:val="00D637A4"/>
    <w:rsid w:val="00D63844"/>
    <w:rsid w:val="00D638CC"/>
    <w:rsid w:val="00D63A84"/>
    <w:rsid w:val="00D63B24"/>
    <w:rsid w:val="00D63DD5"/>
    <w:rsid w:val="00D63F79"/>
    <w:rsid w:val="00D63F7C"/>
    <w:rsid w:val="00D6427F"/>
    <w:rsid w:val="00D642BD"/>
    <w:rsid w:val="00D645B0"/>
    <w:rsid w:val="00D647FF"/>
    <w:rsid w:val="00D6485E"/>
    <w:rsid w:val="00D648B6"/>
    <w:rsid w:val="00D649D0"/>
    <w:rsid w:val="00D64AB0"/>
    <w:rsid w:val="00D64C6D"/>
    <w:rsid w:val="00D64ED0"/>
    <w:rsid w:val="00D64EFC"/>
    <w:rsid w:val="00D6508A"/>
    <w:rsid w:val="00D650C0"/>
    <w:rsid w:val="00D652CD"/>
    <w:rsid w:val="00D65792"/>
    <w:rsid w:val="00D657B9"/>
    <w:rsid w:val="00D6585D"/>
    <w:rsid w:val="00D65925"/>
    <w:rsid w:val="00D65A34"/>
    <w:rsid w:val="00D66127"/>
    <w:rsid w:val="00D66136"/>
    <w:rsid w:val="00D6624C"/>
    <w:rsid w:val="00D6640B"/>
    <w:rsid w:val="00D66526"/>
    <w:rsid w:val="00D66A29"/>
    <w:rsid w:val="00D66AAB"/>
    <w:rsid w:val="00D66C17"/>
    <w:rsid w:val="00D66C42"/>
    <w:rsid w:val="00D66CAF"/>
    <w:rsid w:val="00D66DEA"/>
    <w:rsid w:val="00D66E0E"/>
    <w:rsid w:val="00D66FFF"/>
    <w:rsid w:val="00D670DB"/>
    <w:rsid w:val="00D6723F"/>
    <w:rsid w:val="00D6729D"/>
    <w:rsid w:val="00D6731B"/>
    <w:rsid w:val="00D67340"/>
    <w:rsid w:val="00D6765A"/>
    <w:rsid w:val="00D6774B"/>
    <w:rsid w:val="00D678BA"/>
    <w:rsid w:val="00D678CB"/>
    <w:rsid w:val="00D67985"/>
    <w:rsid w:val="00D67B9E"/>
    <w:rsid w:val="00D67E9D"/>
    <w:rsid w:val="00D70007"/>
    <w:rsid w:val="00D700D5"/>
    <w:rsid w:val="00D7010C"/>
    <w:rsid w:val="00D701BC"/>
    <w:rsid w:val="00D701C6"/>
    <w:rsid w:val="00D7067B"/>
    <w:rsid w:val="00D709CD"/>
    <w:rsid w:val="00D70B79"/>
    <w:rsid w:val="00D70CA5"/>
    <w:rsid w:val="00D70D0C"/>
    <w:rsid w:val="00D70DF2"/>
    <w:rsid w:val="00D710D9"/>
    <w:rsid w:val="00D711A5"/>
    <w:rsid w:val="00D711B8"/>
    <w:rsid w:val="00D71402"/>
    <w:rsid w:val="00D714F6"/>
    <w:rsid w:val="00D71749"/>
    <w:rsid w:val="00D7183E"/>
    <w:rsid w:val="00D71BD4"/>
    <w:rsid w:val="00D71D47"/>
    <w:rsid w:val="00D71DB1"/>
    <w:rsid w:val="00D71E37"/>
    <w:rsid w:val="00D72224"/>
    <w:rsid w:val="00D728CE"/>
    <w:rsid w:val="00D72917"/>
    <w:rsid w:val="00D72C0B"/>
    <w:rsid w:val="00D731C8"/>
    <w:rsid w:val="00D73302"/>
    <w:rsid w:val="00D733E9"/>
    <w:rsid w:val="00D734E6"/>
    <w:rsid w:val="00D7374F"/>
    <w:rsid w:val="00D737F9"/>
    <w:rsid w:val="00D7388A"/>
    <w:rsid w:val="00D73ABD"/>
    <w:rsid w:val="00D73B3A"/>
    <w:rsid w:val="00D73D93"/>
    <w:rsid w:val="00D73E52"/>
    <w:rsid w:val="00D73F15"/>
    <w:rsid w:val="00D741F3"/>
    <w:rsid w:val="00D74209"/>
    <w:rsid w:val="00D7432B"/>
    <w:rsid w:val="00D74348"/>
    <w:rsid w:val="00D74573"/>
    <w:rsid w:val="00D746A9"/>
    <w:rsid w:val="00D74A19"/>
    <w:rsid w:val="00D74B08"/>
    <w:rsid w:val="00D74B28"/>
    <w:rsid w:val="00D74B64"/>
    <w:rsid w:val="00D74F5B"/>
    <w:rsid w:val="00D74F5C"/>
    <w:rsid w:val="00D75064"/>
    <w:rsid w:val="00D7539C"/>
    <w:rsid w:val="00D75413"/>
    <w:rsid w:val="00D7557B"/>
    <w:rsid w:val="00D75590"/>
    <w:rsid w:val="00D7573F"/>
    <w:rsid w:val="00D75793"/>
    <w:rsid w:val="00D759EF"/>
    <w:rsid w:val="00D76049"/>
    <w:rsid w:val="00D7624D"/>
    <w:rsid w:val="00D762FE"/>
    <w:rsid w:val="00D76385"/>
    <w:rsid w:val="00D7649E"/>
    <w:rsid w:val="00D76724"/>
    <w:rsid w:val="00D76825"/>
    <w:rsid w:val="00D76C19"/>
    <w:rsid w:val="00D76D31"/>
    <w:rsid w:val="00D77370"/>
    <w:rsid w:val="00D774AC"/>
    <w:rsid w:val="00D77557"/>
    <w:rsid w:val="00D77656"/>
    <w:rsid w:val="00D77679"/>
    <w:rsid w:val="00D77727"/>
    <w:rsid w:val="00D77751"/>
    <w:rsid w:val="00D7797A"/>
    <w:rsid w:val="00D77A60"/>
    <w:rsid w:val="00D77AE8"/>
    <w:rsid w:val="00D77D9A"/>
    <w:rsid w:val="00D77EBD"/>
    <w:rsid w:val="00D77FAC"/>
    <w:rsid w:val="00D77FB9"/>
    <w:rsid w:val="00D801B4"/>
    <w:rsid w:val="00D80A3B"/>
    <w:rsid w:val="00D80ADD"/>
    <w:rsid w:val="00D80BB4"/>
    <w:rsid w:val="00D80E15"/>
    <w:rsid w:val="00D80EA6"/>
    <w:rsid w:val="00D81412"/>
    <w:rsid w:val="00D8145C"/>
    <w:rsid w:val="00D8150B"/>
    <w:rsid w:val="00D81549"/>
    <w:rsid w:val="00D81554"/>
    <w:rsid w:val="00D81B2D"/>
    <w:rsid w:val="00D81B80"/>
    <w:rsid w:val="00D81C2C"/>
    <w:rsid w:val="00D81CFF"/>
    <w:rsid w:val="00D81D8D"/>
    <w:rsid w:val="00D81E82"/>
    <w:rsid w:val="00D82110"/>
    <w:rsid w:val="00D82262"/>
    <w:rsid w:val="00D8234F"/>
    <w:rsid w:val="00D8239B"/>
    <w:rsid w:val="00D82765"/>
    <w:rsid w:val="00D827B8"/>
    <w:rsid w:val="00D82949"/>
    <w:rsid w:val="00D82997"/>
    <w:rsid w:val="00D82A10"/>
    <w:rsid w:val="00D82ADB"/>
    <w:rsid w:val="00D82BB1"/>
    <w:rsid w:val="00D82E5C"/>
    <w:rsid w:val="00D83242"/>
    <w:rsid w:val="00D83287"/>
    <w:rsid w:val="00D83415"/>
    <w:rsid w:val="00D83623"/>
    <w:rsid w:val="00D836D2"/>
    <w:rsid w:val="00D836E6"/>
    <w:rsid w:val="00D83B07"/>
    <w:rsid w:val="00D83ECD"/>
    <w:rsid w:val="00D83EEA"/>
    <w:rsid w:val="00D83FF6"/>
    <w:rsid w:val="00D841FE"/>
    <w:rsid w:val="00D846B5"/>
    <w:rsid w:val="00D84A32"/>
    <w:rsid w:val="00D84B5B"/>
    <w:rsid w:val="00D84B5E"/>
    <w:rsid w:val="00D84DA6"/>
    <w:rsid w:val="00D84EA7"/>
    <w:rsid w:val="00D84FB5"/>
    <w:rsid w:val="00D8514A"/>
    <w:rsid w:val="00D85211"/>
    <w:rsid w:val="00D853E5"/>
    <w:rsid w:val="00D8552D"/>
    <w:rsid w:val="00D8559D"/>
    <w:rsid w:val="00D8580F"/>
    <w:rsid w:val="00D8582D"/>
    <w:rsid w:val="00D85984"/>
    <w:rsid w:val="00D859D7"/>
    <w:rsid w:val="00D85A1E"/>
    <w:rsid w:val="00D85B10"/>
    <w:rsid w:val="00D86129"/>
    <w:rsid w:val="00D8662D"/>
    <w:rsid w:val="00D86679"/>
    <w:rsid w:val="00D8674D"/>
    <w:rsid w:val="00D86779"/>
    <w:rsid w:val="00D867C9"/>
    <w:rsid w:val="00D86863"/>
    <w:rsid w:val="00D86919"/>
    <w:rsid w:val="00D869BE"/>
    <w:rsid w:val="00D86B3B"/>
    <w:rsid w:val="00D86C7B"/>
    <w:rsid w:val="00D86F83"/>
    <w:rsid w:val="00D8717E"/>
    <w:rsid w:val="00D871A2"/>
    <w:rsid w:val="00D8733D"/>
    <w:rsid w:val="00D87350"/>
    <w:rsid w:val="00D873C3"/>
    <w:rsid w:val="00D87445"/>
    <w:rsid w:val="00D8745A"/>
    <w:rsid w:val="00D875CF"/>
    <w:rsid w:val="00D8768A"/>
    <w:rsid w:val="00D876E0"/>
    <w:rsid w:val="00D876F7"/>
    <w:rsid w:val="00D87A56"/>
    <w:rsid w:val="00D87AAB"/>
    <w:rsid w:val="00D87BB3"/>
    <w:rsid w:val="00D87D80"/>
    <w:rsid w:val="00D87E04"/>
    <w:rsid w:val="00D87F48"/>
    <w:rsid w:val="00D87FDC"/>
    <w:rsid w:val="00D9004F"/>
    <w:rsid w:val="00D900F9"/>
    <w:rsid w:val="00D90342"/>
    <w:rsid w:val="00D90552"/>
    <w:rsid w:val="00D908B8"/>
    <w:rsid w:val="00D908F3"/>
    <w:rsid w:val="00D90909"/>
    <w:rsid w:val="00D90AF5"/>
    <w:rsid w:val="00D90D12"/>
    <w:rsid w:val="00D90FC2"/>
    <w:rsid w:val="00D91456"/>
    <w:rsid w:val="00D91515"/>
    <w:rsid w:val="00D9157E"/>
    <w:rsid w:val="00D915D7"/>
    <w:rsid w:val="00D91706"/>
    <w:rsid w:val="00D91D54"/>
    <w:rsid w:val="00D91DF4"/>
    <w:rsid w:val="00D91F11"/>
    <w:rsid w:val="00D920BB"/>
    <w:rsid w:val="00D9230D"/>
    <w:rsid w:val="00D92316"/>
    <w:rsid w:val="00D923A2"/>
    <w:rsid w:val="00D923DC"/>
    <w:rsid w:val="00D923F0"/>
    <w:rsid w:val="00D924ED"/>
    <w:rsid w:val="00D928CE"/>
    <w:rsid w:val="00D92930"/>
    <w:rsid w:val="00D92AA2"/>
    <w:rsid w:val="00D92C91"/>
    <w:rsid w:val="00D92CE9"/>
    <w:rsid w:val="00D92DA1"/>
    <w:rsid w:val="00D92DB3"/>
    <w:rsid w:val="00D92DD6"/>
    <w:rsid w:val="00D930DE"/>
    <w:rsid w:val="00D931E1"/>
    <w:rsid w:val="00D935E7"/>
    <w:rsid w:val="00D93609"/>
    <w:rsid w:val="00D93C91"/>
    <w:rsid w:val="00D93CA7"/>
    <w:rsid w:val="00D93FCF"/>
    <w:rsid w:val="00D940BE"/>
    <w:rsid w:val="00D944D2"/>
    <w:rsid w:val="00D94896"/>
    <w:rsid w:val="00D94AEC"/>
    <w:rsid w:val="00D94BC6"/>
    <w:rsid w:val="00D94D47"/>
    <w:rsid w:val="00D94D5B"/>
    <w:rsid w:val="00D94FBB"/>
    <w:rsid w:val="00D94FC8"/>
    <w:rsid w:val="00D950EC"/>
    <w:rsid w:val="00D955DF"/>
    <w:rsid w:val="00D9562B"/>
    <w:rsid w:val="00D9567E"/>
    <w:rsid w:val="00D95823"/>
    <w:rsid w:val="00D9591C"/>
    <w:rsid w:val="00D959F0"/>
    <w:rsid w:val="00D95A52"/>
    <w:rsid w:val="00D95AE7"/>
    <w:rsid w:val="00D95BBA"/>
    <w:rsid w:val="00D95D87"/>
    <w:rsid w:val="00D95E4D"/>
    <w:rsid w:val="00D9617D"/>
    <w:rsid w:val="00D9635F"/>
    <w:rsid w:val="00D963CE"/>
    <w:rsid w:val="00D963EC"/>
    <w:rsid w:val="00D96428"/>
    <w:rsid w:val="00D96436"/>
    <w:rsid w:val="00D9659B"/>
    <w:rsid w:val="00D966D7"/>
    <w:rsid w:val="00D966EC"/>
    <w:rsid w:val="00D96852"/>
    <w:rsid w:val="00D96856"/>
    <w:rsid w:val="00D968F3"/>
    <w:rsid w:val="00D969D1"/>
    <w:rsid w:val="00D96A19"/>
    <w:rsid w:val="00D96D47"/>
    <w:rsid w:val="00D96DB5"/>
    <w:rsid w:val="00D96DC4"/>
    <w:rsid w:val="00D96E3C"/>
    <w:rsid w:val="00D96FB1"/>
    <w:rsid w:val="00D96FBC"/>
    <w:rsid w:val="00D9728C"/>
    <w:rsid w:val="00D9736C"/>
    <w:rsid w:val="00D97740"/>
    <w:rsid w:val="00D97884"/>
    <w:rsid w:val="00D979E4"/>
    <w:rsid w:val="00D979E5"/>
    <w:rsid w:val="00D97A2E"/>
    <w:rsid w:val="00D97BD4"/>
    <w:rsid w:val="00D97C9E"/>
    <w:rsid w:val="00D97FB5"/>
    <w:rsid w:val="00DA01BC"/>
    <w:rsid w:val="00DA01FC"/>
    <w:rsid w:val="00DA0368"/>
    <w:rsid w:val="00DA04F1"/>
    <w:rsid w:val="00DA055F"/>
    <w:rsid w:val="00DA0866"/>
    <w:rsid w:val="00DA08C4"/>
    <w:rsid w:val="00DA0971"/>
    <w:rsid w:val="00DA0A9C"/>
    <w:rsid w:val="00DA0E17"/>
    <w:rsid w:val="00DA0EC4"/>
    <w:rsid w:val="00DA10B5"/>
    <w:rsid w:val="00DA119C"/>
    <w:rsid w:val="00DA12A6"/>
    <w:rsid w:val="00DA1335"/>
    <w:rsid w:val="00DA1618"/>
    <w:rsid w:val="00DA165A"/>
    <w:rsid w:val="00DA170C"/>
    <w:rsid w:val="00DA1872"/>
    <w:rsid w:val="00DA1B04"/>
    <w:rsid w:val="00DA1C86"/>
    <w:rsid w:val="00DA1E71"/>
    <w:rsid w:val="00DA1FFD"/>
    <w:rsid w:val="00DA2089"/>
    <w:rsid w:val="00DA219E"/>
    <w:rsid w:val="00DA238D"/>
    <w:rsid w:val="00DA2462"/>
    <w:rsid w:val="00DA25A5"/>
    <w:rsid w:val="00DA2841"/>
    <w:rsid w:val="00DA285E"/>
    <w:rsid w:val="00DA2B2D"/>
    <w:rsid w:val="00DA2D95"/>
    <w:rsid w:val="00DA2F92"/>
    <w:rsid w:val="00DA2FC8"/>
    <w:rsid w:val="00DA3102"/>
    <w:rsid w:val="00DA32BC"/>
    <w:rsid w:val="00DA344D"/>
    <w:rsid w:val="00DA3493"/>
    <w:rsid w:val="00DA377C"/>
    <w:rsid w:val="00DA39B0"/>
    <w:rsid w:val="00DA39FE"/>
    <w:rsid w:val="00DA3C8F"/>
    <w:rsid w:val="00DA3DB3"/>
    <w:rsid w:val="00DA3ECF"/>
    <w:rsid w:val="00DA4246"/>
    <w:rsid w:val="00DA4488"/>
    <w:rsid w:val="00DA4691"/>
    <w:rsid w:val="00DA4816"/>
    <w:rsid w:val="00DA4A0A"/>
    <w:rsid w:val="00DA4A25"/>
    <w:rsid w:val="00DA4C48"/>
    <w:rsid w:val="00DA4E20"/>
    <w:rsid w:val="00DA4EB6"/>
    <w:rsid w:val="00DA4EFF"/>
    <w:rsid w:val="00DA5082"/>
    <w:rsid w:val="00DA512E"/>
    <w:rsid w:val="00DA514D"/>
    <w:rsid w:val="00DA516A"/>
    <w:rsid w:val="00DA540A"/>
    <w:rsid w:val="00DA54CC"/>
    <w:rsid w:val="00DA559C"/>
    <w:rsid w:val="00DA5609"/>
    <w:rsid w:val="00DA5DE2"/>
    <w:rsid w:val="00DA6213"/>
    <w:rsid w:val="00DA655D"/>
    <w:rsid w:val="00DA6739"/>
    <w:rsid w:val="00DA6AC4"/>
    <w:rsid w:val="00DA6BBA"/>
    <w:rsid w:val="00DA6E3C"/>
    <w:rsid w:val="00DA7157"/>
    <w:rsid w:val="00DA71A9"/>
    <w:rsid w:val="00DA7245"/>
    <w:rsid w:val="00DA72EB"/>
    <w:rsid w:val="00DA7667"/>
    <w:rsid w:val="00DA7A7A"/>
    <w:rsid w:val="00DA7AC5"/>
    <w:rsid w:val="00DA7B6E"/>
    <w:rsid w:val="00DA7D70"/>
    <w:rsid w:val="00DA7E09"/>
    <w:rsid w:val="00DA7F64"/>
    <w:rsid w:val="00DB002E"/>
    <w:rsid w:val="00DB00D4"/>
    <w:rsid w:val="00DB0145"/>
    <w:rsid w:val="00DB0232"/>
    <w:rsid w:val="00DB03A2"/>
    <w:rsid w:val="00DB045E"/>
    <w:rsid w:val="00DB0549"/>
    <w:rsid w:val="00DB0634"/>
    <w:rsid w:val="00DB063E"/>
    <w:rsid w:val="00DB0B95"/>
    <w:rsid w:val="00DB0D7C"/>
    <w:rsid w:val="00DB0D84"/>
    <w:rsid w:val="00DB12E0"/>
    <w:rsid w:val="00DB135F"/>
    <w:rsid w:val="00DB165D"/>
    <w:rsid w:val="00DB1E54"/>
    <w:rsid w:val="00DB1E5F"/>
    <w:rsid w:val="00DB1FE6"/>
    <w:rsid w:val="00DB20C4"/>
    <w:rsid w:val="00DB20F9"/>
    <w:rsid w:val="00DB2288"/>
    <w:rsid w:val="00DB23A7"/>
    <w:rsid w:val="00DB28BB"/>
    <w:rsid w:val="00DB2A99"/>
    <w:rsid w:val="00DB2A9F"/>
    <w:rsid w:val="00DB2BC8"/>
    <w:rsid w:val="00DB2DD3"/>
    <w:rsid w:val="00DB2E05"/>
    <w:rsid w:val="00DB330B"/>
    <w:rsid w:val="00DB3504"/>
    <w:rsid w:val="00DB380C"/>
    <w:rsid w:val="00DB3815"/>
    <w:rsid w:val="00DB3848"/>
    <w:rsid w:val="00DB3A30"/>
    <w:rsid w:val="00DB3A7F"/>
    <w:rsid w:val="00DB3A82"/>
    <w:rsid w:val="00DB3BC9"/>
    <w:rsid w:val="00DB3C99"/>
    <w:rsid w:val="00DB3F39"/>
    <w:rsid w:val="00DB3F5B"/>
    <w:rsid w:val="00DB4197"/>
    <w:rsid w:val="00DB4215"/>
    <w:rsid w:val="00DB4216"/>
    <w:rsid w:val="00DB426C"/>
    <w:rsid w:val="00DB4622"/>
    <w:rsid w:val="00DB462B"/>
    <w:rsid w:val="00DB46AE"/>
    <w:rsid w:val="00DB4A22"/>
    <w:rsid w:val="00DB4C76"/>
    <w:rsid w:val="00DB4EFE"/>
    <w:rsid w:val="00DB4FE8"/>
    <w:rsid w:val="00DB5133"/>
    <w:rsid w:val="00DB518E"/>
    <w:rsid w:val="00DB5325"/>
    <w:rsid w:val="00DB5848"/>
    <w:rsid w:val="00DB5917"/>
    <w:rsid w:val="00DB5A0A"/>
    <w:rsid w:val="00DB5ADF"/>
    <w:rsid w:val="00DB5B86"/>
    <w:rsid w:val="00DB5CA3"/>
    <w:rsid w:val="00DB5E01"/>
    <w:rsid w:val="00DB5E8A"/>
    <w:rsid w:val="00DB60FB"/>
    <w:rsid w:val="00DB61C2"/>
    <w:rsid w:val="00DB6438"/>
    <w:rsid w:val="00DB6480"/>
    <w:rsid w:val="00DB65FA"/>
    <w:rsid w:val="00DB661C"/>
    <w:rsid w:val="00DB670E"/>
    <w:rsid w:val="00DB67A0"/>
    <w:rsid w:val="00DB68F9"/>
    <w:rsid w:val="00DB6B1D"/>
    <w:rsid w:val="00DB6B32"/>
    <w:rsid w:val="00DB6C0B"/>
    <w:rsid w:val="00DB6D12"/>
    <w:rsid w:val="00DB6E37"/>
    <w:rsid w:val="00DB70BA"/>
    <w:rsid w:val="00DB710B"/>
    <w:rsid w:val="00DB7159"/>
    <w:rsid w:val="00DB74A0"/>
    <w:rsid w:val="00DB7630"/>
    <w:rsid w:val="00DB7737"/>
    <w:rsid w:val="00DB7897"/>
    <w:rsid w:val="00DB78EA"/>
    <w:rsid w:val="00DB79BC"/>
    <w:rsid w:val="00DB79EC"/>
    <w:rsid w:val="00DB7A9C"/>
    <w:rsid w:val="00DB7D3B"/>
    <w:rsid w:val="00DB7D76"/>
    <w:rsid w:val="00DB7D8E"/>
    <w:rsid w:val="00DB7DF3"/>
    <w:rsid w:val="00DB7E3E"/>
    <w:rsid w:val="00DC01B6"/>
    <w:rsid w:val="00DC02BC"/>
    <w:rsid w:val="00DC0335"/>
    <w:rsid w:val="00DC07CC"/>
    <w:rsid w:val="00DC0BE7"/>
    <w:rsid w:val="00DC0C4A"/>
    <w:rsid w:val="00DC0CD5"/>
    <w:rsid w:val="00DC0E8D"/>
    <w:rsid w:val="00DC0FA8"/>
    <w:rsid w:val="00DC0FB5"/>
    <w:rsid w:val="00DC1066"/>
    <w:rsid w:val="00DC1483"/>
    <w:rsid w:val="00DC1618"/>
    <w:rsid w:val="00DC1825"/>
    <w:rsid w:val="00DC1842"/>
    <w:rsid w:val="00DC18FC"/>
    <w:rsid w:val="00DC195E"/>
    <w:rsid w:val="00DC1B27"/>
    <w:rsid w:val="00DC1B68"/>
    <w:rsid w:val="00DC1C5E"/>
    <w:rsid w:val="00DC1C7D"/>
    <w:rsid w:val="00DC1D80"/>
    <w:rsid w:val="00DC1E5F"/>
    <w:rsid w:val="00DC1E6C"/>
    <w:rsid w:val="00DC1FF8"/>
    <w:rsid w:val="00DC22AB"/>
    <w:rsid w:val="00DC2317"/>
    <w:rsid w:val="00DC240B"/>
    <w:rsid w:val="00DC247D"/>
    <w:rsid w:val="00DC288D"/>
    <w:rsid w:val="00DC289B"/>
    <w:rsid w:val="00DC28E1"/>
    <w:rsid w:val="00DC29A5"/>
    <w:rsid w:val="00DC29AC"/>
    <w:rsid w:val="00DC2A89"/>
    <w:rsid w:val="00DC2E2D"/>
    <w:rsid w:val="00DC2FEB"/>
    <w:rsid w:val="00DC30DE"/>
    <w:rsid w:val="00DC34C0"/>
    <w:rsid w:val="00DC34E7"/>
    <w:rsid w:val="00DC359E"/>
    <w:rsid w:val="00DC3613"/>
    <w:rsid w:val="00DC37C4"/>
    <w:rsid w:val="00DC3BB2"/>
    <w:rsid w:val="00DC3C88"/>
    <w:rsid w:val="00DC3D34"/>
    <w:rsid w:val="00DC3D62"/>
    <w:rsid w:val="00DC3D7B"/>
    <w:rsid w:val="00DC3D85"/>
    <w:rsid w:val="00DC4036"/>
    <w:rsid w:val="00DC4120"/>
    <w:rsid w:val="00DC4324"/>
    <w:rsid w:val="00DC434A"/>
    <w:rsid w:val="00DC434D"/>
    <w:rsid w:val="00DC463E"/>
    <w:rsid w:val="00DC4926"/>
    <w:rsid w:val="00DC4981"/>
    <w:rsid w:val="00DC4A2B"/>
    <w:rsid w:val="00DC4A7E"/>
    <w:rsid w:val="00DC4C04"/>
    <w:rsid w:val="00DC4ECA"/>
    <w:rsid w:val="00DC50F6"/>
    <w:rsid w:val="00DC540E"/>
    <w:rsid w:val="00DC550E"/>
    <w:rsid w:val="00DC579D"/>
    <w:rsid w:val="00DC5871"/>
    <w:rsid w:val="00DC58D3"/>
    <w:rsid w:val="00DC5CAF"/>
    <w:rsid w:val="00DC5D52"/>
    <w:rsid w:val="00DC5F27"/>
    <w:rsid w:val="00DC5F28"/>
    <w:rsid w:val="00DC622C"/>
    <w:rsid w:val="00DC6710"/>
    <w:rsid w:val="00DC673F"/>
    <w:rsid w:val="00DC6815"/>
    <w:rsid w:val="00DC6981"/>
    <w:rsid w:val="00DC6A50"/>
    <w:rsid w:val="00DC6B33"/>
    <w:rsid w:val="00DC6B57"/>
    <w:rsid w:val="00DC6C17"/>
    <w:rsid w:val="00DC6D5D"/>
    <w:rsid w:val="00DC6F30"/>
    <w:rsid w:val="00DC6FEB"/>
    <w:rsid w:val="00DC73EC"/>
    <w:rsid w:val="00DC73FD"/>
    <w:rsid w:val="00DC76B0"/>
    <w:rsid w:val="00DC76D0"/>
    <w:rsid w:val="00DC776C"/>
    <w:rsid w:val="00DC795B"/>
    <w:rsid w:val="00DC7E90"/>
    <w:rsid w:val="00DC7ED0"/>
    <w:rsid w:val="00DC7F8B"/>
    <w:rsid w:val="00DD0114"/>
    <w:rsid w:val="00DD01FC"/>
    <w:rsid w:val="00DD036B"/>
    <w:rsid w:val="00DD0519"/>
    <w:rsid w:val="00DD060B"/>
    <w:rsid w:val="00DD06AA"/>
    <w:rsid w:val="00DD0B28"/>
    <w:rsid w:val="00DD0D0D"/>
    <w:rsid w:val="00DD1219"/>
    <w:rsid w:val="00DD1272"/>
    <w:rsid w:val="00DD12E0"/>
    <w:rsid w:val="00DD156C"/>
    <w:rsid w:val="00DD180A"/>
    <w:rsid w:val="00DD198A"/>
    <w:rsid w:val="00DD1DC2"/>
    <w:rsid w:val="00DD1FAB"/>
    <w:rsid w:val="00DD1FC6"/>
    <w:rsid w:val="00DD201D"/>
    <w:rsid w:val="00DD2236"/>
    <w:rsid w:val="00DD22A0"/>
    <w:rsid w:val="00DD2506"/>
    <w:rsid w:val="00DD258D"/>
    <w:rsid w:val="00DD25B8"/>
    <w:rsid w:val="00DD261F"/>
    <w:rsid w:val="00DD263E"/>
    <w:rsid w:val="00DD27B7"/>
    <w:rsid w:val="00DD281E"/>
    <w:rsid w:val="00DD289B"/>
    <w:rsid w:val="00DD2C5A"/>
    <w:rsid w:val="00DD2EA8"/>
    <w:rsid w:val="00DD3477"/>
    <w:rsid w:val="00DD3485"/>
    <w:rsid w:val="00DD34A1"/>
    <w:rsid w:val="00DD3655"/>
    <w:rsid w:val="00DD3710"/>
    <w:rsid w:val="00DD3B48"/>
    <w:rsid w:val="00DD3BBB"/>
    <w:rsid w:val="00DD3D3E"/>
    <w:rsid w:val="00DD3FBA"/>
    <w:rsid w:val="00DD3FC6"/>
    <w:rsid w:val="00DD406A"/>
    <w:rsid w:val="00DD42CF"/>
    <w:rsid w:val="00DD4739"/>
    <w:rsid w:val="00DD484E"/>
    <w:rsid w:val="00DD4AC9"/>
    <w:rsid w:val="00DD4B8B"/>
    <w:rsid w:val="00DD4C83"/>
    <w:rsid w:val="00DD4DB2"/>
    <w:rsid w:val="00DD4DE4"/>
    <w:rsid w:val="00DD518E"/>
    <w:rsid w:val="00DD5353"/>
    <w:rsid w:val="00DD5373"/>
    <w:rsid w:val="00DD5482"/>
    <w:rsid w:val="00DD56F5"/>
    <w:rsid w:val="00DD591B"/>
    <w:rsid w:val="00DD5CF0"/>
    <w:rsid w:val="00DD5D02"/>
    <w:rsid w:val="00DD62BF"/>
    <w:rsid w:val="00DD635A"/>
    <w:rsid w:val="00DD6554"/>
    <w:rsid w:val="00DD671D"/>
    <w:rsid w:val="00DD6BF7"/>
    <w:rsid w:val="00DD6EA3"/>
    <w:rsid w:val="00DD6F72"/>
    <w:rsid w:val="00DD7059"/>
    <w:rsid w:val="00DD7366"/>
    <w:rsid w:val="00DD745E"/>
    <w:rsid w:val="00DD751C"/>
    <w:rsid w:val="00DD7657"/>
    <w:rsid w:val="00DD77F2"/>
    <w:rsid w:val="00DD7836"/>
    <w:rsid w:val="00DD78D6"/>
    <w:rsid w:val="00DD7A94"/>
    <w:rsid w:val="00DD7DAD"/>
    <w:rsid w:val="00DD7E00"/>
    <w:rsid w:val="00DD7ECD"/>
    <w:rsid w:val="00DE0032"/>
    <w:rsid w:val="00DE06EE"/>
    <w:rsid w:val="00DE072D"/>
    <w:rsid w:val="00DE0941"/>
    <w:rsid w:val="00DE0DCE"/>
    <w:rsid w:val="00DE0E0E"/>
    <w:rsid w:val="00DE0F74"/>
    <w:rsid w:val="00DE0FA1"/>
    <w:rsid w:val="00DE12A5"/>
    <w:rsid w:val="00DE1475"/>
    <w:rsid w:val="00DE14CE"/>
    <w:rsid w:val="00DE1522"/>
    <w:rsid w:val="00DE160E"/>
    <w:rsid w:val="00DE1677"/>
    <w:rsid w:val="00DE1AC9"/>
    <w:rsid w:val="00DE1B08"/>
    <w:rsid w:val="00DE1D76"/>
    <w:rsid w:val="00DE217B"/>
    <w:rsid w:val="00DE22AB"/>
    <w:rsid w:val="00DE22E7"/>
    <w:rsid w:val="00DE23B5"/>
    <w:rsid w:val="00DE253F"/>
    <w:rsid w:val="00DE2775"/>
    <w:rsid w:val="00DE2B29"/>
    <w:rsid w:val="00DE2D9B"/>
    <w:rsid w:val="00DE2E54"/>
    <w:rsid w:val="00DE3010"/>
    <w:rsid w:val="00DE30ED"/>
    <w:rsid w:val="00DE318D"/>
    <w:rsid w:val="00DE3296"/>
    <w:rsid w:val="00DE334F"/>
    <w:rsid w:val="00DE3766"/>
    <w:rsid w:val="00DE37E3"/>
    <w:rsid w:val="00DE3A66"/>
    <w:rsid w:val="00DE3A97"/>
    <w:rsid w:val="00DE3B8C"/>
    <w:rsid w:val="00DE3CBA"/>
    <w:rsid w:val="00DE3D39"/>
    <w:rsid w:val="00DE3D66"/>
    <w:rsid w:val="00DE3E6F"/>
    <w:rsid w:val="00DE43EE"/>
    <w:rsid w:val="00DE4415"/>
    <w:rsid w:val="00DE464E"/>
    <w:rsid w:val="00DE4689"/>
    <w:rsid w:val="00DE496A"/>
    <w:rsid w:val="00DE498F"/>
    <w:rsid w:val="00DE4B5D"/>
    <w:rsid w:val="00DE4C2E"/>
    <w:rsid w:val="00DE4CB6"/>
    <w:rsid w:val="00DE4E80"/>
    <w:rsid w:val="00DE5208"/>
    <w:rsid w:val="00DE5390"/>
    <w:rsid w:val="00DE53B8"/>
    <w:rsid w:val="00DE53D4"/>
    <w:rsid w:val="00DE5584"/>
    <w:rsid w:val="00DE5927"/>
    <w:rsid w:val="00DE5988"/>
    <w:rsid w:val="00DE59F4"/>
    <w:rsid w:val="00DE5ABE"/>
    <w:rsid w:val="00DE6163"/>
    <w:rsid w:val="00DE625F"/>
    <w:rsid w:val="00DE62E9"/>
    <w:rsid w:val="00DE660F"/>
    <w:rsid w:val="00DE68F4"/>
    <w:rsid w:val="00DE6A80"/>
    <w:rsid w:val="00DE6AD2"/>
    <w:rsid w:val="00DE6C8C"/>
    <w:rsid w:val="00DE6CDF"/>
    <w:rsid w:val="00DE6EC8"/>
    <w:rsid w:val="00DE70FC"/>
    <w:rsid w:val="00DE743B"/>
    <w:rsid w:val="00DE7A46"/>
    <w:rsid w:val="00DE7D7C"/>
    <w:rsid w:val="00DE7D87"/>
    <w:rsid w:val="00DE7DB6"/>
    <w:rsid w:val="00DE7E24"/>
    <w:rsid w:val="00DE7E7C"/>
    <w:rsid w:val="00DF02C9"/>
    <w:rsid w:val="00DF0A65"/>
    <w:rsid w:val="00DF0B28"/>
    <w:rsid w:val="00DF0C26"/>
    <w:rsid w:val="00DF0CDA"/>
    <w:rsid w:val="00DF0D17"/>
    <w:rsid w:val="00DF0F4A"/>
    <w:rsid w:val="00DF12DF"/>
    <w:rsid w:val="00DF14F4"/>
    <w:rsid w:val="00DF16E3"/>
    <w:rsid w:val="00DF1795"/>
    <w:rsid w:val="00DF17B2"/>
    <w:rsid w:val="00DF1853"/>
    <w:rsid w:val="00DF19D4"/>
    <w:rsid w:val="00DF1A4A"/>
    <w:rsid w:val="00DF1DEE"/>
    <w:rsid w:val="00DF1E15"/>
    <w:rsid w:val="00DF1EE2"/>
    <w:rsid w:val="00DF208F"/>
    <w:rsid w:val="00DF2289"/>
    <w:rsid w:val="00DF2450"/>
    <w:rsid w:val="00DF245A"/>
    <w:rsid w:val="00DF26EC"/>
    <w:rsid w:val="00DF275F"/>
    <w:rsid w:val="00DF29E1"/>
    <w:rsid w:val="00DF2A33"/>
    <w:rsid w:val="00DF2A6B"/>
    <w:rsid w:val="00DF2E05"/>
    <w:rsid w:val="00DF32F2"/>
    <w:rsid w:val="00DF3A03"/>
    <w:rsid w:val="00DF3A1B"/>
    <w:rsid w:val="00DF3AA9"/>
    <w:rsid w:val="00DF3EF0"/>
    <w:rsid w:val="00DF41E2"/>
    <w:rsid w:val="00DF441E"/>
    <w:rsid w:val="00DF4440"/>
    <w:rsid w:val="00DF4491"/>
    <w:rsid w:val="00DF4542"/>
    <w:rsid w:val="00DF487A"/>
    <w:rsid w:val="00DF4897"/>
    <w:rsid w:val="00DF4C19"/>
    <w:rsid w:val="00DF4C98"/>
    <w:rsid w:val="00DF4D75"/>
    <w:rsid w:val="00DF4F62"/>
    <w:rsid w:val="00DF4F63"/>
    <w:rsid w:val="00DF530F"/>
    <w:rsid w:val="00DF53C6"/>
    <w:rsid w:val="00DF548E"/>
    <w:rsid w:val="00DF5632"/>
    <w:rsid w:val="00DF56D6"/>
    <w:rsid w:val="00DF5803"/>
    <w:rsid w:val="00DF5AB2"/>
    <w:rsid w:val="00DF5E66"/>
    <w:rsid w:val="00DF5FDE"/>
    <w:rsid w:val="00DF60F3"/>
    <w:rsid w:val="00DF6332"/>
    <w:rsid w:val="00DF65CD"/>
    <w:rsid w:val="00DF67FE"/>
    <w:rsid w:val="00DF684C"/>
    <w:rsid w:val="00DF6A33"/>
    <w:rsid w:val="00DF6A92"/>
    <w:rsid w:val="00DF6D33"/>
    <w:rsid w:val="00DF7070"/>
    <w:rsid w:val="00DF75C3"/>
    <w:rsid w:val="00DF76FF"/>
    <w:rsid w:val="00DF7706"/>
    <w:rsid w:val="00DF7758"/>
    <w:rsid w:val="00DF7902"/>
    <w:rsid w:val="00DF79DF"/>
    <w:rsid w:val="00DF7A9E"/>
    <w:rsid w:val="00DF7AAE"/>
    <w:rsid w:val="00E0016B"/>
    <w:rsid w:val="00E001EE"/>
    <w:rsid w:val="00E0028B"/>
    <w:rsid w:val="00E002F7"/>
    <w:rsid w:val="00E00704"/>
    <w:rsid w:val="00E008AB"/>
    <w:rsid w:val="00E00D29"/>
    <w:rsid w:val="00E00E8C"/>
    <w:rsid w:val="00E01267"/>
    <w:rsid w:val="00E0128A"/>
    <w:rsid w:val="00E014B5"/>
    <w:rsid w:val="00E01617"/>
    <w:rsid w:val="00E01950"/>
    <w:rsid w:val="00E01987"/>
    <w:rsid w:val="00E01CFE"/>
    <w:rsid w:val="00E01DE0"/>
    <w:rsid w:val="00E02050"/>
    <w:rsid w:val="00E02716"/>
    <w:rsid w:val="00E027C0"/>
    <w:rsid w:val="00E02937"/>
    <w:rsid w:val="00E02B4C"/>
    <w:rsid w:val="00E02B9F"/>
    <w:rsid w:val="00E02DFA"/>
    <w:rsid w:val="00E02E96"/>
    <w:rsid w:val="00E02F95"/>
    <w:rsid w:val="00E0303D"/>
    <w:rsid w:val="00E03170"/>
    <w:rsid w:val="00E03268"/>
    <w:rsid w:val="00E033A1"/>
    <w:rsid w:val="00E0354C"/>
    <w:rsid w:val="00E0361E"/>
    <w:rsid w:val="00E036AC"/>
    <w:rsid w:val="00E03806"/>
    <w:rsid w:val="00E0386A"/>
    <w:rsid w:val="00E03BC1"/>
    <w:rsid w:val="00E03C1F"/>
    <w:rsid w:val="00E03CE9"/>
    <w:rsid w:val="00E03D9D"/>
    <w:rsid w:val="00E04214"/>
    <w:rsid w:val="00E0442D"/>
    <w:rsid w:val="00E04670"/>
    <w:rsid w:val="00E047A2"/>
    <w:rsid w:val="00E047C6"/>
    <w:rsid w:val="00E04A38"/>
    <w:rsid w:val="00E04A7A"/>
    <w:rsid w:val="00E04C8E"/>
    <w:rsid w:val="00E04CB6"/>
    <w:rsid w:val="00E05211"/>
    <w:rsid w:val="00E05224"/>
    <w:rsid w:val="00E05295"/>
    <w:rsid w:val="00E054BC"/>
    <w:rsid w:val="00E0563A"/>
    <w:rsid w:val="00E05AE3"/>
    <w:rsid w:val="00E05B03"/>
    <w:rsid w:val="00E05FCA"/>
    <w:rsid w:val="00E06035"/>
    <w:rsid w:val="00E066F0"/>
    <w:rsid w:val="00E0685B"/>
    <w:rsid w:val="00E06A0F"/>
    <w:rsid w:val="00E06B01"/>
    <w:rsid w:val="00E06BAE"/>
    <w:rsid w:val="00E06C78"/>
    <w:rsid w:val="00E06DE7"/>
    <w:rsid w:val="00E0715D"/>
    <w:rsid w:val="00E076E2"/>
    <w:rsid w:val="00E07824"/>
    <w:rsid w:val="00E078C6"/>
    <w:rsid w:val="00E07946"/>
    <w:rsid w:val="00E07B96"/>
    <w:rsid w:val="00E07FFB"/>
    <w:rsid w:val="00E10093"/>
    <w:rsid w:val="00E10749"/>
    <w:rsid w:val="00E107A0"/>
    <w:rsid w:val="00E10881"/>
    <w:rsid w:val="00E10A46"/>
    <w:rsid w:val="00E10B18"/>
    <w:rsid w:val="00E10BA2"/>
    <w:rsid w:val="00E10C73"/>
    <w:rsid w:val="00E10F80"/>
    <w:rsid w:val="00E1100E"/>
    <w:rsid w:val="00E11119"/>
    <w:rsid w:val="00E119A0"/>
    <w:rsid w:val="00E11A2B"/>
    <w:rsid w:val="00E11A84"/>
    <w:rsid w:val="00E11C70"/>
    <w:rsid w:val="00E11C99"/>
    <w:rsid w:val="00E11D17"/>
    <w:rsid w:val="00E11F62"/>
    <w:rsid w:val="00E120A0"/>
    <w:rsid w:val="00E123DE"/>
    <w:rsid w:val="00E127A6"/>
    <w:rsid w:val="00E12A70"/>
    <w:rsid w:val="00E12BA6"/>
    <w:rsid w:val="00E12C37"/>
    <w:rsid w:val="00E12CA2"/>
    <w:rsid w:val="00E12CFA"/>
    <w:rsid w:val="00E12DA7"/>
    <w:rsid w:val="00E12F31"/>
    <w:rsid w:val="00E12FEB"/>
    <w:rsid w:val="00E13325"/>
    <w:rsid w:val="00E1354C"/>
    <w:rsid w:val="00E13553"/>
    <w:rsid w:val="00E13564"/>
    <w:rsid w:val="00E13622"/>
    <w:rsid w:val="00E137A1"/>
    <w:rsid w:val="00E13887"/>
    <w:rsid w:val="00E13952"/>
    <w:rsid w:val="00E13ACA"/>
    <w:rsid w:val="00E13B53"/>
    <w:rsid w:val="00E13B8A"/>
    <w:rsid w:val="00E13D5B"/>
    <w:rsid w:val="00E13F2A"/>
    <w:rsid w:val="00E13F37"/>
    <w:rsid w:val="00E13F8C"/>
    <w:rsid w:val="00E140EF"/>
    <w:rsid w:val="00E1419B"/>
    <w:rsid w:val="00E14270"/>
    <w:rsid w:val="00E142B4"/>
    <w:rsid w:val="00E14485"/>
    <w:rsid w:val="00E14594"/>
    <w:rsid w:val="00E14615"/>
    <w:rsid w:val="00E14663"/>
    <w:rsid w:val="00E14895"/>
    <w:rsid w:val="00E149D4"/>
    <w:rsid w:val="00E14A68"/>
    <w:rsid w:val="00E14D49"/>
    <w:rsid w:val="00E14F7B"/>
    <w:rsid w:val="00E14F8A"/>
    <w:rsid w:val="00E15110"/>
    <w:rsid w:val="00E151D2"/>
    <w:rsid w:val="00E15370"/>
    <w:rsid w:val="00E15465"/>
    <w:rsid w:val="00E15629"/>
    <w:rsid w:val="00E15707"/>
    <w:rsid w:val="00E15803"/>
    <w:rsid w:val="00E15ACD"/>
    <w:rsid w:val="00E15DAF"/>
    <w:rsid w:val="00E1615E"/>
    <w:rsid w:val="00E16182"/>
    <w:rsid w:val="00E161AD"/>
    <w:rsid w:val="00E16321"/>
    <w:rsid w:val="00E165FA"/>
    <w:rsid w:val="00E166BE"/>
    <w:rsid w:val="00E16863"/>
    <w:rsid w:val="00E16A7C"/>
    <w:rsid w:val="00E16B2C"/>
    <w:rsid w:val="00E16D4F"/>
    <w:rsid w:val="00E16DE6"/>
    <w:rsid w:val="00E16FF4"/>
    <w:rsid w:val="00E171F5"/>
    <w:rsid w:val="00E17971"/>
    <w:rsid w:val="00E17B51"/>
    <w:rsid w:val="00E17E15"/>
    <w:rsid w:val="00E17EE4"/>
    <w:rsid w:val="00E17FB7"/>
    <w:rsid w:val="00E2032B"/>
    <w:rsid w:val="00E204A9"/>
    <w:rsid w:val="00E204DB"/>
    <w:rsid w:val="00E2060D"/>
    <w:rsid w:val="00E207CF"/>
    <w:rsid w:val="00E209A8"/>
    <w:rsid w:val="00E20AAC"/>
    <w:rsid w:val="00E20E85"/>
    <w:rsid w:val="00E20FD8"/>
    <w:rsid w:val="00E210EF"/>
    <w:rsid w:val="00E21163"/>
    <w:rsid w:val="00E215E3"/>
    <w:rsid w:val="00E21738"/>
    <w:rsid w:val="00E21AA2"/>
    <w:rsid w:val="00E21BFC"/>
    <w:rsid w:val="00E21EA6"/>
    <w:rsid w:val="00E22069"/>
    <w:rsid w:val="00E22406"/>
    <w:rsid w:val="00E224AF"/>
    <w:rsid w:val="00E226F1"/>
    <w:rsid w:val="00E22818"/>
    <w:rsid w:val="00E228B4"/>
    <w:rsid w:val="00E22CD6"/>
    <w:rsid w:val="00E22EA1"/>
    <w:rsid w:val="00E231F3"/>
    <w:rsid w:val="00E232A9"/>
    <w:rsid w:val="00E23340"/>
    <w:rsid w:val="00E234EA"/>
    <w:rsid w:val="00E2350A"/>
    <w:rsid w:val="00E236AE"/>
    <w:rsid w:val="00E23731"/>
    <w:rsid w:val="00E23737"/>
    <w:rsid w:val="00E23763"/>
    <w:rsid w:val="00E23864"/>
    <w:rsid w:val="00E238A6"/>
    <w:rsid w:val="00E23941"/>
    <w:rsid w:val="00E23BA8"/>
    <w:rsid w:val="00E23C54"/>
    <w:rsid w:val="00E23DDC"/>
    <w:rsid w:val="00E23E85"/>
    <w:rsid w:val="00E23EB5"/>
    <w:rsid w:val="00E23F65"/>
    <w:rsid w:val="00E2428D"/>
    <w:rsid w:val="00E242CC"/>
    <w:rsid w:val="00E2431D"/>
    <w:rsid w:val="00E246BB"/>
    <w:rsid w:val="00E24B8A"/>
    <w:rsid w:val="00E24BA8"/>
    <w:rsid w:val="00E24C20"/>
    <w:rsid w:val="00E24C82"/>
    <w:rsid w:val="00E24F63"/>
    <w:rsid w:val="00E24FFA"/>
    <w:rsid w:val="00E2510D"/>
    <w:rsid w:val="00E25279"/>
    <w:rsid w:val="00E25345"/>
    <w:rsid w:val="00E253F1"/>
    <w:rsid w:val="00E2575E"/>
    <w:rsid w:val="00E2585F"/>
    <w:rsid w:val="00E258A7"/>
    <w:rsid w:val="00E25A56"/>
    <w:rsid w:val="00E25CBA"/>
    <w:rsid w:val="00E25DAF"/>
    <w:rsid w:val="00E25E11"/>
    <w:rsid w:val="00E26114"/>
    <w:rsid w:val="00E264AC"/>
    <w:rsid w:val="00E264F9"/>
    <w:rsid w:val="00E265D4"/>
    <w:rsid w:val="00E2668A"/>
    <w:rsid w:val="00E26863"/>
    <w:rsid w:val="00E268C6"/>
    <w:rsid w:val="00E268DF"/>
    <w:rsid w:val="00E268F2"/>
    <w:rsid w:val="00E26A34"/>
    <w:rsid w:val="00E26AE7"/>
    <w:rsid w:val="00E26B07"/>
    <w:rsid w:val="00E26DF1"/>
    <w:rsid w:val="00E26E02"/>
    <w:rsid w:val="00E26EC9"/>
    <w:rsid w:val="00E26F41"/>
    <w:rsid w:val="00E26F93"/>
    <w:rsid w:val="00E26FB9"/>
    <w:rsid w:val="00E273C0"/>
    <w:rsid w:val="00E27406"/>
    <w:rsid w:val="00E274C4"/>
    <w:rsid w:val="00E27500"/>
    <w:rsid w:val="00E275D6"/>
    <w:rsid w:val="00E27AC0"/>
    <w:rsid w:val="00E27B04"/>
    <w:rsid w:val="00E27B1C"/>
    <w:rsid w:val="00E27C1D"/>
    <w:rsid w:val="00E302AF"/>
    <w:rsid w:val="00E302DB"/>
    <w:rsid w:val="00E3033D"/>
    <w:rsid w:val="00E30549"/>
    <w:rsid w:val="00E3083A"/>
    <w:rsid w:val="00E3090F"/>
    <w:rsid w:val="00E30A2D"/>
    <w:rsid w:val="00E30A56"/>
    <w:rsid w:val="00E30D03"/>
    <w:rsid w:val="00E30DF0"/>
    <w:rsid w:val="00E30EED"/>
    <w:rsid w:val="00E30F3E"/>
    <w:rsid w:val="00E311F2"/>
    <w:rsid w:val="00E31256"/>
    <w:rsid w:val="00E31307"/>
    <w:rsid w:val="00E3147C"/>
    <w:rsid w:val="00E315C5"/>
    <w:rsid w:val="00E31881"/>
    <w:rsid w:val="00E31917"/>
    <w:rsid w:val="00E319BD"/>
    <w:rsid w:val="00E31AB4"/>
    <w:rsid w:val="00E31B59"/>
    <w:rsid w:val="00E31D98"/>
    <w:rsid w:val="00E31EDC"/>
    <w:rsid w:val="00E3209F"/>
    <w:rsid w:val="00E32394"/>
    <w:rsid w:val="00E323C2"/>
    <w:rsid w:val="00E32516"/>
    <w:rsid w:val="00E326E8"/>
    <w:rsid w:val="00E32758"/>
    <w:rsid w:val="00E329D8"/>
    <w:rsid w:val="00E32A1B"/>
    <w:rsid w:val="00E32B84"/>
    <w:rsid w:val="00E32BAF"/>
    <w:rsid w:val="00E32C21"/>
    <w:rsid w:val="00E32D1A"/>
    <w:rsid w:val="00E331AB"/>
    <w:rsid w:val="00E332B5"/>
    <w:rsid w:val="00E3331D"/>
    <w:rsid w:val="00E33395"/>
    <w:rsid w:val="00E3357D"/>
    <w:rsid w:val="00E33689"/>
    <w:rsid w:val="00E33B69"/>
    <w:rsid w:val="00E33C4B"/>
    <w:rsid w:val="00E33CED"/>
    <w:rsid w:val="00E33D07"/>
    <w:rsid w:val="00E33DC8"/>
    <w:rsid w:val="00E33E5C"/>
    <w:rsid w:val="00E340A4"/>
    <w:rsid w:val="00E34237"/>
    <w:rsid w:val="00E343B6"/>
    <w:rsid w:val="00E3451D"/>
    <w:rsid w:val="00E34574"/>
    <w:rsid w:val="00E34680"/>
    <w:rsid w:val="00E34739"/>
    <w:rsid w:val="00E347F1"/>
    <w:rsid w:val="00E34864"/>
    <w:rsid w:val="00E34903"/>
    <w:rsid w:val="00E34978"/>
    <w:rsid w:val="00E3499A"/>
    <w:rsid w:val="00E34BE0"/>
    <w:rsid w:val="00E34C32"/>
    <w:rsid w:val="00E34C9F"/>
    <w:rsid w:val="00E34D15"/>
    <w:rsid w:val="00E34E09"/>
    <w:rsid w:val="00E34FFA"/>
    <w:rsid w:val="00E350BC"/>
    <w:rsid w:val="00E350C4"/>
    <w:rsid w:val="00E352BF"/>
    <w:rsid w:val="00E353C8"/>
    <w:rsid w:val="00E35563"/>
    <w:rsid w:val="00E35B83"/>
    <w:rsid w:val="00E35F32"/>
    <w:rsid w:val="00E35F98"/>
    <w:rsid w:val="00E361B9"/>
    <w:rsid w:val="00E36321"/>
    <w:rsid w:val="00E3632B"/>
    <w:rsid w:val="00E3644F"/>
    <w:rsid w:val="00E36C75"/>
    <w:rsid w:val="00E3702C"/>
    <w:rsid w:val="00E370FC"/>
    <w:rsid w:val="00E3735C"/>
    <w:rsid w:val="00E37368"/>
    <w:rsid w:val="00E374D7"/>
    <w:rsid w:val="00E3755D"/>
    <w:rsid w:val="00E376D0"/>
    <w:rsid w:val="00E379B9"/>
    <w:rsid w:val="00E37A1B"/>
    <w:rsid w:val="00E37A5F"/>
    <w:rsid w:val="00E37B11"/>
    <w:rsid w:val="00E37BC1"/>
    <w:rsid w:val="00E37DB6"/>
    <w:rsid w:val="00E37E7C"/>
    <w:rsid w:val="00E37FC3"/>
    <w:rsid w:val="00E37FF4"/>
    <w:rsid w:val="00E40347"/>
    <w:rsid w:val="00E404AA"/>
    <w:rsid w:val="00E405C6"/>
    <w:rsid w:val="00E40ACA"/>
    <w:rsid w:val="00E40C38"/>
    <w:rsid w:val="00E40F4C"/>
    <w:rsid w:val="00E410CA"/>
    <w:rsid w:val="00E41126"/>
    <w:rsid w:val="00E4117B"/>
    <w:rsid w:val="00E411DA"/>
    <w:rsid w:val="00E41287"/>
    <w:rsid w:val="00E41347"/>
    <w:rsid w:val="00E414AA"/>
    <w:rsid w:val="00E41569"/>
    <w:rsid w:val="00E417FF"/>
    <w:rsid w:val="00E41B53"/>
    <w:rsid w:val="00E41D86"/>
    <w:rsid w:val="00E41DB8"/>
    <w:rsid w:val="00E41E1C"/>
    <w:rsid w:val="00E41E3E"/>
    <w:rsid w:val="00E41E8D"/>
    <w:rsid w:val="00E41F46"/>
    <w:rsid w:val="00E42643"/>
    <w:rsid w:val="00E426F4"/>
    <w:rsid w:val="00E42706"/>
    <w:rsid w:val="00E42EED"/>
    <w:rsid w:val="00E43028"/>
    <w:rsid w:val="00E4312A"/>
    <w:rsid w:val="00E43177"/>
    <w:rsid w:val="00E4324F"/>
    <w:rsid w:val="00E43299"/>
    <w:rsid w:val="00E4340B"/>
    <w:rsid w:val="00E4348B"/>
    <w:rsid w:val="00E43589"/>
    <w:rsid w:val="00E436BE"/>
    <w:rsid w:val="00E43784"/>
    <w:rsid w:val="00E437A4"/>
    <w:rsid w:val="00E437DE"/>
    <w:rsid w:val="00E437FB"/>
    <w:rsid w:val="00E43A4A"/>
    <w:rsid w:val="00E43D72"/>
    <w:rsid w:val="00E43E8D"/>
    <w:rsid w:val="00E43E97"/>
    <w:rsid w:val="00E43EAF"/>
    <w:rsid w:val="00E43F45"/>
    <w:rsid w:val="00E4415A"/>
    <w:rsid w:val="00E44195"/>
    <w:rsid w:val="00E449E0"/>
    <w:rsid w:val="00E44ADA"/>
    <w:rsid w:val="00E45068"/>
    <w:rsid w:val="00E451A2"/>
    <w:rsid w:val="00E452B9"/>
    <w:rsid w:val="00E45ABC"/>
    <w:rsid w:val="00E45B17"/>
    <w:rsid w:val="00E45D0B"/>
    <w:rsid w:val="00E45EA4"/>
    <w:rsid w:val="00E46160"/>
    <w:rsid w:val="00E46172"/>
    <w:rsid w:val="00E462DC"/>
    <w:rsid w:val="00E466D7"/>
    <w:rsid w:val="00E46C1B"/>
    <w:rsid w:val="00E46EE0"/>
    <w:rsid w:val="00E473E9"/>
    <w:rsid w:val="00E4767A"/>
    <w:rsid w:val="00E47921"/>
    <w:rsid w:val="00E47F3F"/>
    <w:rsid w:val="00E50233"/>
    <w:rsid w:val="00E502BB"/>
    <w:rsid w:val="00E5043F"/>
    <w:rsid w:val="00E5045A"/>
    <w:rsid w:val="00E5048D"/>
    <w:rsid w:val="00E504D4"/>
    <w:rsid w:val="00E505AA"/>
    <w:rsid w:val="00E507B8"/>
    <w:rsid w:val="00E50842"/>
    <w:rsid w:val="00E50954"/>
    <w:rsid w:val="00E50A7F"/>
    <w:rsid w:val="00E51148"/>
    <w:rsid w:val="00E511D3"/>
    <w:rsid w:val="00E513D0"/>
    <w:rsid w:val="00E5145A"/>
    <w:rsid w:val="00E514B8"/>
    <w:rsid w:val="00E5184C"/>
    <w:rsid w:val="00E51C72"/>
    <w:rsid w:val="00E52313"/>
    <w:rsid w:val="00E523C4"/>
    <w:rsid w:val="00E525F2"/>
    <w:rsid w:val="00E52817"/>
    <w:rsid w:val="00E52830"/>
    <w:rsid w:val="00E52F25"/>
    <w:rsid w:val="00E52F2C"/>
    <w:rsid w:val="00E53261"/>
    <w:rsid w:val="00E534EC"/>
    <w:rsid w:val="00E5354E"/>
    <w:rsid w:val="00E53B47"/>
    <w:rsid w:val="00E53CAD"/>
    <w:rsid w:val="00E53D19"/>
    <w:rsid w:val="00E53FE5"/>
    <w:rsid w:val="00E54587"/>
    <w:rsid w:val="00E5473E"/>
    <w:rsid w:val="00E54A8C"/>
    <w:rsid w:val="00E54AED"/>
    <w:rsid w:val="00E54DC2"/>
    <w:rsid w:val="00E54E88"/>
    <w:rsid w:val="00E54EB8"/>
    <w:rsid w:val="00E54F14"/>
    <w:rsid w:val="00E54F83"/>
    <w:rsid w:val="00E551A1"/>
    <w:rsid w:val="00E55394"/>
    <w:rsid w:val="00E55504"/>
    <w:rsid w:val="00E55553"/>
    <w:rsid w:val="00E55591"/>
    <w:rsid w:val="00E55627"/>
    <w:rsid w:val="00E55735"/>
    <w:rsid w:val="00E55A0E"/>
    <w:rsid w:val="00E55A10"/>
    <w:rsid w:val="00E55C28"/>
    <w:rsid w:val="00E55DD8"/>
    <w:rsid w:val="00E561D8"/>
    <w:rsid w:val="00E561DB"/>
    <w:rsid w:val="00E5633B"/>
    <w:rsid w:val="00E56342"/>
    <w:rsid w:val="00E5639E"/>
    <w:rsid w:val="00E563F8"/>
    <w:rsid w:val="00E56470"/>
    <w:rsid w:val="00E567E1"/>
    <w:rsid w:val="00E56924"/>
    <w:rsid w:val="00E56A25"/>
    <w:rsid w:val="00E56C9C"/>
    <w:rsid w:val="00E56E75"/>
    <w:rsid w:val="00E56F09"/>
    <w:rsid w:val="00E56FD2"/>
    <w:rsid w:val="00E57566"/>
    <w:rsid w:val="00E575C1"/>
    <w:rsid w:val="00E579EB"/>
    <w:rsid w:val="00E579FD"/>
    <w:rsid w:val="00E57C21"/>
    <w:rsid w:val="00E57EA7"/>
    <w:rsid w:val="00E60137"/>
    <w:rsid w:val="00E601ED"/>
    <w:rsid w:val="00E60239"/>
    <w:rsid w:val="00E604D0"/>
    <w:rsid w:val="00E604D2"/>
    <w:rsid w:val="00E6059E"/>
    <w:rsid w:val="00E605C2"/>
    <w:rsid w:val="00E605FE"/>
    <w:rsid w:val="00E60B67"/>
    <w:rsid w:val="00E60FDB"/>
    <w:rsid w:val="00E61057"/>
    <w:rsid w:val="00E61135"/>
    <w:rsid w:val="00E611C2"/>
    <w:rsid w:val="00E61211"/>
    <w:rsid w:val="00E61215"/>
    <w:rsid w:val="00E616D6"/>
    <w:rsid w:val="00E61727"/>
    <w:rsid w:val="00E61BA4"/>
    <w:rsid w:val="00E61CA7"/>
    <w:rsid w:val="00E61D9F"/>
    <w:rsid w:val="00E61F8A"/>
    <w:rsid w:val="00E62414"/>
    <w:rsid w:val="00E626C7"/>
    <w:rsid w:val="00E62828"/>
    <w:rsid w:val="00E628AF"/>
    <w:rsid w:val="00E62CA1"/>
    <w:rsid w:val="00E62E08"/>
    <w:rsid w:val="00E62F65"/>
    <w:rsid w:val="00E6305C"/>
    <w:rsid w:val="00E630B6"/>
    <w:rsid w:val="00E630BE"/>
    <w:rsid w:val="00E63305"/>
    <w:rsid w:val="00E63447"/>
    <w:rsid w:val="00E6357D"/>
    <w:rsid w:val="00E637C9"/>
    <w:rsid w:val="00E63A43"/>
    <w:rsid w:val="00E63B25"/>
    <w:rsid w:val="00E63B28"/>
    <w:rsid w:val="00E63DE1"/>
    <w:rsid w:val="00E641E9"/>
    <w:rsid w:val="00E6420F"/>
    <w:rsid w:val="00E64277"/>
    <w:rsid w:val="00E64407"/>
    <w:rsid w:val="00E6452C"/>
    <w:rsid w:val="00E64547"/>
    <w:rsid w:val="00E646BD"/>
    <w:rsid w:val="00E6479D"/>
    <w:rsid w:val="00E648EB"/>
    <w:rsid w:val="00E649A5"/>
    <w:rsid w:val="00E64A08"/>
    <w:rsid w:val="00E64A19"/>
    <w:rsid w:val="00E64B2D"/>
    <w:rsid w:val="00E64BFA"/>
    <w:rsid w:val="00E64C4E"/>
    <w:rsid w:val="00E64DA7"/>
    <w:rsid w:val="00E64DCD"/>
    <w:rsid w:val="00E64EA5"/>
    <w:rsid w:val="00E650A2"/>
    <w:rsid w:val="00E656B4"/>
    <w:rsid w:val="00E656F0"/>
    <w:rsid w:val="00E65888"/>
    <w:rsid w:val="00E65946"/>
    <w:rsid w:val="00E65AD5"/>
    <w:rsid w:val="00E65AE4"/>
    <w:rsid w:val="00E65B1C"/>
    <w:rsid w:val="00E65C92"/>
    <w:rsid w:val="00E65CEB"/>
    <w:rsid w:val="00E66026"/>
    <w:rsid w:val="00E6602D"/>
    <w:rsid w:val="00E660C3"/>
    <w:rsid w:val="00E66125"/>
    <w:rsid w:val="00E66147"/>
    <w:rsid w:val="00E66378"/>
    <w:rsid w:val="00E6643A"/>
    <w:rsid w:val="00E667FE"/>
    <w:rsid w:val="00E668D9"/>
    <w:rsid w:val="00E669C3"/>
    <w:rsid w:val="00E669FE"/>
    <w:rsid w:val="00E66A34"/>
    <w:rsid w:val="00E66A48"/>
    <w:rsid w:val="00E66A61"/>
    <w:rsid w:val="00E66AF8"/>
    <w:rsid w:val="00E66B75"/>
    <w:rsid w:val="00E66D7D"/>
    <w:rsid w:val="00E66F7A"/>
    <w:rsid w:val="00E66FCF"/>
    <w:rsid w:val="00E67060"/>
    <w:rsid w:val="00E67116"/>
    <w:rsid w:val="00E67265"/>
    <w:rsid w:val="00E6755B"/>
    <w:rsid w:val="00E678A3"/>
    <w:rsid w:val="00E679DA"/>
    <w:rsid w:val="00E67F1A"/>
    <w:rsid w:val="00E67F30"/>
    <w:rsid w:val="00E700BF"/>
    <w:rsid w:val="00E706C5"/>
    <w:rsid w:val="00E70795"/>
    <w:rsid w:val="00E708B0"/>
    <w:rsid w:val="00E708C6"/>
    <w:rsid w:val="00E709D9"/>
    <w:rsid w:val="00E70A11"/>
    <w:rsid w:val="00E70B09"/>
    <w:rsid w:val="00E70CA5"/>
    <w:rsid w:val="00E70D1D"/>
    <w:rsid w:val="00E70E04"/>
    <w:rsid w:val="00E70E3E"/>
    <w:rsid w:val="00E71165"/>
    <w:rsid w:val="00E71454"/>
    <w:rsid w:val="00E71555"/>
    <w:rsid w:val="00E7169E"/>
    <w:rsid w:val="00E718FF"/>
    <w:rsid w:val="00E719C7"/>
    <w:rsid w:val="00E71ACB"/>
    <w:rsid w:val="00E71E5F"/>
    <w:rsid w:val="00E71F59"/>
    <w:rsid w:val="00E71F9D"/>
    <w:rsid w:val="00E7205F"/>
    <w:rsid w:val="00E72371"/>
    <w:rsid w:val="00E72462"/>
    <w:rsid w:val="00E724FA"/>
    <w:rsid w:val="00E72CB1"/>
    <w:rsid w:val="00E72E30"/>
    <w:rsid w:val="00E72EE2"/>
    <w:rsid w:val="00E73022"/>
    <w:rsid w:val="00E731BD"/>
    <w:rsid w:val="00E731F4"/>
    <w:rsid w:val="00E73496"/>
    <w:rsid w:val="00E7352E"/>
    <w:rsid w:val="00E7366E"/>
    <w:rsid w:val="00E736AF"/>
    <w:rsid w:val="00E7377D"/>
    <w:rsid w:val="00E7386E"/>
    <w:rsid w:val="00E73998"/>
    <w:rsid w:val="00E73DD6"/>
    <w:rsid w:val="00E73E43"/>
    <w:rsid w:val="00E73EB6"/>
    <w:rsid w:val="00E74086"/>
    <w:rsid w:val="00E740F6"/>
    <w:rsid w:val="00E74225"/>
    <w:rsid w:val="00E74231"/>
    <w:rsid w:val="00E74279"/>
    <w:rsid w:val="00E74BC4"/>
    <w:rsid w:val="00E74EAD"/>
    <w:rsid w:val="00E74FE8"/>
    <w:rsid w:val="00E750E7"/>
    <w:rsid w:val="00E75100"/>
    <w:rsid w:val="00E7512F"/>
    <w:rsid w:val="00E754E1"/>
    <w:rsid w:val="00E755F6"/>
    <w:rsid w:val="00E755FE"/>
    <w:rsid w:val="00E7573F"/>
    <w:rsid w:val="00E75FB2"/>
    <w:rsid w:val="00E76027"/>
    <w:rsid w:val="00E7625A"/>
    <w:rsid w:val="00E7639F"/>
    <w:rsid w:val="00E7655C"/>
    <w:rsid w:val="00E76597"/>
    <w:rsid w:val="00E7661F"/>
    <w:rsid w:val="00E76683"/>
    <w:rsid w:val="00E768D5"/>
    <w:rsid w:val="00E7693B"/>
    <w:rsid w:val="00E76C83"/>
    <w:rsid w:val="00E76EA5"/>
    <w:rsid w:val="00E76EDC"/>
    <w:rsid w:val="00E76FDF"/>
    <w:rsid w:val="00E7718C"/>
    <w:rsid w:val="00E771E9"/>
    <w:rsid w:val="00E77308"/>
    <w:rsid w:val="00E77478"/>
    <w:rsid w:val="00E777FF"/>
    <w:rsid w:val="00E7792E"/>
    <w:rsid w:val="00E779B0"/>
    <w:rsid w:val="00E77A1A"/>
    <w:rsid w:val="00E77ACF"/>
    <w:rsid w:val="00E77D23"/>
    <w:rsid w:val="00E80196"/>
    <w:rsid w:val="00E80273"/>
    <w:rsid w:val="00E80324"/>
    <w:rsid w:val="00E80390"/>
    <w:rsid w:val="00E80642"/>
    <w:rsid w:val="00E80774"/>
    <w:rsid w:val="00E807E1"/>
    <w:rsid w:val="00E80ADB"/>
    <w:rsid w:val="00E80C8A"/>
    <w:rsid w:val="00E80CBC"/>
    <w:rsid w:val="00E80FB4"/>
    <w:rsid w:val="00E81040"/>
    <w:rsid w:val="00E8107F"/>
    <w:rsid w:val="00E811E3"/>
    <w:rsid w:val="00E81333"/>
    <w:rsid w:val="00E814BA"/>
    <w:rsid w:val="00E815CA"/>
    <w:rsid w:val="00E8166F"/>
    <w:rsid w:val="00E8183B"/>
    <w:rsid w:val="00E818E5"/>
    <w:rsid w:val="00E8192C"/>
    <w:rsid w:val="00E81ADF"/>
    <w:rsid w:val="00E81B7D"/>
    <w:rsid w:val="00E81C70"/>
    <w:rsid w:val="00E81F16"/>
    <w:rsid w:val="00E81F6B"/>
    <w:rsid w:val="00E8222D"/>
    <w:rsid w:val="00E82292"/>
    <w:rsid w:val="00E82A5E"/>
    <w:rsid w:val="00E82AD9"/>
    <w:rsid w:val="00E82B82"/>
    <w:rsid w:val="00E82C73"/>
    <w:rsid w:val="00E82DE3"/>
    <w:rsid w:val="00E82E73"/>
    <w:rsid w:val="00E82E75"/>
    <w:rsid w:val="00E82F4C"/>
    <w:rsid w:val="00E830FF"/>
    <w:rsid w:val="00E83321"/>
    <w:rsid w:val="00E83562"/>
    <w:rsid w:val="00E8363A"/>
    <w:rsid w:val="00E83796"/>
    <w:rsid w:val="00E8379B"/>
    <w:rsid w:val="00E837D8"/>
    <w:rsid w:val="00E838BF"/>
    <w:rsid w:val="00E83B04"/>
    <w:rsid w:val="00E83B18"/>
    <w:rsid w:val="00E83C13"/>
    <w:rsid w:val="00E83F84"/>
    <w:rsid w:val="00E83F99"/>
    <w:rsid w:val="00E83FA0"/>
    <w:rsid w:val="00E8404E"/>
    <w:rsid w:val="00E84149"/>
    <w:rsid w:val="00E841B8"/>
    <w:rsid w:val="00E8423F"/>
    <w:rsid w:val="00E84389"/>
    <w:rsid w:val="00E844E2"/>
    <w:rsid w:val="00E8488A"/>
    <w:rsid w:val="00E848C5"/>
    <w:rsid w:val="00E848E3"/>
    <w:rsid w:val="00E84948"/>
    <w:rsid w:val="00E84BE7"/>
    <w:rsid w:val="00E84D5B"/>
    <w:rsid w:val="00E85194"/>
    <w:rsid w:val="00E851E4"/>
    <w:rsid w:val="00E85237"/>
    <w:rsid w:val="00E8561B"/>
    <w:rsid w:val="00E8591B"/>
    <w:rsid w:val="00E85D3C"/>
    <w:rsid w:val="00E85F07"/>
    <w:rsid w:val="00E86184"/>
    <w:rsid w:val="00E861E0"/>
    <w:rsid w:val="00E86213"/>
    <w:rsid w:val="00E868B5"/>
    <w:rsid w:val="00E86DA5"/>
    <w:rsid w:val="00E86DCA"/>
    <w:rsid w:val="00E86FDA"/>
    <w:rsid w:val="00E87302"/>
    <w:rsid w:val="00E87346"/>
    <w:rsid w:val="00E8738B"/>
    <w:rsid w:val="00E8741B"/>
    <w:rsid w:val="00E8753B"/>
    <w:rsid w:val="00E8766A"/>
    <w:rsid w:val="00E8799D"/>
    <w:rsid w:val="00E87E9D"/>
    <w:rsid w:val="00E87FA3"/>
    <w:rsid w:val="00E9006D"/>
    <w:rsid w:val="00E900DA"/>
    <w:rsid w:val="00E90365"/>
    <w:rsid w:val="00E90528"/>
    <w:rsid w:val="00E90593"/>
    <w:rsid w:val="00E90616"/>
    <w:rsid w:val="00E909E9"/>
    <w:rsid w:val="00E90CAB"/>
    <w:rsid w:val="00E90CCA"/>
    <w:rsid w:val="00E90D61"/>
    <w:rsid w:val="00E911A6"/>
    <w:rsid w:val="00E912D9"/>
    <w:rsid w:val="00E913BC"/>
    <w:rsid w:val="00E913E8"/>
    <w:rsid w:val="00E914FA"/>
    <w:rsid w:val="00E91683"/>
    <w:rsid w:val="00E917E1"/>
    <w:rsid w:val="00E91A02"/>
    <w:rsid w:val="00E91C29"/>
    <w:rsid w:val="00E9204D"/>
    <w:rsid w:val="00E921A3"/>
    <w:rsid w:val="00E922D9"/>
    <w:rsid w:val="00E92301"/>
    <w:rsid w:val="00E923C1"/>
    <w:rsid w:val="00E925C4"/>
    <w:rsid w:val="00E92841"/>
    <w:rsid w:val="00E928A7"/>
    <w:rsid w:val="00E92A81"/>
    <w:rsid w:val="00E92A94"/>
    <w:rsid w:val="00E92B10"/>
    <w:rsid w:val="00E92B8F"/>
    <w:rsid w:val="00E92B98"/>
    <w:rsid w:val="00E92D31"/>
    <w:rsid w:val="00E92DC5"/>
    <w:rsid w:val="00E92EDF"/>
    <w:rsid w:val="00E9333E"/>
    <w:rsid w:val="00E93508"/>
    <w:rsid w:val="00E9399E"/>
    <w:rsid w:val="00E93A48"/>
    <w:rsid w:val="00E93B7B"/>
    <w:rsid w:val="00E93BE3"/>
    <w:rsid w:val="00E93E99"/>
    <w:rsid w:val="00E93EAA"/>
    <w:rsid w:val="00E94256"/>
    <w:rsid w:val="00E943E7"/>
    <w:rsid w:val="00E9497E"/>
    <w:rsid w:val="00E9513C"/>
    <w:rsid w:val="00E95560"/>
    <w:rsid w:val="00E957C6"/>
    <w:rsid w:val="00E95A02"/>
    <w:rsid w:val="00E95A12"/>
    <w:rsid w:val="00E95AD0"/>
    <w:rsid w:val="00E95B03"/>
    <w:rsid w:val="00E95DC8"/>
    <w:rsid w:val="00E95EEF"/>
    <w:rsid w:val="00E96944"/>
    <w:rsid w:val="00E96CA4"/>
    <w:rsid w:val="00E970C2"/>
    <w:rsid w:val="00E975E6"/>
    <w:rsid w:val="00E975F9"/>
    <w:rsid w:val="00E9776A"/>
    <w:rsid w:val="00E978F4"/>
    <w:rsid w:val="00E97B34"/>
    <w:rsid w:val="00EA021E"/>
    <w:rsid w:val="00EA0547"/>
    <w:rsid w:val="00EA0576"/>
    <w:rsid w:val="00EA05FC"/>
    <w:rsid w:val="00EA064B"/>
    <w:rsid w:val="00EA06E4"/>
    <w:rsid w:val="00EA0832"/>
    <w:rsid w:val="00EA083F"/>
    <w:rsid w:val="00EA0896"/>
    <w:rsid w:val="00EA0A56"/>
    <w:rsid w:val="00EA0CA9"/>
    <w:rsid w:val="00EA0D12"/>
    <w:rsid w:val="00EA0F3A"/>
    <w:rsid w:val="00EA0F3D"/>
    <w:rsid w:val="00EA107A"/>
    <w:rsid w:val="00EA1175"/>
    <w:rsid w:val="00EA11DB"/>
    <w:rsid w:val="00EA1372"/>
    <w:rsid w:val="00EA137C"/>
    <w:rsid w:val="00EA1527"/>
    <w:rsid w:val="00EA1609"/>
    <w:rsid w:val="00EA17D0"/>
    <w:rsid w:val="00EA18A7"/>
    <w:rsid w:val="00EA1BF2"/>
    <w:rsid w:val="00EA1C6D"/>
    <w:rsid w:val="00EA1C91"/>
    <w:rsid w:val="00EA1E6E"/>
    <w:rsid w:val="00EA200F"/>
    <w:rsid w:val="00EA20AB"/>
    <w:rsid w:val="00EA213D"/>
    <w:rsid w:val="00EA23DA"/>
    <w:rsid w:val="00EA23E6"/>
    <w:rsid w:val="00EA2400"/>
    <w:rsid w:val="00EA2561"/>
    <w:rsid w:val="00EA259D"/>
    <w:rsid w:val="00EA25D8"/>
    <w:rsid w:val="00EA28C5"/>
    <w:rsid w:val="00EA28D1"/>
    <w:rsid w:val="00EA2983"/>
    <w:rsid w:val="00EA29F2"/>
    <w:rsid w:val="00EA2BFF"/>
    <w:rsid w:val="00EA2DFB"/>
    <w:rsid w:val="00EA32BF"/>
    <w:rsid w:val="00EA358A"/>
    <w:rsid w:val="00EA381E"/>
    <w:rsid w:val="00EA3880"/>
    <w:rsid w:val="00EA39A9"/>
    <w:rsid w:val="00EA3A08"/>
    <w:rsid w:val="00EA3BA4"/>
    <w:rsid w:val="00EA3FC4"/>
    <w:rsid w:val="00EA40C1"/>
    <w:rsid w:val="00EA4319"/>
    <w:rsid w:val="00EA43F0"/>
    <w:rsid w:val="00EA4479"/>
    <w:rsid w:val="00EA4671"/>
    <w:rsid w:val="00EA4983"/>
    <w:rsid w:val="00EA4A12"/>
    <w:rsid w:val="00EA4C4F"/>
    <w:rsid w:val="00EA503E"/>
    <w:rsid w:val="00EA5344"/>
    <w:rsid w:val="00EA55FC"/>
    <w:rsid w:val="00EA56D9"/>
    <w:rsid w:val="00EA570D"/>
    <w:rsid w:val="00EA574B"/>
    <w:rsid w:val="00EA58C5"/>
    <w:rsid w:val="00EA5BEC"/>
    <w:rsid w:val="00EA5EA3"/>
    <w:rsid w:val="00EA5F81"/>
    <w:rsid w:val="00EA5FF6"/>
    <w:rsid w:val="00EA601B"/>
    <w:rsid w:val="00EA6045"/>
    <w:rsid w:val="00EA618C"/>
    <w:rsid w:val="00EA6539"/>
    <w:rsid w:val="00EA65F9"/>
    <w:rsid w:val="00EA692E"/>
    <w:rsid w:val="00EA6948"/>
    <w:rsid w:val="00EA6AD2"/>
    <w:rsid w:val="00EA6B6C"/>
    <w:rsid w:val="00EA6B8C"/>
    <w:rsid w:val="00EA6D78"/>
    <w:rsid w:val="00EA6ED4"/>
    <w:rsid w:val="00EA6FE1"/>
    <w:rsid w:val="00EA7155"/>
    <w:rsid w:val="00EA7186"/>
    <w:rsid w:val="00EA7343"/>
    <w:rsid w:val="00EA7648"/>
    <w:rsid w:val="00EA7A75"/>
    <w:rsid w:val="00EA7B20"/>
    <w:rsid w:val="00EA7B49"/>
    <w:rsid w:val="00EA7B7F"/>
    <w:rsid w:val="00EA7BBE"/>
    <w:rsid w:val="00EA7C39"/>
    <w:rsid w:val="00EA7F2F"/>
    <w:rsid w:val="00EA7FA2"/>
    <w:rsid w:val="00EB0050"/>
    <w:rsid w:val="00EB0189"/>
    <w:rsid w:val="00EB0281"/>
    <w:rsid w:val="00EB0597"/>
    <w:rsid w:val="00EB069C"/>
    <w:rsid w:val="00EB06C4"/>
    <w:rsid w:val="00EB076F"/>
    <w:rsid w:val="00EB0835"/>
    <w:rsid w:val="00EB0842"/>
    <w:rsid w:val="00EB096C"/>
    <w:rsid w:val="00EB0A56"/>
    <w:rsid w:val="00EB1083"/>
    <w:rsid w:val="00EB114D"/>
    <w:rsid w:val="00EB1459"/>
    <w:rsid w:val="00EB14E5"/>
    <w:rsid w:val="00EB1773"/>
    <w:rsid w:val="00EB194A"/>
    <w:rsid w:val="00EB1A15"/>
    <w:rsid w:val="00EB1CE8"/>
    <w:rsid w:val="00EB1DBA"/>
    <w:rsid w:val="00EB1F33"/>
    <w:rsid w:val="00EB1F8D"/>
    <w:rsid w:val="00EB215A"/>
    <w:rsid w:val="00EB21F9"/>
    <w:rsid w:val="00EB22E6"/>
    <w:rsid w:val="00EB2725"/>
    <w:rsid w:val="00EB28C3"/>
    <w:rsid w:val="00EB2BE6"/>
    <w:rsid w:val="00EB2BF8"/>
    <w:rsid w:val="00EB2C05"/>
    <w:rsid w:val="00EB2C60"/>
    <w:rsid w:val="00EB2CFC"/>
    <w:rsid w:val="00EB2D9B"/>
    <w:rsid w:val="00EB31C8"/>
    <w:rsid w:val="00EB3370"/>
    <w:rsid w:val="00EB33B1"/>
    <w:rsid w:val="00EB33DE"/>
    <w:rsid w:val="00EB3505"/>
    <w:rsid w:val="00EB37B6"/>
    <w:rsid w:val="00EB37E7"/>
    <w:rsid w:val="00EB380E"/>
    <w:rsid w:val="00EB3B23"/>
    <w:rsid w:val="00EB3DC6"/>
    <w:rsid w:val="00EB401D"/>
    <w:rsid w:val="00EB4023"/>
    <w:rsid w:val="00EB4118"/>
    <w:rsid w:val="00EB41B1"/>
    <w:rsid w:val="00EB421F"/>
    <w:rsid w:val="00EB423F"/>
    <w:rsid w:val="00EB42A6"/>
    <w:rsid w:val="00EB42C6"/>
    <w:rsid w:val="00EB4458"/>
    <w:rsid w:val="00EB44A5"/>
    <w:rsid w:val="00EB451E"/>
    <w:rsid w:val="00EB45FF"/>
    <w:rsid w:val="00EB4701"/>
    <w:rsid w:val="00EB499E"/>
    <w:rsid w:val="00EB4B49"/>
    <w:rsid w:val="00EB4C62"/>
    <w:rsid w:val="00EB4C88"/>
    <w:rsid w:val="00EB4C8A"/>
    <w:rsid w:val="00EB4D1A"/>
    <w:rsid w:val="00EB4D8D"/>
    <w:rsid w:val="00EB50D1"/>
    <w:rsid w:val="00EB515C"/>
    <w:rsid w:val="00EB5214"/>
    <w:rsid w:val="00EB5787"/>
    <w:rsid w:val="00EB5838"/>
    <w:rsid w:val="00EB5A53"/>
    <w:rsid w:val="00EB5C87"/>
    <w:rsid w:val="00EB5C9F"/>
    <w:rsid w:val="00EB5D85"/>
    <w:rsid w:val="00EB5E24"/>
    <w:rsid w:val="00EB5E96"/>
    <w:rsid w:val="00EB5EC4"/>
    <w:rsid w:val="00EB6084"/>
    <w:rsid w:val="00EB60B4"/>
    <w:rsid w:val="00EB6146"/>
    <w:rsid w:val="00EB6188"/>
    <w:rsid w:val="00EB61F2"/>
    <w:rsid w:val="00EB6365"/>
    <w:rsid w:val="00EB665F"/>
    <w:rsid w:val="00EB6740"/>
    <w:rsid w:val="00EB67F6"/>
    <w:rsid w:val="00EB69C2"/>
    <w:rsid w:val="00EB6B35"/>
    <w:rsid w:val="00EB6E3B"/>
    <w:rsid w:val="00EB70CE"/>
    <w:rsid w:val="00EB7555"/>
    <w:rsid w:val="00EB7574"/>
    <w:rsid w:val="00EB759E"/>
    <w:rsid w:val="00EB785E"/>
    <w:rsid w:val="00EB78BF"/>
    <w:rsid w:val="00EB7989"/>
    <w:rsid w:val="00EB7A20"/>
    <w:rsid w:val="00EB7A86"/>
    <w:rsid w:val="00EB7C6F"/>
    <w:rsid w:val="00EB7D2A"/>
    <w:rsid w:val="00EC00F1"/>
    <w:rsid w:val="00EC0382"/>
    <w:rsid w:val="00EC0445"/>
    <w:rsid w:val="00EC0543"/>
    <w:rsid w:val="00EC07D8"/>
    <w:rsid w:val="00EC083B"/>
    <w:rsid w:val="00EC0A9B"/>
    <w:rsid w:val="00EC0AB2"/>
    <w:rsid w:val="00EC0B63"/>
    <w:rsid w:val="00EC0DB5"/>
    <w:rsid w:val="00EC0E16"/>
    <w:rsid w:val="00EC11D3"/>
    <w:rsid w:val="00EC11F2"/>
    <w:rsid w:val="00EC12A9"/>
    <w:rsid w:val="00EC1543"/>
    <w:rsid w:val="00EC17AC"/>
    <w:rsid w:val="00EC184B"/>
    <w:rsid w:val="00EC18A2"/>
    <w:rsid w:val="00EC1938"/>
    <w:rsid w:val="00EC19C7"/>
    <w:rsid w:val="00EC1A5F"/>
    <w:rsid w:val="00EC1C26"/>
    <w:rsid w:val="00EC1C55"/>
    <w:rsid w:val="00EC1DEE"/>
    <w:rsid w:val="00EC2068"/>
    <w:rsid w:val="00EC2282"/>
    <w:rsid w:val="00EC24B5"/>
    <w:rsid w:val="00EC2611"/>
    <w:rsid w:val="00EC2990"/>
    <w:rsid w:val="00EC29FA"/>
    <w:rsid w:val="00EC2BAE"/>
    <w:rsid w:val="00EC2C03"/>
    <w:rsid w:val="00EC2DDB"/>
    <w:rsid w:val="00EC3121"/>
    <w:rsid w:val="00EC318D"/>
    <w:rsid w:val="00EC31BF"/>
    <w:rsid w:val="00EC3418"/>
    <w:rsid w:val="00EC342C"/>
    <w:rsid w:val="00EC3454"/>
    <w:rsid w:val="00EC35BD"/>
    <w:rsid w:val="00EC3616"/>
    <w:rsid w:val="00EC3628"/>
    <w:rsid w:val="00EC36F4"/>
    <w:rsid w:val="00EC376F"/>
    <w:rsid w:val="00EC390E"/>
    <w:rsid w:val="00EC3AB2"/>
    <w:rsid w:val="00EC3D9F"/>
    <w:rsid w:val="00EC3DA0"/>
    <w:rsid w:val="00EC3F38"/>
    <w:rsid w:val="00EC4045"/>
    <w:rsid w:val="00EC4077"/>
    <w:rsid w:val="00EC4250"/>
    <w:rsid w:val="00EC4713"/>
    <w:rsid w:val="00EC4A14"/>
    <w:rsid w:val="00EC4C34"/>
    <w:rsid w:val="00EC4D62"/>
    <w:rsid w:val="00EC4D7C"/>
    <w:rsid w:val="00EC4DF0"/>
    <w:rsid w:val="00EC4E7D"/>
    <w:rsid w:val="00EC4EBF"/>
    <w:rsid w:val="00EC4F07"/>
    <w:rsid w:val="00EC5017"/>
    <w:rsid w:val="00EC51B9"/>
    <w:rsid w:val="00EC5301"/>
    <w:rsid w:val="00EC54BE"/>
    <w:rsid w:val="00EC55C6"/>
    <w:rsid w:val="00EC597A"/>
    <w:rsid w:val="00EC5E7D"/>
    <w:rsid w:val="00EC5F4B"/>
    <w:rsid w:val="00EC6031"/>
    <w:rsid w:val="00EC604A"/>
    <w:rsid w:val="00EC63C4"/>
    <w:rsid w:val="00EC65BA"/>
    <w:rsid w:val="00EC6698"/>
    <w:rsid w:val="00EC6707"/>
    <w:rsid w:val="00EC695E"/>
    <w:rsid w:val="00EC6B0E"/>
    <w:rsid w:val="00EC6B87"/>
    <w:rsid w:val="00EC6D5F"/>
    <w:rsid w:val="00EC71C8"/>
    <w:rsid w:val="00EC723C"/>
    <w:rsid w:val="00EC7268"/>
    <w:rsid w:val="00EC76D3"/>
    <w:rsid w:val="00EC77E2"/>
    <w:rsid w:val="00EC7978"/>
    <w:rsid w:val="00EC79BD"/>
    <w:rsid w:val="00EC79CB"/>
    <w:rsid w:val="00EC7A69"/>
    <w:rsid w:val="00EC7C6A"/>
    <w:rsid w:val="00EC7DDF"/>
    <w:rsid w:val="00EC7EC7"/>
    <w:rsid w:val="00EC7F5A"/>
    <w:rsid w:val="00EC7FEB"/>
    <w:rsid w:val="00ED0016"/>
    <w:rsid w:val="00ED014C"/>
    <w:rsid w:val="00ED02FB"/>
    <w:rsid w:val="00ED0518"/>
    <w:rsid w:val="00ED05D8"/>
    <w:rsid w:val="00ED06CD"/>
    <w:rsid w:val="00ED07AA"/>
    <w:rsid w:val="00ED0F30"/>
    <w:rsid w:val="00ED1000"/>
    <w:rsid w:val="00ED11F7"/>
    <w:rsid w:val="00ED1298"/>
    <w:rsid w:val="00ED12E3"/>
    <w:rsid w:val="00ED1393"/>
    <w:rsid w:val="00ED13D3"/>
    <w:rsid w:val="00ED142D"/>
    <w:rsid w:val="00ED14F1"/>
    <w:rsid w:val="00ED1680"/>
    <w:rsid w:val="00ED1703"/>
    <w:rsid w:val="00ED1725"/>
    <w:rsid w:val="00ED185B"/>
    <w:rsid w:val="00ED1DB7"/>
    <w:rsid w:val="00ED20C7"/>
    <w:rsid w:val="00ED2151"/>
    <w:rsid w:val="00ED21AE"/>
    <w:rsid w:val="00ED21D0"/>
    <w:rsid w:val="00ED22E0"/>
    <w:rsid w:val="00ED2509"/>
    <w:rsid w:val="00ED27D8"/>
    <w:rsid w:val="00ED28BB"/>
    <w:rsid w:val="00ED29C7"/>
    <w:rsid w:val="00ED2A78"/>
    <w:rsid w:val="00ED2B92"/>
    <w:rsid w:val="00ED2BFD"/>
    <w:rsid w:val="00ED2E71"/>
    <w:rsid w:val="00ED2FF3"/>
    <w:rsid w:val="00ED31D0"/>
    <w:rsid w:val="00ED3253"/>
    <w:rsid w:val="00ED3394"/>
    <w:rsid w:val="00ED33A3"/>
    <w:rsid w:val="00ED33E2"/>
    <w:rsid w:val="00ED35B7"/>
    <w:rsid w:val="00ED35D3"/>
    <w:rsid w:val="00ED36F7"/>
    <w:rsid w:val="00ED3852"/>
    <w:rsid w:val="00ED3A7C"/>
    <w:rsid w:val="00ED3D0E"/>
    <w:rsid w:val="00ED3ED6"/>
    <w:rsid w:val="00ED42EE"/>
    <w:rsid w:val="00ED43A6"/>
    <w:rsid w:val="00ED442C"/>
    <w:rsid w:val="00ED4543"/>
    <w:rsid w:val="00ED46BC"/>
    <w:rsid w:val="00ED4807"/>
    <w:rsid w:val="00ED482C"/>
    <w:rsid w:val="00ED4942"/>
    <w:rsid w:val="00ED49EF"/>
    <w:rsid w:val="00ED4A6B"/>
    <w:rsid w:val="00ED4BA2"/>
    <w:rsid w:val="00ED4BC9"/>
    <w:rsid w:val="00ED4FAF"/>
    <w:rsid w:val="00ED51C0"/>
    <w:rsid w:val="00ED5208"/>
    <w:rsid w:val="00ED5210"/>
    <w:rsid w:val="00ED52B3"/>
    <w:rsid w:val="00ED54B1"/>
    <w:rsid w:val="00ED551C"/>
    <w:rsid w:val="00ED55FD"/>
    <w:rsid w:val="00ED5955"/>
    <w:rsid w:val="00ED5C88"/>
    <w:rsid w:val="00ED5C8A"/>
    <w:rsid w:val="00ED5E4C"/>
    <w:rsid w:val="00ED5E9E"/>
    <w:rsid w:val="00ED5EBB"/>
    <w:rsid w:val="00ED5EFF"/>
    <w:rsid w:val="00ED5F25"/>
    <w:rsid w:val="00ED60C1"/>
    <w:rsid w:val="00ED614A"/>
    <w:rsid w:val="00ED634A"/>
    <w:rsid w:val="00ED67A9"/>
    <w:rsid w:val="00ED691A"/>
    <w:rsid w:val="00ED6AB9"/>
    <w:rsid w:val="00ED6B78"/>
    <w:rsid w:val="00ED6E6F"/>
    <w:rsid w:val="00ED74B7"/>
    <w:rsid w:val="00ED7723"/>
    <w:rsid w:val="00ED7787"/>
    <w:rsid w:val="00ED7928"/>
    <w:rsid w:val="00ED7B8B"/>
    <w:rsid w:val="00ED7C59"/>
    <w:rsid w:val="00ED7D3D"/>
    <w:rsid w:val="00ED7E7C"/>
    <w:rsid w:val="00ED7FBC"/>
    <w:rsid w:val="00EE024E"/>
    <w:rsid w:val="00EE0378"/>
    <w:rsid w:val="00EE04F4"/>
    <w:rsid w:val="00EE08B1"/>
    <w:rsid w:val="00EE0A92"/>
    <w:rsid w:val="00EE0B2C"/>
    <w:rsid w:val="00EE0B96"/>
    <w:rsid w:val="00EE0D75"/>
    <w:rsid w:val="00EE1232"/>
    <w:rsid w:val="00EE1562"/>
    <w:rsid w:val="00EE18FE"/>
    <w:rsid w:val="00EE1B32"/>
    <w:rsid w:val="00EE1CC3"/>
    <w:rsid w:val="00EE229D"/>
    <w:rsid w:val="00EE2310"/>
    <w:rsid w:val="00EE2317"/>
    <w:rsid w:val="00EE2331"/>
    <w:rsid w:val="00EE2375"/>
    <w:rsid w:val="00EE2401"/>
    <w:rsid w:val="00EE249C"/>
    <w:rsid w:val="00EE25AC"/>
    <w:rsid w:val="00EE25CD"/>
    <w:rsid w:val="00EE2854"/>
    <w:rsid w:val="00EE2A98"/>
    <w:rsid w:val="00EE2C13"/>
    <w:rsid w:val="00EE2C33"/>
    <w:rsid w:val="00EE2DD6"/>
    <w:rsid w:val="00EE2EB2"/>
    <w:rsid w:val="00EE3042"/>
    <w:rsid w:val="00EE385D"/>
    <w:rsid w:val="00EE39F8"/>
    <w:rsid w:val="00EE3BF4"/>
    <w:rsid w:val="00EE3BF5"/>
    <w:rsid w:val="00EE3D82"/>
    <w:rsid w:val="00EE3E28"/>
    <w:rsid w:val="00EE3E69"/>
    <w:rsid w:val="00EE3F00"/>
    <w:rsid w:val="00EE40DE"/>
    <w:rsid w:val="00EE416F"/>
    <w:rsid w:val="00EE4370"/>
    <w:rsid w:val="00EE43F6"/>
    <w:rsid w:val="00EE45A9"/>
    <w:rsid w:val="00EE45BF"/>
    <w:rsid w:val="00EE4637"/>
    <w:rsid w:val="00EE476A"/>
    <w:rsid w:val="00EE4996"/>
    <w:rsid w:val="00EE4D26"/>
    <w:rsid w:val="00EE4E0C"/>
    <w:rsid w:val="00EE4E7B"/>
    <w:rsid w:val="00EE4ECF"/>
    <w:rsid w:val="00EE509D"/>
    <w:rsid w:val="00EE520A"/>
    <w:rsid w:val="00EE529D"/>
    <w:rsid w:val="00EE536D"/>
    <w:rsid w:val="00EE53CD"/>
    <w:rsid w:val="00EE55A8"/>
    <w:rsid w:val="00EE560E"/>
    <w:rsid w:val="00EE5CB8"/>
    <w:rsid w:val="00EE5CBF"/>
    <w:rsid w:val="00EE5E0A"/>
    <w:rsid w:val="00EE5F56"/>
    <w:rsid w:val="00EE5FA8"/>
    <w:rsid w:val="00EE603A"/>
    <w:rsid w:val="00EE60F1"/>
    <w:rsid w:val="00EE611E"/>
    <w:rsid w:val="00EE6149"/>
    <w:rsid w:val="00EE62F9"/>
    <w:rsid w:val="00EE6643"/>
    <w:rsid w:val="00EE6668"/>
    <w:rsid w:val="00EE66E5"/>
    <w:rsid w:val="00EE6820"/>
    <w:rsid w:val="00EE68CA"/>
    <w:rsid w:val="00EE698F"/>
    <w:rsid w:val="00EE6A90"/>
    <w:rsid w:val="00EE6AC8"/>
    <w:rsid w:val="00EE6B25"/>
    <w:rsid w:val="00EE6B65"/>
    <w:rsid w:val="00EE6C67"/>
    <w:rsid w:val="00EE6D01"/>
    <w:rsid w:val="00EE6F2C"/>
    <w:rsid w:val="00EE6F83"/>
    <w:rsid w:val="00EE6FC0"/>
    <w:rsid w:val="00EE7013"/>
    <w:rsid w:val="00EE7081"/>
    <w:rsid w:val="00EE70E3"/>
    <w:rsid w:val="00EE7401"/>
    <w:rsid w:val="00EE741A"/>
    <w:rsid w:val="00EE742B"/>
    <w:rsid w:val="00EE76F3"/>
    <w:rsid w:val="00EE7863"/>
    <w:rsid w:val="00EE7890"/>
    <w:rsid w:val="00EE79B0"/>
    <w:rsid w:val="00EE7A41"/>
    <w:rsid w:val="00EE7AFC"/>
    <w:rsid w:val="00EE7D19"/>
    <w:rsid w:val="00EE7D80"/>
    <w:rsid w:val="00EE7E19"/>
    <w:rsid w:val="00EF01C5"/>
    <w:rsid w:val="00EF01EC"/>
    <w:rsid w:val="00EF0275"/>
    <w:rsid w:val="00EF02DE"/>
    <w:rsid w:val="00EF057F"/>
    <w:rsid w:val="00EF0730"/>
    <w:rsid w:val="00EF078A"/>
    <w:rsid w:val="00EF07A8"/>
    <w:rsid w:val="00EF0B2C"/>
    <w:rsid w:val="00EF0B38"/>
    <w:rsid w:val="00EF1147"/>
    <w:rsid w:val="00EF13FB"/>
    <w:rsid w:val="00EF15A9"/>
    <w:rsid w:val="00EF176F"/>
    <w:rsid w:val="00EF177F"/>
    <w:rsid w:val="00EF188D"/>
    <w:rsid w:val="00EF18B4"/>
    <w:rsid w:val="00EF19DF"/>
    <w:rsid w:val="00EF1C19"/>
    <w:rsid w:val="00EF1D0D"/>
    <w:rsid w:val="00EF2214"/>
    <w:rsid w:val="00EF2292"/>
    <w:rsid w:val="00EF2465"/>
    <w:rsid w:val="00EF2648"/>
    <w:rsid w:val="00EF27E1"/>
    <w:rsid w:val="00EF2857"/>
    <w:rsid w:val="00EF2A3C"/>
    <w:rsid w:val="00EF2ADB"/>
    <w:rsid w:val="00EF2AF7"/>
    <w:rsid w:val="00EF2B4B"/>
    <w:rsid w:val="00EF2F60"/>
    <w:rsid w:val="00EF3164"/>
    <w:rsid w:val="00EF36BB"/>
    <w:rsid w:val="00EF37AD"/>
    <w:rsid w:val="00EF3919"/>
    <w:rsid w:val="00EF3C70"/>
    <w:rsid w:val="00EF3D72"/>
    <w:rsid w:val="00EF3DAA"/>
    <w:rsid w:val="00EF3EE0"/>
    <w:rsid w:val="00EF3F3D"/>
    <w:rsid w:val="00EF40D5"/>
    <w:rsid w:val="00EF410B"/>
    <w:rsid w:val="00EF4154"/>
    <w:rsid w:val="00EF422B"/>
    <w:rsid w:val="00EF429B"/>
    <w:rsid w:val="00EF4326"/>
    <w:rsid w:val="00EF445F"/>
    <w:rsid w:val="00EF447D"/>
    <w:rsid w:val="00EF4612"/>
    <w:rsid w:val="00EF4670"/>
    <w:rsid w:val="00EF4767"/>
    <w:rsid w:val="00EF4869"/>
    <w:rsid w:val="00EF48D8"/>
    <w:rsid w:val="00EF492C"/>
    <w:rsid w:val="00EF4BA7"/>
    <w:rsid w:val="00EF4C4F"/>
    <w:rsid w:val="00EF4CBD"/>
    <w:rsid w:val="00EF4D5E"/>
    <w:rsid w:val="00EF4DAF"/>
    <w:rsid w:val="00EF4E13"/>
    <w:rsid w:val="00EF4E82"/>
    <w:rsid w:val="00EF4F86"/>
    <w:rsid w:val="00EF5034"/>
    <w:rsid w:val="00EF5590"/>
    <w:rsid w:val="00EF5627"/>
    <w:rsid w:val="00EF570C"/>
    <w:rsid w:val="00EF58E1"/>
    <w:rsid w:val="00EF59F7"/>
    <w:rsid w:val="00EF5B76"/>
    <w:rsid w:val="00EF5FCB"/>
    <w:rsid w:val="00EF6018"/>
    <w:rsid w:val="00EF61DA"/>
    <w:rsid w:val="00EF61DE"/>
    <w:rsid w:val="00EF6305"/>
    <w:rsid w:val="00EF63CE"/>
    <w:rsid w:val="00EF642E"/>
    <w:rsid w:val="00EF6843"/>
    <w:rsid w:val="00EF68A8"/>
    <w:rsid w:val="00EF692B"/>
    <w:rsid w:val="00EF6A36"/>
    <w:rsid w:val="00EF6AE2"/>
    <w:rsid w:val="00EF6AEE"/>
    <w:rsid w:val="00EF6E24"/>
    <w:rsid w:val="00EF6F7E"/>
    <w:rsid w:val="00EF71D7"/>
    <w:rsid w:val="00EF724F"/>
    <w:rsid w:val="00EF7381"/>
    <w:rsid w:val="00EF73F6"/>
    <w:rsid w:val="00EF7846"/>
    <w:rsid w:val="00EF7A4D"/>
    <w:rsid w:val="00EF7EB8"/>
    <w:rsid w:val="00F0006A"/>
    <w:rsid w:val="00F00170"/>
    <w:rsid w:val="00F002D9"/>
    <w:rsid w:val="00F0041E"/>
    <w:rsid w:val="00F004BE"/>
    <w:rsid w:val="00F00640"/>
    <w:rsid w:val="00F0064F"/>
    <w:rsid w:val="00F00767"/>
    <w:rsid w:val="00F00A52"/>
    <w:rsid w:val="00F00A93"/>
    <w:rsid w:val="00F00E88"/>
    <w:rsid w:val="00F00E9B"/>
    <w:rsid w:val="00F00EF4"/>
    <w:rsid w:val="00F010CE"/>
    <w:rsid w:val="00F01322"/>
    <w:rsid w:val="00F01347"/>
    <w:rsid w:val="00F013DC"/>
    <w:rsid w:val="00F014C3"/>
    <w:rsid w:val="00F01A30"/>
    <w:rsid w:val="00F01B77"/>
    <w:rsid w:val="00F01CE0"/>
    <w:rsid w:val="00F01E30"/>
    <w:rsid w:val="00F02095"/>
    <w:rsid w:val="00F0227E"/>
    <w:rsid w:val="00F0228D"/>
    <w:rsid w:val="00F0232D"/>
    <w:rsid w:val="00F02529"/>
    <w:rsid w:val="00F02712"/>
    <w:rsid w:val="00F0299E"/>
    <w:rsid w:val="00F02A29"/>
    <w:rsid w:val="00F02C33"/>
    <w:rsid w:val="00F02E19"/>
    <w:rsid w:val="00F02FD0"/>
    <w:rsid w:val="00F03011"/>
    <w:rsid w:val="00F03024"/>
    <w:rsid w:val="00F030EE"/>
    <w:rsid w:val="00F0333A"/>
    <w:rsid w:val="00F0333E"/>
    <w:rsid w:val="00F03496"/>
    <w:rsid w:val="00F034A2"/>
    <w:rsid w:val="00F03525"/>
    <w:rsid w:val="00F0362C"/>
    <w:rsid w:val="00F03A35"/>
    <w:rsid w:val="00F03BA6"/>
    <w:rsid w:val="00F03C1F"/>
    <w:rsid w:val="00F04020"/>
    <w:rsid w:val="00F04354"/>
    <w:rsid w:val="00F0437B"/>
    <w:rsid w:val="00F0445E"/>
    <w:rsid w:val="00F04758"/>
    <w:rsid w:val="00F04C9B"/>
    <w:rsid w:val="00F04D5A"/>
    <w:rsid w:val="00F04DBF"/>
    <w:rsid w:val="00F04DFA"/>
    <w:rsid w:val="00F04FC7"/>
    <w:rsid w:val="00F05293"/>
    <w:rsid w:val="00F05628"/>
    <w:rsid w:val="00F056DC"/>
    <w:rsid w:val="00F05A87"/>
    <w:rsid w:val="00F05CA4"/>
    <w:rsid w:val="00F05EC1"/>
    <w:rsid w:val="00F0605C"/>
    <w:rsid w:val="00F061C0"/>
    <w:rsid w:val="00F063AD"/>
    <w:rsid w:val="00F06406"/>
    <w:rsid w:val="00F0643B"/>
    <w:rsid w:val="00F06450"/>
    <w:rsid w:val="00F06460"/>
    <w:rsid w:val="00F06789"/>
    <w:rsid w:val="00F067F0"/>
    <w:rsid w:val="00F0683D"/>
    <w:rsid w:val="00F06A8B"/>
    <w:rsid w:val="00F06C5A"/>
    <w:rsid w:val="00F06DD6"/>
    <w:rsid w:val="00F06F00"/>
    <w:rsid w:val="00F06FF8"/>
    <w:rsid w:val="00F07176"/>
    <w:rsid w:val="00F07445"/>
    <w:rsid w:val="00F078AA"/>
    <w:rsid w:val="00F0797A"/>
    <w:rsid w:val="00F079B3"/>
    <w:rsid w:val="00F079DE"/>
    <w:rsid w:val="00F07B6B"/>
    <w:rsid w:val="00F07B84"/>
    <w:rsid w:val="00F07BFA"/>
    <w:rsid w:val="00F07D12"/>
    <w:rsid w:val="00F07F4C"/>
    <w:rsid w:val="00F1001E"/>
    <w:rsid w:val="00F10137"/>
    <w:rsid w:val="00F1054D"/>
    <w:rsid w:val="00F105F6"/>
    <w:rsid w:val="00F10951"/>
    <w:rsid w:val="00F10AF8"/>
    <w:rsid w:val="00F10B2F"/>
    <w:rsid w:val="00F10C61"/>
    <w:rsid w:val="00F10CE1"/>
    <w:rsid w:val="00F110FF"/>
    <w:rsid w:val="00F11499"/>
    <w:rsid w:val="00F1149B"/>
    <w:rsid w:val="00F1153B"/>
    <w:rsid w:val="00F11588"/>
    <w:rsid w:val="00F1163D"/>
    <w:rsid w:val="00F1166F"/>
    <w:rsid w:val="00F1190A"/>
    <w:rsid w:val="00F11921"/>
    <w:rsid w:val="00F11A55"/>
    <w:rsid w:val="00F11E4B"/>
    <w:rsid w:val="00F12044"/>
    <w:rsid w:val="00F120BB"/>
    <w:rsid w:val="00F121EC"/>
    <w:rsid w:val="00F12228"/>
    <w:rsid w:val="00F1283C"/>
    <w:rsid w:val="00F129EC"/>
    <w:rsid w:val="00F12D61"/>
    <w:rsid w:val="00F12D84"/>
    <w:rsid w:val="00F12EA1"/>
    <w:rsid w:val="00F13006"/>
    <w:rsid w:val="00F130C8"/>
    <w:rsid w:val="00F13257"/>
    <w:rsid w:val="00F132CF"/>
    <w:rsid w:val="00F132EA"/>
    <w:rsid w:val="00F13424"/>
    <w:rsid w:val="00F13A15"/>
    <w:rsid w:val="00F13DEB"/>
    <w:rsid w:val="00F13E1D"/>
    <w:rsid w:val="00F13E2A"/>
    <w:rsid w:val="00F13FA3"/>
    <w:rsid w:val="00F1433C"/>
    <w:rsid w:val="00F143BC"/>
    <w:rsid w:val="00F144BA"/>
    <w:rsid w:val="00F145CC"/>
    <w:rsid w:val="00F14821"/>
    <w:rsid w:val="00F1493A"/>
    <w:rsid w:val="00F14948"/>
    <w:rsid w:val="00F149A9"/>
    <w:rsid w:val="00F14B70"/>
    <w:rsid w:val="00F14C4A"/>
    <w:rsid w:val="00F15269"/>
    <w:rsid w:val="00F1527D"/>
    <w:rsid w:val="00F159D7"/>
    <w:rsid w:val="00F15A84"/>
    <w:rsid w:val="00F15C46"/>
    <w:rsid w:val="00F15F1D"/>
    <w:rsid w:val="00F15F99"/>
    <w:rsid w:val="00F16062"/>
    <w:rsid w:val="00F16095"/>
    <w:rsid w:val="00F160A1"/>
    <w:rsid w:val="00F160B0"/>
    <w:rsid w:val="00F163D1"/>
    <w:rsid w:val="00F16414"/>
    <w:rsid w:val="00F164F5"/>
    <w:rsid w:val="00F1655A"/>
    <w:rsid w:val="00F16665"/>
    <w:rsid w:val="00F1677E"/>
    <w:rsid w:val="00F1698B"/>
    <w:rsid w:val="00F1699E"/>
    <w:rsid w:val="00F16A5D"/>
    <w:rsid w:val="00F16DAF"/>
    <w:rsid w:val="00F170C1"/>
    <w:rsid w:val="00F1727B"/>
    <w:rsid w:val="00F1736B"/>
    <w:rsid w:val="00F17458"/>
    <w:rsid w:val="00F17492"/>
    <w:rsid w:val="00F1749B"/>
    <w:rsid w:val="00F1770B"/>
    <w:rsid w:val="00F1799F"/>
    <w:rsid w:val="00F179D3"/>
    <w:rsid w:val="00F17A16"/>
    <w:rsid w:val="00F17BFF"/>
    <w:rsid w:val="00F17CB2"/>
    <w:rsid w:val="00F20056"/>
    <w:rsid w:val="00F201B3"/>
    <w:rsid w:val="00F201E3"/>
    <w:rsid w:val="00F2034C"/>
    <w:rsid w:val="00F204C9"/>
    <w:rsid w:val="00F205DD"/>
    <w:rsid w:val="00F20793"/>
    <w:rsid w:val="00F20880"/>
    <w:rsid w:val="00F20C77"/>
    <w:rsid w:val="00F20C8A"/>
    <w:rsid w:val="00F20EAE"/>
    <w:rsid w:val="00F21091"/>
    <w:rsid w:val="00F213B3"/>
    <w:rsid w:val="00F21544"/>
    <w:rsid w:val="00F215CA"/>
    <w:rsid w:val="00F215E0"/>
    <w:rsid w:val="00F21600"/>
    <w:rsid w:val="00F216DC"/>
    <w:rsid w:val="00F217F4"/>
    <w:rsid w:val="00F219A6"/>
    <w:rsid w:val="00F21A56"/>
    <w:rsid w:val="00F21A91"/>
    <w:rsid w:val="00F21E5D"/>
    <w:rsid w:val="00F22049"/>
    <w:rsid w:val="00F2253F"/>
    <w:rsid w:val="00F225BC"/>
    <w:rsid w:val="00F227E4"/>
    <w:rsid w:val="00F22A66"/>
    <w:rsid w:val="00F22B9D"/>
    <w:rsid w:val="00F22BB3"/>
    <w:rsid w:val="00F230CD"/>
    <w:rsid w:val="00F233D7"/>
    <w:rsid w:val="00F23592"/>
    <w:rsid w:val="00F23662"/>
    <w:rsid w:val="00F236A3"/>
    <w:rsid w:val="00F238F4"/>
    <w:rsid w:val="00F23956"/>
    <w:rsid w:val="00F23C8E"/>
    <w:rsid w:val="00F23CC5"/>
    <w:rsid w:val="00F23E82"/>
    <w:rsid w:val="00F23F1A"/>
    <w:rsid w:val="00F23F56"/>
    <w:rsid w:val="00F24095"/>
    <w:rsid w:val="00F24097"/>
    <w:rsid w:val="00F240A3"/>
    <w:rsid w:val="00F241D9"/>
    <w:rsid w:val="00F246DB"/>
    <w:rsid w:val="00F24713"/>
    <w:rsid w:val="00F24806"/>
    <w:rsid w:val="00F2483A"/>
    <w:rsid w:val="00F24A8D"/>
    <w:rsid w:val="00F24C01"/>
    <w:rsid w:val="00F24DAA"/>
    <w:rsid w:val="00F24FA0"/>
    <w:rsid w:val="00F2509E"/>
    <w:rsid w:val="00F251C4"/>
    <w:rsid w:val="00F251CA"/>
    <w:rsid w:val="00F2527A"/>
    <w:rsid w:val="00F2535A"/>
    <w:rsid w:val="00F254B9"/>
    <w:rsid w:val="00F25518"/>
    <w:rsid w:val="00F257F7"/>
    <w:rsid w:val="00F2583B"/>
    <w:rsid w:val="00F25A99"/>
    <w:rsid w:val="00F25B1C"/>
    <w:rsid w:val="00F25B36"/>
    <w:rsid w:val="00F25B37"/>
    <w:rsid w:val="00F25D0D"/>
    <w:rsid w:val="00F25D90"/>
    <w:rsid w:val="00F25DF3"/>
    <w:rsid w:val="00F25E13"/>
    <w:rsid w:val="00F260C2"/>
    <w:rsid w:val="00F26254"/>
    <w:rsid w:val="00F262CD"/>
    <w:rsid w:val="00F26484"/>
    <w:rsid w:val="00F265DE"/>
    <w:rsid w:val="00F26711"/>
    <w:rsid w:val="00F26A42"/>
    <w:rsid w:val="00F26EFA"/>
    <w:rsid w:val="00F2711E"/>
    <w:rsid w:val="00F271BF"/>
    <w:rsid w:val="00F275AF"/>
    <w:rsid w:val="00F27AC8"/>
    <w:rsid w:val="00F27ACA"/>
    <w:rsid w:val="00F27ACD"/>
    <w:rsid w:val="00F27C16"/>
    <w:rsid w:val="00F27D08"/>
    <w:rsid w:val="00F301EA"/>
    <w:rsid w:val="00F3020C"/>
    <w:rsid w:val="00F303DE"/>
    <w:rsid w:val="00F3055F"/>
    <w:rsid w:val="00F30563"/>
    <w:rsid w:val="00F305A1"/>
    <w:rsid w:val="00F306DC"/>
    <w:rsid w:val="00F3083B"/>
    <w:rsid w:val="00F30928"/>
    <w:rsid w:val="00F30A5F"/>
    <w:rsid w:val="00F30BD4"/>
    <w:rsid w:val="00F30D25"/>
    <w:rsid w:val="00F30D39"/>
    <w:rsid w:val="00F31054"/>
    <w:rsid w:val="00F31169"/>
    <w:rsid w:val="00F31277"/>
    <w:rsid w:val="00F31722"/>
    <w:rsid w:val="00F3172D"/>
    <w:rsid w:val="00F3177E"/>
    <w:rsid w:val="00F31819"/>
    <w:rsid w:val="00F31847"/>
    <w:rsid w:val="00F31907"/>
    <w:rsid w:val="00F31A50"/>
    <w:rsid w:val="00F31ED1"/>
    <w:rsid w:val="00F31FB2"/>
    <w:rsid w:val="00F32098"/>
    <w:rsid w:val="00F32173"/>
    <w:rsid w:val="00F321F2"/>
    <w:rsid w:val="00F323E2"/>
    <w:rsid w:val="00F326C8"/>
    <w:rsid w:val="00F328ED"/>
    <w:rsid w:val="00F32A65"/>
    <w:rsid w:val="00F32CD2"/>
    <w:rsid w:val="00F32D4D"/>
    <w:rsid w:val="00F3318D"/>
    <w:rsid w:val="00F333D3"/>
    <w:rsid w:val="00F333E2"/>
    <w:rsid w:val="00F333EA"/>
    <w:rsid w:val="00F335E0"/>
    <w:rsid w:val="00F335FA"/>
    <w:rsid w:val="00F3385A"/>
    <w:rsid w:val="00F33892"/>
    <w:rsid w:val="00F33A74"/>
    <w:rsid w:val="00F33F4F"/>
    <w:rsid w:val="00F34514"/>
    <w:rsid w:val="00F34592"/>
    <w:rsid w:val="00F3468E"/>
    <w:rsid w:val="00F34708"/>
    <w:rsid w:val="00F3490E"/>
    <w:rsid w:val="00F34954"/>
    <w:rsid w:val="00F34B3F"/>
    <w:rsid w:val="00F34B50"/>
    <w:rsid w:val="00F34CB6"/>
    <w:rsid w:val="00F3501C"/>
    <w:rsid w:val="00F3570B"/>
    <w:rsid w:val="00F3586D"/>
    <w:rsid w:val="00F35A02"/>
    <w:rsid w:val="00F35AB8"/>
    <w:rsid w:val="00F35C3D"/>
    <w:rsid w:val="00F360F7"/>
    <w:rsid w:val="00F36289"/>
    <w:rsid w:val="00F3635C"/>
    <w:rsid w:val="00F364DC"/>
    <w:rsid w:val="00F3686A"/>
    <w:rsid w:val="00F36884"/>
    <w:rsid w:val="00F36BAC"/>
    <w:rsid w:val="00F36BDC"/>
    <w:rsid w:val="00F36CD8"/>
    <w:rsid w:val="00F36E00"/>
    <w:rsid w:val="00F36E1B"/>
    <w:rsid w:val="00F36E8A"/>
    <w:rsid w:val="00F3700D"/>
    <w:rsid w:val="00F371B3"/>
    <w:rsid w:val="00F37290"/>
    <w:rsid w:val="00F373B6"/>
    <w:rsid w:val="00F374AE"/>
    <w:rsid w:val="00F3763E"/>
    <w:rsid w:val="00F376C8"/>
    <w:rsid w:val="00F3784C"/>
    <w:rsid w:val="00F37C9A"/>
    <w:rsid w:val="00F37DB8"/>
    <w:rsid w:val="00F37DE2"/>
    <w:rsid w:val="00F40037"/>
    <w:rsid w:val="00F40423"/>
    <w:rsid w:val="00F40641"/>
    <w:rsid w:val="00F406A8"/>
    <w:rsid w:val="00F40AD7"/>
    <w:rsid w:val="00F40B42"/>
    <w:rsid w:val="00F40BCF"/>
    <w:rsid w:val="00F40E10"/>
    <w:rsid w:val="00F40E85"/>
    <w:rsid w:val="00F4105D"/>
    <w:rsid w:val="00F41195"/>
    <w:rsid w:val="00F41484"/>
    <w:rsid w:val="00F414B6"/>
    <w:rsid w:val="00F418B3"/>
    <w:rsid w:val="00F4193B"/>
    <w:rsid w:val="00F41C3A"/>
    <w:rsid w:val="00F41CA7"/>
    <w:rsid w:val="00F4213C"/>
    <w:rsid w:val="00F42394"/>
    <w:rsid w:val="00F4242C"/>
    <w:rsid w:val="00F42443"/>
    <w:rsid w:val="00F42C67"/>
    <w:rsid w:val="00F42D2A"/>
    <w:rsid w:val="00F42D97"/>
    <w:rsid w:val="00F42ECE"/>
    <w:rsid w:val="00F42F0A"/>
    <w:rsid w:val="00F43119"/>
    <w:rsid w:val="00F4325F"/>
    <w:rsid w:val="00F43403"/>
    <w:rsid w:val="00F43864"/>
    <w:rsid w:val="00F439D4"/>
    <w:rsid w:val="00F439FD"/>
    <w:rsid w:val="00F43B4C"/>
    <w:rsid w:val="00F43BD5"/>
    <w:rsid w:val="00F43DCD"/>
    <w:rsid w:val="00F43DF7"/>
    <w:rsid w:val="00F4413D"/>
    <w:rsid w:val="00F44327"/>
    <w:rsid w:val="00F44A53"/>
    <w:rsid w:val="00F44EFF"/>
    <w:rsid w:val="00F44FD4"/>
    <w:rsid w:val="00F45002"/>
    <w:rsid w:val="00F45274"/>
    <w:rsid w:val="00F452F9"/>
    <w:rsid w:val="00F4553E"/>
    <w:rsid w:val="00F455B9"/>
    <w:rsid w:val="00F4585A"/>
    <w:rsid w:val="00F458AE"/>
    <w:rsid w:val="00F459B5"/>
    <w:rsid w:val="00F45BE0"/>
    <w:rsid w:val="00F45C22"/>
    <w:rsid w:val="00F45C61"/>
    <w:rsid w:val="00F4600C"/>
    <w:rsid w:val="00F4615D"/>
    <w:rsid w:val="00F4635E"/>
    <w:rsid w:val="00F46498"/>
    <w:rsid w:val="00F4675B"/>
    <w:rsid w:val="00F46845"/>
    <w:rsid w:val="00F4693D"/>
    <w:rsid w:val="00F46986"/>
    <w:rsid w:val="00F46A62"/>
    <w:rsid w:val="00F46E69"/>
    <w:rsid w:val="00F46F2F"/>
    <w:rsid w:val="00F46FCD"/>
    <w:rsid w:val="00F47127"/>
    <w:rsid w:val="00F47582"/>
    <w:rsid w:val="00F47655"/>
    <w:rsid w:val="00F47744"/>
    <w:rsid w:val="00F4782B"/>
    <w:rsid w:val="00F4785C"/>
    <w:rsid w:val="00F47B49"/>
    <w:rsid w:val="00F47B72"/>
    <w:rsid w:val="00F47C43"/>
    <w:rsid w:val="00F47DA2"/>
    <w:rsid w:val="00F5005E"/>
    <w:rsid w:val="00F500F1"/>
    <w:rsid w:val="00F503F1"/>
    <w:rsid w:val="00F507C7"/>
    <w:rsid w:val="00F50BAF"/>
    <w:rsid w:val="00F50D5A"/>
    <w:rsid w:val="00F50E5E"/>
    <w:rsid w:val="00F514A5"/>
    <w:rsid w:val="00F515AC"/>
    <w:rsid w:val="00F51636"/>
    <w:rsid w:val="00F51884"/>
    <w:rsid w:val="00F519BA"/>
    <w:rsid w:val="00F519DE"/>
    <w:rsid w:val="00F51A07"/>
    <w:rsid w:val="00F51B66"/>
    <w:rsid w:val="00F51B7B"/>
    <w:rsid w:val="00F51C5F"/>
    <w:rsid w:val="00F51DA8"/>
    <w:rsid w:val="00F51EBC"/>
    <w:rsid w:val="00F52282"/>
    <w:rsid w:val="00F5235D"/>
    <w:rsid w:val="00F52524"/>
    <w:rsid w:val="00F52635"/>
    <w:rsid w:val="00F5268E"/>
    <w:rsid w:val="00F5296E"/>
    <w:rsid w:val="00F5297C"/>
    <w:rsid w:val="00F52C01"/>
    <w:rsid w:val="00F52C93"/>
    <w:rsid w:val="00F52CB5"/>
    <w:rsid w:val="00F52DDE"/>
    <w:rsid w:val="00F52E98"/>
    <w:rsid w:val="00F5316A"/>
    <w:rsid w:val="00F53397"/>
    <w:rsid w:val="00F53572"/>
    <w:rsid w:val="00F535CA"/>
    <w:rsid w:val="00F53621"/>
    <w:rsid w:val="00F537DC"/>
    <w:rsid w:val="00F53857"/>
    <w:rsid w:val="00F53BA9"/>
    <w:rsid w:val="00F53BB2"/>
    <w:rsid w:val="00F53BDE"/>
    <w:rsid w:val="00F53BE8"/>
    <w:rsid w:val="00F53CDC"/>
    <w:rsid w:val="00F53CE1"/>
    <w:rsid w:val="00F53D70"/>
    <w:rsid w:val="00F53F6E"/>
    <w:rsid w:val="00F540B3"/>
    <w:rsid w:val="00F54236"/>
    <w:rsid w:val="00F544A2"/>
    <w:rsid w:val="00F545B4"/>
    <w:rsid w:val="00F54818"/>
    <w:rsid w:val="00F54E59"/>
    <w:rsid w:val="00F54F28"/>
    <w:rsid w:val="00F54F6E"/>
    <w:rsid w:val="00F54F70"/>
    <w:rsid w:val="00F550CE"/>
    <w:rsid w:val="00F55220"/>
    <w:rsid w:val="00F553BD"/>
    <w:rsid w:val="00F554D0"/>
    <w:rsid w:val="00F55517"/>
    <w:rsid w:val="00F5563D"/>
    <w:rsid w:val="00F55813"/>
    <w:rsid w:val="00F558A1"/>
    <w:rsid w:val="00F55BB7"/>
    <w:rsid w:val="00F55CB1"/>
    <w:rsid w:val="00F55CFB"/>
    <w:rsid w:val="00F55DE6"/>
    <w:rsid w:val="00F55FCC"/>
    <w:rsid w:val="00F55FDE"/>
    <w:rsid w:val="00F5608F"/>
    <w:rsid w:val="00F56218"/>
    <w:rsid w:val="00F56245"/>
    <w:rsid w:val="00F563C6"/>
    <w:rsid w:val="00F56498"/>
    <w:rsid w:val="00F564B3"/>
    <w:rsid w:val="00F56536"/>
    <w:rsid w:val="00F56693"/>
    <w:rsid w:val="00F566E2"/>
    <w:rsid w:val="00F56720"/>
    <w:rsid w:val="00F56A9A"/>
    <w:rsid w:val="00F56E4D"/>
    <w:rsid w:val="00F56ED3"/>
    <w:rsid w:val="00F56FEA"/>
    <w:rsid w:val="00F570B9"/>
    <w:rsid w:val="00F570DF"/>
    <w:rsid w:val="00F57148"/>
    <w:rsid w:val="00F571DA"/>
    <w:rsid w:val="00F57300"/>
    <w:rsid w:val="00F573CF"/>
    <w:rsid w:val="00F574FB"/>
    <w:rsid w:val="00F5762D"/>
    <w:rsid w:val="00F57941"/>
    <w:rsid w:val="00F579E1"/>
    <w:rsid w:val="00F57A9F"/>
    <w:rsid w:val="00F57AED"/>
    <w:rsid w:val="00F57C9B"/>
    <w:rsid w:val="00F57E50"/>
    <w:rsid w:val="00F57ECF"/>
    <w:rsid w:val="00F57FDB"/>
    <w:rsid w:val="00F6007C"/>
    <w:rsid w:val="00F6029F"/>
    <w:rsid w:val="00F602CD"/>
    <w:rsid w:val="00F602F8"/>
    <w:rsid w:val="00F6063D"/>
    <w:rsid w:val="00F607B7"/>
    <w:rsid w:val="00F60921"/>
    <w:rsid w:val="00F60C12"/>
    <w:rsid w:val="00F60DCD"/>
    <w:rsid w:val="00F60DD7"/>
    <w:rsid w:val="00F60F9D"/>
    <w:rsid w:val="00F611BF"/>
    <w:rsid w:val="00F612A2"/>
    <w:rsid w:val="00F61302"/>
    <w:rsid w:val="00F6148E"/>
    <w:rsid w:val="00F6158C"/>
    <w:rsid w:val="00F61B7F"/>
    <w:rsid w:val="00F61C4D"/>
    <w:rsid w:val="00F61EB8"/>
    <w:rsid w:val="00F62284"/>
    <w:rsid w:val="00F62373"/>
    <w:rsid w:val="00F623D6"/>
    <w:rsid w:val="00F62751"/>
    <w:rsid w:val="00F62A1B"/>
    <w:rsid w:val="00F62E5F"/>
    <w:rsid w:val="00F6301F"/>
    <w:rsid w:val="00F63074"/>
    <w:rsid w:val="00F63139"/>
    <w:rsid w:val="00F63478"/>
    <w:rsid w:val="00F635E7"/>
    <w:rsid w:val="00F636D2"/>
    <w:rsid w:val="00F636F0"/>
    <w:rsid w:val="00F6394A"/>
    <w:rsid w:val="00F63999"/>
    <w:rsid w:val="00F63AD8"/>
    <w:rsid w:val="00F63BE2"/>
    <w:rsid w:val="00F63D80"/>
    <w:rsid w:val="00F6429D"/>
    <w:rsid w:val="00F643B3"/>
    <w:rsid w:val="00F64423"/>
    <w:rsid w:val="00F64432"/>
    <w:rsid w:val="00F64BE0"/>
    <w:rsid w:val="00F64FB8"/>
    <w:rsid w:val="00F6524D"/>
    <w:rsid w:val="00F653A9"/>
    <w:rsid w:val="00F655CE"/>
    <w:rsid w:val="00F6561E"/>
    <w:rsid w:val="00F65632"/>
    <w:rsid w:val="00F656E3"/>
    <w:rsid w:val="00F65836"/>
    <w:rsid w:val="00F65904"/>
    <w:rsid w:val="00F65B97"/>
    <w:rsid w:val="00F65D01"/>
    <w:rsid w:val="00F65DC2"/>
    <w:rsid w:val="00F65E4F"/>
    <w:rsid w:val="00F6607A"/>
    <w:rsid w:val="00F66166"/>
    <w:rsid w:val="00F66193"/>
    <w:rsid w:val="00F6641F"/>
    <w:rsid w:val="00F667E2"/>
    <w:rsid w:val="00F66B74"/>
    <w:rsid w:val="00F675F6"/>
    <w:rsid w:val="00F67AE5"/>
    <w:rsid w:val="00F70389"/>
    <w:rsid w:val="00F70480"/>
    <w:rsid w:val="00F704D8"/>
    <w:rsid w:val="00F705BD"/>
    <w:rsid w:val="00F70763"/>
    <w:rsid w:val="00F708FD"/>
    <w:rsid w:val="00F70B07"/>
    <w:rsid w:val="00F70D31"/>
    <w:rsid w:val="00F70E9D"/>
    <w:rsid w:val="00F7109C"/>
    <w:rsid w:val="00F712E5"/>
    <w:rsid w:val="00F713AF"/>
    <w:rsid w:val="00F71697"/>
    <w:rsid w:val="00F71760"/>
    <w:rsid w:val="00F7186E"/>
    <w:rsid w:val="00F7194D"/>
    <w:rsid w:val="00F7195D"/>
    <w:rsid w:val="00F71ACD"/>
    <w:rsid w:val="00F71BC2"/>
    <w:rsid w:val="00F71D2E"/>
    <w:rsid w:val="00F71F95"/>
    <w:rsid w:val="00F724AA"/>
    <w:rsid w:val="00F7267B"/>
    <w:rsid w:val="00F728FF"/>
    <w:rsid w:val="00F72966"/>
    <w:rsid w:val="00F72DD0"/>
    <w:rsid w:val="00F732D7"/>
    <w:rsid w:val="00F734AD"/>
    <w:rsid w:val="00F736A6"/>
    <w:rsid w:val="00F73824"/>
    <w:rsid w:val="00F73AC5"/>
    <w:rsid w:val="00F73B14"/>
    <w:rsid w:val="00F73BB9"/>
    <w:rsid w:val="00F73BE2"/>
    <w:rsid w:val="00F73D6E"/>
    <w:rsid w:val="00F740F2"/>
    <w:rsid w:val="00F743BE"/>
    <w:rsid w:val="00F743C4"/>
    <w:rsid w:val="00F7460C"/>
    <w:rsid w:val="00F7476F"/>
    <w:rsid w:val="00F749A9"/>
    <w:rsid w:val="00F74AFC"/>
    <w:rsid w:val="00F74D2D"/>
    <w:rsid w:val="00F74DB2"/>
    <w:rsid w:val="00F74E2C"/>
    <w:rsid w:val="00F74E51"/>
    <w:rsid w:val="00F74F60"/>
    <w:rsid w:val="00F75077"/>
    <w:rsid w:val="00F75222"/>
    <w:rsid w:val="00F75289"/>
    <w:rsid w:val="00F753C6"/>
    <w:rsid w:val="00F755B5"/>
    <w:rsid w:val="00F75B45"/>
    <w:rsid w:val="00F75B75"/>
    <w:rsid w:val="00F75CA6"/>
    <w:rsid w:val="00F75D8E"/>
    <w:rsid w:val="00F75F36"/>
    <w:rsid w:val="00F76115"/>
    <w:rsid w:val="00F7651F"/>
    <w:rsid w:val="00F7657D"/>
    <w:rsid w:val="00F7679E"/>
    <w:rsid w:val="00F76986"/>
    <w:rsid w:val="00F76A3F"/>
    <w:rsid w:val="00F76A80"/>
    <w:rsid w:val="00F76D8D"/>
    <w:rsid w:val="00F76DBA"/>
    <w:rsid w:val="00F76F19"/>
    <w:rsid w:val="00F7709A"/>
    <w:rsid w:val="00F771FC"/>
    <w:rsid w:val="00F77383"/>
    <w:rsid w:val="00F773CE"/>
    <w:rsid w:val="00F773FB"/>
    <w:rsid w:val="00F776C8"/>
    <w:rsid w:val="00F777ED"/>
    <w:rsid w:val="00F77A80"/>
    <w:rsid w:val="00F77F5A"/>
    <w:rsid w:val="00F77FB6"/>
    <w:rsid w:val="00F803CD"/>
    <w:rsid w:val="00F8048F"/>
    <w:rsid w:val="00F804BB"/>
    <w:rsid w:val="00F804CF"/>
    <w:rsid w:val="00F80819"/>
    <w:rsid w:val="00F80856"/>
    <w:rsid w:val="00F8090C"/>
    <w:rsid w:val="00F8091D"/>
    <w:rsid w:val="00F80A94"/>
    <w:rsid w:val="00F80B86"/>
    <w:rsid w:val="00F80D19"/>
    <w:rsid w:val="00F80D62"/>
    <w:rsid w:val="00F80D9D"/>
    <w:rsid w:val="00F80E41"/>
    <w:rsid w:val="00F80EAB"/>
    <w:rsid w:val="00F81361"/>
    <w:rsid w:val="00F81422"/>
    <w:rsid w:val="00F816FC"/>
    <w:rsid w:val="00F81744"/>
    <w:rsid w:val="00F81756"/>
    <w:rsid w:val="00F8189F"/>
    <w:rsid w:val="00F819D1"/>
    <w:rsid w:val="00F81C51"/>
    <w:rsid w:val="00F81CDC"/>
    <w:rsid w:val="00F81D02"/>
    <w:rsid w:val="00F81D1B"/>
    <w:rsid w:val="00F82036"/>
    <w:rsid w:val="00F82118"/>
    <w:rsid w:val="00F82301"/>
    <w:rsid w:val="00F82530"/>
    <w:rsid w:val="00F82729"/>
    <w:rsid w:val="00F82748"/>
    <w:rsid w:val="00F828DA"/>
    <w:rsid w:val="00F82A30"/>
    <w:rsid w:val="00F82A76"/>
    <w:rsid w:val="00F82AAB"/>
    <w:rsid w:val="00F82CB6"/>
    <w:rsid w:val="00F82D4F"/>
    <w:rsid w:val="00F8312B"/>
    <w:rsid w:val="00F83214"/>
    <w:rsid w:val="00F8321B"/>
    <w:rsid w:val="00F835DC"/>
    <w:rsid w:val="00F836AD"/>
    <w:rsid w:val="00F837F6"/>
    <w:rsid w:val="00F838B2"/>
    <w:rsid w:val="00F83D28"/>
    <w:rsid w:val="00F83DBB"/>
    <w:rsid w:val="00F83E82"/>
    <w:rsid w:val="00F83F69"/>
    <w:rsid w:val="00F83FF6"/>
    <w:rsid w:val="00F84121"/>
    <w:rsid w:val="00F84204"/>
    <w:rsid w:val="00F842DB"/>
    <w:rsid w:val="00F84364"/>
    <w:rsid w:val="00F84408"/>
    <w:rsid w:val="00F8443A"/>
    <w:rsid w:val="00F8472D"/>
    <w:rsid w:val="00F8476B"/>
    <w:rsid w:val="00F84A3A"/>
    <w:rsid w:val="00F84C82"/>
    <w:rsid w:val="00F84E54"/>
    <w:rsid w:val="00F8506B"/>
    <w:rsid w:val="00F850A7"/>
    <w:rsid w:val="00F850B9"/>
    <w:rsid w:val="00F8532D"/>
    <w:rsid w:val="00F853D4"/>
    <w:rsid w:val="00F854D3"/>
    <w:rsid w:val="00F8571D"/>
    <w:rsid w:val="00F85998"/>
    <w:rsid w:val="00F85A85"/>
    <w:rsid w:val="00F85FFC"/>
    <w:rsid w:val="00F8611C"/>
    <w:rsid w:val="00F8628A"/>
    <w:rsid w:val="00F86469"/>
    <w:rsid w:val="00F86507"/>
    <w:rsid w:val="00F86671"/>
    <w:rsid w:val="00F86687"/>
    <w:rsid w:val="00F868A1"/>
    <w:rsid w:val="00F868C4"/>
    <w:rsid w:val="00F86D62"/>
    <w:rsid w:val="00F86D9E"/>
    <w:rsid w:val="00F86E5D"/>
    <w:rsid w:val="00F87067"/>
    <w:rsid w:val="00F870C9"/>
    <w:rsid w:val="00F87120"/>
    <w:rsid w:val="00F871B0"/>
    <w:rsid w:val="00F8721F"/>
    <w:rsid w:val="00F87320"/>
    <w:rsid w:val="00F87719"/>
    <w:rsid w:val="00F878CF"/>
    <w:rsid w:val="00F87BB7"/>
    <w:rsid w:val="00F87D07"/>
    <w:rsid w:val="00F9009F"/>
    <w:rsid w:val="00F909B0"/>
    <w:rsid w:val="00F90AAE"/>
    <w:rsid w:val="00F90AB3"/>
    <w:rsid w:val="00F90B82"/>
    <w:rsid w:val="00F90BE7"/>
    <w:rsid w:val="00F90FB6"/>
    <w:rsid w:val="00F90FC2"/>
    <w:rsid w:val="00F91401"/>
    <w:rsid w:val="00F914A8"/>
    <w:rsid w:val="00F917EB"/>
    <w:rsid w:val="00F91AB8"/>
    <w:rsid w:val="00F91B7A"/>
    <w:rsid w:val="00F91E8F"/>
    <w:rsid w:val="00F922BE"/>
    <w:rsid w:val="00F923F7"/>
    <w:rsid w:val="00F92570"/>
    <w:rsid w:val="00F925F8"/>
    <w:rsid w:val="00F927C3"/>
    <w:rsid w:val="00F92A07"/>
    <w:rsid w:val="00F92CB1"/>
    <w:rsid w:val="00F92CCE"/>
    <w:rsid w:val="00F92CE1"/>
    <w:rsid w:val="00F92D2A"/>
    <w:rsid w:val="00F92D5B"/>
    <w:rsid w:val="00F93043"/>
    <w:rsid w:val="00F93176"/>
    <w:rsid w:val="00F9364E"/>
    <w:rsid w:val="00F936C0"/>
    <w:rsid w:val="00F93AC5"/>
    <w:rsid w:val="00F93E25"/>
    <w:rsid w:val="00F94363"/>
    <w:rsid w:val="00F944A9"/>
    <w:rsid w:val="00F944B4"/>
    <w:rsid w:val="00F9451A"/>
    <w:rsid w:val="00F94598"/>
    <w:rsid w:val="00F94664"/>
    <w:rsid w:val="00F948F5"/>
    <w:rsid w:val="00F94A6B"/>
    <w:rsid w:val="00F94AAD"/>
    <w:rsid w:val="00F94AFD"/>
    <w:rsid w:val="00F94D44"/>
    <w:rsid w:val="00F94ED1"/>
    <w:rsid w:val="00F94F2C"/>
    <w:rsid w:val="00F9531E"/>
    <w:rsid w:val="00F95706"/>
    <w:rsid w:val="00F95725"/>
    <w:rsid w:val="00F957FF"/>
    <w:rsid w:val="00F95B48"/>
    <w:rsid w:val="00F95B56"/>
    <w:rsid w:val="00F95C85"/>
    <w:rsid w:val="00F95F3B"/>
    <w:rsid w:val="00F9626F"/>
    <w:rsid w:val="00F96284"/>
    <w:rsid w:val="00F9631B"/>
    <w:rsid w:val="00F96320"/>
    <w:rsid w:val="00F963AD"/>
    <w:rsid w:val="00F963C2"/>
    <w:rsid w:val="00F965BF"/>
    <w:rsid w:val="00F965EF"/>
    <w:rsid w:val="00F96612"/>
    <w:rsid w:val="00F96640"/>
    <w:rsid w:val="00F96711"/>
    <w:rsid w:val="00F968F9"/>
    <w:rsid w:val="00F96958"/>
    <w:rsid w:val="00F969A5"/>
    <w:rsid w:val="00F96A3B"/>
    <w:rsid w:val="00F96B43"/>
    <w:rsid w:val="00F96DCB"/>
    <w:rsid w:val="00F96E38"/>
    <w:rsid w:val="00F96E69"/>
    <w:rsid w:val="00F96FD7"/>
    <w:rsid w:val="00F970EC"/>
    <w:rsid w:val="00F971DB"/>
    <w:rsid w:val="00F9739B"/>
    <w:rsid w:val="00F976D1"/>
    <w:rsid w:val="00F977BA"/>
    <w:rsid w:val="00F979CF"/>
    <w:rsid w:val="00F97A6F"/>
    <w:rsid w:val="00F97FA1"/>
    <w:rsid w:val="00FA0046"/>
    <w:rsid w:val="00FA007D"/>
    <w:rsid w:val="00FA0133"/>
    <w:rsid w:val="00FA0165"/>
    <w:rsid w:val="00FA03FF"/>
    <w:rsid w:val="00FA078C"/>
    <w:rsid w:val="00FA0B12"/>
    <w:rsid w:val="00FA0B31"/>
    <w:rsid w:val="00FA0C3A"/>
    <w:rsid w:val="00FA0C82"/>
    <w:rsid w:val="00FA0C86"/>
    <w:rsid w:val="00FA0CF4"/>
    <w:rsid w:val="00FA0DB6"/>
    <w:rsid w:val="00FA0DB7"/>
    <w:rsid w:val="00FA0F6D"/>
    <w:rsid w:val="00FA0FE8"/>
    <w:rsid w:val="00FA1116"/>
    <w:rsid w:val="00FA1334"/>
    <w:rsid w:val="00FA1595"/>
    <w:rsid w:val="00FA16F8"/>
    <w:rsid w:val="00FA18CC"/>
    <w:rsid w:val="00FA1966"/>
    <w:rsid w:val="00FA1A3C"/>
    <w:rsid w:val="00FA1BCB"/>
    <w:rsid w:val="00FA1C2D"/>
    <w:rsid w:val="00FA1C76"/>
    <w:rsid w:val="00FA1E63"/>
    <w:rsid w:val="00FA1E76"/>
    <w:rsid w:val="00FA20A2"/>
    <w:rsid w:val="00FA20E3"/>
    <w:rsid w:val="00FA23AA"/>
    <w:rsid w:val="00FA2530"/>
    <w:rsid w:val="00FA26FB"/>
    <w:rsid w:val="00FA29A5"/>
    <w:rsid w:val="00FA2C5B"/>
    <w:rsid w:val="00FA2D74"/>
    <w:rsid w:val="00FA2DA7"/>
    <w:rsid w:val="00FA3015"/>
    <w:rsid w:val="00FA3051"/>
    <w:rsid w:val="00FA32F4"/>
    <w:rsid w:val="00FA3526"/>
    <w:rsid w:val="00FA3619"/>
    <w:rsid w:val="00FA370B"/>
    <w:rsid w:val="00FA3894"/>
    <w:rsid w:val="00FA392C"/>
    <w:rsid w:val="00FA3B15"/>
    <w:rsid w:val="00FA3B94"/>
    <w:rsid w:val="00FA3BE6"/>
    <w:rsid w:val="00FA3D59"/>
    <w:rsid w:val="00FA408B"/>
    <w:rsid w:val="00FA41B0"/>
    <w:rsid w:val="00FA432B"/>
    <w:rsid w:val="00FA442F"/>
    <w:rsid w:val="00FA45A7"/>
    <w:rsid w:val="00FA46FF"/>
    <w:rsid w:val="00FA471E"/>
    <w:rsid w:val="00FA4AA4"/>
    <w:rsid w:val="00FA4AF7"/>
    <w:rsid w:val="00FA4C1F"/>
    <w:rsid w:val="00FA545A"/>
    <w:rsid w:val="00FA5603"/>
    <w:rsid w:val="00FA5764"/>
    <w:rsid w:val="00FA58C2"/>
    <w:rsid w:val="00FA5AF5"/>
    <w:rsid w:val="00FA5B20"/>
    <w:rsid w:val="00FA5B5D"/>
    <w:rsid w:val="00FA5D00"/>
    <w:rsid w:val="00FA6323"/>
    <w:rsid w:val="00FA6634"/>
    <w:rsid w:val="00FA6728"/>
    <w:rsid w:val="00FA6845"/>
    <w:rsid w:val="00FA6955"/>
    <w:rsid w:val="00FA6B04"/>
    <w:rsid w:val="00FA6BD6"/>
    <w:rsid w:val="00FA6BF6"/>
    <w:rsid w:val="00FA6E1F"/>
    <w:rsid w:val="00FA6E68"/>
    <w:rsid w:val="00FA6F38"/>
    <w:rsid w:val="00FA6FFD"/>
    <w:rsid w:val="00FA7119"/>
    <w:rsid w:val="00FA7217"/>
    <w:rsid w:val="00FA722C"/>
    <w:rsid w:val="00FA73B2"/>
    <w:rsid w:val="00FA746F"/>
    <w:rsid w:val="00FA7587"/>
    <w:rsid w:val="00FA772A"/>
    <w:rsid w:val="00FA786A"/>
    <w:rsid w:val="00FA78B7"/>
    <w:rsid w:val="00FA7A05"/>
    <w:rsid w:val="00FA7A31"/>
    <w:rsid w:val="00FA7A39"/>
    <w:rsid w:val="00FA7B7B"/>
    <w:rsid w:val="00FA7D71"/>
    <w:rsid w:val="00FA7DF2"/>
    <w:rsid w:val="00FA7F90"/>
    <w:rsid w:val="00FA7FF8"/>
    <w:rsid w:val="00FB0049"/>
    <w:rsid w:val="00FB01F1"/>
    <w:rsid w:val="00FB032E"/>
    <w:rsid w:val="00FB05EB"/>
    <w:rsid w:val="00FB0626"/>
    <w:rsid w:val="00FB069A"/>
    <w:rsid w:val="00FB06F7"/>
    <w:rsid w:val="00FB08D5"/>
    <w:rsid w:val="00FB092D"/>
    <w:rsid w:val="00FB0963"/>
    <w:rsid w:val="00FB0B5A"/>
    <w:rsid w:val="00FB0B93"/>
    <w:rsid w:val="00FB0C1A"/>
    <w:rsid w:val="00FB0D60"/>
    <w:rsid w:val="00FB0E6D"/>
    <w:rsid w:val="00FB0F9C"/>
    <w:rsid w:val="00FB1044"/>
    <w:rsid w:val="00FB1054"/>
    <w:rsid w:val="00FB1226"/>
    <w:rsid w:val="00FB12BE"/>
    <w:rsid w:val="00FB1684"/>
    <w:rsid w:val="00FB18D4"/>
    <w:rsid w:val="00FB1960"/>
    <w:rsid w:val="00FB1BA1"/>
    <w:rsid w:val="00FB1C33"/>
    <w:rsid w:val="00FB2040"/>
    <w:rsid w:val="00FB2080"/>
    <w:rsid w:val="00FB23E4"/>
    <w:rsid w:val="00FB2597"/>
    <w:rsid w:val="00FB290A"/>
    <w:rsid w:val="00FB2B1E"/>
    <w:rsid w:val="00FB2B3B"/>
    <w:rsid w:val="00FB2EBF"/>
    <w:rsid w:val="00FB315B"/>
    <w:rsid w:val="00FB318F"/>
    <w:rsid w:val="00FB3348"/>
    <w:rsid w:val="00FB396D"/>
    <w:rsid w:val="00FB39C4"/>
    <w:rsid w:val="00FB3B7A"/>
    <w:rsid w:val="00FB3D62"/>
    <w:rsid w:val="00FB3DB1"/>
    <w:rsid w:val="00FB3F10"/>
    <w:rsid w:val="00FB405C"/>
    <w:rsid w:val="00FB408F"/>
    <w:rsid w:val="00FB41C7"/>
    <w:rsid w:val="00FB438A"/>
    <w:rsid w:val="00FB439F"/>
    <w:rsid w:val="00FB4562"/>
    <w:rsid w:val="00FB483F"/>
    <w:rsid w:val="00FB49A9"/>
    <w:rsid w:val="00FB4C97"/>
    <w:rsid w:val="00FB4D69"/>
    <w:rsid w:val="00FB4DB2"/>
    <w:rsid w:val="00FB4E34"/>
    <w:rsid w:val="00FB4E7C"/>
    <w:rsid w:val="00FB4F70"/>
    <w:rsid w:val="00FB4FF7"/>
    <w:rsid w:val="00FB5183"/>
    <w:rsid w:val="00FB5251"/>
    <w:rsid w:val="00FB533D"/>
    <w:rsid w:val="00FB55B0"/>
    <w:rsid w:val="00FB5663"/>
    <w:rsid w:val="00FB5A1A"/>
    <w:rsid w:val="00FB5A28"/>
    <w:rsid w:val="00FB5A85"/>
    <w:rsid w:val="00FB5D91"/>
    <w:rsid w:val="00FB5EC3"/>
    <w:rsid w:val="00FB5FD5"/>
    <w:rsid w:val="00FB6115"/>
    <w:rsid w:val="00FB64D6"/>
    <w:rsid w:val="00FB663B"/>
    <w:rsid w:val="00FB6674"/>
    <w:rsid w:val="00FB69F8"/>
    <w:rsid w:val="00FB6BA7"/>
    <w:rsid w:val="00FB6C3C"/>
    <w:rsid w:val="00FB6C7F"/>
    <w:rsid w:val="00FB6CDF"/>
    <w:rsid w:val="00FB6D46"/>
    <w:rsid w:val="00FB726D"/>
    <w:rsid w:val="00FB7372"/>
    <w:rsid w:val="00FB73D0"/>
    <w:rsid w:val="00FB74A7"/>
    <w:rsid w:val="00FB7550"/>
    <w:rsid w:val="00FB7698"/>
    <w:rsid w:val="00FB773B"/>
    <w:rsid w:val="00FB7940"/>
    <w:rsid w:val="00FB7FA8"/>
    <w:rsid w:val="00FC059E"/>
    <w:rsid w:val="00FC0A33"/>
    <w:rsid w:val="00FC0BEF"/>
    <w:rsid w:val="00FC0E94"/>
    <w:rsid w:val="00FC0F50"/>
    <w:rsid w:val="00FC0F6D"/>
    <w:rsid w:val="00FC10AD"/>
    <w:rsid w:val="00FC1122"/>
    <w:rsid w:val="00FC1163"/>
    <w:rsid w:val="00FC11A6"/>
    <w:rsid w:val="00FC11ED"/>
    <w:rsid w:val="00FC1710"/>
    <w:rsid w:val="00FC1973"/>
    <w:rsid w:val="00FC1AE8"/>
    <w:rsid w:val="00FC1AED"/>
    <w:rsid w:val="00FC1B22"/>
    <w:rsid w:val="00FC1CBA"/>
    <w:rsid w:val="00FC20FB"/>
    <w:rsid w:val="00FC211E"/>
    <w:rsid w:val="00FC249D"/>
    <w:rsid w:val="00FC25F4"/>
    <w:rsid w:val="00FC2762"/>
    <w:rsid w:val="00FC28A1"/>
    <w:rsid w:val="00FC29B8"/>
    <w:rsid w:val="00FC2CD1"/>
    <w:rsid w:val="00FC2DD0"/>
    <w:rsid w:val="00FC31F6"/>
    <w:rsid w:val="00FC32DB"/>
    <w:rsid w:val="00FC341B"/>
    <w:rsid w:val="00FC34E9"/>
    <w:rsid w:val="00FC351E"/>
    <w:rsid w:val="00FC35D1"/>
    <w:rsid w:val="00FC3A6E"/>
    <w:rsid w:val="00FC3A71"/>
    <w:rsid w:val="00FC3AD6"/>
    <w:rsid w:val="00FC3EFB"/>
    <w:rsid w:val="00FC3F51"/>
    <w:rsid w:val="00FC41F8"/>
    <w:rsid w:val="00FC4442"/>
    <w:rsid w:val="00FC44FB"/>
    <w:rsid w:val="00FC477D"/>
    <w:rsid w:val="00FC4C31"/>
    <w:rsid w:val="00FC4CFF"/>
    <w:rsid w:val="00FC4D9D"/>
    <w:rsid w:val="00FC4ECA"/>
    <w:rsid w:val="00FC504F"/>
    <w:rsid w:val="00FC5189"/>
    <w:rsid w:val="00FC518A"/>
    <w:rsid w:val="00FC519F"/>
    <w:rsid w:val="00FC53B8"/>
    <w:rsid w:val="00FC5518"/>
    <w:rsid w:val="00FC57BF"/>
    <w:rsid w:val="00FC5DC1"/>
    <w:rsid w:val="00FC5E58"/>
    <w:rsid w:val="00FC5E73"/>
    <w:rsid w:val="00FC64A8"/>
    <w:rsid w:val="00FC65A4"/>
    <w:rsid w:val="00FC6674"/>
    <w:rsid w:val="00FC67DF"/>
    <w:rsid w:val="00FC6A7D"/>
    <w:rsid w:val="00FC6B1C"/>
    <w:rsid w:val="00FC7143"/>
    <w:rsid w:val="00FC73A4"/>
    <w:rsid w:val="00FC7838"/>
    <w:rsid w:val="00FC7842"/>
    <w:rsid w:val="00FC7F57"/>
    <w:rsid w:val="00FD01C4"/>
    <w:rsid w:val="00FD01FF"/>
    <w:rsid w:val="00FD0316"/>
    <w:rsid w:val="00FD0636"/>
    <w:rsid w:val="00FD06B7"/>
    <w:rsid w:val="00FD099A"/>
    <w:rsid w:val="00FD0E23"/>
    <w:rsid w:val="00FD1198"/>
    <w:rsid w:val="00FD1464"/>
    <w:rsid w:val="00FD1550"/>
    <w:rsid w:val="00FD176C"/>
    <w:rsid w:val="00FD17FE"/>
    <w:rsid w:val="00FD180F"/>
    <w:rsid w:val="00FD189A"/>
    <w:rsid w:val="00FD1AE3"/>
    <w:rsid w:val="00FD1BA6"/>
    <w:rsid w:val="00FD1F96"/>
    <w:rsid w:val="00FD2051"/>
    <w:rsid w:val="00FD212D"/>
    <w:rsid w:val="00FD2485"/>
    <w:rsid w:val="00FD275D"/>
    <w:rsid w:val="00FD2852"/>
    <w:rsid w:val="00FD2AB3"/>
    <w:rsid w:val="00FD2C41"/>
    <w:rsid w:val="00FD2C49"/>
    <w:rsid w:val="00FD2E98"/>
    <w:rsid w:val="00FD316D"/>
    <w:rsid w:val="00FD33CF"/>
    <w:rsid w:val="00FD37AA"/>
    <w:rsid w:val="00FD37C4"/>
    <w:rsid w:val="00FD384E"/>
    <w:rsid w:val="00FD3892"/>
    <w:rsid w:val="00FD394F"/>
    <w:rsid w:val="00FD3A7F"/>
    <w:rsid w:val="00FD3A9F"/>
    <w:rsid w:val="00FD3AB7"/>
    <w:rsid w:val="00FD3C37"/>
    <w:rsid w:val="00FD3D83"/>
    <w:rsid w:val="00FD3D97"/>
    <w:rsid w:val="00FD3D9D"/>
    <w:rsid w:val="00FD43DA"/>
    <w:rsid w:val="00FD478A"/>
    <w:rsid w:val="00FD4840"/>
    <w:rsid w:val="00FD4A44"/>
    <w:rsid w:val="00FD4BEF"/>
    <w:rsid w:val="00FD4C41"/>
    <w:rsid w:val="00FD4D14"/>
    <w:rsid w:val="00FD5051"/>
    <w:rsid w:val="00FD53D8"/>
    <w:rsid w:val="00FD5443"/>
    <w:rsid w:val="00FD5533"/>
    <w:rsid w:val="00FD5699"/>
    <w:rsid w:val="00FD59E2"/>
    <w:rsid w:val="00FD5BFC"/>
    <w:rsid w:val="00FD5E87"/>
    <w:rsid w:val="00FD5F3F"/>
    <w:rsid w:val="00FD5F83"/>
    <w:rsid w:val="00FD6089"/>
    <w:rsid w:val="00FD60C8"/>
    <w:rsid w:val="00FD61CF"/>
    <w:rsid w:val="00FD6726"/>
    <w:rsid w:val="00FD686D"/>
    <w:rsid w:val="00FD6B25"/>
    <w:rsid w:val="00FD6B8F"/>
    <w:rsid w:val="00FD6C01"/>
    <w:rsid w:val="00FD70D6"/>
    <w:rsid w:val="00FD70FC"/>
    <w:rsid w:val="00FD71D7"/>
    <w:rsid w:val="00FD752E"/>
    <w:rsid w:val="00FD7757"/>
    <w:rsid w:val="00FD7767"/>
    <w:rsid w:val="00FD77F4"/>
    <w:rsid w:val="00FD79B4"/>
    <w:rsid w:val="00FD7AFE"/>
    <w:rsid w:val="00FD7B2A"/>
    <w:rsid w:val="00FD7CC3"/>
    <w:rsid w:val="00FD7D05"/>
    <w:rsid w:val="00FD7D0D"/>
    <w:rsid w:val="00FD7F24"/>
    <w:rsid w:val="00FE0320"/>
    <w:rsid w:val="00FE0396"/>
    <w:rsid w:val="00FE03B2"/>
    <w:rsid w:val="00FE03DA"/>
    <w:rsid w:val="00FE0565"/>
    <w:rsid w:val="00FE0583"/>
    <w:rsid w:val="00FE0A54"/>
    <w:rsid w:val="00FE0AA7"/>
    <w:rsid w:val="00FE0BAE"/>
    <w:rsid w:val="00FE0BC3"/>
    <w:rsid w:val="00FE0EE4"/>
    <w:rsid w:val="00FE1081"/>
    <w:rsid w:val="00FE119C"/>
    <w:rsid w:val="00FE1298"/>
    <w:rsid w:val="00FE13F1"/>
    <w:rsid w:val="00FE15A1"/>
    <w:rsid w:val="00FE1651"/>
    <w:rsid w:val="00FE1759"/>
    <w:rsid w:val="00FE1902"/>
    <w:rsid w:val="00FE19B3"/>
    <w:rsid w:val="00FE1AB6"/>
    <w:rsid w:val="00FE1B42"/>
    <w:rsid w:val="00FE1C81"/>
    <w:rsid w:val="00FE1EB1"/>
    <w:rsid w:val="00FE1F49"/>
    <w:rsid w:val="00FE205D"/>
    <w:rsid w:val="00FE2069"/>
    <w:rsid w:val="00FE210B"/>
    <w:rsid w:val="00FE2180"/>
    <w:rsid w:val="00FE2542"/>
    <w:rsid w:val="00FE2552"/>
    <w:rsid w:val="00FE2642"/>
    <w:rsid w:val="00FE2738"/>
    <w:rsid w:val="00FE2806"/>
    <w:rsid w:val="00FE28D7"/>
    <w:rsid w:val="00FE294D"/>
    <w:rsid w:val="00FE29CD"/>
    <w:rsid w:val="00FE2C00"/>
    <w:rsid w:val="00FE2FAE"/>
    <w:rsid w:val="00FE30DE"/>
    <w:rsid w:val="00FE3278"/>
    <w:rsid w:val="00FE33E6"/>
    <w:rsid w:val="00FE3432"/>
    <w:rsid w:val="00FE3506"/>
    <w:rsid w:val="00FE372C"/>
    <w:rsid w:val="00FE3D8F"/>
    <w:rsid w:val="00FE3ED7"/>
    <w:rsid w:val="00FE4090"/>
    <w:rsid w:val="00FE4380"/>
    <w:rsid w:val="00FE467A"/>
    <w:rsid w:val="00FE467B"/>
    <w:rsid w:val="00FE47AA"/>
    <w:rsid w:val="00FE49D6"/>
    <w:rsid w:val="00FE4BB7"/>
    <w:rsid w:val="00FE4C54"/>
    <w:rsid w:val="00FE4CA0"/>
    <w:rsid w:val="00FE4D0C"/>
    <w:rsid w:val="00FE4D73"/>
    <w:rsid w:val="00FE4FA4"/>
    <w:rsid w:val="00FE506A"/>
    <w:rsid w:val="00FE50A5"/>
    <w:rsid w:val="00FE5599"/>
    <w:rsid w:val="00FE59B9"/>
    <w:rsid w:val="00FE59FB"/>
    <w:rsid w:val="00FE5DCC"/>
    <w:rsid w:val="00FE5DCE"/>
    <w:rsid w:val="00FE5F41"/>
    <w:rsid w:val="00FE621A"/>
    <w:rsid w:val="00FE66AE"/>
    <w:rsid w:val="00FE67F1"/>
    <w:rsid w:val="00FE6B83"/>
    <w:rsid w:val="00FE6BD3"/>
    <w:rsid w:val="00FE6C35"/>
    <w:rsid w:val="00FE6CBF"/>
    <w:rsid w:val="00FE6D0A"/>
    <w:rsid w:val="00FE6DAC"/>
    <w:rsid w:val="00FE6E91"/>
    <w:rsid w:val="00FE6FCA"/>
    <w:rsid w:val="00FE746B"/>
    <w:rsid w:val="00FE751F"/>
    <w:rsid w:val="00FE7622"/>
    <w:rsid w:val="00FE7751"/>
    <w:rsid w:val="00FE7B04"/>
    <w:rsid w:val="00FE7B13"/>
    <w:rsid w:val="00FE7CD0"/>
    <w:rsid w:val="00FE7D42"/>
    <w:rsid w:val="00FE7DF5"/>
    <w:rsid w:val="00FF02E9"/>
    <w:rsid w:val="00FF0654"/>
    <w:rsid w:val="00FF073C"/>
    <w:rsid w:val="00FF0763"/>
    <w:rsid w:val="00FF0861"/>
    <w:rsid w:val="00FF0C36"/>
    <w:rsid w:val="00FF0CCE"/>
    <w:rsid w:val="00FF0D8F"/>
    <w:rsid w:val="00FF0E17"/>
    <w:rsid w:val="00FF0EA0"/>
    <w:rsid w:val="00FF12C0"/>
    <w:rsid w:val="00FF14C9"/>
    <w:rsid w:val="00FF14FC"/>
    <w:rsid w:val="00FF16A1"/>
    <w:rsid w:val="00FF1DC8"/>
    <w:rsid w:val="00FF1F7F"/>
    <w:rsid w:val="00FF1FF5"/>
    <w:rsid w:val="00FF204A"/>
    <w:rsid w:val="00FF2196"/>
    <w:rsid w:val="00FF21FA"/>
    <w:rsid w:val="00FF22AF"/>
    <w:rsid w:val="00FF258E"/>
    <w:rsid w:val="00FF2643"/>
    <w:rsid w:val="00FF27A3"/>
    <w:rsid w:val="00FF2917"/>
    <w:rsid w:val="00FF2928"/>
    <w:rsid w:val="00FF2E29"/>
    <w:rsid w:val="00FF2E39"/>
    <w:rsid w:val="00FF30A2"/>
    <w:rsid w:val="00FF30DF"/>
    <w:rsid w:val="00FF3258"/>
    <w:rsid w:val="00FF3521"/>
    <w:rsid w:val="00FF3943"/>
    <w:rsid w:val="00FF3B0E"/>
    <w:rsid w:val="00FF3BBB"/>
    <w:rsid w:val="00FF3C70"/>
    <w:rsid w:val="00FF3D27"/>
    <w:rsid w:val="00FF3DDF"/>
    <w:rsid w:val="00FF3EE3"/>
    <w:rsid w:val="00FF425A"/>
    <w:rsid w:val="00FF427B"/>
    <w:rsid w:val="00FF4504"/>
    <w:rsid w:val="00FF48A1"/>
    <w:rsid w:val="00FF48BA"/>
    <w:rsid w:val="00FF4A2E"/>
    <w:rsid w:val="00FF4D01"/>
    <w:rsid w:val="00FF4D5B"/>
    <w:rsid w:val="00FF50E7"/>
    <w:rsid w:val="00FF5155"/>
    <w:rsid w:val="00FF516C"/>
    <w:rsid w:val="00FF517C"/>
    <w:rsid w:val="00FF5415"/>
    <w:rsid w:val="00FF558B"/>
    <w:rsid w:val="00FF579F"/>
    <w:rsid w:val="00FF5F92"/>
    <w:rsid w:val="00FF60F9"/>
    <w:rsid w:val="00FF6315"/>
    <w:rsid w:val="00FF634F"/>
    <w:rsid w:val="00FF6737"/>
    <w:rsid w:val="00FF69B3"/>
    <w:rsid w:val="00FF6A8C"/>
    <w:rsid w:val="00FF6B1B"/>
    <w:rsid w:val="00FF6E51"/>
    <w:rsid w:val="00FF6E52"/>
    <w:rsid w:val="00FF6EE2"/>
    <w:rsid w:val="00FF6F34"/>
    <w:rsid w:val="00FF70AF"/>
    <w:rsid w:val="00FF7212"/>
    <w:rsid w:val="00FF7249"/>
    <w:rsid w:val="00FF7359"/>
    <w:rsid w:val="00FF73D6"/>
    <w:rsid w:val="00FF7BF2"/>
    <w:rsid w:val="00FF7D44"/>
    <w:rsid w:val="00FF7E0B"/>
    <w:rsid w:val="00FF7F17"/>
    <w:rsid w:val="00FF7F2F"/>
    <w:rsid w:val="06D3AB97"/>
    <w:rsid w:val="0D7524B9"/>
    <w:rsid w:val="0F52459C"/>
    <w:rsid w:val="20C9F8D5"/>
    <w:rsid w:val="2A65D8C4"/>
    <w:rsid w:val="2B5B4FD8"/>
    <w:rsid w:val="3085A525"/>
    <w:rsid w:val="3A4B0EDE"/>
    <w:rsid w:val="45CCFAE6"/>
    <w:rsid w:val="50B34F5D"/>
    <w:rsid w:val="5A594024"/>
    <w:rsid w:val="5AF3C36A"/>
    <w:rsid w:val="5B036CFA"/>
    <w:rsid w:val="62B5B711"/>
    <w:rsid w:val="6A159011"/>
    <w:rsid w:val="6A2B8F7F"/>
    <w:rsid w:val="6A4CF0ED"/>
    <w:rsid w:val="6D6D3DE9"/>
    <w:rsid w:val="741FEE63"/>
    <w:rsid w:val="7B23F030"/>
    <w:rsid w:val="7B8DB732"/>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19147B"/>
  <w15:chartTrackingRefBased/>
  <w15:docId w15:val="{068A4E7A-6B7B-4E6F-B4BF-44026ECB1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HAnsi" w:hAnsi="Aptos" w:cstheme="minorBidi"/>
        <w:color w:val="000000" w:themeColor="text1"/>
        <w:sz w:val="22"/>
        <w:szCs w:val="22"/>
        <w:lang w:val="fr-CA"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AD2"/>
    <w:pPr>
      <w:suppressAutoHyphens/>
      <w:autoSpaceDE w:val="0"/>
      <w:autoSpaceDN w:val="0"/>
      <w:adjustRightInd w:val="0"/>
      <w:jc w:val="both"/>
      <w:textAlignment w:val="center"/>
    </w:pPr>
    <w:rPr>
      <w:color w:val="auto"/>
    </w:rPr>
  </w:style>
  <w:style w:type="paragraph" w:styleId="Titre1">
    <w:name w:val="heading 1"/>
    <w:next w:val="Paragraphe"/>
    <w:link w:val="Titre1Car"/>
    <w:autoRedefine/>
    <w:uiPriority w:val="2"/>
    <w:qFormat/>
    <w:rsid w:val="00C6059C"/>
    <w:pPr>
      <w:keepNext/>
      <w:keepLines/>
      <w:numPr>
        <w:numId w:val="3"/>
      </w:numPr>
      <w:tabs>
        <w:tab w:val="left" w:pos="426"/>
      </w:tabs>
      <w:spacing w:before="240" w:after="240"/>
      <w:ind w:left="426" w:hanging="426"/>
      <w:outlineLvl w:val="0"/>
    </w:pPr>
    <w:rPr>
      <w:rFonts w:cs="Arial"/>
      <w:b/>
      <w:bCs/>
      <w:noProof/>
      <w:color w:val="202C4B"/>
      <w:spacing w:val="-10"/>
      <w:kern w:val="28"/>
      <w:sz w:val="32"/>
      <w:lang w:eastAsia="fr-CA"/>
    </w:rPr>
  </w:style>
  <w:style w:type="paragraph" w:styleId="Titre2">
    <w:name w:val="heading 2"/>
    <w:basedOn w:val="Titre1"/>
    <w:next w:val="Paragraphe"/>
    <w:link w:val="Titre2Car"/>
    <w:autoRedefine/>
    <w:uiPriority w:val="9"/>
    <w:qFormat/>
    <w:rsid w:val="00F93AC5"/>
    <w:pPr>
      <w:numPr>
        <w:numId w:val="0"/>
      </w:numPr>
      <w:tabs>
        <w:tab w:val="clear" w:pos="426"/>
        <w:tab w:val="left" w:pos="567"/>
      </w:tabs>
      <w:ind w:left="567" w:hanging="567"/>
      <w:outlineLvl w:val="1"/>
    </w:pPr>
    <w:rPr>
      <w:color w:val="953D89"/>
      <w:sz w:val="24"/>
    </w:rPr>
  </w:style>
  <w:style w:type="paragraph" w:styleId="Titre3">
    <w:name w:val="heading 3"/>
    <w:basedOn w:val="Titre2"/>
    <w:next w:val="Normal"/>
    <w:link w:val="Titre3Car"/>
    <w:autoRedefine/>
    <w:qFormat/>
    <w:rsid w:val="00502FE1"/>
    <w:pPr>
      <w:ind w:left="491" w:hanging="491"/>
      <w:outlineLvl w:val="2"/>
    </w:pPr>
    <w:rPr>
      <w:rFonts w:eastAsiaTheme="minorEastAsia"/>
      <w:bCs w:val="0"/>
      <w:iCs/>
      <w:szCs w:val="24"/>
      <w:lang w:eastAsia="ja-JP"/>
    </w:rPr>
  </w:style>
  <w:style w:type="paragraph" w:styleId="Titre4">
    <w:name w:val="heading 4"/>
    <w:basedOn w:val="Titre3"/>
    <w:next w:val="paragraphe0"/>
    <w:link w:val="Titre4Car"/>
    <w:autoRedefine/>
    <w:qFormat/>
    <w:rsid w:val="00B6444C"/>
    <w:pPr>
      <w:keepNext w:val="0"/>
      <w:keepLines w:val="0"/>
      <w:widowControl w:val="0"/>
      <w:numPr>
        <w:numId w:val="12"/>
      </w:numPr>
      <w:tabs>
        <w:tab w:val="clear" w:pos="567"/>
        <w:tab w:val="left" w:pos="426"/>
      </w:tabs>
      <w:autoSpaceDE w:val="0"/>
      <w:autoSpaceDN w:val="0"/>
      <w:ind w:left="357" w:hanging="357"/>
      <w:outlineLvl w:val="3"/>
    </w:pPr>
    <w:rPr>
      <w:iCs w:val="0"/>
      <w:color w:val="auto"/>
      <w:sz w:val="22"/>
      <w:szCs w:val="20"/>
    </w:rPr>
  </w:style>
  <w:style w:type="paragraph" w:styleId="Titre5">
    <w:name w:val="heading 5"/>
    <w:basedOn w:val="Titre4"/>
    <w:next w:val="paragraphe0"/>
    <w:link w:val="Titre5Car"/>
    <w:qFormat/>
    <w:rsid w:val="0071082B"/>
    <w:pPr>
      <w:widowControl/>
      <w:numPr>
        <w:numId w:val="5"/>
      </w:numPr>
      <w:tabs>
        <w:tab w:val="clear" w:pos="426"/>
        <w:tab w:val="left" w:pos="425"/>
      </w:tabs>
      <w:outlineLvl w:val="4"/>
    </w:pPr>
    <w:rPr>
      <w:rFonts w:eastAsiaTheme="majorEastAsia"/>
    </w:rPr>
  </w:style>
  <w:style w:type="paragraph" w:styleId="Titre6">
    <w:name w:val="heading 6"/>
    <w:basedOn w:val="Normal"/>
    <w:next w:val="Normal"/>
    <w:link w:val="Titre6Car"/>
    <w:uiPriority w:val="9"/>
    <w:unhideWhenUsed/>
    <w:rsid w:val="00C3049D"/>
    <w:pPr>
      <w:keepNext/>
      <w:keepLines/>
      <w:spacing w:before="4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rsid w:val="00C3049D"/>
    <w:pPr>
      <w:keepNext/>
      <w:keepLines/>
      <w:spacing w:before="4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C3049D"/>
    <w:pPr>
      <w:keepNext/>
      <w:keepLines/>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C3049D"/>
    <w:pPr>
      <w:keepNext/>
      <w:keepLines/>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rsid w:val="00B6444C"/>
    <w:rPr>
      <w:rFonts w:eastAsiaTheme="minorEastAsia" w:cs="Arial"/>
      <w:b/>
      <w:noProof/>
      <w:color w:val="auto"/>
      <w:spacing w:val="-10"/>
      <w:kern w:val="28"/>
      <w:szCs w:val="20"/>
      <w:lang w:eastAsia="ja-JP"/>
    </w:rPr>
  </w:style>
  <w:style w:type="character" w:customStyle="1" w:styleId="Titre2Car">
    <w:name w:val="Titre 2 Car"/>
    <w:link w:val="Titre2"/>
    <w:uiPriority w:val="9"/>
    <w:rsid w:val="00F93AC5"/>
    <w:rPr>
      <w:rFonts w:cs="Arial"/>
      <w:b/>
      <w:bCs/>
      <w:noProof/>
      <w:color w:val="953D89"/>
      <w:spacing w:val="-10"/>
      <w:kern w:val="28"/>
      <w:sz w:val="24"/>
      <w:lang w:eastAsia="fr-CA"/>
    </w:rPr>
  </w:style>
  <w:style w:type="paragraph" w:styleId="TM1">
    <w:name w:val="toc 1"/>
    <w:basedOn w:val="Normal"/>
    <w:next w:val="Normal"/>
    <w:autoRedefine/>
    <w:uiPriority w:val="39"/>
    <w:unhideWhenUsed/>
    <w:rsid w:val="00BC796F"/>
    <w:pPr>
      <w:tabs>
        <w:tab w:val="left" w:pos="567"/>
        <w:tab w:val="right" w:leader="dot" w:pos="9962"/>
      </w:tabs>
      <w:ind w:left="567" w:hanging="567"/>
      <w:jc w:val="left"/>
    </w:pPr>
    <w:rPr>
      <w:b/>
      <w:bCs/>
      <w:caps/>
      <w:noProof/>
    </w:rPr>
  </w:style>
  <w:style w:type="character" w:customStyle="1" w:styleId="Titre3Car">
    <w:name w:val="Titre 3 Car"/>
    <w:link w:val="Titre3"/>
    <w:rsid w:val="00502FE1"/>
    <w:rPr>
      <w:rFonts w:eastAsiaTheme="minorEastAsia" w:cs="Arial"/>
      <w:b/>
      <w:iCs/>
      <w:noProof/>
      <w:color w:val="953D89"/>
      <w:spacing w:val="-10"/>
      <w:kern w:val="28"/>
      <w:sz w:val="24"/>
      <w:szCs w:val="24"/>
      <w:lang w:eastAsia="ja-JP"/>
    </w:rPr>
  </w:style>
  <w:style w:type="character" w:customStyle="1" w:styleId="Titre1Car">
    <w:name w:val="Titre 1 Car"/>
    <w:basedOn w:val="Policepardfaut"/>
    <w:link w:val="Titre1"/>
    <w:uiPriority w:val="2"/>
    <w:rsid w:val="00C6059C"/>
    <w:rPr>
      <w:rFonts w:cs="Arial"/>
      <w:b/>
      <w:bCs/>
      <w:noProof/>
      <w:color w:val="202C4B"/>
      <w:spacing w:val="-10"/>
      <w:kern w:val="28"/>
      <w:sz w:val="32"/>
      <w:lang w:eastAsia="fr-CA"/>
    </w:rPr>
  </w:style>
  <w:style w:type="paragraph" w:styleId="Titre">
    <w:name w:val="Title"/>
    <w:basedOn w:val="Normal"/>
    <w:next w:val="Paragraphe"/>
    <w:link w:val="TitreCar"/>
    <w:autoRedefine/>
    <w:qFormat/>
    <w:rsid w:val="006039D4"/>
    <w:pPr>
      <w:spacing w:before="240" w:after="240"/>
      <w:jc w:val="left"/>
      <w:outlineLvl w:val="0"/>
    </w:pPr>
    <w:rPr>
      <w:rFonts w:cs="Times New Roman"/>
      <w:b/>
      <w:bCs/>
      <w:color w:val="953D89"/>
      <w:kern w:val="28"/>
      <w:sz w:val="28"/>
      <w:szCs w:val="28"/>
      <w:lang w:eastAsia="fr-CA"/>
    </w:rPr>
  </w:style>
  <w:style w:type="character" w:customStyle="1" w:styleId="TitreCar">
    <w:name w:val="Titre Car"/>
    <w:basedOn w:val="Policepardfaut"/>
    <w:link w:val="Titre"/>
    <w:rsid w:val="006039D4"/>
    <w:rPr>
      <w:rFonts w:cs="Times New Roman"/>
      <w:b/>
      <w:bCs/>
      <w:color w:val="953D89"/>
      <w:kern w:val="28"/>
      <w:sz w:val="28"/>
      <w:szCs w:val="28"/>
      <w:lang w:eastAsia="fr-CA"/>
    </w:rPr>
  </w:style>
  <w:style w:type="paragraph" w:styleId="Paragraphedeliste">
    <w:name w:val="List Paragraph"/>
    <w:basedOn w:val="Normal"/>
    <w:autoRedefine/>
    <w:uiPriority w:val="34"/>
    <w:qFormat/>
    <w:rsid w:val="00E11119"/>
    <w:pPr>
      <w:numPr>
        <w:numId w:val="1"/>
      </w:numPr>
      <w:tabs>
        <w:tab w:val="num" w:pos="360"/>
        <w:tab w:val="left" w:pos="567"/>
      </w:tabs>
      <w:ind w:left="0" w:firstLine="0"/>
      <w:contextualSpacing/>
    </w:pPr>
    <w:rPr>
      <w:rFonts w:eastAsia="Calibri"/>
      <w:lang w:val="en-US"/>
    </w:rPr>
  </w:style>
  <w:style w:type="paragraph" w:customStyle="1" w:styleId="Titre-Recommandation">
    <w:name w:val="Titre-Recommandation"/>
    <w:basedOn w:val="Normal"/>
    <w:link w:val="Titre-RecommandationCar"/>
    <w:autoRedefine/>
    <w:rsid w:val="000F0D7B"/>
    <w:rPr>
      <w:b/>
      <w:bCs/>
    </w:rPr>
  </w:style>
  <w:style w:type="character" w:customStyle="1" w:styleId="Titre-RecommandationCar">
    <w:name w:val="Titre-Recommandation Car"/>
    <w:basedOn w:val="Policepardfaut"/>
    <w:link w:val="Titre-Recommandation"/>
    <w:rsid w:val="000F0D7B"/>
    <w:rPr>
      <w:b/>
      <w:bCs/>
      <w:color w:val="001042"/>
    </w:rPr>
  </w:style>
  <w:style w:type="paragraph" w:customStyle="1" w:styleId="Texte-Recommandation">
    <w:name w:val="Texte-Recommandation"/>
    <w:basedOn w:val="Titre-Recommandation"/>
    <w:link w:val="Texte-RecommandationCar"/>
    <w:autoRedefine/>
    <w:rsid w:val="00E11119"/>
    <w:pPr>
      <w:ind w:left="567"/>
    </w:pPr>
    <w:rPr>
      <w:rFonts w:ascii="Arial Gras" w:hAnsi="Arial Gras"/>
      <w:color w:val="000000"/>
      <w:shd w:val="clear" w:color="auto" w:fill="FFFFFF"/>
    </w:rPr>
  </w:style>
  <w:style w:type="character" w:customStyle="1" w:styleId="Texte-RecommandationCar">
    <w:name w:val="Texte-Recommandation Car"/>
    <w:basedOn w:val="Titre-RecommandationCar"/>
    <w:link w:val="Texte-Recommandation"/>
    <w:rsid w:val="00E11119"/>
    <w:rPr>
      <w:rFonts w:ascii="Arial Gras" w:hAnsi="Arial Gras" w:cs="Arial"/>
      <w:b/>
      <w:bCs/>
      <w:color w:val="000000"/>
      <w:sz w:val="22"/>
      <w:szCs w:val="22"/>
    </w:rPr>
  </w:style>
  <w:style w:type="paragraph" w:styleId="Citation">
    <w:name w:val="Quote"/>
    <w:basedOn w:val="Normal"/>
    <w:next w:val="Normal"/>
    <w:link w:val="CitationCar"/>
    <w:autoRedefine/>
    <w:qFormat/>
    <w:rsid w:val="00B572FC"/>
    <w:pPr>
      <w:ind w:left="1418" w:right="1467"/>
    </w:pPr>
    <w:rPr>
      <w:lang w:eastAsia="fr-CA"/>
    </w:rPr>
  </w:style>
  <w:style w:type="character" w:customStyle="1" w:styleId="CitationCar">
    <w:name w:val="Citation Car"/>
    <w:link w:val="Citation"/>
    <w:rsid w:val="00B572FC"/>
    <w:rPr>
      <w:color w:val="auto"/>
      <w:lang w:eastAsia="fr-CA"/>
    </w:rPr>
  </w:style>
  <w:style w:type="paragraph" w:customStyle="1" w:styleId="Puces">
    <w:name w:val="Puces"/>
    <w:basedOn w:val="Normal"/>
    <w:link w:val="PucesCar"/>
    <w:autoRedefine/>
    <w:qFormat/>
    <w:rsid w:val="00E11119"/>
    <w:pPr>
      <w:numPr>
        <w:numId w:val="2"/>
      </w:numPr>
      <w:ind w:left="993" w:hanging="426"/>
      <w:contextualSpacing/>
    </w:pPr>
    <w:rPr>
      <w:rFonts w:eastAsia="Calibri"/>
    </w:rPr>
  </w:style>
  <w:style w:type="character" w:customStyle="1" w:styleId="PucesCar">
    <w:name w:val="Puces Car"/>
    <w:basedOn w:val="Policepardfaut"/>
    <w:link w:val="Puces"/>
    <w:rsid w:val="00E11119"/>
    <w:rPr>
      <w:rFonts w:eastAsia="Calibri"/>
      <w:color w:val="auto"/>
    </w:rPr>
  </w:style>
  <w:style w:type="character" w:styleId="lev">
    <w:name w:val="Strong"/>
    <w:aliases w:val="Titre 11"/>
    <w:basedOn w:val="Policepardfaut"/>
    <w:uiPriority w:val="22"/>
    <w:rsid w:val="00B03B27"/>
    <w:rPr>
      <w:rFonts w:ascii="Arial" w:hAnsi="Arial"/>
      <w:b/>
      <w:bCs/>
      <w:caps w:val="0"/>
      <w:smallCaps w:val="0"/>
      <w:strike w:val="0"/>
      <w:dstrike w:val="0"/>
      <w:vanish w:val="0"/>
      <w:color w:val="auto"/>
      <w:sz w:val="22"/>
      <w:vertAlign w:val="baseline"/>
    </w:rPr>
  </w:style>
  <w:style w:type="paragraph" w:styleId="TM2">
    <w:name w:val="toc 2"/>
    <w:basedOn w:val="Normal"/>
    <w:next w:val="Normal"/>
    <w:autoRedefine/>
    <w:uiPriority w:val="39"/>
    <w:unhideWhenUsed/>
    <w:rsid w:val="00C01977"/>
    <w:pPr>
      <w:tabs>
        <w:tab w:val="right" w:leader="dot" w:pos="9962"/>
      </w:tabs>
      <w:ind w:left="567" w:hanging="567"/>
      <w:jc w:val="left"/>
    </w:pPr>
    <w:rPr>
      <w:rFonts w:asciiTheme="minorHAnsi" w:hAnsiTheme="minorHAnsi"/>
      <w:bCs/>
      <w:noProof/>
    </w:rPr>
  </w:style>
  <w:style w:type="paragraph" w:styleId="TM3">
    <w:name w:val="toc 3"/>
    <w:basedOn w:val="Normal"/>
    <w:next w:val="Normal"/>
    <w:autoRedefine/>
    <w:uiPriority w:val="39"/>
    <w:unhideWhenUsed/>
    <w:rsid w:val="005117F6"/>
    <w:pPr>
      <w:tabs>
        <w:tab w:val="left" w:pos="1276"/>
        <w:tab w:val="right" w:leader="dot" w:pos="9962"/>
      </w:tabs>
      <w:ind w:left="993" w:hanging="426"/>
      <w:jc w:val="left"/>
    </w:pPr>
  </w:style>
  <w:style w:type="paragraph" w:customStyle="1" w:styleId="puces0">
    <w:name w:val="puces"/>
    <w:basedOn w:val="Normal"/>
    <w:link w:val="pucesCar0"/>
    <w:autoRedefine/>
    <w:qFormat/>
    <w:rsid w:val="00147CD5"/>
    <w:pPr>
      <w:numPr>
        <w:numId w:val="10"/>
      </w:numPr>
      <w:tabs>
        <w:tab w:val="left" w:pos="851"/>
      </w:tabs>
      <w:spacing w:before="120" w:after="120" w:line="276" w:lineRule="auto"/>
      <w:ind w:left="851"/>
      <w:jc w:val="left"/>
    </w:pPr>
    <w:rPr>
      <w:rFonts w:eastAsia="Calibri"/>
      <w:color w:val="000000" w:themeColor="text1"/>
    </w:rPr>
  </w:style>
  <w:style w:type="character" w:customStyle="1" w:styleId="pucesCar0">
    <w:name w:val="puces Car"/>
    <w:basedOn w:val="Policepardfaut"/>
    <w:link w:val="puces0"/>
    <w:rsid w:val="00BA3E6E"/>
    <w:rPr>
      <w:rFonts w:eastAsia="Calibri"/>
    </w:rPr>
  </w:style>
  <w:style w:type="paragraph" w:styleId="TM4">
    <w:name w:val="toc 4"/>
    <w:basedOn w:val="Normal"/>
    <w:next w:val="Normal"/>
    <w:autoRedefine/>
    <w:uiPriority w:val="39"/>
    <w:unhideWhenUsed/>
    <w:rsid w:val="00E11119"/>
    <w:pPr>
      <w:ind w:left="440"/>
    </w:pPr>
  </w:style>
  <w:style w:type="paragraph" w:customStyle="1" w:styleId="TITRE0">
    <w:name w:val="TITRE"/>
    <w:next w:val="Paragraphe"/>
    <w:link w:val="TITRECar0"/>
    <w:autoRedefine/>
    <w:qFormat/>
    <w:rsid w:val="00B20225"/>
    <w:pPr>
      <w:spacing w:after="120" w:line="259" w:lineRule="auto"/>
    </w:pPr>
    <w:rPr>
      <w:b/>
      <w:bCs/>
      <w:color w:val="2A73D0"/>
      <w:sz w:val="28"/>
      <w:szCs w:val="28"/>
    </w:rPr>
  </w:style>
  <w:style w:type="character" w:customStyle="1" w:styleId="Titre5Car">
    <w:name w:val="Titre 5 Car"/>
    <w:link w:val="Titre5"/>
    <w:rsid w:val="0071082B"/>
    <w:rPr>
      <w:rFonts w:eastAsiaTheme="majorEastAsia" w:cs="Arial"/>
      <w:b/>
      <w:noProof/>
      <w:color w:val="auto"/>
      <w:spacing w:val="-10"/>
      <w:kern w:val="28"/>
      <w:szCs w:val="20"/>
      <w:lang w:eastAsia="ja-JP"/>
    </w:rPr>
  </w:style>
  <w:style w:type="paragraph" w:styleId="En-ttedetabledesmatires">
    <w:name w:val="TOC Heading"/>
    <w:basedOn w:val="Titre1"/>
    <w:next w:val="Normal"/>
    <w:uiPriority w:val="39"/>
    <w:semiHidden/>
    <w:unhideWhenUsed/>
    <w:qFormat/>
    <w:rsid w:val="00610121"/>
    <w:pPr>
      <w:numPr>
        <w:numId w:val="0"/>
      </w:numPr>
      <w:outlineLvl w:val="9"/>
    </w:pPr>
    <w:rPr>
      <w:rFonts w:asciiTheme="majorHAnsi" w:eastAsiaTheme="majorEastAsia" w:hAnsiTheme="majorHAnsi"/>
      <w:b w:val="0"/>
      <w:bCs w:val="0"/>
      <w:caps/>
      <w:color w:val="374C80" w:themeColor="accent1" w:themeShade="BF"/>
      <w:kern w:val="0"/>
    </w:rPr>
  </w:style>
  <w:style w:type="paragraph" w:customStyle="1" w:styleId="NotesBasPage">
    <w:name w:val="Notes Bas Page"/>
    <w:link w:val="NotesBasPageCar"/>
    <w:autoRedefine/>
    <w:qFormat/>
    <w:rsid w:val="001E6180"/>
    <w:pPr>
      <w:tabs>
        <w:tab w:val="left" w:pos="425"/>
        <w:tab w:val="left" w:pos="7797"/>
      </w:tabs>
      <w:spacing w:after="60"/>
      <w:ind w:left="426" w:hanging="426"/>
    </w:pPr>
    <w:rPr>
      <w:color w:val="auto"/>
      <w:sz w:val="18"/>
      <w:szCs w:val="18"/>
    </w:rPr>
  </w:style>
  <w:style w:type="character" w:customStyle="1" w:styleId="NotesBasPageCar">
    <w:name w:val="Notes Bas Page Car"/>
    <w:basedOn w:val="Policepardfaut"/>
    <w:link w:val="NotesBasPage"/>
    <w:rsid w:val="004E5966"/>
    <w:rPr>
      <w:color w:val="auto"/>
      <w:sz w:val="18"/>
      <w:szCs w:val="18"/>
    </w:rPr>
  </w:style>
  <w:style w:type="paragraph" w:customStyle="1" w:styleId="Notesdebasdepage">
    <w:name w:val="Notes de bas de page"/>
    <w:link w:val="NotesdebasdepageCar"/>
    <w:autoRedefine/>
    <w:rsid w:val="004C7DCE"/>
    <w:pPr>
      <w:tabs>
        <w:tab w:val="left" w:pos="567"/>
      </w:tabs>
      <w:spacing w:after="120"/>
      <w:ind w:left="567" w:hanging="567"/>
    </w:pPr>
    <w:rPr>
      <w:rFonts w:cs="Arial"/>
      <w:color w:val="000000"/>
      <w:sz w:val="18"/>
      <w:szCs w:val="18"/>
      <w:lang w:val="x-none" w:eastAsia="x-none"/>
      <w14:textFill>
        <w14:solidFill>
          <w14:srgbClr w14:val="000000">
            <w14:lumMod w14:val="75000"/>
          </w14:srgbClr>
        </w14:solidFill>
      </w14:textFill>
      <w14:cntxtAlts/>
    </w:rPr>
  </w:style>
  <w:style w:type="character" w:customStyle="1" w:styleId="NotesdebasdepageCar">
    <w:name w:val="Notes de bas de page Car"/>
    <w:link w:val="Notesdebasdepage"/>
    <w:rsid w:val="004C7DCE"/>
    <w:rPr>
      <w:rFonts w:ascii="Aptos" w:hAnsi="Aptos" w:cs="Arial"/>
      <w:color w:val="000000"/>
      <w:sz w:val="18"/>
      <w:szCs w:val="18"/>
      <w:lang w:val="x-none" w:eastAsia="x-none"/>
      <w14:textFill>
        <w14:solidFill>
          <w14:srgbClr w14:val="000000">
            <w14:lumMod w14:val="75000"/>
          </w14:srgbClr>
        </w14:solidFill>
      </w14:textFill>
      <w14:cntxtAlts/>
    </w:rPr>
  </w:style>
  <w:style w:type="paragraph" w:customStyle="1" w:styleId="Paragraphe">
    <w:name w:val="Paragraphe"/>
    <w:basedOn w:val="Normal"/>
    <w:link w:val="ParagrapheCar"/>
    <w:autoRedefine/>
    <w:qFormat/>
    <w:rsid w:val="003A1427"/>
    <w:pPr>
      <w:spacing w:before="240" w:after="240" w:line="276" w:lineRule="auto"/>
      <w:jc w:val="left"/>
    </w:pPr>
  </w:style>
  <w:style w:type="character" w:customStyle="1" w:styleId="ParagrapheCar">
    <w:name w:val="Paragraphe Car"/>
    <w:basedOn w:val="Policepardfaut"/>
    <w:link w:val="Paragraphe"/>
    <w:rsid w:val="003A1427"/>
    <w:rPr>
      <w:color w:val="auto"/>
    </w:rPr>
  </w:style>
  <w:style w:type="character" w:customStyle="1" w:styleId="TITRECar0">
    <w:name w:val="TITRE Car"/>
    <w:basedOn w:val="Policepardfaut"/>
    <w:link w:val="TITRE0"/>
    <w:rsid w:val="00B20225"/>
    <w:rPr>
      <w:b/>
      <w:bCs/>
      <w:color w:val="2A73D0"/>
      <w:sz w:val="28"/>
      <w:szCs w:val="28"/>
    </w:rPr>
  </w:style>
  <w:style w:type="paragraph" w:styleId="Corpsdetexte">
    <w:name w:val="Body Text"/>
    <w:basedOn w:val="Normal"/>
    <w:link w:val="CorpsdetexteCar"/>
    <w:autoRedefine/>
    <w:uiPriority w:val="1"/>
    <w:rsid w:val="003B4F19"/>
    <w:pPr>
      <w:widowControl w:val="0"/>
      <w:ind w:right="299"/>
    </w:pPr>
    <w:rPr>
      <w:rFonts w:eastAsia="Aptos"/>
      <w:b/>
      <w:spacing w:val="-2"/>
      <w:lang w:val="fr-FR"/>
    </w:rPr>
  </w:style>
  <w:style w:type="character" w:customStyle="1" w:styleId="CorpsdetexteCar">
    <w:name w:val="Corps de texte Car"/>
    <w:basedOn w:val="Policepardfaut"/>
    <w:link w:val="Corpsdetexte"/>
    <w:uiPriority w:val="1"/>
    <w:rsid w:val="003B4F19"/>
    <w:rPr>
      <w:rFonts w:eastAsia="Aptos"/>
      <w:b/>
      <w:color w:val="auto"/>
      <w:spacing w:val="-2"/>
      <w:lang w:val="fr-FR"/>
    </w:rPr>
  </w:style>
  <w:style w:type="character" w:customStyle="1" w:styleId="Titre6Car">
    <w:name w:val="Titre 6 Car"/>
    <w:basedOn w:val="Policepardfaut"/>
    <w:link w:val="Titre6"/>
    <w:uiPriority w:val="9"/>
    <w:rsid w:val="00C3049D"/>
    <w:rPr>
      <w:rFonts w:asciiTheme="minorHAnsi" w:eastAsiaTheme="majorEastAsia" w:hAnsiTheme="minorHAnsi" w:cstheme="majorBidi"/>
      <w:i/>
      <w:iCs/>
      <w:color w:val="595959" w:themeColor="text1" w:themeTint="A6"/>
    </w:rPr>
  </w:style>
  <w:style w:type="character" w:customStyle="1" w:styleId="Titre7Car">
    <w:name w:val="Titre 7 Car"/>
    <w:basedOn w:val="Policepardfaut"/>
    <w:link w:val="Titre7"/>
    <w:uiPriority w:val="9"/>
    <w:semiHidden/>
    <w:rsid w:val="00C3049D"/>
    <w:rPr>
      <w:rFonts w:asciiTheme="minorHAnsi" w:eastAsiaTheme="majorEastAsia" w:hAnsiTheme="minorHAnsi" w:cstheme="majorBidi"/>
      <w:color w:val="595959" w:themeColor="text1" w:themeTint="A6"/>
    </w:rPr>
  </w:style>
  <w:style w:type="character" w:customStyle="1" w:styleId="Titre8Car">
    <w:name w:val="Titre 8 Car"/>
    <w:basedOn w:val="Policepardfaut"/>
    <w:link w:val="Titre8"/>
    <w:uiPriority w:val="9"/>
    <w:semiHidden/>
    <w:rsid w:val="00C3049D"/>
    <w:rPr>
      <w:rFonts w:asciiTheme="minorHAnsi" w:eastAsiaTheme="majorEastAsia" w:hAnsiTheme="minorHAnsi" w:cstheme="majorBidi"/>
      <w:i/>
      <w:iCs/>
      <w:color w:val="272727" w:themeColor="text1" w:themeTint="D8"/>
    </w:rPr>
  </w:style>
  <w:style w:type="character" w:customStyle="1" w:styleId="Titre9Car">
    <w:name w:val="Titre 9 Car"/>
    <w:basedOn w:val="Policepardfaut"/>
    <w:link w:val="Titre9"/>
    <w:uiPriority w:val="9"/>
    <w:semiHidden/>
    <w:rsid w:val="00C3049D"/>
    <w:rPr>
      <w:rFonts w:asciiTheme="minorHAnsi" w:eastAsiaTheme="majorEastAsia" w:hAnsiTheme="minorHAnsi" w:cstheme="majorBidi"/>
      <w:color w:val="272727" w:themeColor="text1" w:themeTint="D8"/>
    </w:rPr>
  </w:style>
  <w:style w:type="paragraph" w:styleId="Sous-titre">
    <w:name w:val="Subtitle"/>
    <w:basedOn w:val="Normal"/>
    <w:next w:val="Normal"/>
    <w:link w:val="Sous-titreCar"/>
    <w:uiPriority w:val="11"/>
    <w:rsid w:val="00C3049D"/>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3049D"/>
    <w:rPr>
      <w:rFonts w:asciiTheme="minorHAnsi" w:eastAsiaTheme="majorEastAsia" w:hAnsiTheme="minorHAnsi" w:cstheme="majorBidi"/>
      <w:color w:val="595959" w:themeColor="text1" w:themeTint="A6"/>
      <w:spacing w:val="15"/>
      <w:sz w:val="28"/>
      <w:szCs w:val="28"/>
    </w:rPr>
  </w:style>
  <w:style w:type="character" w:styleId="Accentuationintense">
    <w:name w:val="Intense Emphasis"/>
    <w:basedOn w:val="Policepardfaut"/>
    <w:uiPriority w:val="21"/>
    <w:rsid w:val="00C3049D"/>
    <w:rPr>
      <w:i/>
      <w:iCs/>
      <w:color w:val="374C80" w:themeColor="accent1" w:themeShade="BF"/>
    </w:rPr>
  </w:style>
  <w:style w:type="paragraph" w:styleId="Citationintense">
    <w:name w:val="Intense Quote"/>
    <w:basedOn w:val="Normal"/>
    <w:next w:val="Normal"/>
    <w:link w:val="CitationintenseCar"/>
    <w:uiPriority w:val="30"/>
    <w:rsid w:val="00C3049D"/>
    <w:pPr>
      <w:pBdr>
        <w:top w:val="single" w:sz="4" w:space="10" w:color="374C80" w:themeColor="accent1" w:themeShade="BF"/>
        <w:bottom w:val="single" w:sz="4" w:space="10" w:color="374C80" w:themeColor="accent1" w:themeShade="BF"/>
      </w:pBdr>
      <w:spacing w:before="360" w:after="360"/>
      <w:ind w:left="864" w:right="864"/>
      <w:jc w:val="center"/>
    </w:pPr>
    <w:rPr>
      <w:i/>
      <w:iCs/>
      <w:color w:val="374C80" w:themeColor="accent1" w:themeShade="BF"/>
    </w:rPr>
  </w:style>
  <w:style w:type="character" w:customStyle="1" w:styleId="CitationintenseCar">
    <w:name w:val="Citation intense Car"/>
    <w:basedOn w:val="Policepardfaut"/>
    <w:link w:val="Citationintense"/>
    <w:uiPriority w:val="30"/>
    <w:rsid w:val="00C3049D"/>
    <w:rPr>
      <w:i/>
      <w:iCs/>
      <w:color w:val="374C80" w:themeColor="accent1" w:themeShade="BF"/>
    </w:rPr>
  </w:style>
  <w:style w:type="character" w:styleId="Rfrenceintense">
    <w:name w:val="Intense Reference"/>
    <w:basedOn w:val="Policepardfaut"/>
    <w:uiPriority w:val="32"/>
    <w:qFormat/>
    <w:rsid w:val="00C3049D"/>
    <w:rPr>
      <w:b/>
      <w:bCs/>
      <w:smallCaps/>
      <w:color w:val="374C80" w:themeColor="accent1" w:themeShade="BF"/>
      <w:spacing w:val="5"/>
    </w:rPr>
  </w:style>
  <w:style w:type="paragraph" w:styleId="Sansinterligne">
    <w:name w:val="No Spacing"/>
    <w:link w:val="SansinterligneCar"/>
    <w:uiPriority w:val="1"/>
    <w:rsid w:val="00AD5B8C"/>
    <w:rPr>
      <w:rFonts w:asciiTheme="minorHAnsi" w:eastAsiaTheme="minorEastAsia" w:hAnsiTheme="minorHAnsi"/>
      <w:color w:val="auto"/>
      <w:lang w:eastAsia="fr-CA"/>
    </w:rPr>
  </w:style>
  <w:style w:type="character" w:customStyle="1" w:styleId="SansinterligneCar">
    <w:name w:val="Sans interligne Car"/>
    <w:basedOn w:val="Policepardfaut"/>
    <w:link w:val="Sansinterligne"/>
    <w:uiPriority w:val="1"/>
    <w:rsid w:val="00AD5B8C"/>
    <w:rPr>
      <w:rFonts w:asciiTheme="minorHAnsi" w:eastAsiaTheme="minorEastAsia" w:hAnsiTheme="minorHAnsi"/>
      <w:color w:val="auto"/>
      <w:lang w:eastAsia="fr-CA"/>
    </w:rPr>
  </w:style>
  <w:style w:type="character" w:styleId="Accentuation">
    <w:name w:val="Emphasis"/>
    <w:basedOn w:val="Policepardfaut"/>
    <w:uiPriority w:val="20"/>
    <w:rsid w:val="00904347"/>
    <w:rPr>
      <w:i/>
      <w:iCs/>
    </w:rPr>
  </w:style>
  <w:style w:type="character" w:styleId="Accentuationlgre">
    <w:name w:val="Subtle Emphasis"/>
    <w:basedOn w:val="Policepardfaut"/>
    <w:uiPriority w:val="19"/>
    <w:rsid w:val="00904347"/>
    <w:rPr>
      <w:i/>
      <w:iCs/>
      <w:color w:val="404040" w:themeColor="text1" w:themeTint="BF"/>
    </w:rPr>
  </w:style>
  <w:style w:type="paragraph" w:styleId="Pieddepage">
    <w:name w:val="footer"/>
    <w:basedOn w:val="Normal"/>
    <w:link w:val="PieddepageCar"/>
    <w:uiPriority w:val="99"/>
    <w:unhideWhenUsed/>
    <w:rsid w:val="00070C28"/>
    <w:pPr>
      <w:tabs>
        <w:tab w:val="left" w:pos="1134"/>
      </w:tabs>
      <w:suppressAutoHyphens w:val="0"/>
      <w:autoSpaceDE/>
      <w:autoSpaceDN/>
      <w:adjustRightInd/>
      <w:textAlignment w:val="auto"/>
    </w:pPr>
    <w:rPr>
      <w:rFonts w:eastAsiaTheme="minorEastAsia"/>
      <w:sz w:val="24"/>
      <w:szCs w:val="48"/>
      <w:lang w:eastAsia="ja-JP"/>
    </w:rPr>
  </w:style>
  <w:style w:type="character" w:customStyle="1" w:styleId="PieddepageCar">
    <w:name w:val="Pied de page Car"/>
    <w:basedOn w:val="Policepardfaut"/>
    <w:link w:val="Pieddepage"/>
    <w:uiPriority w:val="99"/>
    <w:rsid w:val="00070C28"/>
    <w:rPr>
      <w:rFonts w:eastAsiaTheme="minorEastAsia"/>
      <w:color w:val="001042"/>
      <w:sz w:val="24"/>
      <w:szCs w:val="48"/>
      <w:lang w:eastAsia="ja-JP"/>
    </w:rPr>
  </w:style>
  <w:style w:type="paragraph" w:styleId="En-tte">
    <w:name w:val="header"/>
    <w:basedOn w:val="Normal"/>
    <w:link w:val="En-tteCar"/>
    <w:uiPriority w:val="99"/>
    <w:unhideWhenUsed/>
    <w:rsid w:val="00070C28"/>
    <w:pPr>
      <w:tabs>
        <w:tab w:val="left" w:pos="1134"/>
      </w:tabs>
      <w:suppressAutoHyphens w:val="0"/>
      <w:autoSpaceDE/>
      <w:autoSpaceDN/>
      <w:adjustRightInd/>
      <w:textAlignment w:val="auto"/>
    </w:pPr>
    <w:rPr>
      <w:rFonts w:eastAsiaTheme="minorEastAsia"/>
      <w:sz w:val="24"/>
      <w:szCs w:val="48"/>
      <w:lang w:eastAsia="ja-JP"/>
    </w:rPr>
  </w:style>
  <w:style w:type="character" w:customStyle="1" w:styleId="En-tteCar">
    <w:name w:val="En-tête Car"/>
    <w:basedOn w:val="Policepardfaut"/>
    <w:link w:val="En-tte"/>
    <w:uiPriority w:val="99"/>
    <w:rsid w:val="00070C28"/>
    <w:rPr>
      <w:rFonts w:eastAsiaTheme="minorEastAsia"/>
      <w:color w:val="001042"/>
      <w:sz w:val="24"/>
      <w:szCs w:val="48"/>
      <w:lang w:eastAsia="ja-JP"/>
    </w:rPr>
  </w:style>
  <w:style w:type="paragraph" w:styleId="Notedebasdepage">
    <w:name w:val="footnote text"/>
    <w:aliases w:val=" Car Car Car,Car Car Car Car, Car Car Car Car Car,Car Car Car,Car Car Car Car Car Car,Car,Note de bas de page1,5_G,fn,Footnote ak,Footnotes,Footnote Text Char1,Footnote Text Char Char,fn Char Char,footnote text Char Char,fn Char1,ft"/>
    <w:basedOn w:val="Normal"/>
    <w:link w:val="NotedebasdepageCar"/>
    <w:uiPriority w:val="99"/>
    <w:unhideWhenUsed/>
    <w:qFormat/>
    <w:rsid w:val="00367F86"/>
    <w:rPr>
      <w:sz w:val="20"/>
      <w:szCs w:val="20"/>
    </w:rPr>
  </w:style>
  <w:style w:type="character" w:customStyle="1" w:styleId="NotedebasdepageCar">
    <w:name w:val="Note de bas de page Car"/>
    <w:aliases w:val=" Car Car Car Car,Car Car Car Car Car, Car Car Car Car Car Car,Car Car Car Car1,Car Car Car Car Car Car Car,Car Car,Note de bas de page1 Car,5_G Car,fn Car,Footnote ak Car,Footnotes Car,Footnote Text Char1 Car,fn Char Char Car"/>
    <w:basedOn w:val="Policepardfaut"/>
    <w:link w:val="Notedebasdepage"/>
    <w:uiPriority w:val="99"/>
    <w:qFormat/>
    <w:rsid w:val="00367F86"/>
    <w:rPr>
      <w:color w:val="001042"/>
      <w:sz w:val="20"/>
      <w:szCs w:val="20"/>
    </w:rPr>
  </w:style>
  <w:style w:type="character" w:styleId="Appelnotedebasdep">
    <w:name w:val="footnote reference"/>
    <w:aliases w:val="Footnotes refss,Footnote number,Footnote,4_G,Ref,de nota al pie,Appel note de bas de p,de nota al pie + (Asian) MS Mincho,11 pt"/>
    <w:basedOn w:val="Policepardfaut"/>
    <w:unhideWhenUsed/>
    <w:qFormat/>
    <w:rsid w:val="00367F86"/>
    <w:rPr>
      <w:vertAlign w:val="superscript"/>
    </w:rPr>
  </w:style>
  <w:style w:type="character" w:styleId="Lienhypertexte">
    <w:name w:val="Hyperlink"/>
    <w:uiPriority w:val="99"/>
    <w:rsid w:val="00367F86"/>
    <w:rPr>
      <w:color w:val="0000FF"/>
      <w:u w:val="single"/>
    </w:rPr>
  </w:style>
  <w:style w:type="table" w:customStyle="1" w:styleId="Grilledutableau1">
    <w:name w:val="Grille du tableau1"/>
    <w:basedOn w:val="TableauNormal"/>
    <w:next w:val="Grilledutableau"/>
    <w:uiPriority w:val="39"/>
    <w:rsid w:val="00E561DB"/>
    <w:rPr>
      <w:rFonts w:asciiTheme="minorHAnsi" w:hAnsiTheme="minorHAns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E561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0">
    <w:name w:val="paragraphe"/>
    <w:basedOn w:val="Normal"/>
    <w:link w:val="paragrapheCar0"/>
    <w:autoRedefine/>
    <w:rsid w:val="006A5AD3"/>
    <w:pPr>
      <w:shd w:val="clear" w:color="auto" w:fill="FFFFFF" w:themeFill="background1"/>
      <w:tabs>
        <w:tab w:val="left" w:pos="0"/>
      </w:tabs>
      <w:suppressAutoHyphens w:val="0"/>
      <w:autoSpaceDE/>
      <w:autoSpaceDN/>
      <w:adjustRightInd/>
      <w:ind w:right="-63"/>
      <w:textAlignment w:val="auto"/>
    </w:pPr>
    <w:rPr>
      <w:rFonts w:eastAsiaTheme="majorEastAsia" w:cs="Calibri"/>
      <w:sz w:val="24"/>
      <w:szCs w:val="24"/>
    </w:rPr>
  </w:style>
  <w:style w:type="character" w:customStyle="1" w:styleId="paragrapheCar0">
    <w:name w:val="paragraphe Car"/>
    <w:basedOn w:val="Policepardfaut"/>
    <w:link w:val="paragraphe0"/>
    <w:rsid w:val="006A5AD3"/>
    <w:rPr>
      <w:rFonts w:eastAsiaTheme="majorEastAsia" w:cs="Calibri"/>
      <w:color w:val="001042"/>
      <w:sz w:val="24"/>
      <w:szCs w:val="24"/>
      <w:shd w:val="clear" w:color="auto" w:fill="FFFFFF" w:themeFill="background1"/>
    </w:rPr>
  </w:style>
  <w:style w:type="character" w:styleId="Mentionnonrsolue">
    <w:name w:val="Unresolved Mention"/>
    <w:basedOn w:val="Policepardfaut"/>
    <w:uiPriority w:val="99"/>
    <w:semiHidden/>
    <w:unhideWhenUsed/>
    <w:rsid w:val="009E181C"/>
    <w:rPr>
      <w:color w:val="605E5C"/>
      <w:shd w:val="clear" w:color="auto" w:fill="E1DFDD"/>
    </w:rPr>
  </w:style>
  <w:style w:type="character" w:styleId="Lienhypertextesuivivisit">
    <w:name w:val="FollowedHyperlink"/>
    <w:basedOn w:val="Policepardfaut"/>
    <w:uiPriority w:val="99"/>
    <w:semiHidden/>
    <w:unhideWhenUsed/>
    <w:rsid w:val="001337B0"/>
    <w:rPr>
      <w:color w:val="3EBBF0" w:themeColor="followedHyperlink"/>
      <w:u w:val="single"/>
    </w:rPr>
  </w:style>
  <w:style w:type="paragraph" w:customStyle="1" w:styleId="paragraph">
    <w:name w:val="paragraph"/>
    <w:basedOn w:val="Normal"/>
    <w:rsid w:val="00785D31"/>
    <w:pPr>
      <w:suppressAutoHyphens w:val="0"/>
      <w:autoSpaceDE/>
      <w:autoSpaceDN/>
      <w:adjustRightInd/>
      <w:spacing w:before="100" w:beforeAutospacing="1" w:after="100" w:afterAutospacing="1"/>
      <w:textAlignment w:val="auto"/>
    </w:pPr>
    <w:rPr>
      <w:rFonts w:ascii="Times New Roman" w:eastAsia="Times New Roman" w:hAnsi="Times New Roman" w:cs="Times New Roman"/>
      <w:sz w:val="24"/>
      <w:szCs w:val="24"/>
      <w:lang w:eastAsia="fr-CA"/>
    </w:rPr>
  </w:style>
  <w:style w:type="character" w:customStyle="1" w:styleId="normaltextrun">
    <w:name w:val="normaltextrun"/>
    <w:basedOn w:val="Policepardfaut"/>
    <w:rsid w:val="00785D31"/>
  </w:style>
  <w:style w:type="character" w:customStyle="1" w:styleId="eop">
    <w:name w:val="eop"/>
    <w:basedOn w:val="Policepardfaut"/>
    <w:rsid w:val="00785D31"/>
  </w:style>
  <w:style w:type="paragraph" w:customStyle="1" w:styleId="Titregraphique">
    <w:name w:val="Titre graphique"/>
    <w:next w:val="paragraphe0"/>
    <w:link w:val="TitregraphiqueCar"/>
    <w:autoRedefine/>
    <w:qFormat/>
    <w:rsid w:val="00BD19E5"/>
    <w:pPr>
      <w:jc w:val="center"/>
    </w:pPr>
    <w:rPr>
      <w:rFonts w:asciiTheme="minorHAnsi" w:eastAsia="Times New Roman" w:hAnsiTheme="minorHAnsi" w:cs="Calibri"/>
      <w:b/>
      <w:bCs/>
      <w:noProof/>
      <w:color w:val="FFFFFF" w:themeColor="background1"/>
      <w:szCs w:val="24"/>
      <w:lang w:eastAsia="fr-CA"/>
    </w:rPr>
  </w:style>
  <w:style w:type="character" w:customStyle="1" w:styleId="TitregraphiqueCar">
    <w:name w:val="Titre graphique Car"/>
    <w:basedOn w:val="Policepardfaut"/>
    <w:link w:val="Titregraphique"/>
    <w:rsid w:val="00BD19E5"/>
    <w:rPr>
      <w:rFonts w:asciiTheme="minorHAnsi" w:eastAsia="Times New Roman" w:hAnsiTheme="minorHAnsi" w:cs="Calibri"/>
      <w:b/>
      <w:bCs/>
      <w:noProof/>
      <w:color w:val="FFFFFF" w:themeColor="background1"/>
      <w:szCs w:val="24"/>
      <w:lang w:eastAsia="fr-CA"/>
    </w:rPr>
  </w:style>
  <w:style w:type="paragraph" w:customStyle="1" w:styleId="Titredugraphique">
    <w:name w:val="Titre du graphique"/>
    <w:basedOn w:val="Normal"/>
    <w:next w:val="Normal"/>
    <w:link w:val="TitredugraphiqueCar"/>
    <w:rsid w:val="00FE5F41"/>
    <w:rPr>
      <w:color w:val="953D89"/>
      <w:bdr w:val="single" w:sz="4" w:space="0" w:color="BFBFBF" w:themeColor="background1" w:themeShade="BF"/>
    </w:rPr>
  </w:style>
  <w:style w:type="character" w:customStyle="1" w:styleId="TitredugraphiqueCar">
    <w:name w:val="Titre du graphique Car"/>
    <w:basedOn w:val="ParagrapheCar"/>
    <w:link w:val="Titredugraphique"/>
    <w:rsid w:val="00794794"/>
    <w:rPr>
      <w:rFonts w:eastAsia="Times New Roman" w:cs="Segoe UI"/>
      <w:noProof/>
      <w:color w:val="953D89"/>
      <w:bdr w:val="single" w:sz="4" w:space="0" w:color="BFBFBF" w:themeColor="background1" w:themeShade="BF"/>
      <w:lang w:eastAsia="fr-CA"/>
    </w:rPr>
  </w:style>
  <w:style w:type="paragraph" w:customStyle="1" w:styleId="Titredummoire">
    <w:name w:val="Titre du mémoire"/>
    <w:basedOn w:val="Normal"/>
    <w:qFormat/>
    <w:rsid w:val="006C1ABC"/>
    <w:rPr>
      <w:rFonts w:ascii="Aptos Light" w:hAnsi="Aptos Light"/>
      <w:sz w:val="56"/>
    </w:rPr>
  </w:style>
  <w:style w:type="paragraph" w:customStyle="1" w:styleId="sous-titredummoireoutude">
    <w:name w:val="sous-titre du mémoire ou étude"/>
    <w:basedOn w:val="Normal"/>
    <w:next w:val="Normal"/>
    <w:link w:val="sous-titredummoireoutudeCar"/>
    <w:qFormat/>
    <w:rsid w:val="003863FA"/>
    <w:pPr>
      <w:widowControl w:val="0"/>
      <w:numPr>
        <w:ilvl w:val="1"/>
      </w:numPr>
      <w:pBdr>
        <w:top w:val="single" w:sz="2" w:space="1" w:color="auto"/>
        <w:bottom w:val="single" w:sz="2" w:space="1" w:color="auto"/>
      </w:pBdr>
      <w:tabs>
        <w:tab w:val="left" w:pos="1985"/>
      </w:tabs>
      <w:suppressAutoHyphens w:val="0"/>
      <w:adjustRightInd/>
      <w:spacing w:after="180" w:line="280" w:lineRule="atLeast"/>
      <w:ind w:right="7666"/>
      <w:jc w:val="left"/>
      <w:textAlignment w:val="auto"/>
    </w:pPr>
    <w:rPr>
      <w:rFonts w:ascii="Aptos Light" w:eastAsia="Calibri" w:hAnsi="Aptos Light" w:cs="Calibri"/>
      <w:w w:val="110"/>
      <w:szCs w:val="20"/>
      <w:lang w:val="fr-FR"/>
    </w:rPr>
  </w:style>
  <w:style w:type="character" w:customStyle="1" w:styleId="sous-titredummoireoutudeCar">
    <w:name w:val="sous-titre du mémoire ou étude Car"/>
    <w:basedOn w:val="Policepardfaut"/>
    <w:link w:val="sous-titredummoireoutude"/>
    <w:rsid w:val="003863FA"/>
    <w:rPr>
      <w:rFonts w:ascii="Aptos Light" w:eastAsia="Calibri" w:hAnsi="Aptos Light" w:cs="Calibri"/>
      <w:color w:val="auto"/>
      <w:w w:val="110"/>
      <w:szCs w:val="20"/>
      <w:lang w:val="fr-FR"/>
    </w:rPr>
  </w:style>
  <w:style w:type="paragraph" w:customStyle="1" w:styleId="Verbatim">
    <w:name w:val="Verbatim"/>
    <w:basedOn w:val="Normal"/>
    <w:next w:val="Paragraphe"/>
    <w:link w:val="VerbatimCar"/>
    <w:qFormat/>
    <w:rsid w:val="006C62E6"/>
    <w:pPr>
      <w:spacing w:before="240" w:after="240"/>
      <w:ind w:left="567" w:right="567"/>
      <w:jc w:val="left"/>
    </w:pPr>
    <w:rPr>
      <w:rFonts w:ascii="Aptos Light" w:eastAsia="Times New Roman" w:hAnsi="Aptos Light" w:cs="Times New Roman"/>
      <w:i/>
      <w:iCs/>
      <w:lang w:eastAsia="fr-CA"/>
    </w:rPr>
  </w:style>
  <w:style w:type="character" w:customStyle="1" w:styleId="VerbatimCar">
    <w:name w:val="Verbatim Car"/>
    <w:basedOn w:val="Policepardfaut"/>
    <w:link w:val="Verbatim"/>
    <w:rsid w:val="006C62E6"/>
    <w:rPr>
      <w:rFonts w:ascii="Aptos Light" w:eastAsia="Times New Roman" w:hAnsi="Aptos Light" w:cs="Times New Roman"/>
      <w:i/>
      <w:iCs/>
      <w:color w:val="auto"/>
      <w:lang w:eastAsia="fr-CA"/>
    </w:rPr>
  </w:style>
  <w:style w:type="paragraph" w:customStyle="1" w:styleId="Tableau">
    <w:name w:val="Tableau"/>
    <w:basedOn w:val="Normal"/>
    <w:link w:val="TableauCar"/>
    <w:autoRedefine/>
    <w:qFormat/>
    <w:rsid w:val="00AF59ED"/>
    <w:pPr>
      <w:jc w:val="center"/>
    </w:pPr>
    <w:rPr>
      <w:rFonts w:asciiTheme="minorHAnsi" w:eastAsia="Aptos" w:hAnsiTheme="minorHAnsi" w:cs="Calibri"/>
      <w:b/>
      <w:bCs/>
      <w:color w:val="FFFFFF" w:themeColor="background1"/>
      <w:lang w:eastAsia="fr-CA"/>
    </w:rPr>
  </w:style>
  <w:style w:type="character" w:customStyle="1" w:styleId="TableauCar">
    <w:name w:val="Tableau Car"/>
    <w:basedOn w:val="Policepardfaut"/>
    <w:link w:val="Tableau"/>
    <w:rsid w:val="00AF59ED"/>
    <w:rPr>
      <w:rFonts w:asciiTheme="minorHAnsi" w:eastAsia="Aptos" w:hAnsiTheme="minorHAnsi" w:cs="Calibri"/>
      <w:b/>
      <w:bCs/>
      <w:color w:val="FFFFFF" w:themeColor="background1"/>
      <w:lang w:eastAsia="fr-CA"/>
    </w:rPr>
  </w:style>
  <w:style w:type="paragraph" w:customStyle="1" w:styleId="TitreRecommandation">
    <w:name w:val="Titre Recommandation"/>
    <w:link w:val="TitreRecommandationCar"/>
    <w:autoRedefine/>
    <w:qFormat/>
    <w:rsid w:val="006039D4"/>
    <w:pPr>
      <w:spacing w:before="120"/>
      <w:ind w:left="284" w:right="58"/>
    </w:pPr>
    <w:rPr>
      <w:rFonts w:eastAsia="Times New Roman" w:cs="Times New Roman"/>
      <w:b/>
      <w:color w:val="953D89"/>
      <w:sz w:val="24"/>
      <w:szCs w:val="24"/>
      <w:lang w:eastAsia="fr-CA"/>
    </w:rPr>
  </w:style>
  <w:style w:type="paragraph" w:customStyle="1" w:styleId="Texterecommandation">
    <w:name w:val="Texte recommandation"/>
    <w:next w:val="Normal"/>
    <w:link w:val="TexterecommandationCar"/>
    <w:autoRedefine/>
    <w:qFormat/>
    <w:rsid w:val="005D4D49"/>
    <w:pPr>
      <w:tabs>
        <w:tab w:val="left" w:pos="113"/>
      </w:tabs>
      <w:spacing w:before="120" w:after="240"/>
      <w:ind w:left="567"/>
    </w:pPr>
    <w:rPr>
      <w:rFonts w:eastAsia="Times New Roman" w:cs="Times New Roman"/>
      <w:szCs w:val="24"/>
      <w:shd w:val="clear" w:color="auto" w:fill="E9F8FB"/>
      <w:lang w:eastAsia="fr-CA"/>
    </w:rPr>
  </w:style>
  <w:style w:type="character" w:customStyle="1" w:styleId="TexterecommandationCar">
    <w:name w:val="Texte recommandation Car"/>
    <w:basedOn w:val="Policepardfaut"/>
    <w:link w:val="Texterecommandation"/>
    <w:rsid w:val="005D4D49"/>
    <w:rPr>
      <w:rFonts w:eastAsia="Times New Roman" w:cs="Times New Roman"/>
      <w:szCs w:val="24"/>
      <w:lang w:eastAsia="fr-CA"/>
    </w:rPr>
  </w:style>
  <w:style w:type="paragraph" w:customStyle="1" w:styleId="Boterecommandation">
    <w:name w:val="Boîte recommandation"/>
    <w:basedOn w:val="Normal"/>
    <w:link w:val="BoterecommandationCar"/>
    <w:rsid w:val="00101F66"/>
    <w:pPr>
      <w:suppressAutoHyphens w:val="0"/>
      <w:autoSpaceDE/>
      <w:autoSpaceDN/>
      <w:adjustRightInd/>
      <w:spacing w:before="120"/>
      <w:ind w:left="284" w:right="58"/>
      <w:jc w:val="left"/>
      <w:textAlignment w:val="auto"/>
    </w:pPr>
    <w:rPr>
      <w:rFonts w:eastAsia="Times New Roman" w:cs="Times New Roman"/>
      <w:b/>
      <w:color w:val="953D89"/>
      <w:sz w:val="24"/>
      <w:szCs w:val="24"/>
      <w:lang w:eastAsia="fr-CA"/>
    </w:rPr>
  </w:style>
  <w:style w:type="character" w:customStyle="1" w:styleId="BoterecommandationCar">
    <w:name w:val="Boîte recommandation Car"/>
    <w:basedOn w:val="Policepardfaut"/>
    <w:link w:val="Boterecommandation"/>
    <w:rsid w:val="00101F66"/>
    <w:rPr>
      <w:rFonts w:eastAsia="Times New Roman" w:cs="Times New Roman"/>
      <w:b/>
      <w:color w:val="953D89"/>
      <w:sz w:val="24"/>
      <w:szCs w:val="24"/>
      <w:lang w:eastAsia="fr-CA"/>
    </w:rPr>
  </w:style>
  <w:style w:type="character" w:customStyle="1" w:styleId="TitreRecommandationCar">
    <w:name w:val="Titre Recommandation Car"/>
    <w:basedOn w:val="Policepardfaut"/>
    <w:link w:val="TitreRecommandation"/>
    <w:rsid w:val="006039D4"/>
    <w:rPr>
      <w:rFonts w:eastAsia="Times New Roman" w:cs="Times New Roman"/>
      <w:b/>
      <w:color w:val="953D89"/>
      <w:sz w:val="24"/>
      <w:szCs w:val="24"/>
      <w:lang w:eastAsia="fr-CA"/>
    </w:rPr>
  </w:style>
  <w:style w:type="paragraph" w:styleId="Rvision">
    <w:name w:val="Revision"/>
    <w:hidden/>
    <w:uiPriority w:val="99"/>
    <w:semiHidden/>
    <w:rsid w:val="00AA6B8C"/>
    <w:rPr>
      <w:color w:val="auto"/>
    </w:rPr>
  </w:style>
  <w:style w:type="character" w:styleId="Marquedecommentaire">
    <w:name w:val="annotation reference"/>
    <w:basedOn w:val="Policepardfaut"/>
    <w:uiPriority w:val="99"/>
    <w:semiHidden/>
    <w:unhideWhenUsed/>
    <w:rsid w:val="000A388D"/>
    <w:rPr>
      <w:sz w:val="16"/>
      <w:szCs w:val="16"/>
    </w:rPr>
  </w:style>
  <w:style w:type="paragraph" w:styleId="Commentaire">
    <w:name w:val="annotation text"/>
    <w:basedOn w:val="Normal"/>
    <w:link w:val="CommentaireCar"/>
    <w:uiPriority w:val="99"/>
    <w:unhideWhenUsed/>
    <w:rsid w:val="000A388D"/>
    <w:rPr>
      <w:sz w:val="20"/>
      <w:szCs w:val="20"/>
    </w:rPr>
  </w:style>
  <w:style w:type="character" w:customStyle="1" w:styleId="CommentaireCar">
    <w:name w:val="Commentaire Car"/>
    <w:basedOn w:val="Policepardfaut"/>
    <w:link w:val="Commentaire"/>
    <w:uiPriority w:val="99"/>
    <w:rsid w:val="000A388D"/>
    <w:rPr>
      <w:color w:val="auto"/>
      <w:sz w:val="20"/>
      <w:szCs w:val="20"/>
    </w:rPr>
  </w:style>
  <w:style w:type="paragraph" w:styleId="Objetducommentaire">
    <w:name w:val="annotation subject"/>
    <w:basedOn w:val="Commentaire"/>
    <w:next w:val="Commentaire"/>
    <w:link w:val="ObjetducommentaireCar"/>
    <w:uiPriority w:val="99"/>
    <w:semiHidden/>
    <w:unhideWhenUsed/>
    <w:rsid w:val="000A388D"/>
    <w:rPr>
      <w:b/>
      <w:bCs/>
    </w:rPr>
  </w:style>
  <w:style w:type="character" w:customStyle="1" w:styleId="ObjetducommentaireCar">
    <w:name w:val="Objet du commentaire Car"/>
    <w:basedOn w:val="CommentaireCar"/>
    <w:link w:val="Objetducommentaire"/>
    <w:uiPriority w:val="99"/>
    <w:semiHidden/>
    <w:rsid w:val="000A388D"/>
    <w:rPr>
      <w:b/>
      <w:bCs/>
      <w:color w:val="auto"/>
      <w:sz w:val="20"/>
      <w:szCs w:val="20"/>
    </w:rPr>
  </w:style>
  <w:style w:type="character" w:styleId="Mention">
    <w:name w:val="Mention"/>
    <w:basedOn w:val="Policepardfaut"/>
    <w:uiPriority w:val="99"/>
    <w:unhideWhenUsed/>
    <w:rsid w:val="001F332B"/>
    <w:rPr>
      <w:color w:val="2B579A"/>
      <w:shd w:val="clear" w:color="auto" w:fill="E1DFDD"/>
    </w:rPr>
  </w:style>
  <w:style w:type="paragraph" w:styleId="TM5">
    <w:name w:val="toc 5"/>
    <w:basedOn w:val="Normal"/>
    <w:next w:val="Normal"/>
    <w:autoRedefine/>
    <w:uiPriority w:val="39"/>
    <w:unhideWhenUsed/>
    <w:rsid w:val="00804CFF"/>
    <w:pPr>
      <w:tabs>
        <w:tab w:val="left" w:pos="1701"/>
        <w:tab w:val="right" w:leader="dot" w:pos="9962"/>
      </w:tabs>
      <w:spacing w:after="100"/>
      <w:ind w:left="1560" w:hanging="284"/>
      <w:jc w:val="left"/>
    </w:pPr>
  </w:style>
  <w:style w:type="paragraph" w:styleId="Adressedestinataire">
    <w:name w:val="envelope address"/>
    <w:basedOn w:val="Normal"/>
    <w:uiPriority w:val="99"/>
    <w:semiHidden/>
    <w:unhideWhenUsed/>
    <w:rsid w:val="0085330E"/>
    <w:pPr>
      <w:framePr w:w="7938" w:h="1985" w:hRule="exact" w:hSpace="141" w:wrap="auto" w:hAnchor="page" w:xAlign="center" w:yAlign="bottom"/>
      <w:ind w:left="2835"/>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85330E"/>
    <w:rPr>
      <w:rFonts w:asciiTheme="majorHAnsi" w:eastAsiaTheme="majorEastAsia" w:hAnsiTheme="majorHAnsi" w:cstheme="majorBidi"/>
      <w:sz w:val="20"/>
      <w:szCs w:val="20"/>
    </w:rPr>
  </w:style>
  <w:style w:type="paragraph" w:styleId="AdresseHTML">
    <w:name w:val="HTML Address"/>
    <w:basedOn w:val="Normal"/>
    <w:link w:val="AdresseHTMLCar"/>
    <w:uiPriority w:val="99"/>
    <w:semiHidden/>
    <w:unhideWhenUsed/>
    <w:rsid w:val="0085330E"/>
    <w:rPr>
      <w:i/>
      <w:iCs/>
    </w:rPr>
  </w:style>
  <w:style w:type="character" w:customStyle="1" w:styleId="AdresseHTMLCar">
    <w:name w:val="Adresse HTML Car"/>
    <w:basedOn w:val="Policepardfaut"/>
    <w:link w:val="AdresseHTML"/>
    <w:uiPriority w:val="99"/>
    <w:semiHidden/>
    <w:rsid w:val="0085330E"/>
    <w:rPr>
      <w:i/>
      <w:iCs/>
      <w:color w:val="auto"/>
    </w:rPr>
  </w:style>
  <w:style w:type="paragraph" w:styleId="Bibliographie">
    <w:name w:val="Bibliography"/>
    <w:basedOn w:val="Normal"/>
    <w:next w:val="Normal"/>
    <w:uiPriority w:val="37"/>
    <w:semiHidden/>
    <w:unhideWhenUsed/>
    <w:rsid w:val="0085330E"/>
  </w:style>
  <w:style w:type="paragraph" w:styleId="Corpsdetexte2">
    <w:name w:val="Body Text 2"/>
    <w:basedOn w:val="Normal"/>
    <w:link w:val="Corpsdetexte2Car"/>
    <w:uiPriority w:val="99"/>
    <w:semiHidden/>
    <w:unhideWhenUsed/>
    <w:rsid w:val="0085330E"/>
    <w:pPr>
      <w:spacing w:after="120" w:line="480" w:lineRule="auto"/>
    </w:pPr>
  </w:style>
  <w:style w:type="character" w:customStyle="1" w:styleId="Corpsdetexte2Car">
    <w:name w:val="Corps de texte 2 Car"/>
    <w:basedOn w:val="Policepardfaut"/>
    <w:link w:val="Corpsdetexte2"/>
    <w:uiPriority w:val="99"/>
    <w:semiHidden/>
    <w:rsid w:val="0085330E"/>
    <w:rPr>
      <w:color w:val="auto"/>
    </w:rPr>
  </w:style>
  <w:style w:type="paragraph" w:styleId="Corpsdetexte3">
    <w:name w:val="Body Text 3"/>
    <w:basedOn w:val="Normal"/>
    <w:link w:val="Corpsdetexte3Car"/>
    <w:uiPriority w:val="99"/>
    <w:semiHidden/>
    <w:unhideWhenUsed/>
    <w:rsid w:val="0085330E"/>
    <w:pPr>
      <w:spacing w:after="120"/>
    </w:pPr>
    <w:rPr>
      <w:sz w:val="16"/>
      <w:szCs w:val="16"/>
    </w:rPr>
  </w:style>
  <w:style w:type="character" w:customStyle="1" w:styleId="Corpsdetexte3Car">
    <w:name w:val="Corps de texte 3 Car"/>
    <w:basedOn w:val="Policepardfaut"/>
    <w:link w:val="Corpsdetexte3"/>
    <w:uiPriority w:val="99"/>
    <w:semiHidden/>
    <w:rsid w:val="0085330E"/>
    <w:rPr>
      <w:color w:val="auto"/>
      <w:sz w:val="16"/>
      <w:szCs w:val="16"/>
    </w:rPr>
  </w:style>
  <w:style w:type="paragraph" w:styleId="Date">
    <w:name w:val="Date"/>
    <w:basedOn w:val="Normal"/>
    <w:next w:val="Normal"/>
    <w:link w:val="DateCar"/>
    <w:uiPriority w:val="99"/>
    <w:semiHidden/>
    <w:unhideWhenUsed/>
    <w:rsid w:val="0085330E"/>
  </w:style>
  <w:style w:type="character" w:customStyle="1" w:styleId="DateCar">
    <w:name w:val="Date Car"/>
    <w:basedOn w:val="Policepardfaut"/>
    <w:link w:val="Date"/>
    <w:uiPriority w:val="99"/>
    <w:semiHidden/>
    <w:rsid w:val="0085330E"/>
    <w:rPr>
      <w:color w:val="auto"/>
    </w:rPr>
  </w:style>
  <w:style w:type="paragraph" w:styleId="En-ttedemessage">
    <w:name w:val="Message Header"/>
    <w:basedOn w:val="Normal"/>
    <w:link w:val="En-ttedemessageCar"/>
    <w:uiPriority w:val="99"/>
    <w:semiHidden/>
    <w:unhideWhenUsed/>
    <w:rsid w:val="0085330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85330E"/>
    <w:rPr>
      <w:rFonts w:asciiTheme="majorHAnsi" w:eastAsiaTheme="majorEastAsia" w:hAnsiTheme="majorHAnsi" w:cstheme="majorBidi"/>
      <w:color w:val="auto"/>
      <w:sz w:val="24"/>
      <w:szCs w:val="24"/>
      <w:shd w:val="pct20" w:color="auto" w:fill="auto"/>
    </w:rPr>
  </w:style>
  <w:style w:type="paragraph" w:styleId="Explorateurdedocuments">
    <w:name w:val="Document Map"/>
    <w:basedOn w:val="Normal"/>
    <w:link w:val="ExplorateurdedocumentsCar"/>
    <w:uiPriority w:val="99"/>
    <w:semiHidden/>
    <w:unhideWhenUsed/>
    <w:rsid w:val="0085330E"/>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85330E"/>
    <w:rPr>
      <w:rFonts w:ascii="Segoe UI" w:hAnsi="Segoe UI" w:cs="Segoe UI"/>
      <w:color w:val="auto"/>
      <w:sz w:val="16"/>
      <w:szCs w:val="16"/>
    </w:rPr>
  </w:style>
  <w:style w:type="paragraph" w:styleId="Formuledepolitesse">
    <w:name w:val="Closing"/>
    <w:basedOn w:val="Normal"/>
    <w:link w:val="FormuledepolitesseCar"/>
    <w:uiPriority w:val="99"/>
    <w:semiHidden/>
    <w:unhideWhenUsed/>
    <w:rsid w:val="0085330E"/>
    <w:pPr>
      <w:ind w:left="4252"/>
    </w:pPr>
  </w:style>
  <w:style w:type="character" w:customStyle="1" w:styleId="FormuledepolitesseCar">
    <w:name w:val="Formule de politesse Car"/>
    <w:basedOn w:val="Policepardfaut"/>
    <w:link w:val="Formuledepolitesse"/>
    <w:uiPriority w:val="99"/>
    <w:semiHidden/>
    <w:rsid w:val="0085330E"/>
    <w:rPr>
      <w:color w:val="auto"/>
    </w:rPr>
  </w:style>
  <w:style w:type="paragraph" w:styleId="Index1">
    <w:name w:val="index 1"/>
    <w:basedOn w:val="Normal"/>
    <w:next w:val="Normal"/>
    <w:autoRedefine/>
    <w:uiPriority w:val="99"/>
    <w:semiHidden/>
    <w:unhideWhenUsed/>
    <w:rsid w:val="0085330E"/>
    <w:pPr>
      <w:ind w:left="220" w:hanging="220"/>
    </w:pPr>
  </w:style>
  <w:style w:type="paragraph" w:styleId="Index2">
    <w:name w:val="index 2"/>
    <w:basedOn w:val="Normal"/>
    <w:next w:val="Normal"/>
    <w:autoRedefine/>
    <w:uiPriority w:val="99"/>
    <w:semiHidden/>
    <w:unhideWhenUsed/>
    <w:rsid w:val="0085330E"/>
    <w:pPr>
      <w:ind w:left="440" w:hanging="220"/>
    </w:pPr>
  </w:style>
  <w:style w:type="paragraph" w:styleId="Index3">
    <w:name w:val="index 3"/>
    <w:basedOn w:val="Normal"/>
    <w:next w:val="Normal"/>
    <w:autoRedefine/>
    <w:uiPriority w:val="99"/>
    <w:semiHidden/>
    <w:unhideWhenUsed/>
    <w:rsid w:val="0085330E"/>
    <w:pPr>
      <w:ind w:left="660" w:hanging="220"/>
    </w:pPr>
  </w:style>
  <w:style w:type="paragraph" w:styleId="Index4">
    <w:name w:val="index 4"/>
    <w:basedOn w:val="Normal"/>
    <w:next w:val="Normal"/>
    <w:autoRedefine/>
    <w:uiPriority w:val="99"/>
    <w:semiHidden/>
    <w:unhideWhenUsed/>
    <w:rsid w:val="0085330E"/>
    <w:pPr>
      <w:ind w:left="880" w:hanging="220"/>
    </w:pPr>
  </w:style>
  <w:style w:type="paragraph" w:styleId="Index5">
    <w:name w:val="index 5"/>
    <w:basedOn w:val="Normal"/>
    <w:next w:val="Normal"/>
    <w:autoRedefine/>
    <w:uiPriority w:val="99"/>
    <w:semiHidden/>
    <w:unhideWhenUsed/>
    <w:rsid w:val="0085330E"/>
    <w:pPr>
      <w:ind w:left="1100" w:hanging="220"/>
    </w:pPr>
  </w:style>
  <w:style w:type="paragraph" w:styleId="Index6">
    <w:name w:val="index 6"/>
    <w:basedOn w:val="Normal"/>
    <w:next w:val="Normal"/>
    <w:autoRedefine/>
    <w:uiPriority w:val="99"/>
    <w:semiHidden/>
    <w:unhideWhenUsed/>
    <w:rsid w:val="0085330E"/>
    <w:pPr>
      <w:ind w:left="1320" w:hanging="220"/>
    </w:pPr>
  </w:style>
  <w:style w:type="paragraph" w:styleId="Index7">
    <w:name w:val="index 7"/>
    <w:basedOn w:val="Normal"/>
    <w:next w:val="Normal"/>
    <w:autoRedefine/>
    <w:uiPriority w:val="99"/>
    <w:semiHidden/>
    <w:unhideWhenUsed/>
    <w:rsid w:val="0085330E"/>
    <w:pPr>
      <w:ind w:left="1540" w:hanging="220"/>
    </w:pPr>
  </w:style>
  <w:style w:type="paragraph" w:styleId="Index8">
    <w:name w:val="index 8"/>
    <w:basedOn w:val="Normal"/>
    <w:next w:val="Normal"/>
    <w:autoRedefine/>
    <w:uiPriority w:val="99"/>
    <w:semiHidden/>
    <w:unhideWhenUsed/>
    <w:rsid w:val="0085330E"/>
    <w:pPr>
      <w:ind w:left="1760" w:hanging="220"/>
    </w:pPr>
  </w:style>
  <w:style w:type="paragraph" w:styleId="Index9">
    <w:name w:val="index 9"/>
    <w:basedOn w:val="Normal"/>
    <w:next w:val="Normal"/>
    <w:autoRedefine/>
    <w:uiPriority w:val="99"/>
    <w:semiHidden/>
    <w:unhideWhenUsed/>
    <w:rsid w:val="0085330E"/>
    <w:pPr>
      <w:ind w:left="1980" w:hanging="220"/>
    </w:pPr>
  </w:style>
  <w:style w:type="paragraph" w:styleId="Lgende">
    <w:name w:val="caption"/>
    <w:basedOn w:val="Normal"/>
    <w:next w:val="Normal"/>
    <w:uiPriority w:val="35"/>
    <w:semiHidden/>
    <w:unhideWhenUsed/>
    <w:qFormat/>
    <w:rsid w:val="0085330E"/>
    <w:pPr>
      <w:spacing w:after="200"/>
    </w:pPr>
    <w:rPr>
      <w:i/>
      <w:iCs/>
      <w:color w:val="242852" w:themeColor="text2"/>
      <w:sz w:val="18"/>
      <w:szCs w:val="18"/>
    </w:rPr>
  </w:style>
  <w:style w:type="paragraph" w:styleId="Liste">
    <w:name w:val="List"/>
    <w:basedOn w:val="Normal"/>
    <w:uiPriority w:val="99"/>
    <w:semiHidden/>
    <w:unhideWhenUsed/>
    <w:rsid w:val="0085330E"/>
    <w:pPr>
      <w:ind w:left="283" w:hanging="283"/>
      <w:contextualSpacing/>
    </w:pPr>
  </w:style>
  <w:style w:type="paragraph" w:styleId="Liste2">
    <w:name w:val="List 2"/>
    <w:basedOn w:val="Normal"/>
    <w:uiPriority w:val="99"/>
    <w:semiHidden/>
    <w:unhideWhenUsed/>
    <w:rsid w:val="0085330E"/>
    <w:pPr>
      <w:ind w:left="566" w:hanging="283"/>
      <w:contextualSpacing/>
    </w:pPr>
  </w:style>
  <w:style w:type="paragraph" w:styleId="Liste3">
    <w:name w:val="List 3"/>
    <w:basedOn w:val="Normal"/>
    <w:uiPriority w:val="99"/>
    <w:semiHidden/>
    <w:unhideWhenUsed/>
    <w:rsid w:val="0085330E"/>
    <w:pPr>
      <w:ind w:left="849" w:hanging="283"/>
      <w:contextualSpacing/>
    </w:pPr>
  </w:style>
  <w:style w:type="paragraph" w:styleId="Liste4">
    <w:name w:val="List 4"/>
    <w:basedOn w:val="Normal"/>
    <w:uiPriority w:val="99"/>
    <w:semiHidden/>
    <w:unhideWhenUsed/>
    <w:rsid w:val="0085330E"/>
    <w:pPr>
      <w:ind w:left="1132" w:hanging="283"/>
      <w:contextualSpacing/>
    </w:pPr>
  </w:style>
  <w:style w:type="paragraph" w:styleId="Liste5">
    <w:name w:val="List 5"/>
    <w:basedOn w:val="Normal"/>
    <w:uiPriority w:val="99"/>
    <w:semiHidden/>
    <w:unhideWhenUsed/>
    <w:rsid w:val="0085330E"/>
    <w:pPr>
      <w:ind w:left="1415" w:hanging="283"/>
      <w:contextualSpacing/>
    </w:pPr>
  </w:style>
  <w:style w:type="paragraph" w:styleId="Listenumros">
    <w:name w:val="List Number"/>
    <w:basedOn w:val="Normal"/>
    <w:uiPriority w:val="99"/>
    <w:semiHidden/>
    <w:unhideWhenUsed/>
    <w:rsid w:val="0085330E"/>
    <w:pPr>
      <w:numPr>
        <w:numId w:val="37"/>
      </w:numPr>
      <w:contextualSpacing/>
    </w:pPr>
  </w:style>
  <w:style w:type="paragraph" w:styleId="Listenumros2">
    <w:name w:val="List Number 2"/>
    <w:basedOn w:val="Normal"/>
    <w:uiPriority w:val="99"/>
    <w:semiHidden/>
    <w:unhideWhenUsed/>
    <w:rsid w:val="0085330E"/>
    <w:pPr>
      <w:numPr>
        <w:numId w:val="38"/>
      </w:numPr>
      <w:contextualSpacing/>
    </w:pPr>
  </w:style>
  <w:style w:type="paragraph" w:styleId="Listenumros3">
    <w:name w:val="List Number 3"/>
    <w:basedOn w:val="Normal"/>
    <w:uiPriority w:val="99"/>
    <w:semiHidden/>
    <w:unhideWhenUsed/>
    <w:rsid w:val="0085330E"/>
    <w:pPr>
      <w:numPr>
        <w:numId w:val="39"/>
      </w:numPr>
      <w:contextualSpacing/>
    </w:pPr>
  </w:style>
  <w:style w:type="paragraph" w:styleId="Listenumros4">
    <w:name w:val="List Number 4"/>
    <w:basedOn w:val="Normal"/>
    <w:uiPriority w:val="99"/>
    <w:semiHidden/>
    <w:unhideWhenUsed/>
    <w:rsid w:val="0085330E"/>
    <w:pPr>
      <w:numPr>
        <w:numId w:val="40"/>
      </w:numPr>
      <w:contextualSpacing/>
    </w:pPr>
  </w:style>
  <w:style w:type="paragraph" w:styleId="Listenumros5">
    <w:name w:val="List Number 5"/>
    <w:basedOn w:val="Normal"/>
    <w:uiPriority w:val="99"/>
    <w:semiHidden/>
    <w:unhideWhenUsed/>
    <w:rsid w:val="0085330E"/>
    <w:pPr>
      <w:numPr>
        <w:numId w:val="41"/>
      </w:numPr>
      <w:contextualSpacing/>
    </w:pPr>
  </w:style>
  <w:style w:type="paragraph" w:styleId="Listepuces">
    <w:name w:val="List Bullet"/>
    <w:basedOn w:val="Normal"/>
    <w:uiPriority w:val="99"/>
    <w:semiHidden/>
    <w:unhideWhenUsed/>
    <w:rsid w:val="0085330E"/>
    <w:pPr>
      <w:numPr>
        <w:numId w:val="42"/>
      </w:numPr>
      <w:contextualSpacing/>
    </w:pPr>
  </w:style>
  <w:style w:type="paragraph" w:styleId="Listepuces2">
    <w:name w:val="List Bullet 2"/>
    <w:basedOn w:val="Normal"/>
    <w:uiPriority w:val="99"/>
    <w:semiHidden/>
    <w:unhideWhenUsed/>
    <w:rsid w:val="0085330E"/>
    <w:pPr>
      <w:numPr>
        <w:numId w:val="43"/>
      </w:numPr>
      <w:contextualSpacing/>
    </w:pPr>
  </w:style>
  <w:style w:type="paragraph" w:styleId="Listepuces3">
    <w:name w:val="List Bullet 3"/>
    <w:basedOn w:val="Normal"/>
    <w:uiPriority w:val="99"/>
    <w:semiHidden/>
    <w:unhideWhenUsed/>
    <w:rsid w:val="0085330E"/>
    <w:pPr>
      <w:numPr>
        <w:numId w:val="44"/>
      </w:numPr>
      <w:contextualSpacing/>
    </w:pPr>
  </w:style>
  <w:style w:type="paragraph" w:styleId="Listepuces4">
    <w:name w:val="List Bullet 4"/>
    <w:basedOn w:val="Normal"/>
    <w:uiPriority w:val="99"/>
    <w:semiHidden/>
    <w:unhideWhenUsed/>
    <w:rsid w:val="0085330E"/>
    <w:pPr>
      <w:numPr>
        <w:numId w:val="45"/>
      </w:numPr>
      <w:contextualSpacing/>
    </w:pPr>
  </w:style>
  <w:style w:type="paragraph" w:styleId="Listepuces5">
    <w:name w:val="List Bullet 5"/>
    <w:basedOn w:val="Normal"/>
    <w:uiPriority w:val="99"/>
    <w:semiHidden/>
    <w:unhideWhenUsed/>
    <w:rsid w:val="0085330E"/>
    <w:pPr>
      <w:numPr>
        <w:numId w:val="46"/>
      </w:numPr>
      <w:contextualSpacing/>
    </w:pPr>
  </w:style>
  <w:style w:type="paragraph" w:styleId="Listecontinue">
    <w:name w:val="List Continue"/>
    <w:basedOn w:val="Normal"/>
    <w:uiPriority w:val="99"/>
    <w:semiHidden/>
    <w:unhideWhenUsed/>
    <w:rsid w:val="0085330E"/>
    <w:pPr>
      <w:spacing w:after="120"/>
      <w:ind w:left="283"/>
      <w:contextualSpacing/>
    </w:pPr>
  </w:style>
  <w:style w:type="paragraph" w:styleId="Listecontinue2">
    <w:name w:val="List Continue 2"/>
    <w:basedOn w:val="Normal"/>
    <w:uiPriority w:val="99"/>
    <w:semiHidden/>
    <w:unhideWhenUsed/>
    <w:rsid w:val="0085330E"/>
    <w:pPr>
      <w:spacing w:after="120"/>
      <w:ind w:left="566"/>
      <w:contextualSpacing/>
    </w:pPr>
  </w:style>
  <w:style w:type="paragraph" w:styleId="Listecontinue3">
    <w:name w:val="List Continue 3"/>
    <w:basedOn w:val="Normal"/>
    <w:uiPriority w:val="99"/>
    <w:semiHidden/>
    <w:unhideWhenUsed/>
    <w:rsid w:val="0085330E"/>
    <w:pPr>
      <w:spacing w:after="120"/>
      <w:ind w:left="849"/>
      <w:contextualSpacing/>
    </w:pPr>
  </w:style>
  <w:style w:type="paragraph" w:styleId="Listecontinue4">
    <w:name w:val="List Continue 4"/>
    <w:basedOn w:val="Normal"/>
    <w:uiPriority w:val="99"/>
    <w:semiHidden/>
    <w:unhideWhenUsed/>
    <w:rsid w:val="0085330E"/>
    <w:pPr>
      <w:spacing w:after="120"/>
      <w:ind w:left="1132"/>
      <w:contextualSpacing/>
    </w:pPr>
  </w:style>
  <w:style w:type="paragraph" w:styleId="Listecontinue5">
    <w:name w:val="List Continue 5"/>
    <w:basedOn w:val="Normal"/>
    <w:uiPriority w:val="99"/>
    <w:semiHidden/>
    <w:unhideWhenUsed/>
    <w:rsid w:val="0085330E"/>
    <w:pPr>
      <w:spacing w:after="120"/>
      <w:ind w:left="1415"/>
      <w:contextualSpacing/>
    </w:pPr>
  </w:style>
  <w:style w:type="paragraph" w:styleId="NormalWeb">
    <w:name w:val="Normal (Web)"/>
    <w:basedOn w:val="Normal"/>
    <w:uiPriority w:val="99"/>
    <w:semiHidden/>
    <w:unhideWhenUsed/>
    <w:rsid w:val="0085330E"/>
    <w:rPr>
      <w:rFonts w:ascii="Times New Roman" w:hAnsi="Times New Roman" w:cs="Times New Roman"/>
      <w:sz w:val="24"/>
      <w:szCs w:val="24"/>
    </w:rPr>
  </w:style>
  <w:style w:type="paragraph" w:styleId="Normalcentr">
    <w:name w:val="Block Text"/>
    <w:basedOn w:val="Normal"/>
    <w:uiPriority w:val="99"/>
    <w:semiHidden/>
    <w:unhideWhenUsed/>
    <w:rsid w:val="0085330E"/>
    <w:pPr>
      <w:pBdr>
        <w:top w:val="single" w:sz="2" w:space="10" w:color="4A66AC" w:themeColor="accent1"/>
        <w:left w:val="single" w:sz="2" w:space="10" w:color="4A66AC" w:themeColor="accent1"/>
        <w:bottom w:val="single" w:sz="2" w:space="10" w:color="4A66AC" w:themeColor="accent1"/>
        <w:right w:val="single" w:sz="2" w:space="10" w:color="4A66AC" w:themeColor="accent1"/>
      </w:pBdr>
      <w:ind w:left="1152" w:right="1152"/>
    </w:pPr>
    <w:rPr>
      <w:rFonts w:asciiTheme="minorHAnsi" w:eastAsiaTheme="minorEastAsia" w:hAnsiTheme="minorHAnsi"/>
      <w:i/>
      <w:iCs/>
      <w:color w:val="4A66AC" w:themeColor="accent1"/>
    </w:rPr>
  </w:style>
  <w:style w:type="paragraph" w:styleId="Notedefin">
    <w:name w:val="endnote text"/>
    <w:basedOn w:val="Normal"/>
    <w:link w:val="NotedefinCar"/>
    <w:uiPriority w:val="99"/>
    <w:semiHidden/>
    <w:unhideWhenUsed/>
    <w:rsid w:val="0085330E"/>
    <w:rPr>
      <w:sz w:val="20"/>
      <w:szCs w:val="20"/>
    </w:rPr>
  </w:style>
  <w:style w:type="character" w:customStyle="1" w:styleId="NotedefinCar">
    <w:name w:val="Note de fin Car"/>
    <w:basedOn w:val="Policepardfaut"/>
    <w:link w:val="Notedefin"/>
    <w:uiPriority w:val="99"/>
    <w:semiHidden/>
    <w:rsid w:val="0085330E"/>
    <w:rPr>
      <w:color w:val="auto"/>
      <w:sz w:val="20"/>
      <w:szCs w:val="20"/>
    </w:rPr>
  </w:style>
  <w:style w:type="paragraph" w:styleId="PrformatHTML">
    <w:name w:val="HTML Preformatted"/>
    <w:basedOn w:val="Normal"/>
    <w:link w:val="PrformatHTMLCar"/>
    <w:uiPriority w:val="99"/>
    <w:semiHidden/>
    <w:unhideWhenUsed/>
    <w:rsid w:val="0085330E"/>
    <w:rPr>
      <w:rFonts w:ascii="Consolas" w:hAnsi="Consolas"/>
      <w:sz w:val="20"/>
      <w:szCs w:val="20"/>
    </w:rPr>
  </w:style>
  <w:style w:type="character" w:customStyle="1" w:styleId="PrformatHTMLCar">
    <w:name w:val="Préformaté HTML Car"/>
    <w:basedOn w:val="Policepardfaut"/>
    <w:link w:val="PrformatHTML"/>
    <w:uiPriority w:val="99"/>
    <w:semiHidden/>
    <w:rsid w:val="0085330E"/>
    <w:rPr>
      <w:rFonts w:ascii="Consolas" w:hAnsi="Consolas"/>
      <w:color w:val="auto"/>
      <w:sz w:val="20"/>
      <w:szCs w:val="20"/>
    </w:rPr>
  </w:style>
  <w:style w:type="paragraph" w:styleId="Retrait1religne">
    <w:name w:val="Body Text First Indent"/>
    <w:basedOn w:val="Corpsdetexte"/>
    <w:link w:val="Retrait1religneCar"/>
    <w:uiPriority w:val="99"/>
    <w:semiHidden/>
    <w:unhideWhenUsed/>
    <w:rsid w:val="0085330E"/>
    <w:pPr>
      <w:widowControl/>
      <w:ind w:right="0" w:firstLine="360"/>
    </w:pPr>
    <w:rPr>
      <w:rFonts w:eastAsiaTheme="minorHAnsi"/>
      <w:b w:val="0"/>
      <w:spacing w:val="0"/>
      <w:lang w:val="fr-CA"/>
    </w:rPr>
  </w:style>
  <w:style w:type="character" w:customStyle="1" w:styleId="Retrait1religneCar">
    <w:name w:val="Retrait 1re ligne Car"/>
    <w:basedOn w:val="CorpsdetexteCar"/>
    <w:link w:val="Retrait1religne"/>
    <w:uiPriority w:val="99"/>
    <w:semiHidden/>
    <w:rsid w:val="0085330E"/>
    <w:rPr>
      <w:rFonts w:eastAsia="Aptos"/>
      <w:b w:val="0"/>
      <w:color w:val="auto"/>
      <w:spacing w:val="-2"/>
      <w:lang w:val="fr-FR"/>
    </w:rPr>
  </w:style>
  <w:style w:type="paragraph" w:styleId="Retraitcorpsdetexte">
    <w:name w:val="Body Text Indent"/>
    <w:basedOn w:val="Normal"/>
    <w:link w:val="RetraitcorpsdetexteCar"/>
    <w:uiPriority w:val="99"/>
    <w:semiHidden/>
    <w:unhideWhenUsed/>
    <w:rsid w:val="0085330E"/>
    <w:pPr>
      <w:spacing w:after="120"/>
      <w:ind w:left="283"/>
    </w:pPr>
  </w:style>
  <w:style w:type="character" w:customStyle="1" w:styleId="RetraitcorpsdetexteCar">
    <w:name w:val="Retrait corps de texte Car"/>
    <w:basedOn w:val="Policepardfaut"/>
    <w:link w:val="Retraitcorpsdetexte"/>
    <w:uiPriority w:val="99"/>
    <w:semiHidden/>
    <w:rsid w:val="0085330E"/>
    <w:rPr>
      <w:color w:val="auto"/>
    </w:rPr>
  </w:style>
  <w:style w:type="paragraph" w:styleId="Retraitcorpsdetexte2">
    <w:name w:val="Body Text Indent 2"/>
    <w:basedOn w:val="Normal"/>
    <w:link w:val="Retraitcorpsdetexte2Car"/>
    <w:uiPriority w:val="99"/>
    <w:semiHidden/>
    <w:unhideWhenUsed/>
    <w:rsid w:val="0085330E"/>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85330E"/>
    <w:rPr>
      <w:color w:val="auto"/>
    </w:rPr>
  </w:style>
  <w:style w:type="paragraph" w:styleId="Retraitcorpsdetexte3">
    <w:name w:val="Body Text Indent 3"/>
    <w:basedOn w:val="Normal"/>
    <w:link w:val="Retraitcorpsdetexte3Car"/>
    <w:uiPriority w:val="99"/>
    <w:semiHidden/>
    <w:unhideWhenUsed/>
    <w:rsid w:val="0085330E"/>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85330E"/>
    <w:rPr>
      <w:color w:val="auto"/>
      <w:sz w:val="16"/>
      <w:szCs w:val="16"/>
    </w:rPr>
  </w:style>
  <w:style w:type="paragraph" w:styleId="Retraitcorpset1relig">
    <w:name w:val="Body Text First Indent 2"/>
    <w:basedOn w:val="Retraitcorpsdetexte"/>
    <w:link w:val="Retraitcorpset1religCar"/>
    <w:uiPriority w:val="99"/>
    <w:semiHidden/>
    <w:unhideWhenUsed/>
    <w:rsid w:val="0085330E"/>
    <w:pPr>
      <w:spacing w:after="0"/>
      <w:ind w:left="360" w:firstLine="360"/>
    </w:pPr>
  </w:style>
  <w:style w:type="character" w:customStyle="1" w:styleId="Retraitcorpset1religCar">
    <w:name w:val="Retrait corps et 1re lig. Car"/>
    <w:basedOn w:val="RetraitcorpsdetexteCar"/>
    <w:link w:val="Retraitcorpset1relig"/>
    <w:uiPriority w:val="99"/>
    <w:semiHidden/>
    <w:rsid w:val="0085330E"/>
    <w:rPr>
      <w:color w:val="auto"/>
    </w:rPr>
  </w:style>
  <w:style w:type="paragraph" w:styleId="Retraitnormal">
    <w:name w:val="Normal Indent"/>
    <w:basedOn w:val="Normal"/>
    <w:uiPriority w:val="99"/>
    <w:semiHidden/>
    <w:unhideWhenUsed/>
    <w:rsid w:val="0085330E"/>
    <w:pPr>
      <w:ind w:left="708"/>
    </w:pPr>
  </w:style>
  <w:style w:type="paragraph" w:styleId="Salutations">
    <w:name w:val="Salutation"/>
    <w:basedOn w:val="Normal"/>
    <w:next w:val="Normal"/>
    <w:link w:val="SalutationsCar"/>
    <w:uiPriority w:val="99"/>
    <w:semiHidden/>
    <w:unhideWhenUsed/>
    <w:rsid w:val="0085330E"/>
  </w:style>
  <w:style w:type="character" w:customStyle="1" w:styleId="SalutationsCar">
    <w:name w:val="Salutations Car"/>
    <w:basedOn w:val="Policepardfaut"/>
    <w:link w:val="Salutations"/>
    <w:uiPriority w:val="99"/>
    <w:semiHidden/>
    <w:rsid w:val="0085330E"/>
    <w:rPr>
      <w:color w:val="auto"/>
    </w:rPr>
  </w:style>
  <w:style w:type="paragraph" w:styleId="Signature">
    <w:name w:val="Signature"/>
    <w:basedOn w:val="Normal"/>
    <w:link w:val="SignatureCar"/>
    <w:uiPriority w:val="99"/>
    <w:semiHidden/>
    <w:unhideWhenUsed/>
    <w:rsid w:val="0085330E"/>
    <w:pPr>
      <w:ind w:left="4252"/>
    </w:pPr>
  </w:style>
  <w:style w:type="character" w:customStyle="1" w:styleId="SignatureCar">
    <w:name w:val="Signature Car"/>
    <w:basedOn w:val="Policepardfaut"/>
    <w:link w:val="Signature"/>
    <w:uiPriority w:val="99"/>
    <w:semiHidden/>
    <w:rsid w:val="0085330E"/>
    <w:rPr>
      <w:color w:val="auto"/>
    </w:rPr>
  </w:style>
  <w:style w:type="paragraph" w:styleId="Signaturelectronique">
    <w:name w:val="E-mail Signature"/>
    <w:basedOn w:val="Normal"/>
    <w:link w:val="SignaturelectroniqueCar"/>
    <w:uiPriority w:val="99"/>
    <w:semiHidden/>
    <w:unhideWhenUsed/>
    <w:rsid w:val="0085330E"/>
  </w:style>
  <w:style w:type="character" w:customStyle="1" w:styleId="SignaturelectroniqueCar">
    <w:name w:val="Signature électronique Car"/>
    <w:basedOn w:val="Policepardfaut"/>
    <w:link w:val="Signaturelectronique"/>
    <w:uiPriority w:val="99"/>
    <w:semiHidden/>
    <w:rsid w:val="0085330E"/>
    <w:rPr>
      <w:color w:val="auto"/>
    </w:rPr>
  </w:style>
  <w:style w:type="paragraph" w:styleId="Tabledesillustrations">
    <w:name w:val="table of figures"/>
    <w:basedOn w:val="Normal"/>
    <w:next w:val="Normal"/>
    <w:uiPriority w:val="99"/>
    <w:semiHidden/>
    <w:unhideWhenUsed/>
    <w:rsid w:val="0085330E"/>
  </w:style>
  <w:style w:type="paragraph" w:styleId="Tabledesrfrencesjuridiques">
    <w:name w:val="table of authorities"/>
    <w:basedOn w:val="Normal"/>
    <w:next w:val="Normal"/>
    <w:uiPriority w:val="99"/>
    <w:semiHidden/>
    <w:unhideWhenUsed/>
    <w:rsid w:val="0085330E"/>
    <w:pPr>
      <w:ind w:left="220" w:hanging="220"/>
    </w:pPr>
  </w:style>
  <w:style w:type="paragraph" w:styleId="Textebrut">
    <w:name w:val="Plain Text"/>
    <w:basedOn w:val="Normal"/>
    <w:link w:val="TextebrutCar"/>
    <w:uiPriority w:val="99"/>
    <w:semiHidden/>
    <w:unhideWhenUsed/>
    <w:rsid w:val="0085330E"/>
    <w:rPr>
      <w:rFonts w:ascii="Consolas" w:hAnsi="Consolas"/>
      <w:sz w:val="21"/>
      <w:szCs w:val="21"/>
    </w:rPr>
  </w:style>
  <w:style w:type="character" w:customStyle="1" w:styleId="TextebrutCar">
    <w:name w:val="Texte brut Car"/>
    <w:basedOn w:val="Policepardfaut"/>
    <w:link w:val="Textebrut"/>
    <w:uiPriority w:val="99"/>
    <w:semiHidden/>
    <w:rsid w:val="0085330E"/>
    <w:rPr>
      <w:rFonts w:ascii="Consolas" w:hAnsi="Consolas"/>
      <w:color w:val="auto"/>
      <w:sz w:val="21"/>
      <w:szCs w:val="21"/>
    </w:rPr>
  </w:style>
  <w:style w:type="paragraph" w:styleId="Textedebulles">
    <w:name w:val="Balloon Text"/>
    <w:basedOn w:val="Normal"/>
    <w:link w:val="TextedebullesCar"/>
    <w:uiPriority w:val="99"/>
    <w:semiHidden/>
    <w:unhideWhenUsed/>
    <w:rsid w:val="0085330E"/>
    <w:rPr>
      <w:rFonts w:ascii="Segoe UI" w:hAnsi="Segoe UI" w:cs="Segoe UI"/>
      <w:sz w:val="18"/>
      <w:szCs w:val="18"/>
    </w:rPr>
  </w:style>
  <w:style w:type="character" w:customStyle="1" w:styleId="TextedebullesCar">
    <w:name w:val="Texte de bulles Car"/>
    <w:basedOn w:val="Policepardfaut"/>
    <w:link w:val="Textedebulles"/>
    <w:uiPriority w:val="99"/>
    <w:semiHidden/>
    <w:rsid w:val="0085330E"/>
    <w:rPr>
      <w:rFonts w:ascii="Segoe UI" w:hAnsi="Segoe UI" w:cs="Segoe UI"/>
      <w:color w:val="auto"/>
      <w:sz w:val="18"/>
      <w:szCs w:val="18"/>
    </w:rPr>
  </w:style>
  <w:style w:type="paragraph" w:styleId="Textedemacro">
    <w:name w:val="macro"/>
    <w:link w:val="TextedemacroCar"/>
    <w:uiPriority w:val="99"/>
    <w:semiHidden/>
    <w:unhideWhenUsed/>
    <w:rsid w:val="0085330E"/>
    <w:pPr>
      <w:tabs>
        <w:tab w:val="left" w:pos="480"/>
        <w:tab w:val="left" w:pos="960"/>
        <w:tab w:val="left" w:pos="1440"/>
        <w:tab w:val="left" w:pos="1920"/>
        <w:tab w:val="left" w:pos="2400"/>
        <w:tab w:val="left" w:pos="2880"/>
        <w:tab w:val="left" w:pos="3360"/>
        <w:tab w:val="left" w:pos="3840"/>
        <w:tab w:val="left" w:pos="4320"/>
      </w:tabs>
      <w:suppressAutoHyphens/>
      <w:autoSpaceDE w:val="0"/>
      <w:autoSpaceDN w:val="0"/>
      <w:adjustRightInd w:val="0"/>
      <w:jc w:val="both"/>
      <w:textAlignment w:val="center"/>
    </w:pPr>
    <w:rPr>
      <w:rFonts w:ascii="Consolas" w:hAnsi="Consolas"/>
      <w:color w:val="auto"/>
      <w:sz w:val="20"/>
      <w:szCs w:val="20"/>
    </w:rPr>
  </w:style>
  <w:style w:type="character" w:customStyle="1" w:styleId="TextedemacroCar">
    <w:name w:val="Texte de macro Car"/>
    <w:basedOn w:val="Policepardfaut"/>
    <w:link w:val="Textedemacro"/>
    <w:uiPriority w:val="99"/>
    <w:semiHidden/>
    <w:rsid w:val="0085330E"/>
    <w:rPr>
      <w:rFonts w:ascii="Consolas" w:hAnsi="Consolas"/>
      <w:color w:val="auto"/>
      <w:sz w:val="20"/>
      <w:szCs w:val="20"/>
    </w:rPr>
  </w:style>
  <w:style w:type="paragraph" w:styleId="Titredenote">
    <w:name w:val="Note Heading"/>
    <w:basedOn w:val="Normal"/>
    <w:next w:val="Normal"/>
    <w:link w:val="TitredenoteCar"/>
    <w:uiPriority w:val="99"/>
    <w:semiHidden/>
    <w:unhideWhenUsed/>
    <w:rsid w:val="0085330E"/>
  </w:style>
  <w:style w:type="character" w:customStyle="1" w:styleId="TitredenoteCar">
    <w:name w:val="Titre de note Car"/>
    <w:basedOn w:val="Policepardfaut"/>
    <w:link w:val="Titredenote"/>
    <w:uiPriority w:val="99"/>
    <w:semiHidden/>
    <w:rsid w:val="0085330E"/>
    <w:rPr>
      <w:color w:val="auto"/>
    </w:rPr>
  </w:style>
  <w:style w:type="paragraph" w:styleId="Titreindex">
    <w:name w:val="index heading"/>
    <w:basedOn w:val="Normal"/>
    <w:next w:val="Index1"/>
    <w:uiPriority w:val="99"/>
    <w:semiHidden/>
    <w:unhideWhenUsed/>
    <w:rsid w:val="0085330E"/>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85330E"/>
    <w:pPr>
      <w:spacing w:before="120"/>
    </w:pPr>
    <w:rPr>
      <w:rFonts w:asciiTheme="majorHAnsi" w:eastAsiaTheme="majorEastAsia" w:hAnsiTheme="majorHAnsi" w:cstheme="majorBidi"/>
      <w:b/>
      <w:bCs/>
      <w:sz w:val="24"/>
      <w:szCs w:val="24"/>
    </w:rPr>
  </w:style>
  <w:style w:type="paragraph" w:styleId="TM6">
    <w:name w:val="toc 6"/>
    <w:basedOn w:val="Normal"/>
    <w:next w:val="Normal"/>
    <w:autoRedefine/>
    <w:uiPriority w:val="39"/>
    <w:semiHidden/>
    <w:unhideWhenUsed/>
    <w:rsid w:val="0085330E"/>
    <w:pPr>
      <w:spacing w:after="100"/>
      <w:ind w:left="1100"/>
    </w:pPr>
  </w:style>
  <w:style w:type="paragraph" w:styleId="TM7">
    <w:name w:val="toc 7"/>
    <w:basedOn w:val="Normal"/>
    <w:next w:val="Normal"/>
    <w:autoRedefine/>
    <w:uiPriority w:val="39"/>
    <w:semiHidden/>
    <w:unhideWhenUsed/>
    <w:rsid w:val="0085330E"/>
    <w:pPr>
      <w:spacing w:after="100"/>
      <w:ind w:left="1320"/>
    </w:pPr>
  </w:style>
  <w:style w:type="paragraph" w:styleId="TM8">
    <w:name w:val="toc 8"/>
    <w:basedOn w:val="Normal"/>
    <w:next w:val="Normal"/>
    <w:autoRedefine/>
    <w:uiPriority w:val="39"/>
    <w:semiHidden/>
    <w:unhideWhenUsed/>
    <w:rsid w:val="0085330E"/>
    <w:pPr>
      <w:spacing w:after="100"/>
      <w:ind w:left="1540"/>
    </w:pPr>
  </w:style>
  <w:style w:type="paragraph" w:styleId="TM9">
    <w:name w:val="toc 9"/>
    <w:basedOn w:val="Normal"/>
    <w:next w:val="Normal"/>
    <w:autoRedefine/>
    <w:uiPriority w:val="39"/>
    <w:semiHidden/>
    <w:unhideWhenUsed/>
    <w:rsid w:val="0085330E"/>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792119">
      <w:bodyDiv w:val="1"/>
      <w:marLeft w:val="0"/>
      <w:marRight w:val="0"/>
      <w:marTop w:val="0"/>
      <w:marBottom w:val="0"/>
      <w:divBdr>
        <w:top w:val="none" w:sz="0" w:space="0" w:color="auto"/>
        <w:left w:val="none" w:sz="0" w:space="0" w:color="auto"/>
        <w:bottom w:val="none" w:sz="0" w:space="0" w:color="auto"/>
        <w:right w:val="none" w:sz="0" w:space="0" w:color="auto"/>
      </w:divBdr>
      <w:divsChild>
        <w:div w:id="15540441">
          <w:marLeft w:val="0"/>
          <w:marRight w:val="0"/>
          <w:marTop w:val="0"/>
          <w:marBottom w:val="0"/>
          <w:divBdr>
            <w:top w:val="none" w:sz="0" w:space="0" w:color="auto"/>
            <w:left w:val="none" w:sz="0" w:space="0" w:color="auto"/>
            <w:bottom w:val="none" w:sz="0" w:space="0" w:color="auto"/>
            <w:right w:val="none" w:sz="0" w:space="0" w:color="auto"/>
          </w:divBdr>
        </w:div>
        <w:div w:id="17397520">
          <w:marLeft w:val="0"/>
          <w:marRight w:val="0"/>
          <w:marTop w:val="0"/>
          <w:marBottom w:val="0"/>
          <w:divBdr>
            <w:top w:val="none" w:sz="0" w:space="0" w:color="auto"/>
            <w:left w:val="none" w:sz="0" w:space="0" w:color="auto"/>
            <w:bottom w:val="none" w:sz="0" w:space="0" w:color="auto"/>
            <w:right w:val="none" w:sz="0" w:space="0" w:color="auto"/>
          </w:divBdr>
        </w:div>
        <w:div w:id="25572016">
          <w:marLeft w:val="0"/>
          <w:marRight w:val="0"/>
          <w:marTop w:val="0"/>
          <w:marBottom w:val="0"/>
          <w:divBdr>
            <w:top w:val="none" w:sz="0" w:space="0" w:color="auto"/>
            <w:left w:val="none" w:sz="0" w:space="0" w:color="auto"/>
            <w:bottom w:val="none" w:sz="0" w:space="0" w:color="auto"/>
            <w:right w:val="none" w:sz="0" w:space="0" w:color="auto"/>
          </w:divBdr>
        </w:div>
        <w:div w:id="77212201">
          <w:marLeft w:val="0"/>
          <w:marRight w:val="0"/>
          <w:marTop w:val="0"/>
          <w:marBottom w:val="0"/>
          <w:divBdr>
            <w:top w:val="none" w:sz="0" w:space="0" w:color="auto"/>
            <w:left w:val="none" w:sz="0" w:space="0" w:color="auto"/>
            <w:bottom w:val="none" w:sz="0" w:space="0" w:color="auto"/>
            <w:right w:val="none" w:sz="0" w:space="0" w:color="auto"/>
          </w:divBdr>
        </w:div>
        <w:div w:id="88744455">
          <w:marLeft w:val="0"/>
          <w:marRight w:val="0"/>
          <w:marTop w:val="0"/>
          <w:marBottom w:val="0"/>
          <w:divBdr>
            <w:top w:val="none" w:sz="0" w:space="0" w:color="auto"/>
            <w:left w:val="none" w:sz="0" w:space="0" w:color="auto"/>
            <w:bottom w:val="none" w:sz="0" w:space="0" w:color="auto"/>
            <w:right w:val="none" w:sz="0" w:space="0" w:color="auto"/>
          </w:divBdr>
        </w:div>
        <w:div w:id="193808732">
          <w:marLeft w:val="0"/>
          <w:marRight w:val="0"/>
          <w:marTop w:val="0"/>
          <w:marBottom w:val="0"/>
          <w:divBdr>
            <w:top w:val="none" w:sz="0" w:space="0" w:color="auto"/>
            <w:left w:val="none" w:sz="0" w:space="0" w:color="auto"/>
            <w:bottom w:val="none" w:sz="0" w:space="0" w:color="auto"/>
            <w:right w:val="none" w:sz="0" w:space="0" w:color="auto"/>
          </w:divBdr>
        </w:div>
        <w:div w:id="437607717">
          <w:marLeft w:val="0"/>
          <w:marRight w:val="0"/>
          <w:marTop w:val="0"/>
          <w:marBottom w:val="0"/>
          <w:divBdr>
            <w:top w:val="none" w:sz="0" w:space="0" w:color="auto"/>
            <w:left w:val="none" w:sz="0" w:space="0" w:color="auto"/>
            <w:bottom w:val="none" w:sz="0" w:space="0" w:color="auto"/>
            <w:right w:val="none" w:sz="0" w:space="0" w:color="auto"/>
          </w:divBdr>
        </w:div>
        <w:div w:id="528876729">
          <w:marLeft w:val="0"/>
          <w:marRight w:val="0"/>
          <w:marTop w:val="0"/>
          <w:marBottom w:val="0"/>
          <w:divBdr>
            <w:top w:val="none" w:sz="0" w:space="0" w:color="auto"/>
            <w:left w:val="none" w:sz="0" w:space="0" w:color="auto"/>
            <w:bottom w:val="none" w:sz="0" w:space="0" w:color="auto"/>
            <w:right w:val="none" w:sz="0" w:space="0" w:color="auto"/>
          </w:divBdr>
        </w:div>
        <w:div w:id="537470490">
          <w:marLeft w:val="0"/>
          <w:marRight w:val="0"/>
          <w:marTop w:val="0"/>
          <w:marBottom w:val="0"/>
          <w:divBdr>
            <w:top w:val="none" w:sz="0" w:space="0" w:color="auto"/>
            <w:left w:val="none" w:sz="0" w:space="0" w:color="auto"/>
            <w:bottom w:val="none" w:sz="0" w:space="0" w:color="auto"/>
            <w:right w:val="none" w:sz="0" w:space="0" w:color="auto"/>
          </w:divBdr>
          <w:divsChild>
            <w:div w:id="44303746">
              <w:marLeft w:val="0"/>
              <w:marRight w:val="0"/>
              <w:marTop w:val="0"/>
              <w:marBottom w:val="0"/>
              <w:divBdr>
                <w:top w:val="none" w:sz="0" w:space="0" w:color="auto"/>
                <w:left w:val="none" w:sz="0" w:space="0" w:color="auto"/>
                <w:bottom w:val="none" w:sz="0" w:space="0" w:color="auto"/>
                <w:right w:val="none" w:sz="0" w:space="0" w:color="auto"/>
              </w:divBdr>
            </w:div>
            <w:div w:id="51970579">
              <w:marLeft w:val="0"/>
              <w:marRight w:val="0"/>
              <w:marTop w:val="0"/>
              <w:marBottom w:val="0"/>
              <w:divBdr>
                <w:top w:val="none" w:sz="0" w:space="0" w:color="auto"/>
                <w:left w:val="none" w:sz="0" w:space="0" w:color="auto"/>
                <w:bottom w:val="none" w:sz="0" w:space="0" w:color="auto"/>
                <w:right w:val="none" w:sz="0" w:space="0" w:color="auto"/>
              </w:divBdr>
            </w:div>
            <w:div w:id="97679128">
              <w:marLeft w:val="0"/>
              <w:marRight w:val="0"/>
              <w:marTop w:val="0"/>
              <w:marBottom w:val="0"/>
              <w:divBdr>
                <w:top w:val="none" w:sz="0" w:space="0" w:color="auto"/>
                <w:left w:val="none" w:sz="0" w:space="0" w:color="auto"/>
                <w:bottom w:val="none" w:sz="0" w:space="0" w:color="auto"/>
                <w:right w:val="none" w:sz="0" w:space="0" w:color="auto"/>
              </w:divBdr>
            </w:div>
            <w:div w:id="158814132">
              <w:marLeft w:val="0"/>
              <w:marRight w:val="0"/>
              <w:marTop w:val="0"/>
              <w:marBottom w:val="0"/>
              <w:divBdr>
                <w:top w:val="none" w:sz="0" w:space="0" w:color="auto"/>
                <w:left w:val="none" w:sz="0" w:space="0" w:color="auto"/>
                <w:bottom w:val="none" w:sz="0" w:space="0" w:color="auto"/>
                <w:right w:val="none" w:sz="0" w:space="0" w:color="auto"/>
              </w:divBdr>
            </w:div>
            <w:div w:id="188224171">
              <w:marLeft w:val="0"/>
              <w:marRight w:val="0"/>
              <w:marTop w:val="0"/>
              <w:marBottom w:val="0"/>
              <w:divBdr>
                <w:top w:val="none" w:sz="0" w:space="0" w:color="auto"/>
                <w:left w:val="none" w:sz="0" w:space="0" w:color="auto"/>
                <w:bottom w:val="none" w:sz="0" w:space="0" w:color="auto"/>
                <w:right w:val="none" w:sz="0" w:space="0" w:color="auto"/>
              </w:divBdr>
            </w:div>
            <w:div w:id="1037970272">
              <w:marLeft w:val="0"/>
              <w:marRight w:val="0"/>
              <w:marTop w:val="0"/>
              <w:marBottom w:val="0"/>
              <w:divBdr>
                <w:top w:val="none" w:sz="0" w:space="0" w:color="auto"/>
                <w:left w:val="none" w:sz="0" w:space="0" w:color="auto"/>
                <w:bottom w:val="none" w:sz="0" w:space="0" w:color="auto"/>
                <w:right w:val="none" w:sz="0" w:space="0" w:color="auto"/>
              </w:divBdr>
            </w:div>
            <w:div w:id="1112439692">
              <w:marLeft w:val="0"/>
              <w:marRight w:val="0"/>
              <w:marTop w:val="0"/>
              <w:marBottom w:val="0"/>
              <w:divBdr>
                <w:top w:val="none" w:sz="0" w:space="0" w:color="auto"/>
                <w:left w:val="none" w:sz="0" w:space="0" w:color="auto"/>
                <w:bottom w:val="none" w:sz="0" w:space="0" w:color="auto"/>
                <w:right w:val="none" w:sz="0" w:space="0" w:color="auto"/>
              </w:divBdr>
            </w:div>
            <w:div w:id="1209537042">
              <w:marLeft w:val="0"/>
              <w:marRight w:val="0"/>
              <w:marTop w:val="0"/>
              <w:marBottom w:val="0"/>
              <w:divBdr>
                <w:top w:val="none" w:sz="0" w:space="0" w:color="auto"/>
                <w:left w:val="none" w:sz="0" w:space="0" w:color="auto"/>
                <w:bottom w:val="none" w:sz="0" w:space="0" w:color="auto"/>
                <w:right w:val="none" w:sz="0" w:space="0" w:color="auto"/>
              </w:divBdr>
            </w:div>
            <w:div w:id="1427850639">
              <w:marLeft w:val="0"/>
              <w:marRight w:val="0"/>
              <w:marTop w:val="0"/>
              <w:marBottom w:val="0"/>
              <w:divBdr>
                <w:top w:val="none" w:sz="0" w:space="0" w:color="auto"/>
                <w:left w:val="none" w:sz="0" w:space="0" w:color="auto"/>
                <w:bottom w:val="none" w:sz="0" w:space="0" w:color="auto"/>
                <w:right w:val="none" w:sz="0" w:space="0" w:color="auto"/>
              </w:divBdr>
            </w:div>
            <w:div w:id="1428387619">
              <w:marLeft w:val="0"/>
              <w:marRight w:val="0"/>
              <w:marTop w:val="0"/>
              <w:marBottom w:val="0"/>
              <w:divBdr>
                <w:top w:val="none" w:sz="0" w:space="0" w:color="auto"/>
                <w:left w:val="none" w:sz="0" w:space="0" w:color="auto"/>
                <w:bottom w:val="none" w:sz="0" w:space="0" w:color="auto"/>
                <w:right w:val="none" w:sz="0" w:space="0" w:color="auto"/>
              </w:divBdr>
            </w:div>
            <w:div w:id="1448625103">
              <w:marLeft w:val="0"/>
              <w:marRight w:val="0"/>
              <w:marTop w:val="0"/>
              <w:marBottom w:val="0"/>
              <w:divBdr>
                <w:top w:val="none" w:sz="0" w:space="0" w:color="auto"/>
                <w:left w:val="none" w:sz="0" w:space="0" w:color="auto"/>
                <w:bottom w:val="none" w:sz="0" w:space="0" w:color="auto"/>
                <w:right w:val="none" w:sz="0" w:space="0" w:color="auto"/>
              </w:divBdr>
            </w:div>
            <w:div w:id="1597520151">
              <w:marLeft w:val="0"/>
              <w:marRight w:val="0"/>
              <w:marTop w:val="0"/>
              <w:marBottom w:val="0"/>
              <w:divBdr>
                <w:top w:val="none" w:sz="0" w:space="0" w:color="auto"/>
                <w:left w:val="none" w:sz="0" w:space="0" w:color="auto"/>
                <w:bottom w:val="none" w:sz="0" w:space="0" w:color="auto"/>
                <w:right w:val="none" w:sz="0" w:space="0" w:color="auto"/>
              </w:divBdr>
            </w:div>
            <w:div w:id="1775204362">
              <w:marLeft w:val="0"/>
              <w:marRight w:val="0"/>
              <w:marTop w:val="0"/>
              <w:marBottom w:val="0"/>
              <w:divBdr>
                <w:top w:val="none" w:sz="0" w:space="0" w:color="auto"/>
                <w:left w:val="none" w:sz="0" w:space="0" w:color="auto"/>
                <w:bottom w:val="none" w:sz="0" w:space="0" w:color="auto"/>
                <w:right w:val="none" w:sz="0" w:space="0" w:color="auto"/>
              </w:divBdr>
            </w:div>
            <w:div w:id="1917589950">
              <w:marLeft w:val="0"/>
              <w:marRight w:val="0"/>
              <w:marTop w:val="0"/>
              <w:marBottom w:val="0"/>
              <w:divBdr>
                <w:top w:val="none" w:sz="0" w:space="0" w:color="auto"/>
                <w:left w:val="none" w:sz="0" w:space="0" w:color="auto"/>
                <w:bottom w:val="none" w:sz="0" w:space="0" w:color="auto"/>
                <w:right w:val="none" w:sz="0" w:space="0" w:color="auto"/>
              </w:divBdr>
            </w:div>
            <w:div w:id="2017925296">
              <w:marLeft w:val="0"/>
              <w:marRight w:val="0"/>
              <w:marTop w:val="0"/>
              <w:marBottom w:val="0"/>
              <w:divBdr>
                <w:top w:val="none" w:sz="0" w:space="0" w:color="auto"/>
                <w:left w:val="none" w:sz="0" w:space="0" w:color="auto"/>
                <w:bottom w:val="none" w:sz="0" w:space="0" w:color="auto"/>
                <w:right w:val="none" w:sz="0" w:space="0" w:color="auto"/>
              </w:divBdr>
            </w:div>
          </w:divsChild>
        </w:div>
        <w:div w:id="638219731">
          <w:marLeft w:val="0"/>
          <w:marRight w:val="0"/>
          <w:marTop w:val="0"/>
          <w:marBottom w:val="0"/>
          <w:divBdr>
            <w:top w:val="none" w:sz="0" w:space="0" w:color="auto"/>
            <w:left w:val="none" w:sz="0" w:space="0" w:color="auto"/>
            <w:bottom w:val="none" w:sz="0" w:space="0" w:color="auto"/>
            <w:right w:val="none" w:sz="0" w:space="0" w:color="auto"/>
          </w:divBdr>
        </w:div>
        <w:div w:id="683366378">
          <w:marLeft w:val="0"/>
          <w:marRight w:val="0"/>
          <w:marTop w:val="0"/>
          <w:marBottom w:val="0"/>
          <w:divBdr>
            <w:top w:val="none" w:sz="0" w:space="0" w:color="auto"/>
            <w:left w:val="none" w:sz="0" w:space="0" w:color="auto"/>
            <w:bottom w:val="none" w:sz="0" w:space="0" w:color="auto"/>
            <w:right w:val="none" w:sz="0" w:space="0" w:color="auto"/>
          </w:divBdr>
        </w:div>
        <w:div w:id="751854854">
          <w:marLeft w:val="0"/>
          <w:marRight w:val="0"/>
          <w:marTop w:val="0"/>
          <w:marBottom w:val="0"/>
          <w:divBdr>
            <w:top w:val="none" w:sz="0" w:space="0" w:color="auto"/>
            <w:left w:val="none" w:sz="0" w:space="0" w:color="auto"/>
            <w:bottom w:val="none" w:sz="0" w:space="0" w:color="auto"/>
            <w:right w:val="none" w:sz="0" w:space="0" w:color="auto"/>
          </w:divBdr>
        </w:div>
        <w:div w:id="945387452">
          <w:marLeft w:val="0"/>
          <w:marRight w:val="0"/>
          <w:marTop w:val="0"/>
          <w:marBottom w:val="0"/>
          <w:divBdr>
            <w:top w:val="none" w:sz="0" w:space="0" w:color="auto"/>
            <w:left w:val="none" w:sz="0" w:space="0" w:color="auto"/>
            <w:bottom w:val="none" w:sz="0" w:space="0" w:color="auto"/>
            <w:right w:val="none" w:sz="0" w:space="0" w:color="auto"/>
          </w:divBdr>
        </w:div>
        <w:div w:id="1015620314">
          <w:marLeft w:val="0"/>
          <w:marRight w:val="0"/>
          <w:marTop w:val="0"/>
          <w:marBottom w:val="0"/>
          <w:divBdr>
            <w:top w:val="none" w:sz="0" w:space="0" w:color="auto"/>
            <w:left w:val="none" w:sz="0" w:space="0" w:color="auto"/>
            <w:bottom w:val="none" w:sz="0" w:space="0" w:color="auto"/>
            <w:right w:val="none" w:sz="0" w:space="0" w:color="auto"/>
          </w:divBdr>
        </w:div>
        <w:div w:id="1097367442">
          <w:marLeft w:val="0"/>
          <w:marRight w:val="0"/>
          <w:marTop w:val="0"/>
          <w:marBottom w:val="0"/>
          <w:divBdr>
            <w:top w:val="none" w:sz="0" w:space="0" w:color="auto"/>
            <w:left w:val="none" w:sz="0" w:space="0" w:color="auto"/>
            <w:bottom w:val="none" w:sz="0" w:space="0" w:color="auto"/>
            <w:right w:val="none" w:sz="0" w:space="0" w:color="auto"/>
          </w:divBdr>
        </w:div>
        <w:div w:id="1195733201">
          <w:marLeft w:val="0"/>
          <w:marRight w:val="0"/>
          <w:marTop w:val="0"/>
          <w:marBottom w:val="0"/>
          <w:divBdr>
            <w:top w:val="none" w:sz="0" w:space="0" w:color="auto"/>
            <w:left w:val="none" w:sz="0" w:space="0" w:color="auto"/>
            <w:bottom w:val="none" w:sz="0" w:space="0" w:color="auto"/>
            <w:right w:val="none" w:sz="0" w:space="0" w:color="auto"/>
          </w:divBdr>
        </w:div>
        <w:div w:id="1215315156">
          <w:marLeft w:val="0"/>
          <w:marRight w:val="0"/>
          <w:marTop w:val="0"/>
          <w:marBottom w:val="0"/>
          <w:divBdr>
            <w:top w:val="none" w:sz="0" w:space="0" w:color="auto"/>
            <w:left w:val="none" w:sz="0" w:space="0" w:color="auto"/>
            <w:bottom w:val="none" w:sz="0" w:space="0" w:color="auto"/>
            <w:right w:val="none" w:sz="0" w:space="0" w:color="auto"/>
          </w:divBdr>
        </w:div>
        <w:div w:id="1288244350">
          <w:marLeft w:val="0"/>
          <w:marRight w:val="0"/>
          <w:marTop w:val="0"/>
          <w:marBottom w:val="0"/>
          <w:divBdr>
            <w:top w:val="none" w:sz="0" w:space="0" w:color="auto"/>
            <w:left w:val="none" w:sz="0" w:space="0" w:color="auto"/>
            <w:bottom w:val="none" w:sz="0" w:space="0" w:color="auto"/>
            <w:right w:val="none" w:sz="0" w:space="0" w:color="auto"/>
          </w:divBdr>
          <w:divsChild>
            <w:div w:id="31855322">
              <w:marLeft w:val="0"/>
              <w:marRight w:val="0"/>
              <w:marTop w:val="0"/>
              <w:marBottom w:val="0"/>
              <w:divBdr>
                <w:top w:val="none" w:sz="0" w:space="0" w:color="auto"/>
                <w:left w:val="none" w:sz="0" w:space="0" w:color="auto"/>
                <w:bottom w:val="none" w:sz="0" w:space="0" w:color="auto"/>
                <w:right w:val="none" w:sz="0" w:space="0" w:color="auto"/>
              </w:divBdr>
            </w:div>
            <w:div w:id="148134892">
              <w:marLeft w:val="0"/>
              <w:marRight w:val="0"/>
              <w:marTop w:val="0"/>
              <w:marBottom w:val="0"/>
              <w:divBdr>
                <w:top w:val="none" w:sz="0" w:space="0" w:color="auto"/>
                <w:left w:val="none" w:sz="0" w:space="0" w:color="auto"/>
                <w:bottom w:val="none" w:sz="0" w:space="0" w:color="auto"/>
                <w:right w:val="none" w:sz="0" w:space="0" w:color="auto"/>
              </w:divBdr>
            </w:div>
            <w:div w:id="234559138">
              <w:marLeft w:val="0"/>
              <w:marRight w:val="0"/>
              <w:marTop w:val="0"/>
              <w:marBottom w:val="0"/>
              <w:divBdr>
                <w:top w:val="none" w:sz="0" w:space="0" w:color="auto"/>
                <w:left w:val="none" w:sz="0" w:space="0" w:color="auto"/>
                <w:bottom w:val="none" w:sz="0" w:space="0" w:color="auto"/>
                <w:right w:val="none" w:sz="0" w:space="0" w:color="auto"/>
              </w:divBdr>
            </w:div>
            <w:div w:id="295380887">
              <w:marLeft w:val="0"/>
              <w:marRight w:val="0"/>
              <w:marTop w:val="0"/>
              <w:marBottom w:val="0"/>
              <w:divBdr>
                <w:top w:val="none" w:sz="0" w:space="0" w:color="auto"/>
                <w:left w:val="none" w:sz="0" w:space="0" w:color="auto"/>
                <w:bottom w:val="none" w:sz="0" w:space="0" w:color="auto"/>
                <w:right w:val="none" w:sz="0" w:space="0" w:color="auto"/>
              </w:divBdr>
            </w:div>
            <w:div w:id="613831859">
              <w:marLeft w:val="0"/>
              <w:marRight w:val="0"/>
              <w:marTop w:val="0"/>
              <w:marBottom w:val="0"/>
              <w:divBdr>
                <w:top w:val="none" w:sz="0" w:space="0" w:color="auto"/>
                <w:left w:val="none" w:sz="0" w:space="0" w:color="auto"/>
                <w:bottom w:val="none" w:sz="0" w:space="0" w:color="auto"/>
                <w:right w:val="none" w:sz="0" w:space="0" w:color="auto"/>
              </w:divBdr>
            </w:div>
            <w:div w:id="720598239">
              <w:marLeft w:val="0"/>
              <w:marRight w:val="0"/>
              <w:marTop w:val="0"/>
              <w:marBottom w:val="0"/>
              <w:divBdr>
                <w:top w:val="none" w:sz="0" w:space="0" w:color="auto"/>
                <w:left w:val="none" w:sz="0" w:space="0" w:color="auto"/>
                <w:bottom w:val="none" w:sz="0" w:space="0" w:color="auto"/>
                <w:right w:val="none" w:sz="0" w:space="0" w:color="auto"/>
              </w:divBdr>
            </w:div>
            <w:div w:id="836461656">
              <w:marLeft w:val="0"/>
              <w:marRight w:val="0"/>
              <w:marTop w:val="0"/>
              <w:marBottom w:val="0"/>
              <w:divBdr>
                <w:top w:val="none" w:sz="0" w:space="0" w:color="auto"/>
                <w:left w:val="none" w:sz="0" w:space="0" w:color="auto"/>
                <w:bottom w:val="none" w:sz="0" w:space="0" w:color="auto"/>
                <w:right w:val="none" w:sz="0" w:space="0" w:color="auto"/>
              </w:divBdr>
            </w:div>
            <w:div w:id="1026903339">
              <w:marLeft w:val="0"/>
              <w:marRight w:val="0"/>
              <w:marTop w:val="0"/>
              <w:marBottom w:val="0"/>
              <w:divBdr>
                <w:top w:val="none" w:sz="0" w:space="0" w:color="auto"/>
                <w:left w:val="none" w:sz="0" w:space="0" w:color="auto"/>
                <w:bottom w:val="none" w:sz="0" w:space="0" w:color="auto"/>
                <w:right w:val="none" w:sz="0" w:space="0" w:color="auto"/>
              </w:divBdr>
            </w:div>
            <w:div w:id="1355576449">
              <w:marLeft w:val="0"/>
              <w:marRight w:val="0"/>
              <w:marTop w:val="0"/>
              <w:marBottom w:val="0"/>
              <w:divBdr>
                <w:top w:val="none" w:sz="0" w:space="0" w:color="auto"/>
                <w:left w:val="none" w:sz="0" w:space="0" w:color="auto"/>
                <w:bottom w:val="none" w:sz="0" w:space="0" w:color="auto"/>
                <w:right w:val="none" w:sz="0" w:space="0" w:color="auto"/>
              </w:divBdr>
            </w:div>
            <w:div w:id="1391611345">
              <w:marLeft w:val="0"/>
              <w:marRight w:val="0"/>
              <w:marTop w:val="0"/>
              <w:marBottom w:val="0"/>
              <w:divBdr>
                <w:top w:val="none" w:sz="0" w:space="0" w:color="auto"/>
                <w:left w:val="none" w:sz="0" w:space="0" w:color="auto"/>
                <w:bottom w:val="none" w:sz="0" w:space="0" w:color="auto"/>
                <w:right w:val="none" w:sz="0" w:space="0" w:color="auto"/>
              </w:divBdr>
            </w:div>
            <w:div w:id="1474054435">
              <w:marLeft w:val="0"/>
              <w:marRight w:val="0"/>
              <w:marTop w:val="0"/>
              <w:marBottom w:val="0"/>
              <w:divBdr>
                <w:top w:val="none" w:sz="0" w:space="0" w:color="auto"/>
                <w:left w:val="none" w:sz="0" w:space="0" w:color="auto"/>
                <w:bottom w:val="none" w:sz="0" w:space="0" w:color="auto"/>
                <w:right w:val="none" w:sz="0" w:space="0" w:color="auto"/>
              </w:divBdr>
            </w:div>
            <w:div w:id="1499349029">
              <w:marLeft w:val="0"/>
              <w:marRight w:val="0"/>
              <w:marTop w:val="0"/>
              <w:marBottom w:val="0"/>
              <w:divBdr>
                <w:top w:val="none" w:sz="0" w:space="0" w:color="auto"/>
                <w:left w:val="none" w:sz="0" w:space="0" w:color="auto"/>
                <w:bottom w:val="none" w:sz="0" w:space="0" w:color="auto"/>
                <w:right w:val="none" w:sz="0" w:space="0" w:color="auto"/>
              </w:divBdr>
            </w:div>
            <w:div w:id="1513955621">
              <w:marLeft w:val="0"/>
              <w:marRight w:val="0"/>
              <w:marTop w:val="0"/>
              <w:marBottom w:val="0"/>
              <w:divBdr>
                <w:top w:val="none" w:sz="0" w:space="0" w:color="auto"/>
                <w:left w:val="none" w:sz="0" w:space="0" w:color="auto"/>
                <w:bottom w:val="none" w:sz="0" w:space="0" w:color="auto"/>
                <w:right w:val="none" w:sz="0" w:space="0" w:color="auto"/>
              </w:divBdr>
            </w:div>
            <w:div w:id="1759011242">
              <w:marLeft w:val="0"/>
              <w:marRight w:val="0"/>
              <w:marTop w:val="0"/>
              <w:marBottom w:val="0"/>
              <w:divBdr>
                <w:top w:val="none" w:sz="0" w:space="0" w:color="auto"/>
                <w:left w:val="none" w:sz="0" w:space="0" w:color="auto"/>
                <w:bottom w:val="none" w:sz="0" w:space="0" w:color="auto"/>
                <w:right w:val="none" w:sz="0" w:space="0" w:color="auto"/>
              </w:divBdr>
            </w:div>
            <w:div w:id="2086026821">
              <w:marLeft w:val="0"/>
              <w:marRight w:val="0"/>
              <w:marTop w:val="0"/>
              <w:marBottom w:val="0"/>
              <w:divBdr>
                <w:top w:val="none" w:sz="0" w:space="0" w:color="auto"/>
                <w:left w:val="none" w:sz="0" w:space="0" w:color="auto"/>
                <w:bottom w:val="none" w:sz="0" w:space="0" w:color="auto"/>
                <w:right w:val="none" w:sz="0" w:space="0" w:color="auto"/>
              </w:divBdr>
            </w:div>
          </w:divsChild>
        </w:div>
        <w:div w:id="1349409151">
          <w:marLeft w:val="0"/>
          <w:marRight w:val="0"/>
          <w:marTop w:val="0"/>
          <w:marBottom w:val="0"/>
          <w:divBdr>
            <w:top w:val="none" w:sz="0" w:space="0" w:color="auto"/>
            <w:left w:val="none" w:sz="0" w:space="0" w:color="auto"/>
            <w:bottom w:val="none" w:sz="0" w:space="0" w:color="auto"/>
            <w:right w:val="none" w:sz="0" w:space="0" w:color="auto"/>
          </w:divBdr>
        </w:div>
        <w:div w:id="1383016356">
          <w:marLeft w:val="0"/>
          <w:marRight w:val="0"/>
          <w:marTop w:val="0"/>
          <w:marBottom w:val="0"/>
          <w:divBdr>
            <w:top w:val="none" w:sz="0" w:space="0" w:color="auto"/>
            <w:left w:val="none" w:sz="0" w:space="0" w:color="auto"/>
            <w:bottom w:val="none" w:sz="0" w:space="0" w:color="auto"/>
            <w:right w:val="none" w:sz="0" w:space="0" w:color="auto"/>
          </w:divBdr>
        </w:div>
        <w:div w:id="1428693857">
          <w:marLeft w:val="0"/>
          <w:marRight w:val="0"/>
          <w:marTop w:val="0"/>
          <w:marBottom w:val="0"/>
          <w:divBdr>
            <w:top w:val="none" w:sz="0" w:space="0" w:color="auto"/>
            <w:left w:val="none" w:sz="0" w:space="0" w:color="auto"/>
            <w:bottom w:val="none" w:sz="0" w:space="0" w:color="auto"/>
            <w:right w:val="none" w:sz="0" w:space="0" w:color="auto"/>
          </w:divBdr>
        </w:div>
        <w:div w:id="1454129082">
          <w:marLeft w:val="0"/>
          <w:marRight w:val="0"/>
          <w:marTop w:val="0"/>
          <w:marBottom w:val="0"/>
          <w:divBdr>
            <w:top w:val="none" w:sz="0" w:space="0" w:color="auto"/>
            <w:left w:val="none" w:sz="0" w:space="0" w:color="auto"/>
            <w:bottom w:val="none" w:sz="0" w:space="0" w:color="auto"/>
            <w:right w:val="none" w:sz="0" w:space="0" w:color="auto"/>
          </w:divBdr>
          <w:divsChild>
            <w:div w:id="2051028047">
              <w:marLeft w:val="-75"/>
              <w:marRight w:val="0"/>
              <w:marTop w:val="30"/>
              <w:marBottom w:val="30"/>
              <w:divBdr>
                <w:top w:val="none" w:sz="0" w:space="0" w:color="auto"/>
                <w:left w:val="none" w:sz="0" w:space="0" w:color="auto"/>
                <w:bottom w:val="none" w:sz="0" w:space="0" w:color="auto"/>
                <w:right w:val="none" w:sz="0" w:space="0" w:color="auto"/>
              </w:divBdr>
              <w:divsChild>
                <w:div w:id="129790769">
                  <w:marLeft w:val="0"/>
                  <w:marRight w:val="0"/>
                  <w:marTop w:val="0"/>
                  <w:marBottom w:val="0"/>
                  <w:divBdr>
                    <w:top w:val="none" w:sz="0" w:space="0" w:color="auto"/>
                    <w:left w:val="none" w:sz="0" w:space="0" w:color="auto"/>
                    <w:bottom w:val="none" w:sz="0" w:space="0" w:color="auto"/>
                    <w:right w:val="none" w:sz="0" w:space="0" w:color="auto"/>
                  </w:divBdr>
                  <w:divsChild>
                    <w:div w:id="903183159">
                      <w:marLeft w:val="0"/>
                      <w:marRight w:val="0"/>
                      <w:marTop w:val="0"/>
                      <w:marBottom w:val="0"/>
                      <w:divBdr>
                        <w:top w:val="none" w:sz="0" w:space="0" w:color="auto"/>
                        <w:left w:val="none" w:sz="0" w:space="0" w:color="auto"/>
                        <w:bottom w:val="none" w:sz="0" w:space="0" w:color="auto"/>
                        <w:right w:val="none" w:sz="0" w:space="0" w:color="auto"/>
                      </w:divBdr>
                    </w:div>
                  </w:divsChild>
                </w:div>
                <w:div w:id="297927579">
                  <w:marLeft w:val="0"/>
                  <w:marRight w:val="0"/>
                  <w:marTop w:val="0"/>
                  <w:marBottom w:val="0"/>
                  <w:divBdr>
                    <w:top w:val="none" w:sz="0" w:space="0" w:color="auto"/>
                    <w:left w:val="none" w:sz="0" w:space="0" w:color="auto"/>
                    <w:bottom w:val="none" w:sz="0" w:space="0" w:color="auto"/>
                    <w:right w:val="none" w:sz="0" w:space="0" w:color="auto"/>
                  </w:divBdr>
                  <w:divsChild>
                    <w:div w:id="1497721877">
                      <w:marLeft w:val="0"/>
                      <w:marRight w:val="0"/>
                      <w:marTop w:val="0"/>
                      <w:marBottom w:val="0"/>
                      <w:divBdr>
                        <w:top w:val="none" w:sz="0" w:space="0" w:color="auto"/>
                        <w:left w:val="none" w:sz="0" w:space="0" w:color="auto"/>
                        <w:bottom w:val="none" w:sz="0" w:space="0" w:color="auto"/>
                        <w:right w:val="none" w:sz="0" w:space="0" w:color="auto"/>
                      </w:divBdr>
                    </w:div>
                  </w:divsChild>
                </w:div>
                <w:div w:id="300158802">
                  <w:marLeft w:val="0"/>
                  <w:marRight w:val="0"/>
                  <w:marTop w:val="0"/>
                  <w:marBottom w:val="0"/>
                  <w:divBdr>
                    <w:top w:val="none" w:sz="0" w:space="0" w:color="auto"/>
                    <w:left w:val="none" w:sz="0" w:space="0" w:color="auto"/>
                    <w:bottom w:val="none" w:sz="0" w:space="0" w:color="auto"/>
                    <w:right w:val="none" w:sz="0" w:space="0" w:color="auto"/>
                  </w:divBdr>
                  <w:divsChild>
                    <w:div w:id="311377331">
                      <w:marLeft w:val="0"/>
                      <w:marRight w:val="0"/>
                      <w:marTop w:val="0"/>
                      <w:marBottom w:val="0"/>
                      <w:divBdr>
                        <w:top w:val="none" w:sz="0" w:space="0" w:color="auto"/>
                        <w:left w:val="none" w:sz="0" w:space="0" w:color="auto"/>
                        <w:bottom w:val="none" w:sz="0" w:space="0" w:color="auto"/>
                        <w:right w:val="none" w:sz="0" w:space="0" w:color="auto"/>
                      </w:divBdr>
                    </w:div>
                  </w:divsChild>
                </w:div>
                <w:div w:id="355353632">
                  <w:marLeft w:val="0"/>
                  <w:marRight w:val="0"/>
                  <w:marTop w:val="0"/>
                  <w:marBottom w:val="0"/>
                  <w:divBdr>
                    <w:top w:val="none" w:sz="0" w:space="0" w:color="auto"/>
                    <w:left w:val="none" w:sz="0" w:space="0" w:color="auto"/>
                    <w:bottom w:val="none" w:sz="0" w:space="0" w:color="auto"/>
                    <w:right w:val="none" w:sz="0" w:space="0" w:color="auto"/>
                  </w:divBdr>
                  <w:divsChild>
                    <w:div w:id="768425282">
                      <w:marLeft w:val="0"/>
                      <w:marRight w:val="0"/>
                      <w:marTop w:val="0"/>
                      <w:marBottom w:val="0"/>
                      <w:divBdr>
                        <w:top w:val="none" w:sz="0" w:space="0" w:color="auto"/>
                        <w:left w:val="none" w:sz="0" w:space="0" w:color="auto"/>
                        <w:bottom w:val="none" w:sz="0" w:space="0" w:color="auto"/>
                        <w:right w:val="none" w:sz="0" w:space="0" w:color="auto"/>
                      </w:divBdr>
                    </w:div>
                  </w:divsChild>
                </w:div>
                <w:div w:id="389574289">
                  <w:marLeft w:val="0"/>
                  <w:marRight w:val="0"/>
                  <w:marTop w:val="0"/>
                  <w:marBottom w:val="0"/>
                  <w:divBdr>
                    <w:top w:val="none" w:sz="0" w:space="0" w:color="auto"/>
                    <w:left w:val="none" w:sz="0" w:space="0" w:color="auto"/>
                    <w:bottom w:val="none" w:sz="0" w:space="0" w:color="auto"/>
                    <w:right w:val="none" w:sz="0" w:space="0" w:color="auto"/>
                  </w:divBdr>
                  <w:divsChild>
                    <w:div w:id="653263866">
                      <w:marLeft w:val="0"/>
                      <w:marRight w:val="0"/>
                      <w:marTop w:val="0"/>
                      <w:marBottom w:val="0"/>
                      <w:divBdr>
                        <w:top w:val="none" w:sz="0" w:space="0" w:color="auto"/>
                        <w:left w:val="none" w:sz="0" w:space="0" w:color="auto"/>
                        <w:bottom w:val="none" w:sz="0" w:space="0" w:color="auto"/>
                        <w:right w:val="none" w:sz="0" w:space="0" w:color="auto"/>
                      </w:divBdr>
                    </w:div>
                  </w:divsChild>
                </w:div>
                <w:div w:id="445470563">
                  <w:marLeft w:val="0"/>
                  <w:marRight w:val="0"/>
                  <w:marTop w:val="0"/>
                  <w:marBottom w:val="0"/>
                  <w:divBdr>
                    <w:top w:val="none" w:sz="0" w:space="0" w:color="auto"/>
                    <w:left w:val="none" w:sz="0" w:space="0" w:color="auto"/>
                    <w:bottom w:val="none" w:sz="0" w:space="0" w:color="auto"/>
                    <w:right w:val="none" w:sz="0" w:space="0" w:color="auto"/>
                  </w:divBdr>
                  <w:divsChild>
                    <w:div w:id="1533181278">
                      <w:marLeft w:val="0"/>
                      <w:marRight w:val="0"/>
                      <w:marTop w:val="0"/>
                      <w:marBottom w:val="0"/>
                      <w:divBdr>
                        <w:top w:val="none" w:sz="0" w:space="0" w:color="auto"/>
                        <w:left w:val="none" w:sz="0" w:space="0" w:color="auto"/>
                        <w:bottom w:val="none" w:sz="0" w:space="0" w:color="auto"/>
                        <w:right w:val="none" w:sz="0" w:space="0" w:color="auto"/>
                      </w:divBdr>
                    </w:div>
                  </w:divsChild>
                </w:div>
                <w:div w:id="602154368">
                  <w:marLeft w:val="0"/>
                  <w:marRight w:val="0"/>
                  <w:marTop w:val="0"/>
                  <w:marBottom w:val="0"/>
                  <w:divBdr>
                    <w:top w:val="none" w:sz="0" w:space="0" w:color="auto"/>
                    <w:left w:val="none" w:sz="0" w:space="0" w:color="auto"/>
                    <w:bottom w:val="none" w:sz="0" w:space="0" w:color="auto"/>
                    <w:right w:val="none" w:sz="0" w:space="0" w:color="auto"/>
                  </w:divBdr>
                  <w:divsChild>
                    <w:div w:id="451555826">
                      <w:marLeft w:val="0"/>
                      <w:marRight w:val="0"/>
                      <w:marTop w:val="0"/>
                      <w:marBottom w:val="0"/>
                      <w:divBdr>
                        <w:top w:val="none" w:sz="0" w:space="0" w:color="auto"/>
                        <w:left w:val="none" w:sz="0" w:space="0" w:color="auto"/>
                        <w:bottom w:val="none" w:sz="0" w:space="0" w:color="auto"/>
                        <w:right w:val="none" w:sz="0" w:space="0" w:color="auto"/>
                      </w:divBdr>
                    </w:div>
                  </w:divsChild>
                </w:div>
                <w:div w:id="613095654">
                  <w:marLeft w:val="0"/>
                  <w:marRight w:val="0"/>
                  <w:marTop w:val="0"/>
                  <w:marBottom w:val="0"/>
                  <w:divBdr>
                    <w:top w:val="none" w:sz="0" w:space="0" w:color="auto"/>
                    <w:left w:val="none" w:sz="0" w:space="0" w:color="auto"/>
                    <w:bottom w:val="none" w:sz="0" w:space="0" w:color="auto"/>
                    <w:right w:val="none" w:sz="0" w:space="0" w:color="auto"/>
                  </w:divBdr>
                  <w:divsChild>
                    <w:div w:id="1444420087">
                      <w:marLeft w:val="0"/>
                      <w:marRight w:val="0"/>
                      <w:marTop w:val="0"/>
                      <w:marBottom w:val="0"/>
                      <w:divBdr>
                        <w:top w:val="none" w:sz="0" w:space="0" w:color="auto"/>
                        <w:left w:val="none" w:sz="0" w:space="0" w:color="auto"/>
                        <w:bottom w:val="none" w:sz="0" w:space="0" w:color="auto"/>
                        <w:right w:val="none" w:sz="0" w:space="0" w:color="auto"/>
                      </w:divBdr>
                    </w:div>
                  </w:divsChild>
                </w:div>
                <w:div w:id="727267288">
                  <w:marLeft w:val="0"/>
                  <w:marRight w:val="0"/>
                  <w:marTop w:val="0"/>
                  <w:marBottom w:val="0"/>
                  <w:divBdr>
                    <w:top w:val="none" w:sz="0" w:space="0" w:color="auto"/>
                    <w:left w:val="none" w:sz="0" w:space="0" w:color="auto"/>
                    <w:bottom w:val="none" w:sz="0" w:space="0" w:color="auto"/>
                    <w:right w:val="none" w:sz="0" w:space="0" w:color="auto"/>
                  </w:divBdr>
                  <w:divsChild>
                    <w:div w:id="1063872584">
                      <w:marLeft w:val="0"/>
                      <w:marRight w:val="0"/>
                      <w:marTop w:val="0"/>
                      <w:marBottom w:val="0"/>
                      <w:divBdr>
                        <w:top w:val="none" w:sz="0" w:space="0" w:color="auto"/>
                        <w:left w:val="none" w:sz="0" w:space="0" w:color="auto"/>
                        <w:bottom w:val="none" w:sz="0" w:space="0" w:color="auto"/>
                        <w:right w:val="none" w:sz="0" w:space="0" w:color="auto"/>
                      </w:divBdr>
                    </w:div>
                  </w:divsChild>
                </w:div>
                <w:div w:id="737750974">
                  <w:marLeft w:val="0"/>
                  <w:marRight w:val="0"/>
                  <w:marTop w:val="0"/>
                  <w:marBottom w:val="0"/>
                  <w:divBdr>
                    <w:top w:val="none" w:sz="0" w:space="0" w:color="auto"/>
                    <w:left w:val="none" w:sz="0" w:space="0" w:color="auto"/>
                    <w:bottom w:val="none" w:sz="0" w:space="0" w:color="auto"/>
                    <w:right w:val="none" w:sz="0" w:space="0" w:color="auto"/>
                  </w:divBdr>
                  <w:divsChild>
                    <w:div w:id="207382630">
                      <w:marLeft w:val="0"/>
                      <w:marRight w:val="0"/>
                      <w:marTop w:val="0"/>
                      <w:marBottom w:val="0"/>
                      <w:divBdr>
                        <w:top w:val="none" w:sz="0" w:space="0" w:color="auto"/>
                        <w:left w:val="none" w:sz="0" w:space="0" w:color="auto"/>
                        <w:bottom w:val="none" w:sz="0" w:space="0" w:color="auto"/>
                        <w:right w:val="none" w:sz="0" w:space="0" w:color="auto"/>
                      </w:divBdr>
                    </w:div>
                  </w:divsChild>
                </w:div>
                <w:div w:id="742265740">
                  <w:marLeft w:val="0"/>
                  <w:marRight w:val="0"/>
                  <w:marTop w:val="0"/>
                  <w:marBottom w:val="0"/>
                  <w:divBdr>
                    <w:top w:val="none" w:sz="0" w:space="0" w:color="auto"/>
                    <w:left w:val="none" w:sz="0" w:space="0" w:color="auto"/>
                    <w:bottom w:val="none" w:sz="0" w:space="0" w:color="auto"/>
                    <w:right w:val="none" w:sz="0" w:space="0" w:color="auto"/>
                  </w:divBdr>
                  <w:divsChild>
                    <w:div w:id="339280570">
                      <w:marLeft w:val="0"/>
                      <w:marRight w:val="0"/>
                      <w:marTop w:val="0"/>
                      <w:marBottom w:val="0"/>
                      <w:divBdr>
                        <w:top w:val="none" w:sz="0" w:space="0" w:color="auto"/>
                        <w:left w:val="none" w:sz="0" w:space="0" w:color="auto"/>
                        <w:bottom w:val="none" w:sz="0" w:space="0" w:color="auto"/>
                        <w:right w:val="none" w:sz="0" w:space="0" w:color="auto"/>
                      </w:divBdr>
                    </w:div>
                  </w:divsChild>
                </w:div>
                <w:div w:id="842823055">
                  <w:marLeft w:val="0"/>
                  <w:marRight w:val="0"/>
                  <w:marTop w:val="0"/>
                  <w:marBottom w:val="0"/>
                  <w:divBdr>
                    <w:top w:val="none" w:sz="0" w:space="0" w:color="auto"/>
                    <w:left w:val="none" w:sz="0" w:space="0" w:color="auto"/>
                    <w:bottom w:val="none" w:sz="0" w:space="0" w:color="auto"/>
                    <w:right w:val="none" w:sz="0" w:space="0" w:color="auto"/>
                  </w:divBdr>
                  <w:divsChild>
                    <w:div w:id="1969168738">
                      <w:marLeft w:val="0"/>
                      <w:marRight w:val="0"/>
                      <w:marTop w:val="0"/>
                      <w:marBottom w:val="0"/>
                      <w:divBdr>
                        <w:top w:val="none" w:sz="0" w:space="0" w:color="auto"/>
                        <w:left w:val="none" w:sz="0" w:space="0" w:color="auto"/>
                        <w:bottom w:val="none" w:sz="0" w:space="0" w:color="auto"/>
                        <w:right w:val="none" w:sz="0" w:space="0" w:color="auto"/>
                      </w:divBdr>
                    </w:div>
                  </w:divsChild>
                </w:div>
                <w:div w:id="884754885">
                  <w:marLeft w:val="0"/>
                  <w:marRight w:val="0"/>
                  <w:marTop w:val="0"/>
                  <w:marBottom w:val="0"/>
                  <w:divBdr>
                    <w:top w:val="none" w:sz="0" w:space="0" w:color="auto"/>
                    <w:left w:val="none" w:sz="0" w:space="0" w:color="auto"/>
                    <w:bottom w:val="none" w:sz="0" w:space="0" w:color="auto"/>
                    <w:right w:val="none" w:sz="0" w:space="0" w:color="auto"/>
                  </w:divBdr>
                  <w:divsChild>
                    <w:div w:id="253982172">
                      <w:marLeft w:val="0"/>
                      <w:marRight w:val="0"/>
                      <w:marTop w:val="0"/>
                      <w:marBottom w:val="0"/>
                      <w:divBdr>
                        <w:top w:val="none" w:sz="0" w:space="0" w:color="auto"/>
                        <w:left w:val="none" w:sz="0" w:space="0" w:color="auto"/>
                        <w:bottom w:val="none" w:sz="0" w:space="0" w:color="auto"/>
                        <w:right w:val="none" w:sz="0" w:space="0" w:color="auto"/>
                      </w:divBdr>
                    </w:div>
                  </w:divsChild>
                </w:div>
                <w:div w:id="1061177149">
                  <w:marLeft w:val="0"/>
                  <w:marRight w:val="0"/>
                  <w:marTop w:val="0"/>
                  <w:marBottom w:val="0"/>
                  <w:divBdr>
                    <w:top w:val="none" w:sz="0" w:space="0" w:color="auto"/>
                    <w:left w:val="none" w:sz="0" w:space="0" w:color="auto"/>
                    <w:bottom w:val="none" w:sz="0" w:space="0" w:color="auto"/>
                    <w:right w:val="none" w:sz="0" w:space="0" w:color="auto"/>
                  </w:divBdr>
                  <w:divsChild>
                    <w:div w:id="1712222134">
                      <w:marLeft w:val="0"/>
                      <w:marRight w:val="0"/>
                      <w:marTop w:val="0"/>
                      <w:marBottom w:val="0"/>
                      <w:divBdr>
                        <w:top w:val="none" w:sz="0" w:space="0" w:color="auto"/>
                        <w:left w:val="none" w:sz="0" w:space="0" w:color="auto"/>
                        <w:bottom w:val="none" w:sz="0" w:space="0" w:color="auto"/>
                        <w:right w:val="none" w:sz="0" w:space="0" w:color="auto"/>
                      </w:divBdr>
                    </w:div>
                  </w:divsChild>
                </w:div>
                <w:div w:id="1225722482">
                  <w:marLeft w:val="0"/>
                  <w:marRight w:val="0"/>
                  <w:marTop w:val="0"/>
                  <w:marBottom w:val="0"/>
                  <w:divBdr>
                    <w:top w:val="none" w:sz="0" w:space="0" w:color="auto"/>
                    <w:left w:val="none" w:sz="0" w:space="0" w:color="auto"/>
                    <w:bottom w:val="none" w:sz="0" w:space="0" w:color="auto"/>
                    <w:right w:val="none" w:sz="0" w:space="0" w:color="auto"/>
                  </w:divBdr>
                  <w:divsChild>
                    <w:div w:id="1230917706">
                      <w:marLeft w:val="0"/>
                      <w:marRight w:val="0"/>
                      <w:marTop w:val="0"/>
                      <w:marBottom w:val="0"/>
                      <w:divBdr>
                        <w:top w:val="none" w:sz="0" w:space="0" w:color="auto"/>
                        <w:left w:val="none" w:sz="0" w:space="0" w:color="auto"/>
                        <w:bottom w:val="none" w:sz="0" w:space="0" w:color="auto"/>
                        <w:right w:val="none" w:sz="0" w:space="0" w:color="auto"/>
                      </w:divBdr>
                    </w:div>
                  </w:divsChild>
                </w:div>
                <w:div w:id="1230651988">
                  <w:marLeft w:val="0"/>
                  <w:marRight w:val="0"/>
                  <w:marTop w:val="0"/>
                  <w:marBottom w:val="0"/>
                  <w:divBdr>
                    <w:top w:val="none" w:sz="0" w:space="0" w:color="auto"/>
                    <w:left w:val="none" w:sz="0" w:space="0" w:color="auto"/>
                    <w:bottom w:val="none" w:sz="0" w:space="0" w:color="auto"/>
                    <w:right w:val="none" w:sz="0" w:space="0" w:color="auto"/>
                  </w:divBdr>
                  <w:divsChild>
                    <w:div w:id="1280719061">
                      <w:marLeft w:val="0"/>
                      <w:marRight w:val="0"/>
                      <w:marTop w:val="0"/>
                      <w:marBottom w:val="0"/>
                      <w:divBdr>
                        <w:top w:val="none" w:sz="0" w:space="0" w:color="auto"/>
                        <w:left w:val="none" w:sz="0" w:space="0" w:color="auto"/>
                        <w:bottom w:val="none" w:sz="0" w:space="0" w:color="auto"/>
                        <w:right w:val="none" w:sz="0" w:space="0" w:color="auto"/>
                      </w:divBdr>
                    </w:div>
                  </w:divsChild>
                </w:div>
                <w:div w:id="1262489564">
                  <w:marLeft w:val="0"/>
                  <w:marRight w:val="0"/>
                  <w:marTop w:val="0"/>
                  <w:marBottom w:val="0"/>
                  <w:divBdr>
                    <w:top w:val="none" w:sz="0" w:space="0" w:color="auto"/>
                    <w:left w:val="none" w:sz="0" w:space="0" w:color="auto"/>
                    <w:bottom w:val="none" w:sz="0" w:space="0" w:color="auto"/>
                    <w:right w:val="none" w:sz="0" w:space="0" w:color="auto"/>
                  </w:divBdr>
                  <w:divsChild>
                    <w:div w:id="1354190979">
                      <w:marLeft w:val="0"/>
                      <w:marRight w:val="0"/>
                      <w:marTop w:val="0"/>
                      <w:marBottom w:val="0"/>
                      <w:divBdr>
                        <w:top w:val="none" w:sz="0" w:space="0" w:color="auto"/>
                        <w:left w:val="none" w:sz="0" w:space="0" w:color="auto"/>
                        <w:bottom w:val="none" w:sz="0" w:space="0" w:color="auto"/>
                        <w:right w:val="none" w:sz="0" w:space="0" w:color="auto"/>
                      </w:divBdr>
                    </w:div>
                  </w:divsChild>
                </w:div>
                <w:div w:id="1268848323">
                  <w:marLeft w:val="0"/>
                  <w:marRight w:val="0"/>
                  <w:marTop w:val="0"/>
                  <w:marBottom w:val="0"/>
                  <w:divBdr>
                    <w:top w:val="none" w:sz="0" w:space="0" w:color="auto"/>
                    <w:left w:val="none" w:sz="0" w:space="0" w:color="auto"/>
                    <w:bottom w:val="none" w:sz="0" w:space="0" w:color="auto"/>
                    <w:right w:val="none" w:sz="0" w:space="0" w:color="auto"/>
                  </w:divBdr>
                  <w:divsChild>
                    <w:div w:id="1338465619">
                      <w:marLeft w:val="0"/>
                      <w:marRight w:val="0"/>
                      <w:marTop w:val="0"/>
                      <w:marBottom w:val="0"/>
                      <w:divBdr>
                        <w:top w:val="none" w:sz="0" w:space="0" w:color="auto"/>
                        <w:left w:val="none" w:sz="0" w:space="0" w:color="auto"/>
                        <w:bottom w:val="none" w:sz="0" w:space="0" w:color="auto"/>
                        <w:right w:val="none" w:sz="0" w:space="0" w:color="auto"/>
                      </w:divBdr>
                    </w:div>
                  </w:divsChild>
                </w:div>
                <w:div w:id="1319192520">
                  <w:marLeft w:val="0"/>
                  <w:marRight w:val="0"/>
                  <w:marTop w:val="0"/>
                  <w:marBottom w:val="0"/>
                  <w:divBdr>
                    <w:top w:val="none" w:sz="0" w:space="0" w:color="auto"/>
                    <w:left w:val="none" w:sz="0" w:space="0" w:color="auto"/>
                    <w:bottom w:val="none" w:sz="0" w:space="0" w:color="auto"/>
                    <w:right w:val="none" w:sz="0" w:space="0" w:color="auto"/>
                  </w:divBdr>
                  <w:divsChild>
                    <w:div w:id="1139760083">
                      <w:marLeft w:val="0"/>
                      <w:marRight w:val="0"/>
                      <w:marTop w:val="0"/>
                      <w:marBottom w:val="0"/>
                      <w:divBdr>
                        <w:top w:val="none" w:sz="0" w:space="0" w:color="auto"/>
                        <w:left w:val="none" w:sz="0" w:space="0" w:color="auto"/>
                        <w:bottom w:val="none" w:sz="0" w:space="0" w:color="auto"/>
                        <w:right w:val="none" w:sz="0" w:space="0" w:color="auto"/>
                      </w:divBdr>
                    </w:div>
                  </w:divsChild>
                </w:div>
                <w:div w:id="1380669925">
                  <w:marLeft w:val="0"/>
                  <w:marRight w:val="0"/>
                  <w:marTop w:val="0"/>
                  <w:marBottom w:val="0"/>
                  <w:divBdr>
                    <w:top w:val="none" w:sz="0" w:space="0" w:color="auto"/>
                    <w:left w:val="none" w:sz="0" w:space="0" w:color="auto"/>
                    <w:bottom w:val="none" w:sz="0" w:space="0" w:color="auto"/>
                    <w:right w:val="none" w:sz="0" w:space="0" w:color="auto"/>
                  </w:divBdr>
                  <w:divsChild>
                    <w:div w:id="998969694">
                      <w:marLeft w:val="0"/>
                      <w:marRight w:val="0"/>
                      <w:marTop w:val="0"/>
                      <w:marBottom w:val="0"/>
                      <w:divBdr>
                        <w:top w:val="none" w:sz="0" w:space="0" w:color="auto"/>
                        <w:left w:val="none" w:sz="0" w:space="0" w:color="auto"/>
                        <w:bottom w:val="none" w:sz="0" w:space="0" w:color="auto"/>
                        <w:right w:val="none" w:sz="0" w:space="0" w:color="auto"/>
                      </w:divBdr>
                    </w:div>
                  </w:divsChild>
                </w:div>
                <w:div w:id="1421096640">
                  <w:marLeft w:val="0"/>
                  <w:marRight w:val="0"/>
                  <w:marTop w:val="0"/>
                  <w:marBottom w:val="0"/>
                  <w:divBdr>
                    <w:top w:val="none" w:sz="0" w:space="0" w:color="auto"/>
                    <w:left w:val="none" w:sz="0" w:space="0" w:color="auto"/>
                    <w:bottom w:val="none" w:sz="0" w:space="0" w:color="auto"/>
                    <w:right w:val="none" w:sz="0" w:space="0" w:color="auto"/>
                  </w:divBdr>
                  <w:divsChild>
                    <w:div w:id="393703814">
                      <w:marLeft w:val="0"/>
                      <w:marRight w:val="0"/>
                      <w:marTop w:val="0"/>
                      <w:marBottom w:val="0"/>
                      <w:divBdr>
                        <w:top w:val="none" w:sz="0" w:space="0" w:color="auto"/>
                        <w:left w:val="none" w:sz="0" w:space="0" w:color="auto"/>
                        <w:bottom w:val="none" w:sz="0" w:space="0" w:color="auto"/>
                        <w:right w:val="none" w:sz="0" w:space="0" w:color="auto"/>
                      </w:divBdr>
                    </w:div>
                  </w:divsChild>
                </w:div>
                <w:div w:id="1460683858">
                  <w:marLeft w:val="0"/>
                  <w:marRight w:val="0"/>
                  <w:marTop w:val="0"/>
                  <w:marBottom w:val="0"/>
                  <w:divBdr>
                    <w:top w:val="none" w:sz="0" w:space="0" w:color="auto"/>
                    <w:left w:val="none" w:sz="0" w:space="0" w:color="auto"/>
                    <w:bottom w:val="none" w:sz="0" w:space="0" w:color="auto"/>
                    <w:right w:val="none" w:sz="0" w:space="0" w:color="auto"/>
                  </w:divBdr>
                  <w:divsChild>
                    <w:div w:id="1364288127">
                      <w:marLeft w:val="0"/>
                      <w:marRight w:val="0"/>
                      <w:marTop w:val="0"/>
                      <w:marBottom w:val="0"/>
                      <w:divBdr>
                        <w:top w:val="none" w:sz="0" w:space="0" w:color="auto"/>
                        <w:left w:val="none" w:sz="0" w:space="0" w:color="auto"/>
                        <w:bottom w:val="none" w:sz="0" w:space="0" w:color="auto"/>
                        <w:right w:val="none" w:sz="0" w:space="0" w:color="auto"/>
                      </w:divBdr>
                    </w:div>
                  </w:divsChild>
                </w:div>
                <w:div w:id="1523737377">
                  <w:marLeft w:val="0"/>
                  <w:marRight w:val="0"/>
                  <w:marTop w:val="0"/>
                  <w:marBottom w:val="0"/>
                  <w:divBdr>
                    <w:top w:val="none" w:sz="0" w:space="0" w:color="auto"/>
                    <w:left w:val="none" w:sz="0" w:space="0" w:color="auto"/>
                    <w:bottom w:val="none" w:sz="0" w:space="0" w:color="auto"/>
                    <w:right w:val="none" w:sz="0" w:space="0" w:color="auto"/>
                  </w:divBdr>
                  <w:divsChild>
                    <w:div w:id="1847593293">
                      <w:marLeft w:val="0"/>
                      <w:marRight w:val="0"/>
                      <w:marTop w:val="0"/>
                      <w:marBottom w:val="0"/>
                      <w:divBdr>
                        <w:top w:val="none" w:sz="0" w:space="0" w:color="auto"/>
                        <w:left w:val="none" w:sz="0" w:space="0" w:color="auto"/>
                        <w:bottom w:val="none" w:sz="0" w:space="0" w:color="auto"/>
                        <w:right w:val="none" w:sz="0" w:space="0" w:color="auto"/>
                      </w:divBdr>
                    </w:div>
                  </w:divsChild>
                </w:div>
                <w:div w:id="1615332927">
                  <w:marLeft w:val="0"/>
                  <w:marRight w:val="0"/>
                  <w:marTop w:val="0"/>
                  <w:marBottom w:val="0"/>
                  <w:divBdr>
                    <w:top w:val="none" w:sz="0" w:space="0" w:color="auto"/>
                    <w:left w:val="none" w:sz="0" w:space="0" w:color="auto"/>
                    <w:bottom w:val="none" w:sz="0" w:space="0" w:color="auto"/>
                    <w:right w:val="none" w:sz="0" w:space="0" w:color="auto"/>
                  </w:divBdr>
                  <w:divsChild>
                    <w:div w:id="1886524910">
                      <w:marLeft w:val="0"/>
                      <w:marRight w:val="0"/>
                      <w:marTop w:val="0"/>
                      <w:marBottom w:val="0"/>
                      <w:divBdr>
                        <w:top w:val="none" w:sz="0" w:space="0" w:color="auto"/>
                        <w:left w:val="none" w:sz="0" w:space="0" w:color="auto"/>
                        <w:bottom w:val="none" w:sz="0" w:space="0" w:color="auto"/>
                        <w:right w:val="none" w:sz="0" w:space="0" w:color="auto"/>
                      </w:divBdr>
                    </w:div>
                  </w:divsChild>
                </w:div>
                <w:div w:id="1654023395">
                  <w:marLeft w:val="0"/>
                  <w:marRight w:val="0"/>
                  <w:marTop w:val="0"/>
                  <w:marBottom w:val="0"/>
                  <w:divBdr>
                    <w:top w:val="none" w:sz="0" w:space="0" w:color="auto"/>
                    <w:left w:val="none" w:sz="0" w:space="0" w:color="auto"/>
                    <w:bottom w:val="none" w:sz="0" w:space="0" w:color="auto"/>
                    <w:right w:val="none" w:sz="0" w:space="0" w:color="auto"/>
                  </w:divBdr>
                  <w:divsChild>
                    <w:div w:id="719326258">
                      <w:marLeft w:val="0"/>
                      <w:marRight w:val="0"/>
                      <w:marTop w:val="0"/>
                      <w:marBottom w:val="0"/>
                      <w:divBdr>
                        <w:top w:val="none" w:sz="0" w:space="0" w:color="auto"/>
                        <w:left w:val="none" w:sz="0" w:space="0" w:color="auto"/>
                        <w:bottom w:val="none" w:sz="0" w:space="0" w:color="auto"/>
                        <w:right w:val="none" w:sz="0" w:space="0" w:color="auto"/>
                      </w:divBdr>
                    </w:div>
                  </w:divsChild>
                </w:div>
                <w:div w:id="1861818665">
                  <w:marLeft w:val="0"/>
                  <w:marRight w:val="0"/>
                  <w:marTop w:val="0"/>
                  <w:marBottom w:val="0"/>
                  <w:divBdr>
                    <w:top w:val="none" w:sz="0" w:space="0" w:color="auto"/>
                    <w:left w:val="none" w:sz="0" w:space="0" w:color="auto"/>
                    <w:bottom w:val="none" w:sz="0" w:space="0" w:color="auto"/>
                    <w:right w:val="none" w:sz="0" w:space="0" w:color="auto"/>
                  </w:divBdr>
                  <w:divsChild>
                    <w:div w:id="465704434">
                      <w:marLeft w:val="0"/>
                      <w:marRight w:val="0"/>
                      <w:marTop w:val="0"/>
                      <w:marBottom w:val="0"/>
                      <w:divBdr>
                        <w:top w:val="none" w:sz="0" w:space="0" w:color="auto"/>
                        <w:left w:val="none" w:sz="0" w:space="0" w:color="auto"/>
                        <w:bottom w:val="none" w:sz="0" w:space="0" w:color="auto"/>
                        <w:right w:val="none" w:sz="0" w:space="0" w:color="auto"/>
                      </w:divBdr>
                    </w:div>
                  </w:divsChild>
                </w:div>
                <w:div w:id="1944530561">
                  <w:marLeft w:val="0"/>
                  <w:marRight w:val="0"/>
                  <w:marTop w:val="0"/>
                  <w:marBottom w:val="0"/>
                  <w:divBdr>
                    <w:top w:val="none" w:sz="0" w:space="0" w:color="auto"/>
                    <w:left w:val="none" w:sz="0" w:space="0" w:color="auto"/>
                    <w:bottom w:val="none" w:sz="0" w:space="0" w:color="auto"/>
                    <w:right w:val="none" w:sz="0" w:space="0" w:color="auto"/>
                  </w:divBdr>
                  <w:divsChild>
                    <w:div w:id="277419002">
                      <w:marLeft w:val="0"/>
                      <w:marRight w:val="0"/>
                      <w:marTop w:val="0"/>
                      <w:marBottom w:val="0"/>
                      <w:divBdr>
                        <w:top w:val="none" w:sz="0" w:space="0" w:color="auto"/>
                        <w:left w:val="none" w:sz="0" w:space="0" w:color="auto"/>
                        <w:bottom w:val="none" w:sz="0" w:space="0" w:color="auto"/>
                        <w:right w:val="none" w:sz="0" w:space="0" w:color="auto"/>
                      </w:divBdr>
                    </w:div>
                  </w:divsChild>
                </w:div>
                <w:div w:id="1953321259">
                  <w:marLeft w:val="0"/>
                  <w:marRight w:val="0"/>
                  <w:marTop w:val="0"/>
                  <w:marBottom w:val="0"/>
                  <w:divBdr>
                    <w:top w:val="none" w:sz="0" w:space="0" w:color="auto"/>
                    <w:left w:val="none" w:sz="0" w:space="0" w:color="auto"/>
                    <w:bottom w:val="none" w:sz="0" w:space="0" w:color="auto"/>
                    <w:right w:val="none" w:sz="0" w:space="0" w:color="auto"/>
                  </w:divBdr>
                  <w:divsChild>
                    <w:div w:id="746269929">
                      <w:marLeft w:val="0"/>
                      <w:marRight w:val="0"/>
                      <w:marTop w:val="0"/>
                      <w:marBottom w:val="0"/>
                      <w:divBdr>
                        <w:top w:val="none" w:sz="0" w:space="0" w:color="auto"/>
                        <w:left w:val="none" w:sz="0" w:space="0" w:color="auto"/>
                        <w:bottom w:val="none" w:sz="0" w:space="0" w:color="auto"/>
                        <w:right w:val="none" w:sz="0" w:space="0" w:color="auto"/>
                      </w:divBdr>
                    </w:div>
                  </w:divsChild>
                </w:div>
                <w:div w:id="1977488319">
                  <w:marLeft w:val="0"/>
                  <w:marRight w:val="0"/>
                  <w:marTop w:val="0"/>
                  <w:marBottom w:val="0"/>
                  <w:divBdr>
                    <w:top w:val="none" w:sz="0" w:space="0" w:color="auto"/>
                    <w:left w:val="none" w:sz="0" w:space="0" w:color="auto"/>
                    <w:bottom w:val="none" w:sz="0" w:space="0" w:color="auto"/>
                    <w:right w:val="none" w:sz="0" w:space="0" w:color="auto"/>
                  </w:divBdr>
                  <w:divsChild>
                    <w:div w:id="1495955311">
                      <w:marLeft w:val="0"/>
                      <w:marRight w:val="0"/>
                      <w:marTop w:val="0"/>
                      <w:marBottom w:val="0"/>
                      <w:divBdr>
                        <w:top w:val="none" w:sz="0" w:space="0" w:color="auto"/>
                        <w:left w:val="none" w:sz="0" w:space="0" w:color="auto"/>
                        <w:bottom w:val="none" w:sz="0" w:space="0" w:color="auto"/>
                        <w:right w:val="none" w:sz="0" w:space="0" w:color="auto"/>
                      </w:divBdr>
                    </w:div>
                  </w:divsChild>
                </w:div>
                <w:div w:id="1979843036">
                  <w:marLeft w:val="0"/>
                  <w:marRight w:val="0"/>
                  <w:marTop w:val="0"/>
                  <w:marBottom w:val="0"/>
                  <w:divBdr>
                    <w:top w:val="none" w:sz="0" w:space="0" w:color="auto"/>
                    <w:left w:val="none" w:sz="0" w:space="0" w:color="auto"/>
                    <w:bottom w:val="none" w:sz="0" w:space="0" w:color="auto"/>
                    <w:right w:val="none" w:sz="0" w:space="0" w:color="auto"/>
                  </w:divBdr>
                  <w:divsChild>
                    <w:div w:id="102773456">
                      <w:marLeft w:val="0"/>
                      <w:marRight w:val="0"/>
                      <w:marTop w:val="0"/>
                      <w:marBottom w:val="0"/>
                      <w:divBdr>
                        <w:top w:val="none" w:sz="0" w:space="0" w:color="auto"/>
                        <w:left w:val="none" w:sz="0" w:space="0" w:color="auto"/>
                        <w:bottom w:val="none" w:sz="0" w:space="0" w:color="auto"/>
                        <w:right w:val="none" w:sz="0" w:space="0" w:color="auto"/>
                      </w:divBdr>
                    </w:div>
                  </w:divsChild>
                </w:div>
                <w:div w:id="2020348311">
                  <w:marLeft w:val="0"/>
                  <w:marRight w:val="0"/>
                  <w:marTop w:val="0"/>
                  <w:marBottom w:val="0"/>
                  <w:divBdr>
                    <w:top w:val="none" w:sz="0" w:space="0" w:color="auto"/>
                    <w:left w:val="none" w:sz="0" w:space="0" w:color="auto"/>
                    <w:bottom w:val="none" w:sz="0" w:space="0" w:color="auto"/>
                    <w:right w:val="none" w:sz="0" w:space="0" w:color="auto"/>
                  </w:divBdr>
                  <w:divsChild>
                    <w:div w:id="305278138">
                      <w:marLeft w:val="0"/>
                      <w:marRight w:val="0"/>
                      <w:marTop w:val="0"/>
                      <w:marBottom w:val="0"/>
                      <w:divBdr>
                        <w:top w:val="none" w:sz="0" w:space="0" w:color="auto"/>
                        <w:left w:val="none" w:sz="0" w:space="0" w:color="auto"/>
                        <w:bottom w:val="none" w:sz="0" w:space="0" w:color="auto"/>
                        <w:right w:val="none" w:sz="0" w:space="0" w:color="auto"/>
                      </w:divBdr>
                    </w:div>
                  </w:divsChild>
                </w:div>
                <w:div w:id="2078239809">
                  <w:marLeft w:val="0"/>
                  <w:marRight w:val="0"/>
                  <w:marTop w:val="0"/>
                  <w:marBottom w:val="0"/>
                  <w:divBdr>
                    <w:top w:val="none" w:sz="0" w:space="0" w:color="auto"/>
                    <w:left w:val="none" w:sz="0" w:space="0" w:color="auto"/>
                    <w:bottom w:val="none" w:sz="0" w:space="0" w:color="auto"/>
                    <w:right w:val="none" w:sz="0" w:space="0" w:color="auto"/>
                  </w:divBdr>
                  <w:divsChild>
                    <w:div w:id="1411922628">
                      <w:marLeft w:val="0"/>
                      <w:marRight w:val="0"/>
                      <w:marTop w:val="0"/>
                      <w:marBottom w:val="0"/>
                      <w:divBdr>
                        <w:top w:val="none" w:sz="0" w:space="0" w:color="auto"/>
                        <w:left w:val="none" w:sz="0" w:space="0" w:color="auto"/>
                        <w:bottom w:val="none" w:sz="0" w:space="0" w:color="auto"/>
                        <w:right w:val="none" w:sz="0" w:space="0" w:color="auto"/>
                      </w:divBdr>
                    </w:div>
                  </w:divsChild>
                </w:div>
                <w:div w:id="2139102676">
                  <w:marLeft w:val="0"/>
                  <w:marRight w:val="0"/>
                  <w:marTop w:val="0"/>
                  <w:marBottom w:val="0"/>
                  <w:divBdr>
                    <w:top w:val="none" w:sz="0" w:space="0" w:color="auto"/>
                    <w:left w:val="none" w:sz="0" w:space="0" w:color="auto"/>
                    <w:bottom w:val="none" w:sz="0" w:space="0" w:color="auto"/>
                    <w:right w:val="none" w:sz="0" w:space="0" w:color="auto"/>
                  </w:divBdr>
                  <w:divsChild>
                    <w:div w:id="20585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6117">
          <w:marLeft w:val="0"/>
          <w:marRight w:val="0"/>
          <w:marTop w:val="0"/>
          <w:marBottom w:val="0"/>
          <w:divBdr>
            <w:top w:val="none" w:sz="0" w:space="0" w:color="auto"/>
            <w:left w:val="none" w:sz="0" w:space="0" w:color="auto"/>
            <w:bottom w:val="none" w:sz="0" w:space="0" w:color="auto"/>
            <w:right w:val="none" w:sz="0" w:space="0" w:color="auto"/>
          </w:divBdr>
        </w:div>
        <w:div w:id="1503740688">
          <w:marLeft w:val="0"/>
          <w:marRight w:val="0"/>
          <w:marTop w:val="0"/>
          <w:marBottom w:val="0"/>
          <w:divBdr>
            <w:top w:val="none" w:sz="0" w:space="0" w:color="auto"/>
            <w:left w:val="none" w:sz="0" w:space="0" w:color="auto"/>
            <w:bottom w:val="none" w:sz="0" w:space="0" w:color="auto"/>
            <w:right w:val="none" w:sz="0" w:space="0" w:color="auto"/>
          </w:divBdr>
        </w:div>
        <w:div w:id="1523283668">
          <w:marLeft w:val="0"/>
          <w:marRight w:val="0"/>
          <w:marTop w:val="0"/>
          <w:marBottom w:val="0"/>
          <w:divBdr>
            <w:top w:val="none" w:sz="0" w:space="0" w:color="auto"/>
            <w:left w:val="none" w:sz="0" w:space="0" w:color="auto"/>
            <w:bottom w:val="none" w:sz="0" w:space="0" w:color="auto"/>
            <w:right w:val="none" w:sz="0" w:space="0" w:color="auto"/>
          </w:divBdr>
        </w:div>
        <w:div w:id="1555236140">
          <w:marLeft w:val="0"/>
          <w:marRight w:val="0"/>
          <w:marTop w:val="0"/>
          <w:marBottom w:val="0"/>
          <w:divBdr>
            <w:top w:val="none" w:sz="0" w:space="0" w:color="auto"/>
            <w:left w:val="none" w:sz="0" w:space="0" w:color="auto"/>
            <w:bottom w:val="none" w:sz="0" w:space="0" w:color="auto"/>
            <w:right w:val="none" w:sz="0" w:space="0" w:color="auto"/>
          </w:divBdr>
        </w:div>
        <w:div w:id="1621915680">
          <w:marLeft w:val="0"/>
          <w:marRight w:val="0"/>
          <w:marTop w:val="0"/>
          <w:marBottom w:val="0"/>
          <w:divBdr>
            <w:top w:val="none" w:sz="0" w:space="0" w:color="auto"/>
            <w:left w:val="none" w:sz="0" w:space="0" w:color="auto"/>
            <w:bottom w:val="none" w:sz="0" w:space="0" w:color="auto"/>
            <w:right w:val="none" w:sz="0" w:space="0" w:color="auto"/>
          </w:divBdr>
        </w:div>
        <w:div w:id="1659769657">
          <w:marLeft w:val="0"/>
          <w:marRight w:val="0"/>
          <w:marTop w:val="0"/>
          <w:marBottom w:val="0"/>
          <w:divBdr>
            <w:top w:val="none" w:sz="0" w:space="0" w:color="auto"/>
            <w:left w:val="none" w:sz="0" w:space="0" w:color="auto"/>
            <w:bottom w:val="none" w:sz="0" w:space="0" w:color="auto"/>
            <w:right w:val="none" w:sz="0" w:space="0" w:color="auto"/>
          </w:divBdr>
        </w:div>
        <w:div w:id="1774740564">
          <w:marLeft w:val="0"/>
          <w:marRight w:val="0"/>
          <w:marTop w:val="0"/>
          <w:marBottom w:val="0"/>
          <w:divBdr>
            <w:top w:val="none" w:sz="0" w:space="0" w:color="auto"/>
            <w:left w:val="none" w:sz="0" w:space="0" w:color="auto"/>
            <w:bottom w:val="none" w:sz="0" w:space="0" w:color="auto"/>
            <w:right w:val="none" w:sz="0" w:space="0" w:color="auto"/>
          </w:divBdr>
        </w:div>
        <w:div w:id="1990792484">
          <w:marLeft w:val="0"/>
          <w:marRight w:val="0"/>
          <w:marTop w:val="0"/>
          <w:marBottom w:val="0"/>
          <w:divBdr>
            <w:top w:val="none" w:sz="0" w:space="0" w:color="auto"/>
            <w:left w:val="none" w:sz="0" w:space="0" w:color="auto"/>
            <w:bottom w:val="none" w:sz="0" w:space="0" w:color="auto"/>
            <w:right w:val="none" w:sz="0" w:space="0" w:color="auto"/>
          </w:divBdr>
        </w:div>
        <w:div w:id="2008363941">
          <w:marLeft w:val="0"/>
          <w:marRight w:val="0"/>
          <w:marTop w:val="0"/>
          <w:marBottom w:val="0"/>
          <w:divBdr>
            <w:top w:val="none" w:sz="0" w:space="0" w:color="auto"/>
            <w:left w:val="none" w:sz="0" w:space="0" w:color="auto"/>
            <w:bottom w:val="none" w:sz="0" w:space="0" w:color="auto"/>
            <w:right w:val="none" w:sz="0" w:space="0" w:color="auto"/>
          </w:divBdr>
        </w:div>
        <w:div w:id="2098821122">
          <w:marLeft w:val="0"/>
          <w:marRight w:val="0"/>
          <w:marTop w:val="0"/>
          <w:marBottom w:val="0"/>
          <w:divBdr>
            <w:top w:val="none" w:sz="0" w:space="0" w:color="auto"/>
            <w:left w:val="none" w:sz="0" w:space="0" w:color="auto"/>
            <w:bottom w:val="none" w:sz="0" w:space="0" w:color="auto"/>
            <w:right w:val="none" w:sz="0" w:space="0" w:color="auto"/>
          </w:divBdr>
        </w:div>
      </w:divsChild>
    </w:div>
    <w:div w:id="369456636">
      <w:bodyDiv w:val="1"/>
      <w:marLeft w:val="0"/>
      <w:marRight w:val="0"/>
      <w:marTop w:val="0"/>
      <w:marBottom w:val="0"/>
      <w:divBdr>
        <w:top w:val="none" w:sz="0" w:space="0" w:color="auto"/>
        <w:left w:val="none" w:sz="0" w:space="0" w:color="auto"/>
        <w:bottom w:val="none" w:sz="0" w:space="0" w:color="auto"/>
        <w:right w:val="none" w:sz="0" w:space="0" w:color="auto"/>
      </w:divBdr>
      <w:divsChild>
        <w:div w:id="652876175">
          <w:marLeft w:val="0"/>
          <w:marRight w:val="0"/>
          <w:marTop w:val="0"/>
          <w:marBottom w:val="0"/>
          <w:divBdr>
            <w:top w:val="none" w:sz="0" w:space="0" w:color="auto"/>
            <w:left w:val="none" w:sz="0" w:space="0" w:color="auto"/>
            <w:bottom w:val="none" w:sz="0" w:space="0" w:color="auto"/>
            <w:right w:val="none" w:sz="0" w:space="0" w:color="auto"/>
          </w:divBdr>
          <w:divsChild>
            <w:div w:id="491676900">
              <w:marLeft w:val="0"/>
              <w:marRight w:val="0"/>
              <w:marTop w:val="0"/>
              <w:marBottom w:val="0"/>
              <w:divBdr>
                <w:top w:val="none" w:sz="0" w:space="0" w:color="auto"/>
                <w:left w:val="none" w:sz="0" w:space="0" w:color="auto"/>
                <w:bottom w:val="none" w:sz="0" w:space="0" w:color="auto"/>
                <w:right w:val="none" w:sz="0" w:space="0" w:color="auto"/>
              </w:divBdr>
            </w:div>
          </w:divsChild>
        </w:div>
        <w:div w:id="737703187">
          <w:marLeft w:val="0"/>
          <w:marRight w:val="0"/>
          <w:marTop w:val="0"/>
          <w:marBottom w:val="0"/>
          <w:divBdr>
            <w:top w:val="none" w:sz="0" w:space="0" w:color="auto"/>
            <w:left w:val="none" w:sz="0" w:space="0" w:color="auto"/>
            <w:bottom w:val="none" w:sz="0" w:space="0" w:color="auto"/>
            <w:right w:val="none" w:sz="0" w:space="0" w:color="auto"/>
          </w:divBdr>
          <w:divsChild>
            <w:div w:id="374157997">
              <w:marLeft w:val="0"/>
              <w:marRight w:val="0"/>
              <w:marTop w:val="0"/>
              <w:marBottom w:val="0"/>
              <w:divBdr>
                <w:top w:val="none" w:sz="0" w:space="0" w:color="auto"/>
                <w:left w:val="none" w:sz="0" w:space="0" w:color="auto"/>
                <w:bottom w:val="none" w:sz="0" w:space="0" w:color="auto"/>
                <w:right w:val="none" w:sz="0" w:space="0" w:color="auto"/>
              </w:divBdr>
            </w:div>
          </w:divsChild>
        </w:div>
        <w:div w:id="2120486110">
          <w:marLeft w:val="0"/>
          <w:marRight w:val="0"/>
          <w:marTop w:val="0"/>
          <w:marBottom w:val="0"/>
          <w:divBdr>
            <w:top w:val="none" w:sz="0" w:space="0" w:color="auto"/>
            <w:left w:val="none" w:sz="0" w:space="0" w:color="auto"/>
            <w:bottom w:val="none" w:sz="0" w:space="0" w:color="auto"/>
            <w:right w:val="none" w:sz="0" w:space="0" w:color="auto"/>
          </w:divBdr>
          <w:divsChild>
            <w:div w:id="54375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267768">
      <w:bodyDiv w:val="1"/>
      <w:marLeft w:val="0"/>
      <w:marRight w:val="0"/>
      <w:marTop w:val="0"/>
      <w:marBottom w:val="0"/>
      <w:divBdr>
        <w:top w:val="none" w:sz="0" w:space="0" w:color="auto"/>
        <w:left w:val="none" w:sz="0" w:space="0" w:color="auto"/>
        <w:bottom w:val="none" w:sz="0" w:space="0" w:color="auto"/>
        <w:right w:val="none" w:sz="0" w:space="0" w:color="auto"/>
      </w:divBdr>
    </w:div>
    <w:div w:id="1237713930">
      <w:bodyDiv w:val="1"/>
      <w:marLeft w:val="0"/>
      <w:marRight w:val="0"/>
      <w:marTop w:val="0"/>
      <w:marBottom w:val="0"/>
      <w:divBdr>
        <w:top w:val="none" w:sz="0" w:space="0" w:color="auto"/>
        <w:left w:val="none" w:sz="0" w:space="0" w:color="auto"/>
        <w:bottom w:val="none" w:sz="0" w:space="0" w:color="auto"/>
        <w:right w:val="none" w:sz="0" w:space="0" w:color="auto"/>
      </w:divBdr>
      <w:divsChild>
        <w:div w:id="1832215354">
          <w:marLeft w:val="0"/>
          <w:marRight w:val="0"/>
          <w:marTop w:val="0"/>
          <w:marBottom w:val="0"/>
          <w:divBdr>
            <w:top w:val="none" w:sz="0" w:space="0" w:color="auto"/>
            <w:left w:val="none" w:sz="0" w:space="0" w:color="auto"/>
            <w:bottom w:val="none" w:sz="0" w:space="0" w:color="auto"/>
            <w:right w:val="none" w:sz="0" w:space="0" w:color="auto"/>
          </w:divBdr>
          <w:divsChild>
            <w:div w:id="32970953">
              <w:marLeft w:val="0"/>
              <w:marRight w:val="0"/>
              <w:marTop w:val="0"/>
              <w:marBottom w:val="0"/>
              <w:divBdr>
                <w:top w:val="none" w:sz="0" w:space="0" w:color="auto"/>
                <w:left w:val="none" w:sz="0" w:space="0" w:color="auto"/>
                <w:bottom w:val="none" w:sz="0" w:space="0" w:color="auto"/>
                <w:right w:val="none" w:sz="0" w:space="0" w:color="auto"/>
              </w:divBdr>
            </w:div>
            <w:div w:id="349962930">
              <w:marLeft w:val="0"/>
              <w:marRight w:val="0"/>
              <w:marTop w:val="0"/>
              <w:marBottom w:val="0"/>
              <w:divBdr>
                <w:top w:val="none" w:sz="0" w:space="0" w:color="auto"/>
                <w:left w:val="none" w:sz="0" w:space="0" w:color="auto"/>
                <w:bottom w:val="none" w:sz="0" w:space="0" w:color="auto"/>
                <w:right w:val="none" w:sz="0" w:space="0" w:color="auto"/>
              </w:divBdr>
            </w:div>
            <w:div w:id="540021926">
              <w:marLeft w:val="0"/>
              <w:marRight w:val="0"/>
              <w:marTop w:val="0"/>
              <w:marBottom w:val="0"/>
              <w:divBdr>
                <w:top w:val="none" w:sz="0" w:space="0" w:color="auto"/>
                <w:left w:val="none" w:sz="0" w:space="0" w:color="auto"/>
                <w:bottom w:val="none" w:sz="0" w:space="0" w:color="auto"/>
                <w:right w:val="none" w:sz="0" w:space="0" w:color="auto"/>
              </w:divBdr>
            </w:div>
            <w:div w:id="1023017946">
              <w:marLeft w:val="0"/>
              <w:marRight w:val="0"/>
              <w:marTop w:val="0"/>
              <w:marBottom w:val="0"/>
              <w:divBdr>
                <w:top w:val="none" w:sz="0" w:space="0" w:color="auto"/>
                <w:left w:val="none" w:sz="0" w:space="0" w:color="auto"/>
                <w:bottom w:val="none" w:sz="0" w:space="0" w:color="auto"/>
                <w:right w:val="none" w:sz="0" w:space="0" w:color="auto"/>
              </w:divBdr>
            </w:div>
            <w:div w:id="1055353154">
              <w:marLeft w:val="0"/>
              <w:marRight w:val="0"/>
              <w:marTop w:val="0"/>
              <w:marBottom w:val="0"/>
              <w:divBdr>
                <w:top w:val="none" w:sz="0" w:space="0" w:color="auto"/>
                <w:left w:val="none" w:sz="0" w:space="0" w:color="auto"/>
                <w:bottom w:val="none" w:sz="0" w:space="0" w:color="auto"/>
                <w:right w:val="none" w:sz="0" w:space="0" w:color="auto"/>
              </w:divBdr>
            </w:div>
            <w:div w:id="1063719677">
              <w:marLeft w:val="0"/>
              <w:marRight w:val="0"/>
              <w:marTop w:val="0"/>
              <w:marBottom w:val="0"/>
              <w:divBdr>
                <w:top w:val="none" w:sz="0" w:space="0" w:color="auto"/>
                <w:left w:val="none" w:sz="0" w:space="0" w:color="auto"/>
                <w:bottom w:val="none" w:sz="0" w:space="0" w:color="auto"/>
                <w:right w:val="none" w:sz="0" w:space="0" w:color="auto"/>
              </w:divBdr>
            </w:div>
            <w:div w:id="1187793474">
              <w:marLeft w:val="0"/>
              <w:marRight w:val="0"/>
              <w:marTop w:val="0"/>
              <w:marBottom w:val="0"/>
              <w:divBdr>
                <w:top w:val="none" w:sz="0" w:space="0" w:color="auto"/>
                <w:left w:val="none" w:sz="0" w:space="0" w:color="auto"/>
                <w:bottom w:val="none" w:sz="0" w:space="0" w:color="auto"/>
                <w:right w:val="none" w:sz="0" w:space="0" w:color="auto"/>
              </w:divBdr>
            </w:div>
            <w:div w:id="1376584884">
              <w:marLeft w:val="0"/>
              <w:marRight w:val="0"/>
              <w:marTop w:val="0"/>
              <w:marBottom w:val="0"/>
              <w:divBdr>
                <w:top w:val="none" w:sz="0" w:space="0" w:color="auto"/>
                <w:left w:val="none" w:sz="0" w:space="0" w:color="auto"/>
                <w:bottom w:val="none" w:sz="0" w:space="0" w:color="auto"/>
                <w:right w:val="none" w:sz="0" w:space="0" w:color="auto"/>
              </w:divBdr>
            </w:div>
            <w:div w:id="1549799467">
              <w:marLeft w:val="0"/>
              <w:marRight w:val="0"/>
              <w:marTop w:val="0"/>
              <w:marBottom w:val="0"/>
              <w:divBdr>
                <w:top w:val="none" w:sz="0" w:space="0" w:color="auto"/>
                <w:left w:val="none" w:sz="0" w:space="0" w:color="auto"/>
                <w:bottom w:val="none" w:sz="0" w:space="0" w:color="auto"/>
                <w:right w:val="none" w:sz="0" w:space="0" w:color="auto"/>
              </w:divBdr>
            </w:div>
            <w:div w:id="1826777371">
              <w:marLeft w:val="0"/>
              <w:marRight w:val="0"/>
              <w:marTop w:val="0"/>
              <w:marBottom w:val="0"/>
              <w:divBdr>
                <w:top w:val="none" w:sz="0" w:space="0" w:color="auto"/>
                <w:left w:val="none" w:sz="0" w:space="0" w:color="auto"/>
                <w:bottom w:val="none" w:sz="0" w:space="0" w:color="auto"/>
                <w:right w:val="none" w:sz="0" w:space="0" w:color="auto"/>
              </w:divBdr>
            </w:div>
            <w:div w:id="1838571618">
              <w:marLeft w:val="0"/>
              <w:marRight w:val="0"/>
              <w:marTop w:val="0"/>
              <w:marBottom w:val="0"/>
              <w:divBdr>
                <w:top w:val="none" w:sz="0" w:space="0" w:color="auto"/>
                <w:left w:val="none" w:sz="0" w:space="0" w:color="auto"/>
                <w:bottom w:val="none" w:sz="0" w:space="0" w:color="auto"/>
                <w:right w:val="none" w:sz="0" w:space="0" w:color="auto"/>
              </w:divBdr>
            </w:div>
            <w:div w:id="1943879785">
              <w:marLeft w:val="0"/>
              <w:marRight w:val="0"/>
              <w:marTop w:val="0"/>
              <w:marBottom w:val="0"/>
              <w:divBdr>
                <w:top w:val="none" w:sz="0" w:space="0" w:color="auto"/>
                <w:left w:val="none" w:sz="0" w:space="0" w:color="auto"/>
                <w:bottom w:val="none" w:sz="0" w:space="0" w:color="auto"/>
                <w:right w:val="none" w:sz="0" w:space="0" w:color="auto"/>
              </w:divBdr>
            </w:div>
            <w:div w:id="2000690277">
              <w:marLeft w:val="0"/>
              <w:marRight w:val="0"/>
              <w:marTop w:val="0"/>
              <w:marBottom w:val="0"/>
              <w:divBdr>
                <w:top w:val="none" w:sz="0" w:space="0" w:color="auto"/>
                <w:left w:val="none" w:sz="0" w:space="0" w:color="auto"/>
                <w:bottom w:val="none" w:sz="0" w:space="0" w:color="auto"/>
                <w:right w:val="none" w:sz="0" w:space="0" w:color="auto"/>
              </w:divBdr>
            </w:div>
            <w:div w:id="2095323507">
              <w:marLeft w:val="0"/>
              <w:marRight w:val="0"/>
              <w:marTop w:val="0"/>
              <w:marBottom w:val="0"/>
              <w:divBdr>
                <w:top w:val="none" w:sz="0" w:space="0" w:color="auto"/>
                <w:left w:val="none" w:sz="0" w:space="0" w:color="auto"/>
                <w:bottom w:val="none" w:sz="0" w:space="0" w:color="auto"/>
                <w:right w:val="none" w:sz="0" w:space="0" w:color="auto"/>
              </w:divBdr>
            </w:div>
          </w:divsChild>
        </w:div>
        <w:div w:id="1966278486">
          <w:marLeft w:val="0"/>
          <w:marRight w:val="0"/>
          <w:marTop w:val="0"/>
          <w:marBottom w:val="0"/>
          <w:divBdr>
            <w:top w:val="none" w:sz="0" w:space="0" w:color="auto"/>
            <w:left w:val="none" w:sz="0" w:space="0" w:color="auto"/>
            <w:bottom w:val="none" w:sz="0" w:space="0" w:color="auto"/>
            <w:right w:val="none" w:sz="0" w:space="0" w:color="auto"/>
          </w:divBdr>
          <w:divsChild>
            <w:div w:id="174273447">
              <w:marLeft w:val="0"/>
              <w:marRight w:val="0"/>
              <w:marTop w:val="0"/>
              <w:marBottom w:val="0"/>
              <w:divBdr>
                <w:top w:val="none" w:sz="0" w:space="0" w:color="auto"/>
                <w:left w:val="none" w:sz="0" w:space="0" w:color="auto"/>
                <w:bottom w:val="none" w:sz="0" w:space="0" w:color="auto"/>
                <w:right w:val="none" w:sz="0" w:space="0" w:color="auto"/>
              </w:divBdr>
            </w:div>
            <w:div w:id="257451520">
              <w:marLeft w:val="0"/>
              <w:marRight w:val="0"/>
              <w:marTop w:val="0"/>
              <w:marBottom w:val="0"/>
              <w:divBdr>
                <w:top w:val="none" w:sz="0" w:space="0" w:color="auto"/>
                <w:left w:val="none" w:sz="0" w:space="0" w:color="auto"/>
                <w:bottom w:val="none" w:sz="0" w:space="0" w:color="auto"/>
                <w:right w:val="none" w:sz="0" w:space="0" w:color="auto"/>
              </w:divBdr>
            </w:div>
            <w:div w:id="295917748">
              <w:marLeft w:val="0"/>
              <w:marRight w:val="0"/>
              <w:marTop w:val="0"/>
              <w:marBottom w:val="0"/>
              <w:divBdr>
                <w:top w:val="none" w:sz="0" w:space="0" w:color="auto"/>
                <w:left w:val="none" w:sz="0" w:space="0" w:color="auto"/>
                <w:bottom w:val="none" w:sz="0" w:space="0" w:color="auto"/>
                <w:right w:val="none" w:sz="0" w:space="0" w:color="auto"/>
              </w:divBdr>
            </w:div>
            <w:div w:id="372970034">
              <w:marLeft w:val="0"/>
              <w:marRight w:val="0"/>
              <w:marTop w:val="0"/>
              <w:marBottom w:val="0"/>
              <w:divBdr>
                <w:top w:val="none" w:sz="0" w:space="0" w:color="auto"/>
                <w:left w:val="none" w:sz="0" w:space="0" w:color="auto"/>
                <w:bottom w:val="none" w:sz="0" w:space="0" w:color="auto"/>
                <w:right w:val="none" w:sz="0" w:space="0" w:color="auto"/>
              </w:divBdr>
            </w:div>
            <w:div w:id="596401437">
              <w:marLeft w:val="0"/>
              <w:marRight w:val="0"/>
              <w:marTop w:val="0"/>
              <w:marBottom w:val="0"/>
              <w:divBdr>
                <w:top w:val="none" w:sz="0" w:space="0" w:color="auto"/>
                <w:left w:val="none" w:sz="0" w:space="0" w:color="auto"/>
                <w:bottom w:val="none" w:sz="0" w:space="0" w:color="auto"/>
                <w:right w:val="none" w:sz="0" w:space="0" w:color="auto"/>
              </w:divBdr>
            </w:div>
            <w:div w:id="657999738">
              <w:marLeft w:val="0"/>
              <w:marRight w:val="0"/>
              <w:marTop w:val="0"/>
              <w:marBottom w:val="0"/>
              <w:divBdr>
                <w:top w:val="none" w:sz="0" w:space="0" w:color="auto"/>
                <w:left w:val="none" w:sz="0" w:space="0" w:color="auto"/>
                <w:bottom w:val="none" w:sz="0" w:space="0" w:color="auto"/>
                <w:right w:val="none" w:sz="0" w:space="0" w:color="auto"/>
              </w:divBdr>
            </w:div>
            <w:div w:id="680352400">
              <w:marLeft w:val="0"/>
              <w:marRight w:val="0"/>
              <w:marTop w:val="0"/>
              <w:marBottom w:val="0"/>
              <w:divBdr>
                <w:top w:val="none" w:sz="0" w:space="0" w:color="auto"/>
                <w:left w:val="none" w:sz="0" w:space="0" w:color="auto"/>
                <w:bottom w:val="none" w:sz="0" w:space="0" w:color="auto"/>
                <w:right w:val="none" w:sz="0" w:space="0" w:color="auto"/>
              </w:divBdr>
            </w:div>
            <w:div w:id="979504157">
              <w:marLeft w:val="0"/>
              <w:marRight w:val="0"/>
              <w:marTop w:val="0"/>
              <w:marBottom w:val="0"/>
              <w:divBdr>
                <w:top w:val="none" w:sz="0" w:space="0" w:color="auto"/>
                <w:left w:val="none" w:sz="0" w:space="0" w:color="auto"/>
                <w:bottom w:val="none" w:sz="0" w:space="0" w:color="auto"/>
                <w:right w:val="none" w:sz="0" w:space="0" w:color="auto"/>
              </w:divBdr>
            </w:div>
            <w:div w:id="1101729757">
              <w:marLeft w:val="0"/>
              <w:marRight w:val="0"/>
              <w:marTop w:val="0"/>
              <w:marBottom w:val="0"/>
              <w:divBdr>
                <w:top w:val="none" w:sz="0" w:space="0" w:color="auto"/>
                <w:left w:val="none" w:sz="0" w:space="0" w:color="auto"/>
                <w:bottom w:val="none" w:sz="0" w:space="0" w:color="auto"/>
                <w:right w:val="none" w:sz="0" w:space="0" w:color="auto"/>
              </w:divBdr>
            </w:div>
            <w:div w:id="1129472663">
              <w:marLeft w:val="0"/>
              <w:marRight w:val="0"/>
              <w:marTop w:val="0"/>
              <w:marBottom w:val="0"/>
              <w:divBdr>
                <w:top w:val="none" w:sz="0" w:space="0" w:color="auto"/>
                <w:left w:val="none" w:sz="0" w:space="0" w:color="auto"/>
                <w:bottom w:val="none" w:sz="0" w:space="0" w:color="auto"/>
                <w:right w:val="none" w:sz="0" w:space="0" w:color="auto"/>
              </w:divBdr>
            </w:div>
            <w:div w:id="1281306542">
              <w:marLeft w:val="0"/>
              <w:marRight w:val="0"/>
              <w:marTop w:val="0"/>
              <w:marBottom w:val="0"/>
              <w:divBdr>
                <w:top w:val="none" w:sz="0" w:space="0" w:color="auto"/>
                <w:left w:val="none" w:sz="0" w:space="0" w:color="auto"/>
                <w:bottom w:val="none" w:sz="0" w:space="0" w:color="auto"/>
                <w:right w:val="none" w:sz="0" w:space="0" w:color="auto"/>
              </w:divBdr>
            </w:div>
            <w:div w:id="1282952238">
              <w:marLeft w:val="0"/>
              <w:marRight w:val="0"/>
              <w:marTop w:val="0"/>
              <w:marBottom w:val="0"/>
              <w:divBdr>
                <w:top w:val="none" w:sz="0" w:space="0" w:color="auto"/>
                <w:left w:val="none" w:sz="0" w:space="0" w:color="auto"/>
                <w:bottom w:val="none" w:sz="0" w:space="0" w:color="auto"/>
                <w:right w:val="none" w:sz="0" w:space="0" w:color="auto"/>
              </w:divBdr>
            </w:div>
            <w:div w:id="1345091052">
              <w:marLeft w:val="0"/>
              <w:marRight w:val="0"/>
              <w:marTop w:val="0"/>
              <w:marBottom w:val="0"/>
              <w:divBdr>
                <w:top w:val="none" w:sz="0" w:space="0" w:color="auto"/>
                <w:left w:val="none" w:sz="0" w:space="0" w:color="auto"/>
                <w:bottom w:val="none" w:sz="0" w:space="0" w:color="auto"/>
                <w:right w:val="none" w:sz="0" w:space="0" w:color="auto"/>
              </w:divBdr>
            </w:div>
            <w:div w:id="1348945183">
              <w:marLeft w:val="0"/>
              <w:marRight w:val="0"/>
              <w:marTop w:val="0"/>
              <w:marBottom w:val="0"/>
              <w:divBdr>
                <w:top w:val="none" w:sz="0" w:space="0" w:color="auto"/>
                <w:left w:val="none" w:sz="0" w:space="0" w:color="auto"/>
                <w:bottom w:val="none" w:sz="0" w:space="0" w:color="auto"/>
                <w:right w:val="none" w:sz="0" w:space="0" w:color="auto"/>
              </w:divBdr>
            </w:div>
            <w:div w:id="1707414466">
              <w:marLeft w:val="0"/>
              <w:marRight w:val="0"/>
              <w:marTop w:val="0"/>
              <w:marBottom w:val="0"/>
              <w:divBdr>
                <w:top w:val="none" w:sz="0" w:space="0" w:color="auto"/>
                <w:left w:val="none" w:sz="0" w:space="0" w:color="auto"/>
                <w:bottom w:val="none" w:sz="0" w:space="0" w:color="auto"/>
                <w:right w:val="none" w:sz="0" w:space="0" w:color="auto"/>
              </w:divBdr>
            </w:div>
            <w:div w:id="1752504829">
              <w:marLeft w:val="0"/>
              <w:marRight w:val="0"/>
              <w:marTop w:val="0"/>
              <w:marBottom w:val="0"/>
              <w:divBdr>
                <w:top w:val="none" w:sz="0" w:space="0" w:color="auto"/>
                <w:left w:val="none" w:sz="0" w:space="0" w:color="auto"/>
                <w:bottom w:val="none" w:sz="0" w:space="0" w:color="auto"/>
                <w:right w:val="none" w:sz="0" w:space="0" w:color="auto"/>
              </w:divBdr>
            </w:div>
            <w:div w:id="1763061011">
              <w:marLeft w:val="0"/>
              <w:marRight w:val="0"/>
              <w:marTop w:val="0"/>
              <w:marBottom w:val="0"/>
              <w:divBdr>
                <w:top w:val="none" w:sz="0" w:space="0" w:color="auto"/>
                <w:left w:val="none" w:sz="0" w:space="0" w:color="auto"/>
                <w:bottom w:val="none" w:sz="0" w:space="0" w:color="auto"/>
                <w:right w:val="none" w:sz="0" w:space="0" w:color="auto"/>
              </w:divBdr>
            </w:div>
            <w:div w:id="1835218032">
              <w:marLeft w:val="0"/>
              <w:marRight w:val="0"/>
              <w:marTop w:val="0"/>
              <w:marBottom w:val="0"/>
              <w:divBdr>
                <w:top w:val="none" w:sz="0" w:space="0" w:color="auto"/>
                <w:left w:val="none" w:sz="0" w:space="0" w:color="auto"/>
                <w:bottom w:val="none" w:sz="0" w:space="0" w:color="auto"/>
                <w:right w:val="none" w:sz="0" w:space="0" w:color="auto"/>
              </w:divBdr>
            </w:div>
            <w:div w:id="1893080834">
              <w:marLeft w:val="0"/>
              <w:marRight w:val="0"/>
              <w:marTop w:val="0"/>
              <w:marBottom w:val="0"/>
              <w:divBdr>
                <w:top w:val="none" w:sz="0" w:space="0" w:color="auto"/>
                <w:left w:val="none" w:sz="0" w:space="0" w:color="auto"/>
                <w:bottom w:val="none" w:sz="0" w:space="0" w:color="auto"/>
                <w:right w:val="none" w:sz="0" w:space="0" w:color="auto"/>
              </w:divBdr>
            </w:div>
            <w:div w:id="202578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20950">
      <w:bodyDiv w:val="1"/>
      <w:marLeft w:val="0"/>
      <w:marRight w:val="0"/>
      <w:marTop w:val="0"/>
      <w:marBottom w:val="0"/>
      <w:divBdr>
        <w:top w:val="none" w:sz="0" w:space="0" w:color="auto"/>
        <w:left w:val="none" w:sz="0" w:space="0" w:color="auto"/>
        <w:bottom w:val="none" w:sz="0" w:space="0" w:color="auto"/>
        <w:right w:val="none" w:sz="0" w:space="0" w:color="auto"/>
      </w:divBdr>
      <w:divsChild>
        <w:div w:id="428740138">
          <w:marLeft w:val="0"/>
          <w:marRight w:val="0"/>
          <w:marTop w:val="0"/>
          <w:marBottom w:val="0"/>
          <w:divBdr>
            <w:top w:val="none" w:sz="0" w:space="0" w:color="auto"/>
            <w:left w:val="none" w:sz="0" w:space="0" w:color="auto"/>
            <w:bottom w:val="none" w:sz="0" w:space="0" w:color="auto"/>
            <w:right w:val="none" w:sz="0" w:space="0" w:color="auto"/>
          </w:divBdr>
        </w:div>
        <w:div w:id="685714328">
          <w:marLeft w:val="0"/>
          <w:marRight w:val="0"/>
          <w:marTop w:val="0"/>
          <w:marBottom w:val="0"/>
          <w:divBdr>
            <w:top w:val="none" w:sz="0" w:space="0" w:color="auto"/>
            <w:left w:val="none" w:sz="0" w:space="0" w:color="auto"/>
            <w:bottom w:val="none" w:sz="0" w:space="0" w:color="auto"/>
            <w:right w:val="none" w:sz="0" w:space="0" w:color="auto"/>
          </w:divBdr>
        </w:div>
        <w:div w:id="1239096724">
          <w:marLeft w:val="0"/>
          <w:marRight w:val="0"/>
          <w:marTop w:val="0"/>
          <w:marBottom w:val="0"/>
          <w:divBdr>
            <w:top w:val="none" w:sz="0" w:space="0" w:color="auto"/>
            <w:left w:val="none" w:sz="0" w:space="0" w:color="auto"/>
            <w:bottom w:val="none" w:sz="0" w:space="0" w:color="auto"/>
            <w:right w:val="none" w:sz="0" w:space="0" w:color="auto"/>
          </w:divBdr>
        </w:div>
        <w:div w:id="1748190627">
          <w:marLeft w:val="0"/>
          <w:marRight w:val="0"/>
          <w:marTop w:val="0"/>
          <w:marBottom w:val="0"/>
          <w:divBdr>
            <w:top w:val="none" w:sz="0" w:space="0" w:color="auto"/>
            <w:left w:val="none" w:sz="0" w:space="0" w:color="auto"/>
            <w:bottom w:val="none" w:sz="0" w:space="0" w:color="auto"/>
            <w:right w:val="none" w:sz="0" w:space="0" w:color="auto"/>
          </w:divBdr>
        </w:div>
        <w:div w:id="1790009784">
          <w:marLeft w:val="0"/>
          <w:marRight w:val="0"/>
          <w:marTop w:val="0"/>
          <w:marBottom w:val="0"/>
          <w:divBdr>
            <w:top w:val="none" w:sz="0" w:space="0" w:color="auto"/>
            <w:left w:val="none" w:sz="0" w:space="0" w:color="auto"/>
            <w:bottom w:val="none" w:sz="0" w:space="0" w:color="auto"/>
            <w:right w:val="none" w:sz="0" w:space="0" w:color="auto"/>
          </w:divBdr>
        </w:div>
        <w:div w:id="1855068811">
          <w:marLeft w:val="0"/>
          <w:marRight w:val="0"/>
          <w:marTop w:val="0"/>
          <w:marBottom w:val="0"/>
          <w:divBdr>
            <w:top w:val="none" w:sz="0" w:space="0" w:color="auto"/>
            <w:left w:val="none" w:sz="0" w:space="0" w:color="auto"/>
            <w:bottom w:val="none" w:sz="0" w:space="0" w:color="auto"/>
            <w:right w:val="none" w:sz="0" w:space="0" w:color="auto"/>
          </w:divBdr>
        </w:div>
        <w:div w:id="2005474467">
          <w:marLeft w:val="0"/>
          <w:marRight w:val="0"/>
          <w:marTop w:val="0"/>
          <w:marBottom w:val="0"/>
          <w:divBdr>
            <w:top w:val="none" w:sz="0" w:space="0" w:color="auto"/>
            <w:left w:val="none" w:sz="0" w:space="0" w:color="auto"/>
            <w:bottom w:val="none" w:sz="0" w:space="0" w:color="auto"/>
            <w:right w:val="none" w:sz="0" w:space="0" w:color="auto"/>
          </w:divBdr>
        </w:div>
      </w:divsChild>
    </w:div>
    <w:div w:id="1270619907">
      <w:bodyDiv w:val="1"/>
      <w:marLeft w:val="0"/>
      <w:marRight w:val="0"/>
      <w:marTop w:val="0"/>
      <w:marBottom w:val="0"/>
      <w:divBdr>
        <w:top w:val="none" w:sz="0" w:space="0" w:color="auto"/>
        <w:left w:val="none" w:sz="0" w:space="0" w:color="auto"/>
        <w:bottom w:val="none" w:sz="0" w:space="0" w:color="auto"/>
        <w:right w:val="none" w:sz="0" w:space="0" w:color="auto"/>
      </w:divBdr>
    </w:div>
    <w:div w:id="1476602035">
      <w:bodyDiv w:val="1"/>
      <w:marLeft w:val="0"/>
      <w:marRight w:val="0"/>
      <w:marTop w:val="0"/>
      <w:marBottom w:val="0"/>
      <w:divBdr>
        <w:top w:val="none" w:sz="0" w:space="0" w:color="auto"/>
        <w:left w:val="none" w:sz="0" w:space="0" w:color="auto"/>
        <w:bottom w:val="none" w:sz="0" w:space="0" w:color="auto"/>
        <w:right w:val="none" w:sz="0" w:space="0" w:color="auto"/>
      </w:divBdr>
      <w:divsChild>
        <w:div w:id="55323630">
          <w:marLeft w:val="0"/>
          <w:marRight w:val="0"/>
          <w:marTop w:val="0"/>
          <w:marBottom w:val="0"/>
          <w:divBdr>
            <w:top w:val="none" w:sz="0" w:space="0" w:color="auto"/>
            <w:left w:val="none" w:sz="0" w:space="0" w:color="auto"/>
            <w:bottom w:val="none" w:sz="0" w:space="0" w:color="auto"/>
            <w:right w:val="none" w:sz="0" w:space="0" w:color="auto"/>
          </w:divBdr>
        </w:div>
        <w:div w:id="56057576">
          <w:marLeft w:val="0"/>
          <w:marRight w:val="0"/>
          <w:marTop w:val="0"/>
          <w:marBottom w:val="0"/>
          <w:divBdr>
            <w:top w:val="none" w:sz="0" w:space="0" w:color="auto"/>
            <w:left w:val="none" w:sz="0" w:space="0" w:color="auto"/>
            <w:bottom w:val="none" w:sz="0" w:space="0" w:color="auto"/>
            <w:right w:val="none" w:sz="0" w:space="0" w:color="auto"/>
          </w:divBdr>
        </w:div>
        <w:div w:id="392511305">
          <w:marLeft w:val="0"/>
          <w:marRight w:val="0"/>
          <w:marTop w:val="0"/>
          <w:marBottom w:val="0"/>
          <w:divBdr>
            <w:top w:val="none" w:sz="0" w:space="0" w:color="auto"/>
            <w:left w:val="none" w:sz="0" w:space="0" w:color="auto"/>
            <w:bottom w:val="none" w:sz="0" w:space="0" w:color="auto"/>
            <w:right w:val="none" w:sz="0" w:space="0" w:color="auto"/>
          </w:divBdr>
        </w:div>
        <w:div w:id="593821865">
          <w:marLeft w:val="0"/>
          <w:marRight w:val="0"/>
          <w:marTop w:val="0"/>
          <w:marBottom w:val="0"/>
          <w:divBdr>
            <w:top w:val="none" w:sz="0" w:space="0" w:color="auto"/>
            <w:left w:val="none" w:sz="0" w:space="0" w:color="auto"/>
            <w:bottom w:val="none" w:sz="0" w:space="0" w:color="auto"/>
            <w:right w:val="none" w:sz="0" w:space="0" w:color="auto"/>
          </w:divBdr>
        </w:div>
        <w:div w:id="1791632937">
          <w:marLeft w:val="0"/>
          <w:marRight w:val="0"/>
          <w:marTop w:val="0"/>
          <w:marBottom w:val="0"/>
          <w:divBdr>
            <w:top w:val="none" w:sz="0" w:space="0" w:color="auto"/>
            <w:left w:val="none" w:sz="0" w:space="0" w:color="auto"/>
            <w:bottom w:val="none" w:sz="0" w:space="0" w:color="auto"/>
            <w:right w:val="none" w:sz="0" w:space="0" w:color="auto"/>
          </w:divBdr>
        </w:div>
        <w:div w:id="2101636378">
          <w:marLeft w:val="0"/>
          <w:marRight w:val="0"/>
          <w:marTop w:val="0"/>
          <w:marBottom w:val="0"/>
          <w:divBdr>
            <w:top w:val="none" w:sz="0" w:space="0" w:color="auto"/>
            <w:left w:val="none" w:sz="0" w:space="0" w:color="auto"/>
            <w:bottom w:val="none" w:sz="0" w:space="0" w:color="auto"/>
            <w:right w:val="none" w:sz="0" w:space="0" w:color="auto"/>
          </w:divBdr>
        </w:div>
        <w:div w:id="2111004011">
          <w:marLeft w:val="0"/>
          <w:marRight w:val="0"/>
          <w:marTop w:val="0"/>
          <w:marBottom w:val="0"/>
          <w:divBdr>
            <w:top w:val="none" w:sz="0" w:space="0" w:color="auto"/>
            <w:left w:val="none" w:sz="0" w:space="0" w:color="auto"/>
            <w:bottom w:val="none" w:sz="0" w:space="0" w:color="auto"/>
            <w:right w:val="none" w:sz="0" w:space="0" w:color="auto"/>
          </w:divBdr>
        </w:div>
      </w:divsChild>
    </w:div>
    <w:div w:id="1519735539">
      <w:bodyDiv w:val="1"/>
      <w:marLeft w:val="0"/>
      <w:marRight w:val="0"/>
      <w:marTop w:val="0"/>
      <w:marBottom w:val="0"/>
      <w:divBdr>
        <w:top w:val="none" w:sz="0" w:space="0" w:color="auto"/>
        <w:left w:val="none" w:sz="0" w:space="0" w:color="auto"/>
        <w:bottom w:val="none" w:sz="0" w:space="0" w:color="auto"/>
        <w:right w:val="none" w:sz="0" w:space="0" w:color="auto"/>
      </w:divBdr>
      <w:divsChild>
        <w:div w:id="99182854">
          <w:marLeft w:val="0"/>
          <w:marRight w:val="0"/>
          <w:marTop w:val="0"/>
          <w:marBottom w:val="0"/>
          <w:divBdr>
            <w:top w:val="none" w:sz="0" w:space="0" w:color="auto"/>
            <w:left w:val="none" w:sz="0" w:space="0" w:color="auto"/>
            <w:bottom w:val="none" w:sz="0" w:space="0" w:color="auto"/>
            <w:right w:val="none" w:sz="0" w:space="0" w:color="auto"/>
          </w:divBdr>
        </w:div>
        <w:div w:id="481122690">
          <w:marLeft w:val="0"/>
          <w:marRight w:val="0"/>
          <w:marTop w:val="0"/>
          <w:marBottom w:val="0"/>
          <w:divBdr>
            <w:top w:val="none" w:sz="0" w:space="0" w:color="auto"/>
            <w:left w:val="none" w:sz="0" w:space="0" w:color="auto"/>
            <w:bottom w:val="none" w:sz="0" w:space="0" w:color="auto"/>
            <w:right w:val="none" w:sz="0" w:space="0" w:color="auto"/>
          </w:divBdr>
        </w:div>
        <w:div w:id="524906868">
          <w:marLeft w:val="0"/>
          <w:marRight w:val="0"/>
          <w:marTop w:val="0"/>
          <w:marBottom w:val="0"/>
          <w:divBdr>
            <w:top w:val="none" w:sz="0" w:space="0" w:color="auto"/>
            <w:left w:val="none" w:sz="0" w:space="0" w:color="auto"/>
            <w:bottom w:val="none" w:sz="0" w:space="0" w:color="auto"/>
            <w:right w:val="none" w:sz="0" w:space="0" w:color="auto"/>
          </w:divBdr>
          <w:divsChild>
            <w:div w:id="428817042">
              <w:marLeft w:val="-75"/>
              <w:marRight w:val="0"/>
              <w:marTop w:val="30"/>
              <w:marBottom w:val="30"/>
              <w:divBdr>
                <w:top w:val="none" w:sz="0" w:space="0" w:color="auto"/>
                <w:left w:val="none" w:sz="0" w:space="0" w:color="auto"/>
                <w:bottom w:val="none" w:sz="0" w:space="0" w:color="auto"/>
                <w:right w:val="none" w:sz="0" w:space="0" w:color="auto"/>
              </w:divBdr>
              <w:divsChild>
                <w:div w:id="52125589">
                  <w:marLeft w:val="0"/>
                  <w:marRight w:val="0"/>
                  <w:marTop w:val="0"/>
                  <w:marBottom w:val="0"/>
                  <w:divBdr>
                    <w:top w:val="none" w:sz="0" w:space="0" w:color="auto"/>
                    <w:left w:val="none" w:sz="0" w:space="0" w:color="auto"/>
                    <w:bottom w:val="none" w:sz="0" w:space="0" w:color="auto"/>
                    <w:right w:val="none" w:sz="0" w:space="0" w:color="auto"/>
                  </w:divBdr>
                  <w:divsChild>
                    <w:div w:id="1843928196">
                      <w:marLeft w:val="0"/>
                      <w:marRight w:val="0"/>
                      <w:marTop w:val="0"/>
                      <w:marBottom w:val="0"/>
                      <w:divBdr>
                        <w:top w:val="none" w:sz="0" w:space="0" w:color="auto"/>
                        <w:left w:val="none" w:sz="0" w:space="0" w:color="auto"/>
                        <w:bottom w:val="none" w:sz="0" w:space="0" w:color="auto"/>
                        <w:right w:val="none" w:sz="0" w:space="0" w:color="auto"/>
                      </w:divBdr>
                    </w:div>
                  </w:divsChild>
                </w:div>
                <w:div w:id="124781646">
                  <w:marLeft w:val="0"/>
                  <w:marRight w:val="0"/>
                  <w:marTop w:val="0"/>
                  <w:marBottom w:val="0"/>
                  <w:divBdr>
                    <w:top w:val="none" w:sz="0" w:space="0" w:color="auto"/>
                    <w:left w:val="none" w:sz="0" w:space="0" w:color="auto"/>
                    <w:bottom w:val="none" w:sz="0" w:space="0" w:color="auto"/>
                    <w:right w:val="none" w:sz="0" w:space="0" w:color="auto"/>
                  </w:divBdr>
                  <w:divsChild>
                    <w:div w:id="1901014800">
                      <w:marLeft w:val="0"/>
                      <w:marRight w:val="0"/>
                      <w:marTop w:val="0"/>
                      <w:marBottom w:val="0"/>
                      <w:divBdr>
                        <w:top w:val="none" w:sz="0" w:space="0" w:color="auto"/>
                        <w:left w:val="none" w:sz="0" w:space="0" w:color="auto"/>
                        <w:bottom w:val="none" w:sz="0" w:space="0" w:color="auto"/>
                        <w:right w:val="none" w:sz="0" w:space="0" w:color="auto"/>
                      </w:divBdr>
                    </w:div>
                  </w:divsChild>
                </w:div>
                <w:div w:id="154615539">
                  <w:marLeft w:val="0"/>
                  <w:marRight w:val="0"/>
                  <w:marTop w:val="0"/>
                  <w:marBottom w:val="0"/>
                  <w:divBdr>
                    <w:top w:val="none" w:sz="0" w:space="0" w:color="auto"/>
                    <w:left w:val="none" w:sz="0" w:space="0" w:color="auto"/>
                    <w:bottom w:val="none" w:sz="0" w:space="0" w:color="auto"/>
                    <w:right w:val="none" w:sz="0" w:space="0" w:color="auto"/>
                  </w:divBdr>
                  <w:divsChild>
                    <w:div w:id="1519351426">
                      <w:marLeft w:val="0"/>
                      <w:marRight w:val="0"/>
                      <w:marTop w:val="0"/>
                      <w:marBottom w:val="0"/>
                      <w:divBdr>
                        <w:top w:val="none" w:sz="0" w:space="0" w:color="auto"/>
                        <w:left w:val="none" w:sz="0" w:space="0" w:color="auto"/>
                        <w:bottom w:val="none" w:sz="0" w:space="0" w:color="auto"/>
                        <w:right w:val="none" w:sz="0" w:space="0" w:color="auto"/>
                      </w:divBdr>
                    </w:div>
                  </w:divsChild>
                </w:div>
                <w:div w:id="256865434">
                  <w:marLeft w:val="0"/>
                  <w:marRight w:val="0"/>
                  <w:marTop w:val="0"/>
                  <w:marBottom w:val="0"/>
                  <w:divBdr>
                    <w:top w:val="none" w:sz="0" w:space="0" w:color="auto"/>
                    <w:left w:val="none" w:sz="0" w:space="0" w:color="auto"/>
                    <w:bottom w:val="none" w:sz="0" w:space="0" w:color="auto"/>
                    <w:right w:val="none" w:sz="0" w:space="0" w:color="auto"/>
                  </w:divBdr>
                  <w:divsChild>
                    <w:div w:id="1055853863">
                      <w:marLeft w:val="0"/>
                      <w:marRight w:val="0"/>
                      <w:marTop w:val="0"/>
                      <w:marBottom w:val="0"/>
                      <w:divBdr>
                        <w:top w:val="none" w:sz="0" w:space="0" w:color="auto"/>
                        <w:left w:val="none" w:sz="0" w:space="0" w:color="auto"/>
                        <w:bottom w:val="none" w:sz="0" w:space="0" w:color="auto"/>
                        <w:right w:val="none" w:sz="0" w:space="0" w:color="auto"/>
                      </w:divBdr>
                    </w:div>
                  </w:divsChild>
                </w:div>
                <w:div w:id="296838000">
                  <w:marLeft w:val="0"/>
                  <w:marRight w:val="0"/>
                  <w:marTop w:val="0"/>
                  <w:marBottom w:val="0"/>
                  <w:divBdr>
                    <w:top w:val="none" w:sz="0" w:space="0" w:color="auto"/>
                    <w:left w:val="none" w:sz="0" w:space="0" w:color="auto"/>
                    <w:bottom w:val="none" w:sz="0" w:space="0" w:color="auto"/>
                    <w:right w:val="none" w:sz="0" w:space="0" w:color="auto"/>
                  </w:divBdr>
                  <w:divsChild>
                    <w:div w:id="1754623031">
                      <w:marLeft w:val="0"/>
                      <w:marRight w:val="0"/>
                      <w:marTop w:val="0"/>
                      <w:marBottom w:val="0"/>
                      <w:divBdr>
                        <w:top w:val="none" w:sz="0" w:space="0" w:color="auto"/>
                        <w:left w:val="none" w:sz="0" w:space="0" w:color="auto"/>
                        <w:bottom w:val="none" w:sz="0" w:space="0" w:color="auto"/>
                        <w:right w:val="none" w:sz="0" w:space="0" w:color="auto"/>
                      </w:divBdr>
                    </w:div>
                  </w:divsChild>
                </w:div>
                <w:div w:id="345137586">
                  <w:marLeft w:val="0"/>
                  <w:marRight w:val="0"/>
                  <w:marTop w:val="0"/>
                  <w:marBottom w:val="0"/>
                  <w:divBdr>
                    <w:top w:val="none" w:sz="0" w:space="0" w:color="auto"/>
                    <w:left w:val="none" w:sz="0" w:space="0" w:color="auto"/>
                    <w:bottom w:val="none" w:sz="0" w:space="0" w:color="auto"/>
                    <w:right w:val="none" w:sz="0" w:space="0" w:color="auto"/>
                  </w:divBdr>
                  <w:divsChild>
                    <w:div w:id="13966358">
                      <w:marLeft w:val="0"/>
                      <w:marRight w:val="0"/>
                      <w:marTop w:val="0"/>
                      <w:marBottom w:val="0"/>
                      <w:divBdr>
                        <w:top w:val="none" w:sz="0" w:space="0" w:color="auto"/>
                        <w:left w:val="none" w:sz="0" w:space="0" w:color="auto"/>
                        <w:bottom w:val="none" w:sz="0" w:space="0" w:color="auto"/>
                        <w:right w:val="none" w:sz="0" w:space="0" w:color="auto"/>
                      </w:divBdr>
                    </w:div>
                  </w:divsChild>
                </w:div>
                <w:div w:id="533155407">
                  <w:marLeft w:val="0"/>
                  <w:marRight w:val="0"/>
                  <w:marTop w:val="0"/>
                  <w:marBottom w:val="0"/>
                  <w:divBdr>
                    <w:top w:val="none" w:sz="0" w:space="0" w:color="auto"/>
                    <w:left w:val="none" w:sz="0" w:space="0" w:color="auto"/>
                    <w:bottom w:val="none" w:sz="0" w:space="0" w:color="auto"/>
                    <w:right w:val="none" w:sz="0" w:space="0" w:color="auto"/>
                  </w:divBdr>
                  <w:divsChild>
                    <w:div w:id="441610529">
                      <w:marLeft w:val="0"/>
                      <w:marRight w:val="0"/>
                      <w:marTop w:val="0"/>
                      <w:marBottom w:val="0"/>
                      <w:divBdr>
                        <w:top w:val="none" w:sz="0" w:space="0" w:color="auto"/>
                        <w:left w:val="none" w:sz="0" w:space="0" w:color="auto"/>
                        <w:bottom w:val="none" w:sz="0" w:space="0" w:color="auto"/>
                        <w:right w:val="none" w:sz="0" w:space="0" w:color="auto"/>
                      </w:divBdr>
                    </w:div>
                  </w:divsChild>
                </w:div>
                <w:div w:id="582687479">
                  <w:marLeft w:val="0"/>
                  <w:marRight w:val="0"/>
                  <w:marTop w:val="0"/>
                  <w:marBottom w:val="0"/>
                  <w:divBdr>
                    <w:top w:val="none" w:sz="0" w:space="0" w:color="auto"/>
                    <w:left w:val="none" w:sz="0" w:space="0" w:color="auto"/>
                    <w:bottom w:val="none" w:sz="0" w:space="0" w:color="auto"/>
                    <w:right w:val="none" w:sz="0" w:space="0" w:color="auto"/>
                  </w:divBdr>
                  <w:divsChild>
                    <w:div w:id="1146437317">
                      <w:marLeft w:val="0"/>
                      <w:marRight w:val="0"/>
                      <w:marTop w:val="0"/>
                      <w:marBottom w:val="0"/>
                      <w:divBdr>
                        <w:top w:val="none" w:sz="0" w:space="0" w:color="auto"/>
                        <w:left w:val="none" w:sz="0" w:space="0" w:color="auto"/>
                        <w:bottom w:val="none" w:sz="0" w:space="0" w:color="auto"/>
                        <w:right w:val="none" w:sz="0" w:space="0" w:color="auto"/>
                      </w:divBdr>
                    </w:div>
                  </w:divsChild>
                </w:div>
                <w:div w:id="815027757">
                  <w:marLeft w:val="0"/>
                  <w:marRight w:val="0"/>
                  <w:marTop w:val="0"/>
                  <w:marBottom w:val="0"/>
                  <w:divBdr>
                    <w:top w:val="none" w:sz="0" w:space="0" w:color="auto"/>
                    <w:left w:val="none" w:sz="0" w:space="0" w:color="auto"/>
                    <w:bottom w:val="none" w:sz="0" w:space="0" w:color="auto"/>
                    <w:right w:val="none" w:sz="0" w:space="0" w:color="auto"/>
                  </w:divBdr>
                  <w:divsChild>
                    <w:div w:id="1746412734">
                      <w:marLeft w:val="0"/>
                      <w:marRight w:val="0"/>
                      <w:marTop w:val="0"/>
                      <w:marBottom w:val="0"/>
                      <w:divBdr>
                        <w:top w:val="none" w:sz="0" w:space="0" w:color="auto"/>
                        <w:left w:val="none" w:sz="0" w:space="0" w:color="auto"/>
                        <w:bottom w:val="none" w:sz="0" w:space="0" w:color="auto"/>
                        <w:right w:val="none" w:sz="0" w:space="0" w:color="auto"/>
                      </w:divBdr>
                    </w:div>
                  </w:divsChild>
                </w:div>
                <w:div w:id="858011267">
                  <w:marLeft w:val="0"/>
                  <w:marRight w:val="0"/>
                  <w:marTop w:val="0"/>
                  <w:marBottom w:val="0"/>
                  <w:divBdr>
                    <w:top w:val="none" w:sz="0" w:space="0" w:color="auto"/>
                    <w:left w:val="none" w:sz="0" w:space="0" w:color="auto"/>
                    <w:bottom w:val="none" w:sz="0" w:space="0" w:color="auto"/>
                    <w:right w:val="none" w:sz="0" w:space="0" w:color="auto"/>
                  </w:divBdr>
                  <w:divsChild>
                    <w:div w:id="1579709262">
                      <w:marLeft w:val="0"/>
                      <w:marRight w:val="0"/>
                      <w:marTop w:val="0"/>
                      <w:marBottom w:val="0"/>
                      <w:divBdr>
                        <w:top w:val="none" w:sz="0" w:space="0" w:color="auto"/>
                        <w:left w:val="none" w:sz="0" w:space="0" w:color="auto"/>
                        <w:bottom w:val="none" w:sz="0" w:space="0" w:color="auto"/>
                        <w:right w:val="none" w:sz="0" w:space="0" w:color="auto"/>
                      </w:divBdr>
                    </w:div>
                  </w:divsChild>
                </w:div>
                <w:div w:id="907227004">
                  <w:marLeft w:val="0"/>
                  <w:marRight w:val="0"/>
                  <w:marTop w:val="0"/>
                  <w:marBottom w:val="0"/>
                  <w:divBdr>
                    <w:top w:val="none" w:sz="0" w:space="0" w:color="auto"/>
                    <w:left w:val="none" w:sz="0" w:space="0" w:color="auto"/>
                    <w:bottom w:val="none" w:sz="0" w:space="0" w:color="auto"/>
                    <w:right w:val="none" w:sz="0" w:space="0" w:color="auto"/>
                  </w:divBdr>
                  <w:divsChild>
                    <w:div w:id="854461943">
                      <w:marLeft w:val="0"/>
                      <w:marRight w:val="0"/>
                      <w:marTop w:val="0"/>
                      <w:marBottom w:val="0"/>
                      <w:divBdr>
                        <w:top w:val="none" w:sz="0" w:space="0" w:color="auto"/>
                        <w:left w:val="none" w:sz="0" w:space="0" w:color="auto"/>
                        <w:bottom w:val="none" w:sz="0" w:space="0" w:color="auto"/>
                        <w:right w:val="none" w:sz="0" w:space="0" w:color="auto"/>
                      </w:divBdr>
                    </w:div>
                  </w:divsChild>
                </w:div>
                <w:div w:id="1063257055">
                  <w:marLeft w:val="0"/>
                  <w:marRight w:val="0"/>
                  <w:marTop w:val="0"/>
                  <w:marBottom w:val="0"/>
                  <w:divBdr>
                    <w:top w:val="none" w:sz="0" w:space="0" w:color="auto"/>
                    <w:left w:val="none" w:sz="0" w:space="0" w:color="auto"/>
                    <w:bottom w:val="none" w:sz="0" w:space="0" w:color="auto"/>
                    <w:right w:val="none" w:sz="0" w:space="0" w:color="auto"/>
                  </w:divBdr>
                  <w:divsChild>
                    <w:div w:id="1382556182">
                      <w:marLeft w:val="0"/>
                      <w:marRight w:val="0"/>
                      <w:marTop w:val="0"/>
                      <w:marBottom w:val="0"/>
                      <w:divBdr>
                        <w:top w:val="none" w:sz="0" w:space="0" w:color="auto"/>
                        <w:left w:val="none" w:sz="0" w:space="0" w:color="auto"/>
                        <w:bottom w:val="none" w:sz="0" w:space="0" w:color="auto"/>
                        <w:right w:val="none" w:sz="0" w:space="0" w:color="auto"/>
                      </w:divBdr>
                    </w:div>
                  </w:divsChild>
                </w:div>
                <w:div w:id="1225874531">
                  <w:marLeft w:val="0"/>
                  <w:marRight w:val="0"/>
                  <w:marTop w:val="0"/>
                  <w:marBottom w:val="0"/>
                  <w:divBdr>
                    <w:top w:val="none" w:sz="0" w:space="0" w:color="auto"/>
                    <w:left w:val="none" w:sz="0" w:space="0" w:color="auto"/>
                    <w:bottom w:val="none" w:sz="0" w:space="0" w:color="auto"/>
                    <w:right w:val="none" w:sz="0" w:space="0" w:color="auto"/>
                  </w:divBdr>
                  <w:divsChild>
                    <w:div w:id="710958142">
                      <w:marLeft w:val="0"/>
                      <w:marRight w:val="0"/>
                      <w:marTop w:val="0"/>
                      <w:marBottom w:val="0"/>
                      <w:divBdr>
                        <w:top w:val="none" w:sz="0" w:space="0" w:color="auto"/>
                        <w:left w:val="none" w:sz="0" w:space="0" w:color="auto"/>
                        <w:bottom w:val="none" w:sz="0" w:space="0" w:color="auto"/>
                        <w:right w:val="none" w:sz="0" w:space="0" w:color="auto"/>
                      </w:divBdr>
                    </w:div>
                  </w:divsChild>
                </w:div>
                <w:div w:id="1253121950">
                  <w:marLeft w:val="0"/>
                  <w:marRight w:val="0"/>
                  <w:marTop w:val="0"/>
                  <w:marBottom w:val="0"/>
                  <w:divBdr>
                    <w:top w:val="none" w:sz="0" w:space="0" w:color="auto"/>
                    <w:left w:val="none" w:sz="0" w:space="0" w:color="auto"/>
                    <w:bottom w:val="none" w:sz="0" w:space="0" w:color="auto"/>
                    <w:right w:val="none" w:sz="0" w:space="0" w:color="auto"/>
                  </w:divBdr>
                  <w:divsChild>
                    <w:div w:id="179902834">
                      <w:marLeft w:val="0"/>
                      <w:marRight w:val="0"/>
                      <w:marTop w:val="0"/>
                      <w:marBottom w:val="0"/>
                      <w:divBdr>
                        <w:top w:val="none" w:sz="0" w:space="0" w:color="auto"/>
                        <w:left w:val="none" w:sz="0" w:space="0" w:color="auto"/>
                        <w:bottom w:val="none" w:sz="0" w:space="0" w:color="auto"/>
                        <w:right w:val="none" w:sz="0" w:space="0" w:color="auto"/>
                      </w:divBdr>
                    </w:div>
                  </w:divsChild>
                </w:div>
                <w:div w:id="1280451010">
                  <w:marLeft w:val="0"/>
                  <w:marRight w:val="0"/>
                  <w:marTop w:val="0"/>
                  <w:marBottom w:val="0"/>
                  <w:divBdr>
                    <w:top w:val="none" w:sz="0" w:space="0" w:color="auto"/>
                    <w:left w:val="none" w:sz="0" w:space="0" w:color="auto"/>
                    <w:bottom w:val="none" w:sz="0" w:space="0" w:color="auto"/>
                    <w:right w:val="none" w:sz="0" w:space="0" w:color="auto"/>
                  </w:divBdr>
                  <w:divsChild>
                    <w:div w:id="1612669297">
                      <w:marLeft w:val="0"/>
                      <w:marRight w:val="0"/>
                      <w:marTop w:val="0"/>
                      <w:marBottom w:val="0"/>
                      <w:divBdr>
                        <w:top w:val="none" w:sz="0" w:space="0" w:color="auto"/>
                        <w:left w:val="none" w:sz="0" w:space="0" w:color="auto"/>
                        <w:bottom w:val="none" w:sz="0" w:space="0" w:color="auto"/>
                        <w:right w:val="none" w:sz="0" w:space="0" w:color="auto"/>
                      </w:divBdr>
                    </w:div>
                  </w:divsChild>
                </w:div>
                <w:div w:id="1400133920">
                  <w:marLeft w:val="0"/>
                  <w:marRight w:val="0"/>
                  <w:marTop w:val="0"/>
                  <w:marBottom w:val="0"/>
                  <w:divBdr>
                    <w:top w:val="none" w:sz="0" w:space="0" w:color="auto"/>
                    <w:left w:val="none" w:sz="0" w:space="0" w:color="auto"/>
                    <w:bottom w:val="none" w:sz="0" w:space="0" w:color="auto"/>
                    <w:right w:val="none" w:sz="0" w:space="0" w:color="auto"/>
                  </w:divBdr>
                  <w:divsChild>
                    <w:div w:id="344402399">
                      <w:marLeft w:val="0"/>
                      <w:marRight w:val="0"/>
                      <w:marTop w:val="0"/>
                      <w:marBottom w:val="0"/>
                      <w:divBdr>
                        <w:top w:val="none" w:sz="0" w:space="0" w:color="auto"/>
                        <w:left w:val="none" w:sz="0" w:space="0" w:color="auto"/>
                        <w:bottom w:val="none" w:sz="0" w:space="0" w:color="auto"/>
                        <w:right w:val="none" w:sz="0" w:space="0" w:color="auto"/>
                      </w:divBdr>
                    </w:div>
                  </w:divsChild>
                </w:div>
                <w:div w:id="1473714473">
                  <w:marLeft w:val="0"/>
                  <w:marRight w:val="0"/>
                  <w:marTop w:val="0"/>
                  <w:marBottom w:val="0"/>
                  <w:divBdr>
                    <w:top w:val="none" w:sz="0" w:space="0" w:color="auto"/>
                    <w:left w:val="none" w:sz="0" w:space="0" w:color="auto"/>
                    <w:bottom w:val="none" w:sz="0" w:space="0" w:color="auto"/>
                    <w:right w:val="none" w:sz="0" w:space="0" w:color="auto"/>
                  </w:divBdr>
                  <w:divsChild>
                    <w:div w:id="1886409479">
                      <w:marLeft w:val="0"/>
                      <w:marRight w:val="0"/>
                      <w:marTop w:val="0"/>
                      <w:marBottom w:val="0"/>
                      <w:divBdr>
                        <w:top w:val="none" w:sz="0" w:space="0" w:color="auto"/>
                        <w:left w:val="none" w:sz="0" w:space="0" w:color="auto"/>
                        <w:bottom w:val="none" w:sz="0" w:space="0" w:color="auto"/>
                        <w:right w:val="none" w:sz="0" w:space="0" w:color="auto"/>
                      </w:divBdr>
                    </w:div>
                  </w:divsChild>
                </w:div>
                <w:div w:id="1478914289">
                  <w:marLeft w:val="0"/>
                  <w:marRight w:val="0"/>
                  <w:marTop w:val="0"/>
                  <w:marBottom w:val="0"/>
                  <w:divBdr>
                    <w:top w:val="none" w:sz="0" w:space="0" w:color="auto"/>
                    <w:left w:val="none" w:sz="0" w:space="0" w:color="auto"/>
                    <w:bottom w:val="none" w:sz="0" w:space="0" w:color="auto"/>
                    <w:right w:val="none" w:sz="0" w:space="0" w:color="auto"/>
                  </w:divBdr>
                  <w:divsChild>
                    <w:div w:id="486869865">
                      <w:marLeft w:val="0"/>
                      <w:marRight w:val="0"/>
                      <w:marTop w:val="0"/>
                      <w:marBottom w:val="0"/>
                      <w:divBdr>
                        <w:top w:val="none" w:sz="0" w:space="0" w:color="auto"/>
                        <w:left w:val="none" w:sz="0" w:space="0" w:color="auto"/>
                        <w:bottom w:val="none" w:sz="0" w:space="0" w:color="auto"/>
                        <w:right w:val="none" w:sz="0" w:space="0" w:color="auto"/>
                      </w:divBdr>
                    </w:div>
                  </w:divsChild>
                </w:div>
                <w:div w:id="1527908612">
                  <w:marLeft w:val="0"/>
                  <w:marRight w:val="0"/>
                  <w:marTop w:val="0"/>
                  <w:marBottom w:val="0"/>
                  <w:divBdr>
                    <w:top w:val="none" w:sz="0" w:space="0" w:color="auto"/>
                    <w:left w:val="none" w:sz="0" w:space="0" w:color="auto"/>
                    <w:bottom w:val="none" w:sz="0" w:space="0" w:color="auto"/>
                    <w:right w:val="none" w:sz="0" w:space="0" w:color="auto"/>
                  </w:divBdr>
                  <w:divsChild>
                    <w:div w:id="602226188">
                      <w:marLeft w:val="0"/>
                      <w:marRight w:val="0"/>
                      <w:marTop w:val="0"/>
                      <w:marBottom w:val="0"/>
                      <w:divBdr>
                        <w:top w:val="none" w:sz="0" w:space="0" w:color="auto"/>
                        <w:left w:val="none" w:sz="0" w:space="0" w:color="auto"/>
                        <w:bottom w:val="none" w:sz="0" w:space="0" w:color="auto"/>
                        <w:right w:val="none" w:sz="0" w:space="0" w:color="auto"/>
                      </w:divBdr>
                    </w:div>
                  </w:divsChild>
                </w:div>
                <w:div w:id="1547985341">
                  <w:marLeft w:val="0"/>
                  <w:marRight w:val="0"/>
                  <w:marTop w:val="0"/>
                  <w:marBottom w:val="0"/>
                  <w:divBdr>
                    <w:top w:val="none" w:sz="0" w:space="0" w:color="auto"/>
                    <w:left w:val="none" w:sz="0" w:space="0" w:color="auto"/>
                    <w:bottom w:val="none" w:sz="0" w:space="0" w:color="auto"/>
                    <w:right w:val="none" w:sz="0" w:space="0" w:color="auto"/>
                  </w:divBdr>
                  <w:divsChild>
                    <w:div w:id="1378311677">
                      <w:marLeft w:val="0"/>
                      <w:marRight w:val="0"/>
                      <w:marTop w:val="0"/>
                      <w:marBottom w:val="0"/>
                      <w:divBdr>
                        <w:top w:val="none" w:sz="0" w:space="0" w:color="auto"/>
                        <w:left w:val="none" w:sz="0" w:space="0" w:color="auto"/>
                        <w:bottom w:val="none" w:sz="0" w:space="0" w:color="auto"/>
                        <w:right w:val="none" w:sz="0" w:space="0" w:color="auto"/>
                      </w:divBdr>
                    </w:div>
                  </w:divsChild>
                </w:div>
                <w:div w:id="1573083735">
                  <w:marLeft w:val="0"/>
                  <w:marRight w:val="0"/>
                  <w:marTop w:val="0"/>
                  <w:marBottom w:val="0"/>
                  <w:divBdr>
                    <w:top w:val="none" w:sz="0" w:space="0" w:color="auto"/>
                    <w:left w:val="none" w:sz="0" w:space="0" w:color="auto"/>
                    <w:bottom w:val="none" w:sz="0" w:space="0" w:color="auto"/>
                    <w:right w:val="none" w:sz="0" w:space="0" w:color="auto"/>
                  </w:divBdr>
                  <w:divsChild>
                    <w:div w:id="1286353903">
                      <w:marLeft w:val="0"/>
                      <w:marRight w:val="0"/>
                      <w:marTop w:val="0"/>
                      <w:marBottom w:val="0"/>
                      <w:divBdr>
                        <w:top w:val="none" w:sz="0" w:space="0" w:color="auto"/>
                        <w:left w:val="none" w:sz="0" w:space="0" w:color="auto"/>
                        <w:bottom w:val="none" w:sz="0" w:space="0" w:color="auto"/>
                        <w:right w:val="none" w:sz="0" w:space="0" w:color="auto"/>
                      </w:divBdr>
                    </w:div>
                  </w:divsChild>
                </w:div>
                <w:div w:id="1656110261">
                  <w:marLeft w:val="0"/>
                  <w:marRight w:val="0"/>
                  <w:marTop w:val="0"/>
                  <w:marBottom w:val="0"/>
                  <w:divBdr>
                    <w:top w:val="none" w:sz="0" w:space="0" w:color="auto"/>
                    <w:left w:val="none" w:sz="0" w:space="0" w:color="auto"/>
                    <w:bottom w:val="none" w:sz="0" w:space="0" w:color="auto"/>
                    <w:right w:val="none" w:sz="0" w:space="0" w:color="auto"/>
                  </w:divBdr>
                  <w:divsChild>
                    <w:div w:id="1931234665">
                      <w:marLeft w:val="0"/>
                      <w:marRight w:val="0"/>
                      <w:marTop w:val="0"/>
                      <w:marBottom w:val="0"/>
                      <w:divBdr>
                        <w:top w:val="none" w:sz="0" w:space="0" w:color="auto"/>
                        <w:left w:val="none" w:sz="0" w:space="0" w:color="auto"/>
                        <w:bottom w:val="none" w:sz="0" w:space="0" w:color="auto"/>
                        <w:right w:val="none" w:sz="0" w:space="0" w:color="auto"/>
                      </w:divBdr>
                    </w:div>
                  </w:divsChild>
                </w:div>
                <w:div w:id="1658681916">
                  <w:marLeft w:val="0"/>
                  <w:marRight w:val="0"/>
                  <w:marTop w:val="0"/>
                  <w:marBottom w:val="0"/>
                  <w:divBdr>
                    <w:top w:val="none" w:sz="0" w:space="0" w:color="auto"/>
                    <w:left w:val="none" w:sz="0" w:space="0" w:color="auto"/>
                    <w:bottom w:val="none" w:sz="0" w:space="0" w:color="auto"/>
                    <w:right w:val="none" w:sz="0" w:space="0" w:color="auto"/>
                  </w:divBdr>
                  <w:divsChild>
                    <w:div w:id="880089069">
                      <w:marLeft w:val="0"/>
                      <w:marRight w:val="0"/>
                      <w:marTop w:val="0"/>
                      <w:marBottom w:val="0"/>
                      <w:divBdr>
                        <w:top w:val="none" w:sz="0" w:space="0" w:color="auto"/>
                        <w:left w:val="none" w:sz="0" w:space="0" w:color="auto"/>
                        <w:bottom w:val="none" w:sz="0" w:space="0" w:color="auto"/>
                        <w:right w:val="none" w:sz="0" w:space="0" w:color="auto"/>
                      </w:divBdr>
                    </w:div>
                  </w:divsChild>
                </w:div>
                <w:div w:id="1767653107">
                  <w:marLeft w:val="0"/>
                  <w:marRight w:val="0"/>
                  <w:marTop w:val="0"/>
                  <w:marBottom w:val="0"/>
                  <w:divBdr>
                    <w:top w:val="none" w:sz="0" w:space="0" w:color="auto"/>
                    <w:left w:val="none" w:sz="0" w:space="0" w:color="auto"/>
                    <w:bottom w:val="none" w:sz="0" w:space="0" w:color="auto"/>
                    <w:right w:val="none" w:sz="0" w:space="0" w:color="auto"/>
                  </w:divBdr>
                  <w:divsChild>
                    <w:div w:id="461963770">
                      <w:marLeft w:val="0"/>
                      <w:marRight w:val="0"/>
                      <w:marTop w:val="0"/>
                      <w:marBottom w:val="0"/>
                      <w:divBdr>
                        <w:top w:val="none" w:sz="0" w:space="0" w:color="auto"/>
                        <w:left w:val="none" w:sz="0" w:space="0" w:color="auto"/>
                        <w:bottom w:val="none" w:sz="0" w:space="0" w:color="auto"/>
                        <w:right w:val="none" w:sz="0" w:space="0" w:color="auto"/>
                      </w:divBdr>
                    </w:div>
                  </w:divsChild>
                </w:div>
                <w:div w:id="1787432183">
                  <w:marLeft w:val="0"/>
                  <w:marRight w:val="0"/>
                  <w:marTop w:val="0"/>
                  <w:marBottom w:val="0"/>
                  <w:divBdr>
                    <w:top w:val="none" w:sz="0" w:space="0" w:color="auto"/>
                    <w:left w:val="none" w:sz="0" w:space="0" w:color="auto"/>
                    <w:bottom w:val="none" w:sz="0" w:space="0" w:color="auto"/>
                    <w:right w:val="none" w:sz="0" w:space="0" w:color="auto"/>
                  </w:divBdr>
                  <w:divsChild>
                    <w:div w:id="1547522283">
                      <w:marLeft w:val="0"/>
                      <w:marRight w:val="0"/>
                      <w:marTop w:val="0"/>
                      <w:marBottom w:val="0"/>
                      <w:divBdr>
                        <w:top w:val="none" w:sz="0" w:space="0" w:color="auto"/>
                        <w:left w:val="none" w:sz="0" w:space="0" w:color="auto"/>
                        <w:bottom w:val="none" w:sz="0" w:space="0" w:color="auto"/>
                        <w:right w:val="none" w:sz="0" w:space="0" w:color="auto"/>
                      </w:divBdr>
                    </w:div>
                  </w:divsChild>
                </w:div>
                <w:div w:id="1812165919">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sChild>
                </w:div>
                <w:div w:id="1910843346">
                  <w:marLeft w:val="0"/>
                  <w:marRight w:val="0"/>
                  <w:marTop w:val="0"/>
                  <w:marBottom w:val="0"/>
                  <w:divBdr>
                    <w:top w:val="none" w:sz="0" w:space="0" w:color="auto"/>
                    <w:left w:val="none" w:sz="0" w:space="0" w:color="auto"/>
                    <w:bottom w:val="none" w:sz="0" w:space="0" w:color="auto"/>
                    <w:right w:val="none" w:sz="0" w:space="0" w:color="auto"/>
                  </w:divBdr>
                  <w:divsChild>
                    <w:div w:id="1140346361">
                      <w:marLeft w:val="0"/>
                      <w:marRight w:val="0"/>
                      <w:marTop w:val="0"/>
                      <w:marBottom w:val="0"/>
                      <w:divBdr>
                        <w:top w:val="none" w:sz="0" w:space="0" w:color="auto"/>
                        <w:left w:val="none" w:sz="0" w:space="0" w:color="auto"/>
                        <w:bottom w:val="none" w:sz="0" w:space="0" w:color="auto"/>
                        <w:right w:val="none" w:sz="0" w:space="0" w:color="auto"/>
                      </w:divBdr>
                    </w:div>
                  </w:divsChild>
                </w:div>
                <w:div w:id="1962763441">
                  <w:marLeft w:val="0"/>
                  <w:marRight w:val="0"/>
                  <w:marTop w:val="0"/>
                  <w:marBottom w:val="0"/>
                  <w:divBdr>
                    <w:top w:val="none" w:sz="0" w:space="0" w:color="auto"/>
                    <w:left w:val="none" w:sz="0" w:space="0" w:color="auto"/>
                    <w:bottom w:val="none" w:sz="0" w:space="0" w:color="auto"/>
                    <w:right w:val="none" w:sz="0" w:space="0" w:color="auto"/>
                  </w:divBdr>
                  <w:divsChild>
                    <w:div w:id="540869322">
                      <w:marLeft w:val="0"/>
                      <w:marRight w:val="0"/>
                      <w:marTop w:val="0"/>
                      <w:marBottom w:val="0"/>
                      <w:divBdr>
                        <w:top w:val="none" w:sz="0" w:space="0" w:color="auto"/>
                        <w:left w:val="none" w:sz="0" w:space="0" w:color="auto"/>
                        <w:bottom w:val="none" w:sz="0" w:space="0" w:color="auto"/>
                        <w:right w:val="none" w:sz="0" w:space="0" w:color="auto"/>
                      </w:divBdr>
                    </w:div>
                  </w:divsChild>
                </w:div>
                <w:div w:id="1992060578">
                  <w:marLeft w:val="0"/>
                  <w:marRight w:val="0"/>
                  <w:marTop w:val="0"/>
                  <w:marBottom w:val="0"/>
                  <w:divBdr>
                    <w:top w:val="none" w:sz="0" w:space="0" w:color="auto"/>
                    <w:left w:val="none" w:sz="0" w:space="0" w:color="auto"/>
                    <w:bottom w:val="none" w:sz="0" w:space="0" w:color="auto"/>
                    <w:right w:val="none" w:sz="0" w:space="0" w:color="auto"/>
                  </w:divBdr>
                  <w:divsChild>
                    <w:div w:id="1278684329">
                      <w:marLeft w:val="0"/>
                      <w:marRight w:val="0"/>
                      <w:marTop w:val="0"/>
                      <w:marBottom w:val="0"/>
                      <w:divBdr>
                        <w:top w:val="none" w:sz="0" w:space="0" w:color="auto"/>
                        <w:left w:val="none" w:sz="0" w:space="0" w:color="auto"/>
                        <w:bottom w:val="none" w:sz="0" w:space="0" w:color="auto"/>
                        <w:right w:val="none" w:sz="0" w:space="0" w:color="auto"/>
                      </w:divBdr>
                    </w:div>
                  </w:divsChild>
                </w:div>
                <w:div w:id="2005164013">
                  <w:marLeft w:val="0"/>
                  <w:marRight w:val="0"/>
                  <w:marTop w:val="0"/>
                  <w:marBottom w:val="0"/>
                  <w:divBdr>
                    <w:top w:val="none" w:sz="0" w:space="0" w:color="auto"/>
                    <w:left w:val="none" w:sz="0" w:space="0" w:color="auto"/>
                    <w:bottom w:val="none" w:sz="0" w:space="0" w:color="auto"/>
                    <w:right w:val="none" w:sz="0" w:space="0" w:color="auto"/>
                  </w:divBdr>
                  <w:divsChild>
                    <w:div w:id="2132550258">
                      <w:marLeft w:val="0"/>
                      <w:marRight w:val="0"/>
                      <w:marTop w:val="0"/>
                      <w:marBottom w:val="0"/>
                      <w:divBdr>
                        <w:top w:val="none" w:sz="0" w:space="0" w:color="auto"/>
                        <w:left w:val="none" w:sz="0" w:space="0" w:color="auto"/>
                        <w:bottom w:val="none" w:sz="0" w:space="0" w:color="auto"/>
                        <w:right w:val="none" w:sz="0" w:space="0" w:color="auto"/>
                      </w:divBdr>
                    </w:div>
                  </w:divsChild>
                </w:div>
                <w:div w:id="2029210015">
                  <w:marLeft w:val="0"/>
                  <w:marRight w:val="0"/>
                  <w:marTop w:val="0"/>
                  <w:marBottom w:val="0"/>
                  <w:divBdr>
                    <w:top w:val="none" w:sz="0" w:space="0" w:color="auto"/>
                    <w:left w:val="none" w:sz="0" w:space="0" w:color="auto"/>
                    <w:bottom w:val="none" w:sz="0" w:space="0" w:color="auto"/>
                    <w:right w:val="none" w:sz="0" w:space="0" w:color="auto"/>
                  </w:divBdr>
                  <w:divsChild>
                    <w:div w:id="940648367">
                      <w:marLeft w:val="0"/>
                      <w:marRight w:val="0"/>
                      <w:marTop w:val="0"/>
                      <w:marBottom w:val="0"/>
                      <w:divBdr>
                        <w:top w:val="none" w:sz="0" w:space="0" w:color="auto"/>
                        <w:left w:val="none" w:sz="0" w:space="0" w:color="auto"/>
                        <w:bottom w:val="none" w:sz="0" w:space="0" w:color="auto"/>
                        <w:right w:val="none" w:sz="0" w:space="0" w:color="auto"/>
                      </w:divBdr>
                    </w:div>
                  </w:divsChild>
                </w:div>
                <w:div w:id="2056735445">
                  <w:marLeft w:val="0"/>
                  <w:marRight w:val="0"/>
                  <w:marTop w:val="0"/>
                  <w:marBottom w:val="0"/>
                  <w:divBdr>
                    <w:top w:val="none" w:sz="0" w:space="0" w:color="auto"/>
                    <w:left w:val="none" w:sz="0" w:space="0" w:color="auto"/>
                    <w:bottom w:val="none" w:sz="0" w:space="0" w:color="auto"/>
                    <w:right w:val="none" w:sz="0" w:space="0" w:color="auto"/>
                  </w:divBdr>
                  <w:divsChild>
                    <w:div w:id="2011641810">
                      <w:marLeft w:val="0"/>
                      <w:marRight w:val="0"/>
                      <w:marTop w:val="0"/>
                      <w:marBottom w:val="0"/>
                      <w:divBdr>
                        <w:top w:val="none" w:sz="0" w:space="0" w:color="auto"/>
                        <w:left w:val="none" w:sz="0" w:space="0" w:color="auto"/>
                        <w:bottom w:val="none" w:sz="0" w:space="0" w:color="auto"/>
                        <w:right w:val="none" w:sz="0" w:space="0" w:color="auto"/>
                      </w:divBdr>
                    </w:div>
                  </w:divsChild>
                </w:div>
                <w:div w:id="2146309343">
                  <w:marLeft w:val="0"/>
                  <w:marRight w:val="0"/>
                  <w:marTop w:val="0"/>
                  <w:marBottom w:val="0"/>
                  <w:divBdr>
                    <w:top w:val="none" w:sz="0" w:space="0" w:color="auto"/>
                    <w:left w:val="none" w:sz="0" w:space="0" w:color="auto"/>
                    <w:bottom w:val="none" w:sz="0" w:space="0" w:color="auto"/>
                    <w:right w:val="none" w:sz="0" w:space="0" w:color="auto"/>
                  </w:divBdr>
                  <w:divsChild>
                    <w:div w:id="11155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971259">
          <w:marLeft w:val="0"/>
          <w:marRight w:val="0"/>
          <w:marTop w:val="0"/>
          <w:marBottom w:val="0"/>
          <w:divBdr>
            <w:top w:val="none" w:sz="0" w:space="0" w:color="auto"/>
            <w:left w:val="none" w:sz="0" w:space="0" w:color="auto"/>
            <w:bottom w:val="none" w:sz="0" w:space="0" w:color="auto"/>
            <w:right w:val="none" w:sz="0" w:space="0" w:color="auto"/>
          </w:divBdr>
        </w:div>
        <w:div w:id="586380445">
          <w:marLeft w:val="0"/>
          <w:marRight w:val="0"/>
          <w:marTop w:val="0"/>
          <w:marBottom w:val="0"/>
          <w:divBdr>
            <w:top w:val="none" w:sz="0" w:space="0" w:color="auto"/>
            <w:left w:val="none" w:sz="0" w:space="0" w:color="auto"/>
            <w:bottom w:val="none" w:sz="0" w:space="0" w:color="auto"/>
            <w:right w:val="none" w:sz="0" w:space="0" w:color="auto"/>
          </w:divBdr>
        </w:div>
        <w:div w:id="590162476">
          <w:marLeft w:val="0"/>
          <w:marRight w:val="0"/>
          <w:marTop w:val="0"/>
          <w:marBottom w:val="0"/>
          <w:divBdr>
            <w:top w:val="none" w:sz="0" w:space="0" w:color="auto"/>
            <w:left w:val="none" w:sz="0" w:space="0" w:color="auto"/>
            <w:bottom w:val="none" w:sz="0" w:space="0" w:color="auto"/>
            <w:right w:val="none" w:sz="0" w:space="0" w:color="auto"/>
          </w:divBdr>
          <w:divsChild>
            <w:div w:id="17200282">
              <w:marLeft w:val="0"/>
              <w:marRight w:val="0"/>
              <w:marTop w:val="0"/>
              <w:marBottom w:val="0"/>
              <w:divBdr>
                <w:top w:val="none" w:sz="0" w:space="0" w:color="auto"/>
                <w:left w:val="none" w:sz="0" w:space="0" w:color="auto"/>
                <w:bottom w:val="none" w:sz="0" w:space="0" w:color="auto"/>
                <w:right w:val="none" w:sz="0" w:space="0" w:color="auto"/>
              </w:divBdr>
            </w:div>
            <w:div w:id="84615983">
              <w:marLeft w:val="0"/>
              <w:marRight w:val="0"/>
              <w:marTop w:val="0"/>
              <w:marBottom w:val="0"/>
              <w:divBdr>
                <w:top w:val="none" w:sz="0" w:space="0" w:color="auto"/>
                <w:left w:val="none" w:sz="0" w:space="0" w:color="auto"/>
                <w:bottom w:val="none" w:sz="0" w:space="0" w:color="auto"/>
                <w:right w:val="none" w:sz="0" w:space="0" w:color="auto"/>
              </w:divBdr>
            </w:div>
            <w:div w:id="194394667">
              <w:marLeft w:val="0"/>
              <w:marRight w:val="0"/>
              <w:marTop w:val="0"/>
              <w:marBottom w:val="0"/>
              <w:divBdr>
                <w:top w:val="none" w:sz="0" w:space="0" w:color="auto"/>
                <w:left w:val="none" w:sz="0" w:space="0" w:color="auto"/>
                <w:bottom w:val="none" w:sz="0" w:space="0" w:color="auto"/>
                <w:right w:val="none" w:sz="0" w:space="0" w:color="auto"/>
              </w:divBdr>
            </w:div>
            <w:div w:id="539710810">
              <w:marLeft w:val="0"/>
              <w:marRight w:val="0"/>
              <w:marTop w:val="0"/>
              <w:marBottom w:val="0"/>
              <w:divBdr>
                <w:top w:val="none" w:sz="0" w:space="0" w:color="auto"/>
                <w:left w:val="none" w:sz="0" w:space="0" w:color="auto"/>
                <w:bottom w:val="none" w:sz="0" w:space="0" w:color="auto"/>
                <w:right w:val="none" w:sz="0" w:space="0" w:color="auto"/>
              </w:divBdr>
            </w:div>
            <w:div w:id="544608876">
              <w:marLeft w:val="0"/>
              <w:marRight w:val="0"/>
              <w:marTop w:val="0"/>
              <w:marBottom w:val="0"/>
              <w:divBdr>
                <w:top w:val="none" w:sz="0" w:space="0" w:color="auto"/>
                <w:left w:val="none" w:sz="0" w:space="0" w:color="auto"/>
                <w:bottom w:val="none" w:sz="0" w:space="0" w:color="auto"/>
                <w:right w:val="none" w:sz="0" w:space="0" w:color="auto"/>
              </w:divBdr>
            </w:div>
            <w:div w:id="677318168">
              <w:marLeft w:val="0"/>
              <w:marRight w:val="0"/>
              <w:marTop w:val="0"/>
              <w:marBottom w:val="0"/>
              <w:divBdr>
                <w:top w:val="none" w:sz="0" w:space="0" w:color="auto"/>
                <w:left w:val="none" w:sz="0" w:space="0" w:color="auto"/>
                <w:bottom w:val="none" w:sz="0" w:space="0" w:color="auto"/>
                <w:right w:val="none" w:sz="0" w:space="0" w:color="auto"/>
              </w:divBdr>
            </w:div>
            <w:div w:id="705908362">
              <w:marLeft w:val="0"/>
              <w:marRight w:val="0"/>
              <w:marTop w:val="0"/>
              <w:marBottom w:val="0"/>
              <w:divBdr>
                <w:top w:val="none" w:sz="0" w:space="0" w:color="auto"/>
                <w:left w:val="none" w:sz="0" w:space="0" w:color="auto"/>
                <w:bottom w:val="none" w:sz="0" w:space="0" w:color="auto"/>
                <w:right w:val="none" w:sz="0" w:space="0" w:color="auto"/>
              </w:divBdr>
            </w:div>
            <w:div w:id="707489637">
              <w:marLeft w:val="0"/>
              <w:marRight w:val="0"/>
              <w:marTop w:val="0"/>
              <w:marBottom w:val="0"/>
              <w:divBdr>
                <w:top w:val="none" w:sz="0" w:space="0" w:color="auto"/>
                <w:left w:val="none" w:sz="0" w:space="0" w:color="auto"/>
                <w:bottom w:val="none" w:sz="0" w:space="0" w:color="auto"/>
                <w:right w:val="none" w:sz="0" w:space="0" w:color="auto"/>
              </w:divBdr>
            </w:div>
            <w:div w:id="859658440">
              <w:marLeft w:val="0"/>
              <w:marRight w:val="0"/>
              <w:marTop w:val="0"/>
              <w:marBottom w:val="0"/>
              <w:divBdr>
                <w:top w:val="none" w:sz="0" w:space="0" w:color="auto"/>
                <w:left w:val="none" w:sz="0" w:space="0" w:color="auto"/>
                <w:bottom w:val="none" w:sz="0" w:space="0" w:color="auto"/>
                <w:right w:val="none" w:sz="0" w:space="0" w:color="auto"/>
              </w:divBdr>
            </w:div>
            <w:div w:id="1003557211">
              <w:marLeft w:val="0"/>
              <w:marRight w:val="0"/>
              <w:marTop w:val="0"/>
              <w:marBottom w:val="0"/>
              <w:divBdr>
                <w:top w:val="none" w:sz="0" w:space="0" w:color="auto"/>
                <w:left w:val="none" w:sz="0" w:space="0" w:color="auto"/>
                <w:bottom w:val="none" w:sz="0" w:space="0" w:color="auto"/>
                <w:right w:val="none" w:sz="0" w:space="0" w:color="auto"/>
              </w:divBdr>
            </w:div>
            <w:div w:id="1260674462">
              <w:marLeft w:val="0"/>
              <w:marRight w:val="0"/>
              <w:marTop w:val="0"/>
              <w:marBottom w:val="0"/>
              <w:divBdr>
                <w:top w:val="none" w:sz="0" w:space="0" w:color="auto"/>
                <w:left w:val="none" w:sz="0" w:space="0" w:color="auto"/>
                <w:bottom w:val="none" w:sz="0" w:space="0" w:color="auto"/>
                <w:right w:val="none" w:sz="0" w:space="0" w:color="auto"/>
              </w:divBdr>
            </w:div>
            <w:div w:id="1500148147">
              <w:marLeft w:val="0"/>
              <w:marRight w:val="0"/>
              <w:marTop w:val="0"/>
              <w:marBottom w:val="0"/>
              <w:divBdr>
                <w:top w:val="none" w:sz="0" w:space="0" w:color="auto"/>
                <w:left w:val="none" w:sz="0" w:space="0" w:color="auto"/>
                <w:bottom w:val="none" w:sz="0" w:space="0" w:color="auto"/>
                <w:right w:val="none" w:sz="0" w:space="0" w:color="auto"/>
              </w:divBdr>
            </w:div>
            <w:div w:id="1814716052">
              <w:marLeft w:val="0"/>
              <w:marRight w:val="0"/>
              <w:marTop w:val="0"/>
              <w:marBottom w:val="0"/>
              <w:divBdr>
                <w:top w:val="none" w:sz="0" w:space="0" w:color="auto"/>
                <w:left w:val="none" w:sz="0" w:space="0" w:color="auto"/>
                <w:bottom w:val="none" w:sz="0" w:space="0" w:color="auto"/>
                <w:right w:val="none" w:sz="0" w:space="0" w:color="auto"/>
              </w:divBdr>
            </w:div>
            <w:div w:id="1824393531">
              <w:marLeft w:val="0"/>
              <w:marRight w:val="0"/>
              <w:marTop w:val="0"/>
              <w:marBottom w:val="0"/>
              <w:divBdr>
                <w:top w:val="none" w:sz="0" w:space="0" w:color="auto"/>
                <w:left w:val="none" w:sz="0" w:space="0" w:color="auto"/>
                <w:bottom w:val="none" w:sz="0" w:space="0" w:color="auto"/>
                <w:right w:val="none" w:sz="0" w:space="0" w:color="auto"/>
              </w:divBdr>
            </w:div>
            <w:div w:id="2145805283">
              <w:marLeft w:val="0"/>
              <w:marRight w:val="0"/>
              <w:marTop w:val="0"/>
              <w:marBottom w:val="0"/>
              <w:divBdr>
                <w:top w:val="none" w:sz="0" w:space="0" w:color="auto"/>
                <w:left w:val="none" w:sz="0" w:space="0" w:color="auto"/>
                <w:bottom w:val="none" w:sz="0" w:space="0" w:color="auto"/>
                <w:right w:val="none" w:sz="0" w:space="0" w:color="auto"/>
              </w:divBdr>
            </w:div>
          </w:divsChild>
        </w:div>
        <w:div w:id="598369997">
          <w:marLeft w:val="0"/>
          <w:marRight w:val="0"/>
          <w:marTop w:val="0"/>
          <w:marBottom w:val="0"/>
          <w:divBdr>
            <w:top w:val="none" w:sz="0" w:space="0" w:color="auto"/>
            <w:left w:val="none" w:sz="0" w:space="0" w:color="auto"/>
            <w:bottom w:val="none" w:sz="0" w:space="0" w:color="auto"/>
            <w:right w:val="none" w:sz="0" w:space="0" w:color="auto"/>
          </w:divBdr>
        </w:div>
        <w:div w:id="694767543">
          <w:marLeft w:val="0"/>
          <w:marRight w:val="0"/>
          <w:marTop w:val="0"/>
          <w:marBottom w:val="0"/>
          <w:divBdr>
            <w:top w:val="none" w:sz="0" w:space="0" w:color="auto"/>
            <w:left w:val="none" w:sz="0" w:space="0" w:color="auto"/>
            <w:bottom w:val="none" w:sz="0" w:space="0" w:color="auto"/>
            <w:right w:val="none" w:sz="0" w:space="0" w:color="auto"/>
          </w:divBdr>
        </w:div>
        <w:div w:id="709648022">
          <w:marLeft w:val="0"/>
          <w:marRight w:val="0"/>
          <w:marTop w:val="0"/>
          <w:marBottom w:val="0"/>
          <w:divBdr>
            <w:top w:val="none" w:sz="0" w:space="0" w:color="auto"/>
            <w:left w:val="none" w:sz="0" w:space="0" w:color="auto"/>
            <w:bottom w:val="none" w:sz="0" w:space="0" w:color="auto"/>
            <w:right w:val="none" w:sz="0" w:space="0" w:color="auto"/>
          </w:divBdr>
        </w:div>
        <w:div w:id="791637126">
          <w:marLeft w:val="0"/>
          <w:marRight w:val="0"/>
          <w:marTop w:val="0"/>
          <w:marBottom w:val="0"/>
          <w:divBdr>
            <w:top w:val="none" w:sz="0" w:space="0" w:color="auto"/>
            <w:left w:val="none" w:sz="0" w:space="0" w:color="auto"/>
            <w:bottom w:val="none" w:sz="0" w:space="0" w:color="auto"/>
            <w:right w:val="none" w:sz="0" w:space="0" w:color="auto"/>
          </w:divBdr>
        </w:div>
        <w:div w:id="812530463">
          <w:marLeft w:val="0"/>
          <w:marRight w:val="0"/>
          <w:marTop w:val="0"/>
          <w:marBottom w:val="0"/>
          <w:divBdr>
            <w:top w:val="none" w:sz="0" w:space="0" w:color="auto"/>
            <w:left w:val="none" w:sz="0" w:space="0" w:color="auto"/>
            <w:bottom w:val="none" w:sz="0" w:space="0" w:color="auto"/>
            <w:right w:val="none" w:sz="0" w:space="0" w:color="auto"/>
          </w:divBdr>
        </w:div>
        <w:div w:id="993416956">
          <w:marLeft w:val="0"/>
          <w:marRight w:val="0"/>
          <w:marTop w:val="0"/>
          <w:marBottom w:val="0"/>
          <w:divBdr>
            <w:top w:val="none" w:sz="0" w:space="0" w:color="auto"/>
            <w:left w:val="none" w:sz="0" w:space="0" w:color="auto"/>
            <w:bottom w:val="none" w:sz="0" w:space="0" w:color="auto"/>
            <w:right w:val="none" w:sz="0" w:space="0" w:color="auto"/>
          </w:divBdr>
          <w:divsChild>
            <w:div w:id="224027827">
              <w:marLeft w:val="0"/>
              <w:marRight w:val="0"/>
              <w:marTop w:val="0"/>
              <w:marBottom w:val="0"/>
              <w:divBdr>
                <w:top w:val="none" w:sz="0" w:space="0" w:color="auto"/>
                <w:left w:val="none" w:sz="0" w:space="0" w:color="auto"/>
                <w:bottom w:val="none" w:sz="0" w:space="0" w:color="auto"/>
                <w:right w:val="none" w:sz="0" w:space="0" w:color="auto"/>
              </w:divBdr>
            </w:div>
            <w:div w:id="297761749">
              <w:marLeft w:val="0"/>
              <w:marRight w:val="0"/>
              <w:marTop w:val="0"/>
              <w:marBottom w:val="0"/>
              <w:divBdr>
                <w:top w:val="none" w:sz="0" w:space="0" w:color="auto"/>
                <w:left w:val="none" w:sz="0" w:space="0" w:color="auto"/>
                <w:bottom w:val="none" w:sz="0" w:space="0" w:color="auto"/>
                <w:right w:val="none" w:sz="0" w:space="0" w:color="auto"/>
              </w:divBdr>
            </w:div>
            <w:div w:id="343677576">
              <w:marLeft w:val="0"/>
              <w:marRight w:val="0"/>
              <w:marTop w:val="0"/>
              <w:marBottom w:val="0"/>
              <w:divBdr>
                <w:top w:val="none" w:sz="0" w:space="0" w:color="auto"/>
                <w:left w:val="none" w:sz="0" w:space="0" w:color="auto"/>
                <w:bottom w:val="none" w:sz="0" w:space="0" w:color="auto"/>
                <w:right w:val="none" w:sz="0" w:space="0" w:color="auto"/>
              </w:divBdr>
            </w:div>
            <w:div w:id="555506911">
              <w:marLeft w:val="0"/>
              <w:marRight w:val="0"/>
              <w:marTop w:val="0"/>
              <w:marBottom w:val="0"/>
              <w:divBdr>
                <w:top w:val="none" w:sz="0" w:space="0" w:color="auto"/>
                <w:left w:val="none" w:sz="0" w:space="0" w:color="auto"/>
                <w:bottom w:val="none" w:sz="0" w:space="0" w:color="auto"/>
                <w:right w:val="none" w:sz="0" w:space="0" w:color="auto"/>
              </w:divBdr>
            </w:div>
            <w:div w:id="769928599">
              <w:marLeft w:val="0"/>
              <w:marRight w:val="0"/>
              <w:marTop w:val="0"/>
              <w:marBottom w:val="0"/>
              <w:divBdr>
                <w:top w:val="none" w:sz="0" w:space="0" w:color="auto"/>
                <w:left w:val="none" w:sz="0" w:space="0" w:color="auto"/>
                <w:bottom w:val="none" w:sz="0" w:space="0" w:color="auto"/>
                <w:right w:val="none" w:sz="0" w:space="0" w:color="auto"/>
              </w:divBdr>
            </w:div>
            <w:div w:id="870610099">
              <w:marLeft w:val="0"/>
              <w:marRight w:val="0"/>
              <w:marTop w:val="0"/>
              <w:marBottom w:val="0"/>
              <w:divBdr>
                <w:top w:val="none" w:sz="0" w:space="0" w:color="auto"/>
                <w:left w:val="none" w:sz="0" w:space="0" w:color="auto"/>
                <w:bottom w:val="none" w:sz="0" w:space="0" w:color="auto"/>
                <w:right w:val="none" w:sz="0" w:space="0" w:color="auto"/>
              </w:divBdr>
            </w:div>
            <w:div w:id="871923122">
              <w:marLeft w:val="0"/>
              <w:marRight w:val="0"/>
              <w:marTop w:val="0"/>
              <w:marBottom w:val="0"/>
              <w:divBdr>
                <w:top w:val="none" w:sz="0" w:space="0" w:color="auto"/>
                <w:left w:val="none" w:sz="0" w:space="0" w:color="auto"/>
                <w:bottom w:val="none" w:sz="0" w:space="0" w:color="auto"/>
                <w:right w:val="none" w:sz="0" w:space="0" w:color="auto"/>
              </w:divBdr>
            </w:div>
            <w:div w:id="912813173">
              <w:marLeft w:val="0"/>
              <w:marRight w:val="0"/>
              <w:marTop w:val="0"/>
              <w:marBottom w:val="0"/>
              <w:divBdr>
                <w:top w:val="none" w:sz="0" w:space="0" w:color="auto"/>
                <w:left w:val="none" w:sz="0" w:space="0" w:color="auto"/>
                <w:bottom w:val="none" w:sz="0" w:space="0" w:color="auto"/>
                <w:right w:val="none" w:sz="0" w:space="0" w:color="auto"/>
              </w:divBdr>
            </w:div>
            <w:div w:id="1006786263">
              <w:marLeft w:val="0"/>
              <w:marRight w:val="0"/>
              <w:marTop w:val="0"/>
              <w:marBottom w:val="0"/>
              <w:divBdr>
                <w:top w:val="none" w:sz="0" w:space="0" w:color="auto"/>
                <w:left w:val="none" w:sz="0" w:space="0" w:color="auto"/>
                <w:bottom w:val="none" w:sz="0" w:space="0" w:color="auto"/>
                <w:right w:val="none" w:sz="0" w:space="0" w:color="auto"/>
              </w:divBdr>
            </w:div>
            <w:div w:id="1339313160">
              <w:marLeft w:val="0"/>
              <w:marRight w:val="0"/>
              <w:marTop w:val="0"/>
              <w:marBottom w:val="0"/>
              <w:divBdr>
                <w:top w:val="none" w:sz="0" w:space="0" w:color="auto"/>
                <w:left w:val="none" w:sz="0" w:space="0" w:color="auto"/>
                <w:bottom w:val="none" w:sz="0" w:space="0" w:color="auto"/>
                <w:right w:val="none" w:sz="0" w:space="0" w:color="auto"/>
              </w:divBdr>
            </w:div>
            <w:div w:id="1350643849">
              <w:marLeft w:val="0"/>
              <w:marRight w:val="0"/>
              <w:marTop w:val="0"/>
              <w:marBottom w:val="0"/>
              <w:divBdr>
                <w:top w:val="none" w:sz="0" w:space="0" w:color="auto"/>
                <w:left w:val="none" w:sz="0" w:space="0" w:color="auto"/>
                <w:bottom w:val="none" w:sz="0" w:space="0" w:color="auto"/>
                <w:right w:val="none" w:sz="0" w:space="0" w:color="auto"/>
              </w:divBdr>
            </w:div>
            <w:div w:id="1734616731">
              <w:marLeft w:val="0"/>
              <w:marRight w:val="0"/>
              <w:marTop w:val="0"/>
              <w:marBottom w:val="0"/>
              <w:divBdr>
                <w:top w:val="none" w:sz="0" w:space="0" w:color="auto"/>
                <w:left w:val="none" w:sz="0" w:space="0" w:color="auto"/>
                <w:bottom w:val="none" w:sz="0" w:space="0" w:color="auto"/>
                <w:right w:val="none" w:sz="0" w:space="0" w:color="auto"/>
              </w:divBdr>
            </w:div>
            <w:div w:id="1945141118">
              <w:marLeft w:val="0"/>
              <w:marRight w:val="0"/>
              <w:marTop w:val="0"/>
              <w:marBottom w:val="0"/>
              <w:divBdr>
                <w:top w:val="none" w:sz="0" w:space="0" w:color="auto"/>
                <w:left w:val="none" w:sz="0" w:space="0" w:color="auto"/>
                <w:bottom w:val="none" w:sz="0" w:space="0" w:color="auto"/>
                <w:right w:val="none" w:sz="0" w:space="0" w:color="auto"/>
              </w:divBdr>
            </w:div>
            <w:div w:id="1951547849">
              <w:marLeft w:val="0"/>
              <w:marRight w:val="0"/>
              <w:marTop w:val="0"/>
              <w:marBottom w:val="0"/>
              <w:divBdr>
                <w:top w:val="none" w:sz="0" w:space="0" w:color="auto"/>
                <w:left w:val="none" w:sz="0" w:space="0" w:color="auto"/>
                <w:bottom w:val="none" w:sz="0" w:space="0" w:color="auto"/>
                <w:right w:val="none" w:sz="0" w:space="0" w:color="auto"/>
              </w:divBdr>
            </w:div>
            <w:div w:id="2129271925">
              <w:marLeft w:val="0"/>
              <w:marRight w:val="0"/>
              <w:marTop w:val="0"/>
              <w:marBottom w:val="0"/>
              <w:divBdr>
                <w:top w:val="none" w:sz="0" w:space="0" w:color="auto"/>
                <w:left w:val="none" w:sz="0" w:space="0" w:color="auto"/>
                <w:bottom w:val="none" w:sz="0" w:space="0" w:color="auto"/>
                <w:right w:val="none" w:sz="0" w:space="0" w:color="auto"/>
              </w:divBdr>
            </w:div>
          </w:divsChild>
        </w:div>
        <w:div w:id="1006589796">
          <w:marLeft w:val="0"/>
          <w:marRight w:val="0"/>
          <w:marTop w:val="0"/>
          <w:marBottom w:val="0"/>
          <w:divBdr>
            <w:top w:val="none" w:sz="0" w:space="0" w:color="auto"/>
            <w:left w:val="none" w:sz="0" w:space="0" w:color="auto"/>
            <w:bottom w:val="none" w:sz="0" w:space="0" w:color="auto"/>
            <w:right w:val="none" w:sz="0" w:space="0" w:color="auto"/>
          </w:divBdr>
        </w:div>
        <w:div w:id="1079326558">
          <w:marLeft w:val="0"/>
          <w:marRight w:val="0"/>
          <w:marTop w:val="0"/>
          <w:marBottom w:val="0"/>
          <w:divBdr>
            <w:top w:val="none" w:sz="0" w:space="0" w:color="auto"/>
            <w:left w:val="none" w:sz="0" w:space="0" w:color="auto"/>
            <w:bottom w:val="none" w:sz="0" w:space="0" w:color="auto"/>
            <w:right w:val="none" w:sz="0" w:space="0" w:color="auto"/>
          </w:divBdr>
        </w:div>
        <w:div w:id="1085688042">
          <w:marLeft w:val="0"/>
          <w:marRight w:val="0"/>
          <w:marTop w:val="0"/>
          <w:marBottom w:val="0"/>
          <w:divBdr>
            <w:top w:val="none" w:sz="0" w:space="0" w:color="auto"/>
            <w:left w:val="none" w:sz="0" w:space="0" w:color="auto"/>
            <w:bottom w:val="none" w:sz="0" w:space="0" w:color="auto"/>
            <w:right w:val="none" w:sz="0" w:space="0" w:color="auto"/>
          </w:divBdr>
        </w:div>
        <w:div w:id="1235123782">
          <w:marLeft w:val="0"/>
          <w:marRight w:val="0"/>
          <w:marTop w:val="0"/>
          <w:marBottom w:val="0"/>
          <w:divBdr>
            <w:top w:val="none" w:sz="0" w:space="0" w:color="auto"/>
            <w:left w:val="none" w:sz="0" w:space="0" w:color="auto"/>
            <w:bottom w:val="none" w:sz="0" w:space="0" w:color="auto"/>
            <w:right w:val="none" w:sz="0" w:space="0" w:color="auto"/>
          </w:divBdr>
        </w:div>
        <w:div w:id="1311642466">
          <w:marLeft w:val="0"/>
          <w:marRight w:val="0"/>
          <w:marTop w:val="0"/>
          <w:marBottom w:val="0"/>
          <w:divBdr>
            <w:top w:val="none" w:sz="0" w:space="0" w:color="auto"/>
            <w:left w:val="none" w:sz="0" w:space="0" w:color="auto"/>
            <w:bottom w:val="none" w:sz="0" w:space="0" w:color="auto"/>
            <w:right w:val="none" w:sz="0" w:space="0" w:color="auto"/>
          </w:divBdr>
        </w:div>
        <w:div w:id="1335230558">
          <w:marLeft w:val="0"/>
          <w:marRight w:val="0"/>
          <w:marTop w:val="0"/>
          <w:marBottom w:val="0"/>
          <w:divBdr>
            <w:top w:val="none" w:sz="0" w:space="0" w:color="auto"/>
            <w:left w:val="none" w:sz="0" w:space="0" w:color="auto"/>
            <w:bottom w:val="none" w:sz="0" w:space="0" w:color="auto"/>
            <w:right w:val="none" w:sz="0" w:space="0" w:color="auto"/>
          </w:divBdr>
        </w:div>
        <w:div w:id="1376585985">
          <w:marLeft w:val="0"/>
          <w:marRight w:val="0"/>
          <w:marTop w:val="0"/>
          <w:marBottom w:val="0"/>
          <w:divBdr>
            <w:top w:val="none" w:sz="0" w:space="0" w:color="auto"/>
            <w:left w:val="none" w:sz="0" w:space="0" w:color="auto"/>
            <w:bottom w:val="none" w:sz="0" w:space="0" w:color="auto"/>
            <w:right w:val="none" w:sz="0" w:space="0" w:color="auto"/>
          </w:divBdr>
        </w:div>
        <w:div w:id="1400908708">
          <w:marLeft w:val="0"/>
          <w:marRight w:val="0"/>
          <w:marTop w:val="0"/>
          <w:marBottom w:val="0"/>
          <w:divBdr>
            <w:top w:val="none" w:sz="0" w:space="0" w:color="auto"/>
            <w:left w:val="none" w:sz="0" w:space="0" w:color="auto"/>
            <w:bottom w:val="none" w:sz="0" w:space="0" w:color="auto"/>
            <w:right w:val="none" w:sz="0" w:space="0" w:color="auto"/>
          </w:divBdr>
        </w:div>
        <w:div w:id="1404454116">
          <w:marLeft w:val="0"/>
          <w:marRight w:val="0"/>
          <w:marTop w:val="0"/>
          <w:marBottom w:val="0"/>
          <w:divBdr>
            <w:top w:val="none" w:sz="0" w:space="0" w:color="auto"/>
            <w:left w:val="none" w:sz="0" w:space="0" w:color="auto"/>
            <w:bottom w:val="none" w:sz="0" w:space="0" w:color="auto"/>
            <w:right w:val="none" w:sz="0" w:space="0" w:color="auto"/>
          </w:divBdr>
        </w:div>
        <w:div w:id="1440370851">
          <w:marLeft w:val="0"/>
          <w:marRight w:val="0"/>
          <w:marTop w:val="0"/>
          <w:marBottom w:val="0"/>
          <w:divBdr>
            <w:top w:val="none" w:sz="0" w:space="0" w:color="auto"/>
            <w:left w:val="none" w:sz="0" w:space="0" w:color="auto"/>
            <w:bottom w:val="none" w:sz="0" w:space="0" w:color="auto"/>
            <w:right w:val="none" w:sz="0" w:space="0" w:color="auto"/>
          </w:divBdr>
        </w:div>
        <w:div w:id="1455713051">
          <w:marLeft w:val="0"/>
          <w:marRight w:val="0"/>
          <w:marTop w:val="0"/>
          <w:marBottom w:val="0"/>
          <w:divBdr>
            <w:top w:val="none" w:sz="0" w:space="0" w:color="auto"/>
            <w:left w:val="none" w:sz="0" w:space="0" w:color="auto"/>
            <w:bottom w:val="none" w:sz="0" w:space="0" w:color="auto"/>
            <w:right w:val="none" w:sz="0" w:space="0" w:color="auto"/>
          </w:divBdr>
        </w:div>
        <w:div w:id="1611232257">
          <w:marLeft w:val="0"/>
          <w:marRight w:val="0"/>
          <w:marTop w:val="0"/>
          <w:marBottom w:val="0"/>
          <w:divBdr>
            <w:top w:val="none" w:sz="0" w:space="0" w:color="auto"/>
            <w:left w:val="none" w:sz="0" w:space="0" w:color="auto"/>
            <w:bottom w:val="none" w:sz="0" w:space="0" w:color="auto"/>
            <w:right w:val="none" w:sz="0" w:space="0" w:color="auto"/>
          </w:divBdr>
        </w:div>
        <w:div w:id="1683776437">
          <w:marLeft w:val="0"/>
          <w:marRight w:val="0"/>
          <w:marTop w:val="0"/>
          <w:marBottom w:val="0"/>
          <w:divBdr>
            <w:top w:val="none" w:sz="0" w:space="0" w:color="auto"/>
            <w:left w:val="none" w:sz="0" w:space="0" w:color="auto"/>
            <w:bottom w:val="none" w:sz="0" w:space="0" w:color="auto"/>
            <w:right w:val="none" w:sz="0" w:space="0" w:color="auto"/>
          </w:divBdr>
        </w:div>
        <w:div w:id="1779830634">
          <w:marLeft w:val="0"/>
          <w:marRight w:val="0"/>
          <w:marTop w:val="0"/>
          <w:marBottom w:val="0"/>
          <w:divBdr>
            <w:top w:val="none" w:sz="0" w:space="0" w:color="auto"/>
            <w:left w:val="none" w:sz="0" w:space="0" w:color="auto"/>
            <w:bottom w:val="none" w:sz="0" w:space="0" w:color="auto"/>
            <w:right w:val="none" w:sz="0" w:space="0" w:color="auto"/>
          </w:divBdr>
        </w:div>
        <w:div w:id="1810047314">
          <w:marLeft w:val="0"/>
          <w:marRight w:val="0"/>
          <w:marTop w:val="0"/>
          <w:marBottom w:val="0"/>
          <w:divBdr>
            <w:top w:val="none" w:sz="0" w:space="0" w:color="auto"/>
            <w:left w:val="none" w:sz="0" w:space="0" w:color="auto"/>
            <w:bottom w:val="none" w:sz="0" w:space="0" w:color="auto"/>
            <w:right w:val="none" w:sz="0" w:space="0" w:color="auto"/>
          </w:divBdr>
        </w:div>
        <w:div w:id="1890261667">
          <w:marLeft w:val="0"/>
          <w:marRight w:val="0"/>
          <w:marTop w:val="0"/>
          <w:marBottom w:val="0"/>
          <w:divBdr>
            <w:top w:val="none" w:sz="0" w:space="0" w:color="auto"/>
            <w:left w:val="none" w:sz="0" w:space="0" w:color="auto"/>
            <w:bottom w:val="none" w:sz="0" w:space="0" w:color="auto"/>
            <w:right w:val="none" w:sz="0" w:space="0" w:color="auto"/>
          </w:divBdr>
        </w:div>
        <w:div w:id="2037581943">
          <w:marLeft w:val="0"/>
          <w:marRight w:val="0"/>
          <w:marTop w:val="0"/>
          <w:marBottom w:val="0"/>
          <w:divBdr>
            <w:top w:val="none" w:sz="0" w:space="0" w:color="auto"/>
            <w:left w:val="none" w:sz="0" w:space="0" w:color="auto"/>
            <w:bottom w:val="none" w:sz="0" w:space="0" w:color="auto"/>
            <w:right w:val="none" w:sz="0" w:space="0" w:color="auto"/>
          </w:divBdr>
        </w:div>
        <w:div w:id="2048749807">
          <w:marLeft w:val="0"/>
          <w:marRight w:val="0"/>
          <w:marTop w:val="0"/>
          <w:marBottom w:val="0"/>
          <w:divBdr>
            <w:top w:val="none" w:sz="0" w:space="0" w:color="auto"/>
            <w:left w:val="none" w:sz="0" w:space="0" w:color="auto"/>
            <w:bottom w:val="none" w:sz="0" w:space="0" w:color="auto"/>
            <w:right w:val="none" w:sz="0" w:space="0" w:color="auto"/>
          </w:divBdr>
        </w:div>
        <w:div w:id="2093160325">
          <w:marLeft w:val="0"/>
          <w:marRight w:val="0"/>
          <w:marTop w:val="0"/>
          <w:marBottom w:val="0"/>
          <w:divBdr>
            <w:top w:val="none" w:sz="0" w:space="0" w:color="auto"/>
            <w:left w:val="none" w:sz="0" w:space="0" w:color="auto"/>
            <w:bottom w:val="none" w:sz="0" w:space="0" w:color="auto"/>
            <w:right w:val="none" w:sz="0" w:space="0" w:color="auto"/>
          </w:divBdr>
        </w:div>
        <w:div w:id="2123960727">
          <w:marLeft w:val="0"/>
          <w:marRight w:val="0"/>
          <w:marTop w:val="0"/>
          <w:marBottom w:val="0"/>
          <w:divBdr>
            <w:top w:val="none" w:sz="0" w:space="0" w:color="auto"/>
            <w:left w:val="none" w:sz="0" w:space="0" w:color="auto"/>
            <w:bottom w:val="none" w:sz="0" w:space="0" w:color="auto"/>
            <w:right w:val="none" w:sz="0" w:space="0" w:color="auto"/>
          </w:divBdr>
        </w:div>
      </w:divsChild>
    </w:div>
    <w:div w:id="1534341752">
      <w:bodyDiv w:val="1"/>
      <w:marLeft w:val="0"/>
      <w:marRight w:val="0"/>
      <w:marTop w:val="0"/>
      <w:marBottom w:val="0"/>
      <w:divBdr>
        <w:top w:val="none" w:sz="0" w:space="0" w:color="auto"/>
        <w:left w:val="none" w:sz="0" w:space="0" w:color="auto"/>
        <w:bottom w:val="none" w:sz="0" w:space="0" w:color="auto"/>
        <w:right w:val="none" w:sz="0" w:space="0" w:color="auto"/>
      </w:divBdr>
    </w:div>
    <w:div w:id="1751804403">
      <w:bodyDiv w:val="1"/>
      <w:marLeft w:val="0"/>
      <w:marRight w:val="0"/>
      <w:marTop w:val="0"/>
      <w:marBottom w:val="0"/>
      <w:divBdr>
        <w:top w:val="none" w:sz="0" w:space="0" w:color="auto"/>
        <w:left w:val="none" w:sz="0" w:space="0" w:color="auto"/>
        <w:bottom w:val="none" w:sz="0" w:space="0" w:color="auto"/>
        <w:right w:val="none" w:sz="0" w:space="0" w:color="auto"/>
      </w:divBdr>
    </w:div>
    <w:div w:id="2001083238">
      <w:bodyDiv w:val="1"/>
      <w:marLeft w:val="0"/>
      <w:marRight w:val="0"/>
      <w:marTop w:val="0"/>
      <w:marBottom w:val="0"/>
      <w:divBdr>
        <w:top w:val="none" w:sz="0" w:space="0" w:color="auto"/>
        <w:left w:val="none" w:sz="0" w:space="0" w:color="auto"/>
        <w:bottom w:val="none" w:sz="0" w:space="0" w:color="auto"/>
        <w:right w:val="none" w:sz="0" w:space="0" w:color="auto"/>
      </w:divBdr>
      <w:divsChild>
        <w:div w:id="982152353">
          <w:marLeft w:val="0"/>
          <w:marRight w:val="0"/>
          <w:marTop w:val="0"/>
          <w:marBottom w:val="0"/>
          <w:divBdr>
            <w:top w:val="none" w:sz="0" w:space="0" w:color="auto"/>
            <w:left w:val="none" w:sz="0" w:space="0" w:color="auto"/>
            <w:bottom w:val="none" w:sz="0" w:space="0" w:color="auto"/>
            <w:right w:val="none" w:sz="0" w:space="0" w:color="auto"/>
          </w:divBdr>
        </w:div>
        <w:div w:id="1355224704">
          <w:marLeft w:val="0"/>
          <w:marRight w:val="0"/>
          <w:marTop w:val="0"/>
          <w:marBottom w:val="0"/>
          <w:divBdr>
            <w:top w:val="none" w:sz="0" w:space="0" w:color="auto"/>
            <w:left w:val="none" w:sz="0" w:space="0" w:color="auto"/>
            <w:bottom w:val="none" w:sz="0" w:space="0" w:color="auto"/>
            <w:right w:val="none" w:sz="0" w:space="0" w:color="auto"/>
          </w:divBdr>
        </w:div>
        <w:div w:id="1433285198">
          <w:marLeft w:val="0"/>
          <w:marRight w:val="0"/>
          <w:marTop w:val="0"/>
          <w:marBottom w:val="0"/>
          <w:divBdr>
            <w:top w:val="none" w:sz="0" w:space="0" w:color="auto"/>
            <w:left w:val="none" w:sz="0" w:space="0" w:color="auto"/>
            <w:bottom w:val="none" w:sz="0" w:space="0" w:color="auto"/>
            <w:right w:val="none" w:sz="0" w:space="0" w:color="auto"/>
          </w:divBdr>
        </w:div>
        <w:div w:id="2065059337">
          <w:marLeft w:val="0"/>
          <w:marRight w:val="0"/>
          <w:marTop w:val="0"/>
          <w:marBottom w:val="0"/>
          <w:divBdr>
            <w:top w:val="none" w:sz="0" w:space="0" w:color="auto"/>
            <w:left w:val="none" w:sz="0" w:space="0" w:color="auto"/>
            <w:bottom w:val="none" w:sz="0" w:space="0" w:color="auto"/>
            <w:right w:val="none" w:sz="0" w:space="0" w:color="auto"/>
          </w:divBdr>
          <w:divsChild>
            <w:div w:id="237055304">
              <w:marLeft w:val="0"/>
              <w:marRight w:val="0"/>
              <w:marTop w:val="0"/>
              <w:marBottom w:val="0"/>
              <w:divBdr>
                <w:top w:val="none" w:sz="0" w:space="0" w:color="auto"/>
                <w:left w:val="none" w:sz="0" w:space="0" w:color="auto"/>
                <w:bottom w:val="none" w:sz="0" w:space="0" w:color="auto"/>
                <w:right w:val="none" w:sz="0" w:space="0" w:color="auto"/>
              </w:divBdr>
            </w:div>
            <w:div w:id="337276458">
              <w:marLeft w:val="0"/>
              <w:marRight w:val="0"/>
              <w:marTop w:val="0"/>
              <w:marBottom w:val="0"/>
              <w:divBdr>
                <w:top w:val="none" w:sz="0" w:space="0" w:color="auto"/>
                <w:left w:val="none" w:sz="0" w:space="0" w:color="auto"/>
                <w:bottom w:val="none" w:sz="0" w:space="0" w:color="auto"/>
                <w:right w:val="none" w:sz="0" w:space="0" w:color="auto"/>
              </w:divBdr>
            </w:div>
            <w:div w:id="368146245">
              <w:marLeft w:val="0"/>
              <w:marRight w:val="0"/>
              <w:marTop w:val="0"/>
              <w:marBottom w:val="0"/>
              <w:divBdr>
                <w:top w:val="none" w:sz="0" w:space="0" w:color="auto"/>
                <w:left w:val="none" w:sz="0" w:space="0" w:color="auto"/>
                <w:bottom w:val="none" w:sz="0" w:space="0" w:color="auto"/>
                <w:right w:val="none" w:sz="0" w:space="0" w:color="auto"/>
              </w:divBdr>
            </w:div>
            <w:div w:id="710569613">
              <w:marLeft w:val="0"/>
              <w:marRight w:val="0"/>
              <w:marTop w:val="0"/>
              <w:marBottom w:val="0"/>
              <w:divBdr>
                <w:top w:val="none" w:sz="0" w:space="0" w:color="auto"/>
                <w:left w:val="none" w:sz="0" w:space="0" w:color="auto"/>
                <w:bottom w:val="none" w:sz="0" w:space="0" w:color="auto"/>
                <w:right w:val="none" w:sz="0" w:space="0" w:color="auto"/>
              </w:divBdr>
            </w:div>
            <w:div w:id="769203656">
              <w:marLeft w:val="0"/>
              <w:marRight w:val="0"/>
              <w:marTop w:val="0"/>
              <w:marBottom w:val="0"/>
              <w:divBdr>
                <w:top w:val="none" w:sz="0" w:space="0" w:color="auto"/>
                <w:left w:val="none" w:sz="0" w:space="0" w:color="auto"/>
                <w:bottom w:val="none" w:sz="0" w:space="0" w:color="auto"/>
                <w:right w:val="none" w:sz="0" w:space="0" w:color="auto"/>
              </w:divBdr>
            </w:div>
            <w:div w:id="815492234">
              <w:marLeft w:val="0"/>
              <w:marRight w:val="0"/>
              <w:marTop w:val="0"/>
              <w:marBottom w:val="0"/>
              <w:divBdr>
                <w:top w:val="none" w:sz="0" w:space="0" w:color="auto"/>
                <w:left w:val="none" w:sz="0" w:space="0" w:color="auto"/>
                <w:bottom w:val="none" w:sz="0" w:space="0" w:color="auto"/>
                <w:right w:val="none" w:sz="0" w:space="0" w:color="auto"/>
              </w:divBdr>
            </w:div>
            <w:div w:id="979383396">
              <w:marLeft w:val="0"/>
              <w:marRight w:val="0"/>
              <w:marTop w:val="0"/>
              <w:marBottom w:val="0"/>
              <w:divBdr>
                <w:top w:val="none" w:sz="0" w:space="0" w:color="auto"/>
                <w:left w:val="none" w:sz="0" w:space="0" w:color="auto"/>
                <w:bottom w:val="none" w:sz="0" w:space="0" w:color="auto"/>
                <w:right w:val="none" w:sz="0" w:space="0" w:color="auto"/>
              </w:divBdr>
            </w:div>
            <w:div w:id="1003320028">
              <w:marLeft w:val="0"/>
              <w:marRight w:val="0"/>
              <w:marTop w:val="0"/>
              <w:marBottom w:val="0"/>
              <w:divBdr>
                <w:top w:val="none" w:sz="0" w:space="0" w:color="auto"/>
                <w:left w:val="none" w:sz="0" w:space="0" w:color="auto"/>
                <w:bottom w:val="none" w:sz="0" w:space="0" w:color="auto"/>
                <w:right w:val="none" w:sz="0" w:space="0" w:color="auto"/>
              </w:divBdr>
            </w:div>
            <w:div w:id="1006053087">
              <w:marLeft w:val="0"/>
              <w:marRight w:val="0"/>
              <w:marTop w:val="0"/>
              <w:marBottom w:val="0"/>
              <w:divBdr>
                <w:top w:val="none" w:sz="0" w:space="0" w:color="auto"/>
                <w:left w:val="none" w:sz="0" w:space="0" w:color="auto"/>
                <w:bottom w:val="none" w:sz="0" w:space="0" w:color="auto"/>
                <w:right w:val="none" w:sz="0" w:space="0" w:color="auto"/>
              </w:divBdr>
            </w:div>
            <w:div w:id="1037003481">
              <w:marLeft w:val="0"/>
              <w:marRight w:val="0"/>
              <w:marTop w:val="0"/>
              <w:marBottom w:val="0"/>
              <w:divBdr>
                <w:top w:val="none" w:sz="0" w:space="0" w:color="auto"/>
                <w:left w:val="none" w:sz="0" w:space="0" w:color="auto"/>
                <w:bottom w:val="none" w:sz="0" w:space="0" w:color="auto"/>
                <w:right w:val="none" w:sz="0" w:space="0" w:color="auto"/>
              </w:divBdr>
            </w:div>
            <w:div w:id="1134836863">
              <w:marLeft w:val="0"/>
              <w:marRight w:val="0"/>
              <w:marTop w:val="0"/>
              <w:marBottom w:val="0"/>
              <w:divBdr>
                <w:top w:val="none" w:sz="0" w:space="0" w:color="auto"/>
                <w:left w:val="none" w:sz="0" w:space="0" w:color="auto"/>
                <w:bottom w:val="none" w:sz="0" w:space="0" w:color="auto"/>
                <w:right w:val="none" w:sz="0" w:space="0" w:color="auto"/>
              </w:divBdr>
            </w:div>
            <w:div w:id="1168136751">
              <w:marLeft w:val="0"/>
              <w:marRight w:val="0"/>
              <w:marTop w:val="0"/>
              <w:marBottom w:val="0"/>
              <w:divBdr>
                <w:top w:val="none" w:sz="0" w:space="0" w:color="auto"/>
                <w:left w:val="none" w:sz="0" w:space="0" w:color="auto"/>
                <w:bottom w:val="none" w:sz="0" w:space="0" w:color="auto"/>
                <w:right w:val="none" w:sz="0" w:space="0" w:color="auto"/>
              </w:divBdr>
            </w:div>
            <w:div w:id="1204369804">
              <w:marLeft w:val="0"/>
              <w:marRight w:val="0"/>
              <w:marTop w:val="0"/>
              <w:marBottom w:val="0"/>
              <w:divBdr>
                <w:top w:val="none" w:sz="0" w:space="0" w:color="auto"/>
                <w:left w:val="none" w:sz="0" w:space="0" w:color="auto"/>
                <w:bottom w:val="none" w:sz="0" w:space="0" w:color="auto"/>
                <w:right w:val="none" w:sz="0" w:space="0" w:color="auto"/>
              </w:divBdr>
            </w:div>
            <w:div w:id="1389378026">
              <w:marLeft w:val="0"/>
              <w:marRight w:val="0"/>
              <w:marTop w:val="0"/>
              <w:marBottom w:val="0"/>
              <w:divBdr>
                <w:top w:val="none" w:sz="0" w:space="0" w:color="auto"/>
                <w:left w:val="none" w:sz="0" w:space="0" w:color="auto"/>
                <w:bottom w:val="none" w:sz="0" w:space="0" w:color="auto"/>
                <w:right w:val="none" w:sz="0" w:space="0" w:color="auto"/>
              </w:divBdr>
            </w:div>
            <w:div w:id="1486824128">
              <w:marLeft w:val="0"/>
              <w:marRight w:val="0"/>
              <w:marTop w:val="0"/>
              <w:marBottom w:val="0"/>
              <w:divBdr>
                <w:top w:val="none" w:sz="0" w:space="0" w:color="auto"/>
                <w:left w:val="none" w:sz="0" w:space="0" w:color="auto"/>
                <w:bottom w:val="none" w:sz="0" w:space="0" w:color="auto"/>
                <w:right w:val="none" w:sz="0" w:space="0" w:color="auto"/>
              </w:divBdr>
            </w:div>
            <w:div w:id="1526943025">
              <w:marLeft w:val="0"/>
              <w:marRight w:val="0"/>
              <w:marTop w:val="0"/>
              <w:marBottom w:val="0"/>
              <w:divBdr>
                <w:top w:val="none" w:sz="0" w:space="0" w:color="auto"/>
                <w:left w:val="none" w:sz="0" w:space="0" w:color="auto"/>
                <w:bottom w:val="none" w:sz="0" w:space="0" w:color="auto"/>
                <w:right w:val="none" w:sz="0" w:space="0" w:color="auto"/>
              </w:divBdr>
            </w:div>
            <w:div w:id="1547137338">
              <w:marLeft w:val="0"/>
              <w:marRight w:val="0"/>
              <w:marTop w:val="0"/>
              <w:marBottom w:val="0"/>
              <w:divBdr>
                <w:top w:val="none" w:sz="0" w:space="0" w:color="auto"/>
                <w:left w:val="none" w:sz="0" w:space="0" w:color="auto"/>
                <w:bottom w:val="none" w:sz="0" w:space="0" w:color="auto"/>
                <w:right w:val="none" w:sz="0" w:space="0" w:color="auto"/>
              </w:divBdr>
            </w:div>
            <w:div w:id="1660771736">
              <w:marLeft w:val="0"/>
              <w:marRight w:val="0"/>
              <w:marTop w:val="0"/>
              <w:marBottom w:val="0"/>
              <w:divBdr>
                <w:top w:val="none" w:sz="0" w:space="0" w:color="auto"/>
                <w:left w:val="none" w:sz="0" w:space="0" w:color="auto"/>
                <w:bottom w:val="none" w:sz="0" w:space="0" w:color="auto"/>
                <w:right w:val="none" w:sz="0" w:space="0" w:color="auto"/>
              </w:divBdr>
            </w:div>
            <w:div w:id="1827434167">
              <w:marLeft w:val="0"/>
              <w:marRight w:val="0"/>
              <w:marTop w:val="0"/>
              <w:marBottom w:val="0"/>
              <w:divBdr>
                <w:top w:val="none" w:sz="0" w:space="0" w:color="auto"/>
                <w:left w:val="none" w:sz="0" w:space="0" w:color="auto"/>
                <w:bottom w:val="none" w:sz="0" w:space="0" w:color="auto"/>
                <w:right w:val="none" w:sz="0" w:space="0" w:color="auto"/>
              </w:divBdr>
            </w:div>
            <w:div w:id="2022470992">
              <w:marLeft w:val="0"/>
              <w:marRight w:val="0"/>
              <w:marTop w:val="0"/>
              <w:marBottom w:val="0"/>
              <w:divBdr>
                <w:top w:val="none" w:sz="0" w:space="0" w:color="auto"/>
                <w:left w:val="none" w:sz="0" w:space="0" w:color="auto"/>
                <w:bottom w:val="none" w:sz="0" w:space="0" w:color="auto"/>
                <w:right w:val="none" w:sz="0" w:space="0" w:color="auto"/>
              </w:divBdr>
            </w:div>
          </w:divsChild>
        </w:div>
        <w:div w:id="2090886670">
          <w:marLeft w:val="0"/>
          <w:marRight w:val="0"/>
          <w:marTop w:val="0"/>
          <w:marBottom w:val="0"/>
          <w:divBdr>
            <w:top w:val="none" w:sz="0" w:space="0" w:color="auto"/>
            <w:left w:val="none" w:sz="0" w:space="0" w:color="auto"/>
            <w:bottom w:val="none" w:sz="0" w:space="0" w:color="auto"/>
            <w:right w:val="none" w:sz="0" w:space="0" w:color="auto"/>
          </w:divBdr>
        </w:div>
      </w:divsChild>
    </w:div>
    <w:div w:id="2030636730">
      <w:bodyDiv w:val="1"/>
      <w:marLeft w:val="0"/>
      <w:marRight w:val="0"/>
      <w:marTop w:val="0"/>
      <w:marBottom w:val="0"/>
      <w:divBdr>
        <w:top w:val="none" w:sz="0" w:space="0" w:color="auto"/>
        <w:left w:val="none" w:sz="0" w:space="0" w:color="auto"/>
        <w:bottom w:val="none" w:sz="0" w:space="0" w:color="auto"/>
        <w:right w:val="none" w:sz="0" w:space="0" w:color="auto"/>
      </w:divBdr>
      <w:divsChild>
        <w:div w:id="165175231">
          <w:marLeft w:val="0"/>
          <w:marRight w:val="0"/>
          <w:marTop w:val="0"/>
          <w:marBottom w:val="0"/>
          <w:divBdr>
            <w:top w:val="none" w:sz="0" w:space="0" w:color="auto"/>
            <w:left w:val="none" w:sz="0" w:space="0" w:color="auto"/>
            <w:bottom w:val="none" w:sz="0" w:space="0" w:color="auto"/>
            <w:right w:val="none" w:sz="0" w:space="0" w:color="auto"/>
          </w:divBdr>
          <w:divsChild>
            <w:div w:id="224268773">
              <w:marLeft w:val="0"/>
              <w:marRight w:val="0"/>
              <w:marTop w:val="0"/>
              <w:marBottom w:val="0"/>
              <w:divBdr>
                <w:top w:val="none" w:sz="0" w:space="0" w:color="auto"/>
                <w:left w:val="none" w:sz="0" w:space="0" w:color="auto"/>
                <w:bottom w:val="none" w:sz="0" w:space="0" w:color="auto"/>
                <w:right w:val="none" w:sz="0" w:space="0" w:color="auto"/>
              </w:divBdr>
            </w:div>
          </w:divsChild>
        </w:div>
        <w:div w:id="697701810">
          <w:marLeft w:val="0"/>
          <w:marRight w:val="0"/>
          <w:marTop w:val="0"/>
          <w:marBottom w:val="0"/>
          <w:divBdr>
            <w:top w:val="none" w:sz="0" w:space="0" w:color="auto"/>
            <w:left w:val="none" w:sz="0" w:space="0" w:color="auto"/>
            <w:bottom w:val="none" w:sz="0" w:space="0" w:color="auto"/>
            <w:right w:val="none" w:sz="0" w:space="0" w:color="auto"/>
          </w:divBdr>
          <w:divsChild>
            <w:div w:id="668556729">
              <w:marLeft w:val="0"/>
              <w:marRight w:val="0"/>
              <w:marTop w:val="0"/>
              <w:marBottom w:val="0"/>
              <w:divBdr>
                <w:top w:val="none" w:sz="0" w:space="0" w:color="auto"/>
                <w:left w:val="none" w:sz="0" w:space="0" w:color="auto"/>
                <w:bottom w:val="none" w:sz="0" w:space="0" w:color="auto"/>
                <w:right w:val="none" w:sz="0" w:space="0" w:color="auto"/>
              </w:divBdr>
            </w:div>
          </w:divsChild>
        </w:div>
        <w:div w:id="1520698422">
          <w:marLeft w:val="0"/>
          <w:marRight w:val="0"/>
          <w:marTop w:val="0"/>
          <w:marBottom w:val="0"/>
          <w:divBdr>
            <w:top w:val="none" w:sz="0" w:space="0" w:color="auto"/>
            <w:left w:val="none" w:sz="0" w:space="0" w:color="auto"/>
            <w:bottom w:val="none" w:sz="0" w:space="0" w:color="auto"/>
            <w:right w:val="none" w:sz="0" w:space="0" w:color="auto"/>
          </w:divBdr>
          <w:divsChild>
            <w:div w:id="137068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g"/><Relationship Id="rId26" Type="http://schemas.openxmlformats.org/officeDocument/2006/relationships/header" Target="header9.xml"/><Relationship Id="rId39" Type="http://schemas.openxmlformats.org/officeDocument/2006/relationships/chart" Target="charts/chart3.xml"/><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header" Target="header17.xm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image" Target="media/image13.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header" Target="header16.xml"/><Relationship Id="rId38" Type="http://schemas.openxmlformats.org/officeDocument/2006/relationships/chart" Target="charts/chart2.xml"/><Relationship Id="rId46"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12.xml"/><Relationship Id="rId41"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8.xml"/><Relationship Id="rId32" Type="http://schemas.openxmlformats.org/officeDocument/2006/relationships/header" Target="header15.xml"/><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image" Target="media/image10.pn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header" Target="header18.xml"/><Relationship Id="rId49" Type="http://schemas.openxmlformats.org/officeDocument/2006/relationships/chart" Target="charts/chart7.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eader" Target="header14.xml"/><Relationship Id="rId44" Type="http://schemas.openxmlformats.org/officeDocument/2006/relationships/image" Target="media/image9.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footer" Target="footer5.xml"/><Relationship Id="rId43" Type="http://schemas.openxmlformats.org/officeDocument/2006/relationships/image" Target="media/image8.png"/><Relationship Id="rId48" Type="http://schemas.openxmlformats.org/officeDocument/2006/relationships/chart" Target="charts/chart6.xml"/><Relationship Id="rId8" Type="http://schemas.openxmlformats.org/officeDocument/2006/relationships/settings" Target="settings.xml"/><Relationship Id="rId51" Type="http://schemas.openxmlformats.org/officeDocument/2006/relationships/chart" Target="charts/chart8.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crujef.ca/sites/crujef.ca/files/Publications/DRAPEAU_TURCOTTE_Rapport_ELPJ_2015_0.pdf" TargetMode="External"/><Relationship Id="rId13" Type="http://schemas.openxmlformats.org/officeDocument/2006/relationships/hyperlink" Target="https://www.cdpdj.qc.ca/storage/app/media/publications/RapportJeunesseMCQ_avril2025.pdf" TargetMode="External"/><Relationship Id="rId18" Type="http://schemas.openxmlformats.org/officeDocument/2006/relationships/hyperlink" Target="https://collections.banq.qc.ca/ark:/52327/bs61009" TargetMode="External"/><Relationship Id="rId26" Type="http://schemas.openxmlformats.org/officeDocument/2006/relationships/hyperlink" Target="https://www.cdpdj.qc.ca/storage/app/media/publications/2025-04-07-Orientations-concernant-les%20droits-des-Premieres-Nations-et-des-Inuit-VF.pdf" TargetMode="External"/><Relationship Id="rId3" Type="http://schemas.openxmlformats.org/officeDocument/2006/relationships/hyperlink" Target="https://www.ordrepsy.qc.ca/-/placement-en-famille-d-accueil-jusqu-a-la-majorite-ou-%20adoption-quelques-notions-de-la-theorie-d-attachement-pour-soutenir-la-reflexion" TargetMode="External"/><Relationship Id="rId21" Type="http://schemas.openxmlformats.org/officeDocument/2006/relationships/hyperlink" Target="http://www.cdpdj.qc.ca/Publications/avis_contacts_hebergement_article91_LPJ.pdf" TargetMode="External"/><Relationship Id="rId7" Type="http://schemas.openxmlformats.org/officeDocument/2006/relationships/hyperlink" Target="https://www.jefar.ulaval.ca/sites/jefar.ulaval.ca/files/uploads/rapports%20recherche/rapport_Turcotte_2011.pdf" TargetMode="External"/><Relationship Id="rId12" Type="http://schemas.openxmlformats.org/officeDocument/2006/relationships/hyperlink" Target="https://www.cdpdj.qc.ca/storage/app/media/publications/memoire_commission-laurent.pdf" TargetMode="External"/><Relationship Id="rId17" Type="http://schemas.openxmlformats.org/officeDocument/2006/relationships/hyperlink" Target="https://suivi-csdepj.org/media/q4zdjbtd/mai-2024_comite-suivi-csdepj_rapport-anayse-bilan2021-2023.pdf" TargetMode="External"/><Relationship Id="rId25" Type="http://schemas.openxmlformats.org/officeDocument/2006/relationships/hyperlink" Target="https://mirs.qc.ca/protection-de-la-jeunesse/" TargetMode="External"/><Relationship Id="rId2" Type="http://schemas.openxmlformats.org/officeDocument/2006/relationships/hyperlink" Target="https://www.cdpdj.qc.ca/storage/app/media/publications/Loi_protection_jeunesse_2020_article_156.pdf" TargetMode="External"/><Relationship Id="rId16" Type="http://schemas.openxmlformats.org/officeDocument/2006/relationships/hyperlink" Target="http://www.santecom.qc.ca/BibliothequeVirtuelle/CCSMTL/9782893940793.pdf" TargetMode="External"/><Relationship Id="rId20" Type="http://schemas.openxmlformats.org/officeDocument/2006/relationships/hyperlink" Target="https://www.quebec.ca/personnes-handicapees" TargetMode="External"/><Relationship Id="rId1" Type="http://schemas.openxmlformats.org/officeDocument/2006/relationships/hyperlink" Target="https://www.cdpdj.qc.ca/storage/app/media/publications/Loi_protection_jeunesse_2020_article_156.pdf" TargetMode="External"/><Relationship Id="rId6" Type="http://schemas.openxmlformats.org/officeDocument/2006/relationships/hyperlink" Target="https://www.cdpdj.qc.ca/storage/app/media/publications/PL_125_LPJ_memoire.pdf" TargetMode="External"/><Relationship Id="rId11" Type="http://schemas.openxmlformats.org/officeDocument/2006/relationships/hyperlink" Target="https://www.chairejeunesse.ca/sites/default/files/2021-04/Minist%C3%A8re%20de%20la%20Sant%C3%A9%20et%20des%20services%20sociaux%2C%202020.pdf" TargetMode="External"/><Relationship Id="rId24" Type="http://schemas.openxmlformats.org/officeDocument/2006/relationships/hyperlink" Target="https://www.bchm.ca/dpj-2/" TargetMode="External"/><Relationship Id="rId5" Type="http://schemas.openxmlformats.org/officeDocument/2006/relationships/hyperlink" Target="https://publications.msss.gouv.qc.ca/msss/fichiers/2016/16-838-03F.pdf" TargetMode="External"/><Relationship Id="rId15" Type="http://schemas.openxmlformats.org/officeDocument/2006/relationships/hyperlink" Target="https://statistique.quebec.ca/fr/produit/tableau/familles-recensement-structure-nombre-enfants-ages-canada-provinces" TargetMode="External"/><Relationship Id="rId23" Type="http://schemas.openxmlformats.org/officeDocument/2006/relationships/hyperlink" Target="https://protecteurducitoyen.qc.ca/fr/nouvelles/communiques/commissions-viens-rapport-protection-jeunesse-autochtone" TargetMode="External"/><Relationship Id="rId10" Type="http://schemas.openxmlformats.org/officeDocument/2006/relationships/hyperlink" Target="https://www.erudit.org/en/journals/psyedu/2022-v51-n3-psyedu07465/1093883ar.pdf" TargetMode="External"/><Relationship Id="rId19" Type="http://schemas.openxmlformats.org/officeDocument/2006/relationships/hyperlink" Target="https://www.quebec.ca/famille-et-soutien-aux-personnes/enfance/services-jeunes-difficulte-famille/services-proximite-jeunes-difficulte-famille" TargetMode="External"/><Relationship Id="rId4" Type="http://schemas.openxmlformats.org/officeDocument/2006/relationships/hyperlink" Target="https://www.csdepj.gouv.qc.ca/fileadmin/Fichiers_clients/Documents_deposes_a_la_Commission/P-424_Cadre_de_reference_ACJQ_2009.pdf" TargetMode="External"/><Relationship Id="rId9" Type="http://schemas.openxmlformats.org/officeDocument/2006/relationships/hyperlink" Target="https://iujd.ca/sites/iujd/files/media/document/Rapport%20ELPJ%203%20version%20integrale.pdf" TargetMode="External"/><Relationship Id="rId14" Type="http://schemas.openxmlformats.org/officeDocument/2006/relationships/hyperlink" Target="https://publications.msss.gouv.qc.ca/msss/fichiers/2024/24-838-07W.pdf" TargetMode="External"/><Relationship Id="rId22" Type="http://schemas.openxmlformats.org/officeDocument/2006/relationships/hyperlink" Target="https://www.cdpdj.qc.ca/storage/app/media/publications/rapport-nunavik-2024-FR.pdf" TargetMode="External"/><Relationship Id="rId27" Type="http://schemas.openxmlformats.org/officeDocument/2006/relationships/hyperlink" Target="https://chairejeunesse.ca/"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1.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sz="1100" b="1" i="0" u="none" strike="noStrike" kern="1200" spc="0" baseline="0">
                <a:solidFill>
                  <a:srgbClr val="953D89"/>
                </a:solidFill>
                <a:latin typeface="Aptos" panose="020B0004020202020204" pitchFamily="34" charset="0"/>
              </a:rPr>
              <a:t>Graphique 1</a:t>
            </a:r>
            <a:br>
              <a:rPr lang="fr-CA" sz="1100" b="0" i="0" u="none" strike="noStrike" kern="1200" spc="0" baseline="0">
                <a:solidFill>
                  <a:srgbClr val="953D89"/>
                </a:solidFill>
                <a:latin typeface="Aptos" panose="020B0004020202020204" pitchFamily="34" charset="0"/>
              </a:rPr>
            </a:br>
            <a:r>
              <a:rPr lang="fr-CA" sz="1100" b="0" i="0" u="none" strike="noStrike" kern="1200" spc="0" baseline="0">
                <a:solidFill>
                  <a:srgbClr val="953D89"/>
                </a:solidFill>
                <a:latin typeface="Aptos" panose="020B0004020202020204" pitchFamily="34" charset="0"/>
              </a:rPr>
              <a:t>Fréquence de prise en considération de facteurs personnels dans l'évaluation de la capacité parentale, selon le type de facteurs et le genre du parent, n = 501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1"/>
          <c:order val="1"/>
          <c:tx>
            <c:strRef>
              <c:f>FacteursPerso!$C$4</c:f>
              <c:strCache>
                <c:ptCount val="1"/>
                <c:pt idx="0">
                  <c:v>Total</c:v>
                </c:pt>
              </c:strCache>
            </c:strRef>
          </c:tx>
          <c:spPr>
            <a:solidFill>
              <a:srgbClr val="2A73D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ptos" panose="020B0004020202020204" pitchFamily="34"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FacteursPerso!$A$5:$A$10</c:f>
              <c:strCache>
                <c:ptCount val="6"/>
                <c:pt idx="0">
                  <c:v>Facteurs personnels (total)</c:v>
                </c:pt>
                <c:pt idx="1">
                  <c:v>Problèmes de santé mentale</c:v>
                </c:pt>
                <c:pt idx="2">
                  <c:v>Dépendances à l’alcool ou aux drogues</c:v>
                </c:pt>
                <c:pt idx="3">
                  <c:v>Instabilité émotionnelle (gestion des émotions)</c:v>
                </c:pt>
                <c:pt idx="4">
                  <c:v>Problèmes de santé physique</c:v>
                </c:pt>
                <c:pt idx="5">
                  <c:v>Parent incarcéré ou en attente d’une décision en matière criminelle</c:v>
                </c:pt>
              </c:strCache>
            </c:strRef>
          </c:cat>
          <c:val>
            <c:numRef>
              <c:f>FacteursPerso!$C$5:$C$10</c:f>
              <c:numCache>
                <c:formatCode>0%</c:formatCode>
                <c:ptCount val="6"/>
                <c:pt idx="0">
                  <c:v>0.77844311377245512</c:v>
                </c:pt>
                <c:pt idx="1">
                  <c:v>0.43712574850299402</c:v>
                </c:pt>
                <c:pt idx="2">
                  <c:v>0.40119760479041916</c:v>
                </c:pt>
                <c:pt idx="3">
                  <c:v>0.3592814371257485</c:v>
                </c:pt>
                <c:pt idx="4">
                  <c:v>0.11177644710578842</c:v>
                </c:pt>
                <c:pt idx="5">
                  <c:v>0.11177644710578842</c:v>
                </c:pt>
              </c:numCache>
            </c:numRef>
          </c:val>
          <c:extLst>
            <c:ext xmlns:c16="http://schemas.microsoft.com/office/drawing/2014/chart" uri="{C3380CC4-5D6E-409C-BE32-E72D297353CC}">
              <c16:uniqueId val="{00000000-6349-4010-AAB8-4873AAD3618C}"/>
            </c:ext>
          </c:extLst>
        </c:ser>
        <c:ser>
          <c:idx val="4"/>
          <c:order val="4"/>
          <c:tx>
            <c:strRef>
              <c:f>FacteursPerso!$F$4</c:f>
              <c:strCache>
                <c:ptCount val="1"/>
                <c:pt idx="0">
                  <c:v>Mère</c:v>
                </c:pt>
              </c:strCache>
            </c:strRef>
          </c:tx>
          <c:spPr>
            <a:solidFill>
              <a:srgbClr val="CF357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FacteursPerso!$A$5:$A$10</c:f>
              <c:strCache>
                <c:ptCount val="6"/>
                <c:pt idx="0">
                  <c:v>Facteurs personnels (total)</c:v>
                </c:pt>
                <c:pt idx="1">
                  <c:v>Problèmes de santé mentale</c:v>
                </c:pt>
                <c:pt idx="2">
                  <c:v>Dépendances à l’alcool ou aux drogues</c:v>
                </c:pt>
                <c:pt idx="3">
                  <c:v>Instabilité émotionnelle (gestion des émotions)</c:v>
                </c:pt>
                <c:pt idx="4">
                  <c:v>Problèmes de santé physique</c:v>
                </c:pt>
                <c:pt idx="5">
                  <c:v>Parent incarcéré ou en attente d’une décision en matière criminelle</c:v>
                </c:pt>
              </c:strCache>
            </c:strRef>
          </c:cat>
          <c:val>
            <c:numRef>
              <c:f>FacteursPerso!$F$5:$F$10</c:f>
              <c:numCache>
                <c:formatCode>0%</c:formatCode>
                <c:ptCount val="6"/>
                <c:pt idx="0">
                  <c:v>0.69860279441117767</c:v>
                </c:pt>
                <c:pt idx="1">
                  <c:v>0.3712574850299401</c:v>
                </c:pt>
                <c:pt idx="2">
                  <c:v>0.31736526946107785</c:v>
                </c:pt>
                <c:pt idx="3">
                  <c:v>0.26147704590818366</c:v>
                </c:pt>
                <c:pt idx="4">
                  <c:v>7.9840319361277445E-2</c:v>
                </c:pt>
                <c:pt idx="5">
                  <c:v>3.5928143712574849E-2</c:v>
                </c:pt>
              </c:numCache>
            </c:numRef>
          </c:val>
          <c:extLst>
            <c:ext xmlns:c16="http://schemas.microsoft.com/office/drawing/2014/chart" uri="{C3380CC4-5D6E-409C-BE32-E72D297353CC}">
              <c16:uniqueId val="{00000001-6349-4010-AAB8-4873AAD3618C}"/>
            </c:ext>
          </c:extLst>
        </c:ser>
        <c:ser>
          <c:idx val="5"/>
          <c:order val="5"/>
          <c:tx>
            <c:strRef>
              <c:f>FacteursPerso!$G$4</c:f>
              <c:strCache>
                <c:ptCount val="1"/>
                <c:pt idx="0">
                  <c:v>Père</c:v>
                </c:pt>
              </c:strCache>
            </c:strRef>
          </c:tx>
          <c:spPr>
            <a:solidFill>
              <a:srgbClr val="0010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ptos" panose="020B0004020202020204" pitchFamily="34"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FacteursPerso!$A$5:$A$10</c:f>
              <c:strCache>
                <c:ptCount val="6"/>
                <c:pt idx="0">
                  <c:v>Facteurs personnels (total)</c:v>
                </c:pt>
                <c:pt idx="1">
                  <c:v>Problèmes de santé mentale</c:v>
                </c:pt>
                <c:pt idx="2">
                  <c:v>Dépendances à l’alcool ou aux drogues</c:v>
                </c:pt>
                <c:pt idx="3">
                  <c:v>Instabilité émotionnelle (gestion des émotions)</c:v>
                </c:pt>
                <c:pt idx="4">
                  <c:v>Problèmes de santé physique</c:v>
                </c:pt>
                <c:pt idx="5">
                  <c:v>Parent incarcéré ou en attente d’une décision en matière criminelle</c:v>
                </c:pt>
              </c:strCache>
            </c:strRef>
          </c:cat>
          <c:val>
            <c:numRef>
              <c:f>FacteursPerso!$G$5:$G$10</c:f>
              <c:numCache>
                <c:formatCode>0%</c:formatCode>
                <c:ptCount val="6"/>
                <c:pt idx="0">
                  <c:v>0.45508982035928142</c:v>
                </c:pt>
                <c:pt idx="1">
                  <c:v>0.1437125748502994</c:v>
                </c:pt>
                <c:pt idx="2">
                  <c:v>0.20159680638722555</c:v>
                </c:pt>
                <c:pt idx="3">
                  <c:v>0.21956087824351297</c:v>
                </c:pt>
                <c:pt idx="4">
                  <c:v>3.5928143712574849E-2</c:v>
                </c:pt>
                <c:pt idx="5">
                  <c:v>7.7844311377245512E-2</c:v>
                </c:pt>
              </c:numCache>
            </c:numRef>
          </c:val>
          <c:extLst>
            <c:ext xmlns:c16="http://schemas.microsoft.com/office/drawing/2014/chart" uri="{C3380CC4-5D6E-409C-BE32-E72D297353CC}">
              <c16:uniqueId val="{00000002-6349-4010-AAB8-4873AAD3618C}"/>
            </c:ext>
          </c:extLst>
        </c:ser>
        <c:dLbls>
          <c:dLblPos val="outEnd"/>
          <c:showLegendKey val="0"/>
          <c:showVal val="1"/>
          <c:showCatName val="0"/>
          <c:showSerName val="0"/>
          <c:showPercent val="0"/>
          <c:showBubbleSize val="0"/>
        </c:dLbls>
        <c:gapWidth val="219"/>
        <c:overlap val="-27"/>
        <c:axId val="833479280"/>
        <c:axId val="833479640"/>
        <c:extLst>
          <c:ext xmlns:c15="http://schemas.microsoft.com/office/drawing/2012/chart" uri="{02D57815-91ED-43cb-92C2-25804820EDAC}">
            <c15:filteredBarSeries>
              <c15:ser>
                <c:idx val="0"/>
                <c:order val="0"/>
                <c:tx>
                  <c:strRef>
                    <c:extLst>
                      <c:ext uri="{02D57815-91ED-43cb-92C2-25804820EDAC}">
                        <c15:formulaRef>
                          <c15:sqref>FacteursPerso!$B$4</c15:sqref>
                        </c15:formulaRef>
                      </c:ext>
                    </c:extLst>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FacteursPerso!$A$5:$A$10</c15:sqref>
                        </c15:formulaRef>
                      </c:ext>
                    </c:extLst>
                    <c:strCache>
                      <c:ptCount val="6"/>
                      <c:pt idx="0">
                        <c:v>Facteurs personnels (total)</c:v>
                      </c:pt>
                      <c:pt idx="1">
                        <c:v>Problèmes de santé mentale</c:v>
                      </c:pt>
                      <c:pt idx="2">
                        <c:v>Dépendances à l’alcool ou aux drogues</c:v>
                      </c:pt>
                      <c:pt idx="3">
                        <c:v>Instabilité émotionnelle (gestion des émotions)</c:v>
                      </c:pt>
                      <c:pt idx="4">
                        <c:v>Problèmes de santé physique</c:v>
                      </c:pt>
                      <c:pt idx="5">
                        <c:v>Parent incarcéré ou en attente d’une décision en matière criminelle</c:v>
                      </c:pt>
                    </c:strCache>
                  </c:strRef>
                </c:cat>
                <c:val>
                  <c:numRef>
                    <c:extLst>
                      <c:ext uri="{02D57815-91ED-43cb-92C2-25804820EDAC}">
                        <c15:formulaRef>
                          <c15:sqref>FacteursPerso!$B$5:$B$10</c15:sqref>
                        </c15:formulaRef>
                      </c:ext>
                    </c:extLst>
                    <c:numCache>
                      <c:formatCode>General</c:formatCode>
                      <c:ptCount val="6"/>
                      <c:pt idx="0">
                        <c:v>390</c:v>
                      </c:pt>
                      <c:pt idx="1">
                        <c:v>219</c:v>
                      </c:pt>
                      <c:pt idx="2">
                        <c:v>201</c:v>
                      </c:pt>
                      <c:pt idx="3">
                        <c:v>180</c:v>
                      </c:pt>
                      <c:pt idx="4">
                        <c:v>56</c:v>
                      </c:pt>
                      <c:pt idx="5">
                        <c:v>56</c:v>
                      </c:pt>
                    </c:numCache>
                  </c:numRef>
                </c:val>
                <c:extLst>
                  <c:ext xmlns:c16="http://schemas.microsoft.com/office/drawing/2014/chart" uri="{C3380CC4-5D6E-409C-BE32-E72D297353CC}">
                    <c16:uniqueId val="{00000003-6349-4010-AAB8-4873AAD3618C}"/>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FacteursPerso!$D$4</c15:sqref>
                        </c15:formulaRef>
                      </c:ext>
                    </c:extLst>
                    <c:strCache>
                      <c:ptCount val="1"/>
                      <c:pt idx="0">
                        <c:v>Mère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FacteursPerso!$A$5:$A$10</c15:sqref>
                        </c15:formulaRef>
                      </c:ext>
                    </c:extLst>
                    <c:strCache>
                      <c:ptCount val="6"/>
                      <c:pt idx="0">
                        <c:v>Facteurs personnels (total)</c:v>
                      </c:pt>
                      <c:pt idx="1">
                        <c:v>Problèmes de santé mentale</c:v>
                      </c:pt>
                      <c:pt idx="2">
                        <c:v>Dépendances à l’alcool ou aux drogues</c:v>
                      </c:pt>
                      <c:pt idx="3">
                        <c:v>Instabilité émotionnelle (gestion des émotions)</c:v>
                      </c:pt>
                      <c:pt idx="4">
                        <c:v>Problèmes de santé physique</c:v>
                      </c:pt>
                      <c:pt idx="5">
                        <c:v>Parent incarcéré ou en attente d’une décision en matière criminelle</c:v>
                      </c:pt>
                    </c:strCache>
                  </c:strRef>
                </c:cat>
                <c:val>
                  <c:numRef>
                    <c:extLst xmlns:c15="http://schemas.microsoft.com/office/drawing/2012/chart">
                      <c:ext xmlns:c15="http://schemas.microsoft.com/office/drawing/2012/chart" uri="{02D57815-91ED-43cb-92C2-25804820EDAC}">
                        <c15:formulaRef>
                          <c15:sqref>FacteursPerso!$D$5:$D$10</c15:sqref>
                        </c15:formulaRef>
                      </c:ext>
                    </c:extLst>
                    <c:numCache>
                      <c:formatCode>General</c:formatCode>
                      <c:ptCount val="6"/>
                      <c:pt idx="0">
                        <c:v>350</c:v>
                      </c:pt>
                      <c:pt idx="1">
                        <c:v>186</c:v>
                      </c:pt>
                      <c:pt idx="2">
                        <c:v>159</c:v>
                      </c:pt>
                      <c:pt idx="3">
                        <c:v>131</c:v>
                      </c:pt>
                      <c:pt idx="4">
                        <c:v>40</c:v>
                      </c:pt>
                      <c:pt idx="5">
                        <c:v>18</c:v>
                      </c:pt>
                    </c:numCache>
                  </c:numRef>
                </c:val>
                <c:extLst xmlns:c15="http://schemas.microsoft.com/office/drawing/2012/chart">
                  <c:ext xmlns:c16="http://schemas.microsoft.com/office/drawing/2014/chart" uri="{C3380CC4-5D6E-409C-BE32-E72D297353CC}">
                    <c16:uniqueId val="{00000004-6349-4010-AAB8-4873AAD3618C}"/>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FacteursPerso!$E$4</c15:sqref>
                        </c15:formulaRef>
                      </c:ext>
                    </c:extLst>
                    <c:strCache>
                      <c:ptCount val="1"/>
                      <c:pt idx="0">
                        <c:v>Père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FacteursPerso!$A$5:$A$10</c15:sqref>
                        </c15:formulaRef>
                      </c:ext>
                    </c:extLst>
                    <c:strCache>
                      <c:ptCount val="6"/>
                      <c:pt idx="0">
                        <c:v>Facteurs personnels (total)</c:v>
                      </c:pt>
                      <c:pt idx="1">
                        <c:v>Problèmes de santé mentale</c:v>
                      </c:pt>
                      <c:pt idx="2">
                        <c:v>Dépendances à l’alcool ou aux drogues</c:v>
                      </c:pt>
                      <c:pt idx="3">
                        <c:v>Instabilité émotionnelle (gestion des émotions)</c:v>
                      </c:pt>
                      <c:pt idx="4">
                        <c:v>Problèmes de santé physique</c:v>
                      </c:pt>
                      <c:pt idx="5">
                        <c:v>Parent incarcéré ou en attente d’une décision en matière criminelle</c:v>
                      </c:pt>
                    </c:strCache>
                  </c:strRef>
                </c:cat>
                <c:val>
                  <c:numRef>
                    <c:extLst xmlns:c15="http://schemas.microsoft.com/office/drawing/2012/chart">
                      <c:ext xmlns:c15="http://schemas.microsoft.com/office/drawing/2012/chart" uri="{02D57815-91ED-43cb-92C2-25804820EDAC}">
                        <c15:formulaRef>
                          <c15:sqref>FacteursPerso!$E$5:$E$10</c15:sqref>
                        </c15:formulaRef>
                      </c:ext>
                    </c:extLst>
                    <c:numCache>
                      <c:formatCode>General</c:formatCode>
                      <c:ptCount val="6"/>
                      <c:pt idx="0">
                        <c:v>228</c:v>
                      </c:pt>
                      <c:pt idx="1">
                        <c:v>72</c:v>
                      </c:pt>
                      <c:pt idx="2">
                        <c:v>101</c:v>
                      </c:pt>
                      <c:pt idx="3">
                        <c:v>110</c:v>
                      </c:pt>
                      <c:pt idx="4">
                        <c:v>18</c:v>
                      </c:pt>
                      <c:pt idx="5">
                        <c:v>39</c:v>
                      </c:pt>
                    </c:numCache>
                  </c:numRef>
                </c:val>
                <c:extLst xmlns:c15="http://schemas.microsoft.com/office/drawing/2012/chart">
                  <c:ext xmlns:c16="http://schemas.microsoft.com/office/drawing/2014/chart" uri="{C3380CC4-5D6E-409C-BE32-E72D297353CC}">
                    <c16:uniqueId val="{00000005-6349-4010-AAB8-4873AAD3618C}"/>
                  </c:ext>
                </c:extLst>
              </c15:ser>
            </c15:filteredBarSeries>
          </c:ext>
        </c:extLst>
      </c:barChart>
      <c:catAx>
        <c:axId val="83347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ptos" panose="020B0004020202020204" pitchFamily="34" charset="0"/>
                <a:ea typeface="+mn-ea"/>
                <a:cs typeface="+mn-cs"/>
              </a:defRPr>
            </a:pPr>
            <a:endParaRPr lang="fr-FR"/>
          </a:p>
        </c:txPr>
        <c:crossAx val="833479640"/>
        <c:crosses val="autoZero"/>
        <c:auto val="1"/>
        <c:lblAlgn val="ctr"/>
        <c:lblOffset val="100"/>
        <c:noMultiLvlLbl val="0"/>
      </c:catAx>
      <c:valAx>
        <c:axId val="833479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833479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E9F8FB"/>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fr-CA" sz="1100" b="1" i="0" u="none" strike="noStrike" kern="1200" spc="0" baseline="0">
                <a:solidFill>
                  <a:srgbClr val="953D89"/>
                </a:solidFill>
                <a:latin typeface="Aptos" panose="020B0004020202020204" pitchFamily="34" charset="0"/>
              </a:rPr>
              <a:t>Graphique 2</a:t>
            </a:r>
          </a:p>
          <a:p>
            <a:pPr algn="ctr">
              <a:defRPr/>
            </a:pPr>
            <a:r>
              <a:rPr lang="fr-CA" sz="1100" b="0" i="0" u="none" strike="noStrike" kern="1200" spc="0" baseline="0">
                <a:solidFill>
                  <a:srgbClr val="953D89"/>
                </a:solidFill>
                <a:latin typeface="Aptos" panose="020B0004020202020204" pitchFamily="34" charset="0"/>
              </a:rPr>
              <a:t>Fréquence de prise en considération de facteurs de la dynamique familiale dans l'évaluation de la capacité parentale, selon le type de facteurs,</a:t>
            </a:r>
          </a:p>
          <a:p>
            <a:pPr algn="ctr">
              <a:defRPr/>
            </a:pPr>
            <a:r>
              <a:rPr lang="fr-CA" sz="1100" b="0" i="0" u="none" strike="noStrike" kern="1200" spc="0" baseline="0">
                <a:solidFill>
                  <a:srgbClr val="953D89"/>
                </a:solidFill>
                <a:latin typeface="Aptos" panose="020B0004020202020204" pitchFamily="34" charset="0"/>
              </a:rPr>
              <a:t>n = 501</a:t>
            </a:r>
          </a:p>
        </c:rich>
      </c:tx>
      <c:layout>
        <c:manualLayout>
          <c:xMode val="edge"/>
          <c:yMode val="edge"/>
          <c:x val="0.14281565486907993"/>
          <c:y val="2.3337222870478413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2A73D0"/>
              </a:solidFill>
              <a:ln>
                <a:noFill/>
              </a:ln>
              <a:effectLst/>
            </c:spPr>
            <c:extLst>
              <c:ext xmlns:c16="http://schemas.microsoft.com/office/drawing/2014/chart" uri="{C3380CC4-5D6E-409C-BE32-E72D297353CC}">
                <c16:uniqueId val="{00000001-237F-400F-A492-9BD17F370A81}"/>
              </c:ext>
            </c:extLst>
          </c:dPt>
          <c:dPt>
            <c:idx val="1"/>
            <c:invertIfNegative val="0"/>
            <c:bubble3D val="0"/>
            <c:spPr>
              <a:solidFill>
                <a:srgbClr val="CF3575"/>
              </a:solidFill>
              <a:ln>
                <a:noFill/>
              </a:ln>
              <a:effectLst/>
            </c:spPr>
            <c:extLst>
              <c:ext xmlns:c16="http://schemas.microsoft.com/office/drawing/2014/chart" uri="{C3380CC4-5D6E-409C-BE32-E72D297353CC}">
                <c16:uniqueId val="{00000003-237F-400F-A492-9BD17F370A81}"/>
              </c:ext>
            </c:extLst>
          </c:dPt>
          <c:dPt>
            <c:idx val="2"/>
            <c:invertIfNegative val="0"/>
            <c:bubble3D val="0"/>
            <c:spPr>
              <a:solidFill>
                <a:srgbClr val="001042"/>
              </a:solidFill>
              <a:ln>
                <a:noFill/>
              </a:ln>
              <a:effectLst/>
            </c:spPr>
            <c:extLst>
              <c:ext xmlns:c16="http://schemas.microsoft.com/office/drawing/2014/chart" uri="{C3380CC4-5D6E-409C-BE32-E72D297353CC}">
                <c16:uniqueId val="{00000005-237F-400F-A492-9BD17F370A81}"/>
              </c:ext>
            </c:extLst>
          </c:dPt>
          <c:dPt>
            <c:idx val="3"/>
            <c:invertIfNegative val="0"/>
            <c:bubble3D val="0"/>
            <c:spPr>
              <a:solidFill>
                <a:srgbClr val="27BCD5"/>
              </a:solidFill>
              <a:ln>
                <a:noFill/>
              </a:ln>
              <a:effectLst/>
            </c:spPr>
            <c:extLst>
              <c:ext xmlns:c16="http://schemas.microsoft.com/office/drawing/2014/chart" uri="{C3380CC4-5D6E-409C-BE32-E72D297353CC}">
                <c16:uniqueId val="{00000007-237F-400F-A492-9BD17F370A81}"/>
              </c:ext>
            </c:extLst>
          </c:dPt>
          <c:dPt>
            <c:idx val="4"/>
            <c:invertIfNegative val="0"/>
            <c:bubble3D val="0"/>
            <c:spPr>
              <a:solidFill>
                <a:srgbClr val="FFC000"/>
              </a:solidFill>
              <a:ln>
                <a:noFill/>
              </a:ln>
              <a:effectLst/>
            </c:spPr>
            <c:extLst>
              <c:ext xmlns:c16="http://schemas.microsoft.com/office/drawing/2014/chart" uri="{C3380CC4-5D6E-409C-BE32-E72D297353CC}">
                <c16:uniqueId val="{00000009-237F-400F-A492-9BD17F370A81}"/>
              </c:ext>
            </c:extLst>
          </c:dPt>
          <c:dPt>
            <c:idx val="5"/>
            <c:invertIfNegative val="0"/>
            <c:bubble3D val="0"/>
            <c:spPr>
              <a:solidFill>
                <a:srgbClr val="6600FF"/>
              </a:solidFill>
              <a:ln>
                <a:noFill/>
              </a:ln>
              <a:effectLst/>
            </c:spPr>
            <c:extLst>
              <c:ext xmlns:c16="http://schemas.microsoft.com/office/drawing/2014/chart" uri="{C3380CC4-5D6E-409C-BE32-E72D297353CC}">
                <c16:uniqueId val="{0000000B-237F-400F-A492-9BD17F370A81}"/>
              </c:ext>
            </c:extLst>
          </c:dPt>
          <c:dPt>
            <c:idx val="6"/>
            <c:invertIfNegative val="0"/>
            <c:bubble3D val="0"/>
            <c:spPr>
              <a:solidFill>
                <a:srgbClr val="008000"/>
              </a:solidFill>
              <a:ln>
                <a:noFill/>
              </a:ln>
              <a:effectLst/>
            </c:spPr>
            <c:extLst>
              <c:ext xmlns:c16="http://schemas.microsoft.com/office/drawing/2014/chart" uri="{C3380CC4-5D6E-409C-BE32-E72D297353CC}">
                <c16:uniqueId val="{0000000D-237F-400F-A492-9BD17F370A81}"/>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ptos" panose="020B0004020202020204" pitchFamily="34"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DynamiqueFamiliale!$A$5:$A$11</c:f>
              <c:strCache>
                <c:ptCount val="7"/>
                <c:pt idx="0">
                  <c:v>Dynamique familiale (total)</c:v>
                </c:pt>
                <c:pt idx="1">
                  <c:v>Présence de violence conjugale</c:v>
                </c:pt>
                <c:pt idx="2">
                  <c:v>Instabilité conjugale</c:v>
                </c:pt>
                <c:pt idx="3">
                  <c:v>Père non présent dans la vie de l’enfant (non déclaré, non impliqué, etc.)</c:v>
                </c:pt>
                <c:pt idx="4">
                  <c:v>Un des parents a abandonné l’enfant</c:v>
                </c:pt>
                <c:pt idx="5">
                  <c:v>Un des parents est décédé</c:v>
                </c:pt>
                <c:pt idx="6">
                  <c:v>Parents décédés</c:v>
                </c:pt>
              </c:strCache>
            </c:strRef>
          </c:cat>
          <c:val>
            <c:numRef>
              <c:f>DynamiqueFamiliale!$C$5:$C$11</c:f>
              <c:numCache>
                <c:formatCode>0%</c:formatCode>
                <c:ptCount val="7"/>
                <c:pt idx="0">
                  <c:v>0.50099800399201599</c:v>
                </c:pt>
                <c:pt idx="1">
                  <c:v>0.22355289421157684</c:v>
                </c:pt>
                <c:pt idx="2">
                  <c:v>0.18363273453093812</c:v>
                </c:pt>
                <c:pt idx="3">
                  <c:v>0.11377245508982035</c:v>
                </c:pt>
                <c:pt idx="4">
                  <c:v>8.5828343313373259E-2</c:v>
                </c:pt>
                <c:pt idx="5">
                  <c:v>3.7924151696606789E-2</c:v>
                </c:pt>
                <c:pt idx="6">
                  <c:v>9.9800399201596807E-3</c:v>
                </c:pt>
              </c:numCache>
            </c:numRef>
          </c:val>
          <c:extLst>
            <c:ext xmlns:c16="http://schemas.microsoft.com/office/drawing/2014/chart" uri="{C3380CC4-5D6E-409C-BE32-E72D297353CC}">
              <c16:uniqueId val="{0000000E-237F-400F-A492-9BD17F370A81}"/>
            </c:ext>
          </c:extLst>
        </c:ser>
        <c:dLbls>
          <c:dLblPos val="outEnd"/>
          <c:showLegendKey val="0"/>
          <c:showVal val="1"/>
          <c:showCatName val="0"/>
          <c:showSerName val="0"/>
          <c:showPercent val="0"/>
          <c:showBubbleSize val="0"/>
        </c:dLbls>
        <c:gapWidth val="219"/>
        <c:overlap val="-27"/>
        <c:axId val="1065911296"/>
        <c:axId val="1065906976"/>
      </c:barChart>
      <c:catAx>
        <c:axId val="1065911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ptos" panose="020B0004020202020204" pitchFamily="34" charset="0"/>
                <a:ea typeface="+mn-ea"/>
                <a:cs typeface="+mn-cs"/>
              </a:defRPr>
            </a:pPr>
            <a:endParaRPr lang="fr-FR"/>
          </a:p>
        </c:txPr>
        <c:crossAx val="1065906976"/>
        <c:crosses val="autoZero"/>
        <c:auto val="1"/>
        <c:lblAlgn val="ctr"/>
        <c:lblOffset val="100"/>
        <c:noMultiLvlLbl val="0"/>
      </c:catAx>
      <c:valAx>
        <c:axId val="1065906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ptos" panose="020B0004020202020204" pitchFamily="34" charset="0"/>
                <a:ea typeface="+mn-ea"/>
                <a:cs typeface="+mn-cs"/>
              </a:defRPr>
            </a:pPr>
            <a:endParaRPr lang="fr-FR"/>
          </a:p>
        </c:txPr>
        <c:crossAx val="10659112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E9F8FB"/>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fr-CA" sz="1100" b="1" i="0" u="none" strike="noStrike" kern="1200" spc="0" baseline="0">
                <a:solidFill>
                  <a:srgbClr val="953D89"/>
                </a:solidFill>
                <a:latin typeface="Aptos" panose="020B0004020202020204" pitchFamily="34" charset="0"/>
              </a:rPr>
              <a:t>Graphique 3</a:t>
            </a:r>
            <a:br>
              <a:rPr lang="fr-CA" sz="1100" b="0" i="0" u="none" strike="noStrike" kern="1200" spc="0" baseline="0">
                <a:solidFill>
                  <a:srgbClr val="953D89"/>
                </a:solidFill>
                <a:latin typeface="Aptos" panose="020B0004020202020204" pitchFamily="34" charset="0"/>
              </a:rPr>
            </a:br>
            <a:r>
              <a:rPr lang="fr-CA" sz="1100" b="0" i="0" u="none" strike="noStrike" kern="1200" spc="0" baseline="0">
                <a:solidFill>
                  <a:srgbClr val="953D89"/>
                </a:solidFill>
                <a:latin typeface="Aptos" panose="020B0004020202020204" pitchFamily="34" charset="0"/>
              </a:rPr>
              <a:t>Fréquence de prise en considération de facteurs de la situation socioéconomique des parents dans l'évaluation de la capacité parentale, selon le type de facteurs, n = 501</a:t>
            </a:r>
          </a:p>
        </c:rich>
      </c:tx>
      <c:overlay val="0"/>
      <c:spPr>
        <a:solidFill>
          <a:srgbClr val="E9F8FB"/>
        </a:solid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fr-FR"/>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1042"/>
              </a:solidFill>
              <a:ln>
                <a:noFill/>
              </a:ln>
              <a:effectLst/>
            </c:spPr>
            <c:extLst>
              <c:ext xmlns:c16="http://schemas.microsoft.com/office/drawing/2014/chart" uri="{C3380CC4-5D6E-409C-BE32-E72D297353CC}">
                <c16:uniqueId val="{00000001-0AB8-4276-9093-D1AB93FE507D}"/>
              </c:ext>
            </c:extLst>
          </c:dPt>
          <c:dPt>
            <c:idx val="1"/>
            <c:invertIfNegative val="0"/>
            <c:bubble3D val="0"/>
            <c:spPr>
              <a:solidFill>
                <a:srgbClr val="CF3575"/>
              </a:solidFill>
              <a:ln>
                <a:noFill/>
              </a:ln>
              <a:effectLst/>
            </c:spPr>
            <c:extLst>
              <c:ext xmlns:c16="http://schemas.microsoft.com/office/drawing/2014/chart" uri="{C3380CC4-5D6E-409C-BE32-E72D297353CC}">
                <c16:uniqueId val="{00000003-0AB8-4276-9093-D1AB93FE507D}"/>
              </c:ext>
            </c:extLst>
          </c:dPt>
          <c:dPt>
            <c:idx val="2"/>
            <c:invertIfNegative val="0"/>
            <c:bubble3D val="0"/>
            <c:spPr>
              <a:solidFill>
                <a:srgbClr val="2A73D0"/>
              </a:solidFill>
              <a:ln>
                <a:noFill/>
              </a:ln>
              <a:effectLst/>
            </c:spPr>
            <c:extLst>
              <c:ext xmlns:c16="http://schemas.microsoft.com/office/drawing/2014/chart" uri="{C3380CC4-5D6E-409C-BE32-E72D297353CC}">
                <c16:uniqueId val="{00000005-0AB8-4276-9093-D1AB93FE507D}"/>
              </c:ext>
            </c:extLst>
          </c:dPt>
          <c:dPt>
            <c:idx val="3"/>
            <c:invertIfNegative val="0"/>
            <c:bubble3D val="0"/>
            <c:spPr>
              <a:solidFill>
                <a:srgbClr val="27BCD5"/>
              </a:solidFill>
              <a:ln>
                <a:noFill/>
              </a:ln>
              <a:effectLst/>
            </c:spPr>
            <c:extLst>
              <c:ext xmlns:c16="http://schemas.microsoft.com/office/drawing/2014/chart" uri="{C3380CC4-5D6E-409C-BE32-E72D297353CC}">
                <c16:uniqueId val="{00000007-0AB8-4276-9093-D1AB93FE507D}"/>
              </c:ext>
            </c:extLst>
          </c:dPt>
          <c:dPt>
            <c:idx val="4"/>
            <c:invertIfNegative val="0"/>
            <c:bubble3D val="0"/>
            <c:spPr>
              <a:solidFill>
                <a:srgbClr val="953D89"/>
              </a:solidFill>
              <a:ln>
                <a:noFill/>
              </a:ln>
              <a:effectLst/>
            </c:spPr>
            <c:extLst>
              <c:ext xmlns:c16="http://schemas.microsoft.com/office/drawing/2014/chart" uri="{C3380CC4-5D6E-409C-BE32-E72D297353CC}">
                <c16:uniqueId val="{00000009-0AB8-4276-9093-D1AB93FE507D}"/>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Aptos" panose="020B0004020202020204" pitchFamily="34"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SituationSocioéco!$A$5:$A$9</c:f>
              <c:strCache>
                <c:ptCount val="5"/>
                <c:pt idx="0">
                  <c:v>Situation socioéconomique (total)</c:v>
                </c:pt>
                <c:pt idx="1">
                  <c:v>Instabilité résidentielle d’un parent</c:v>
                </c:pt>
                <c:pt idx="2">
                  <c:v>Parent sans emploi ou emploi instable</c:v>
                </c:pt>
                <c:pt idx="3">
                  <c:v>Instabilité alimentaire des parents ou de l’un d’eux</c:v>
                </c:pt>
                <c:pt idx="4">
                  <c:v>Logement surpeuplé</c:v>
                </c:pt>
              </c:strCache>
            </c:strRef>
          </c:cat>
          <c:val>
            <c:numRef>
              <c:f>SituationSocioéco!$C$5:$C$9</c:f>
              <c:numCache>
                <c:formatCode>0%</c:formatCode>
                <c:ptCount val="5"/>
                <c:pt idx="0">
                  <c:v>0.30738522954091818</c:v>
                </c:pt>
                <c:pt idx="1">
                  <c:v>0.24151696606786427</c:v>
                </c:pt>
                <c:pt idx="2">
                  <c:v>0.12974051896207583</c:v>
                </c:pt>
                <c:pt idx="3">
                  <c:v>1.5968063872255488E-2</c:v>
                </c:pt>
                <c:pt idx="4">
                  <c:v>5.9880239520958087E-3</c:v>
                </c:pt>
              </c:numCache>
            </c:numRef>
          </c:val>
          <c:extLst>
            <c:ext xmlns:c16="http://schemas.microsoft.com/office/drawing/2014/chart" uri="{C3380CC4-5D6E-409C-BE32-E72D297353CC}">
              <c16:uniqueId val="{0000000A-0AB8-4276-9093-D1AB93FE507D}"/>
            </c:ext>
          </c:extLst>
        </c:ser>
        <c:dLbls>
          <c:dLblPos val="outEnd"/>
          <c:showLegendKey val="0"/>
          <c:showVal val="1"/>
          <c:showCatName val="0"/>
          <c:showSerName val="0"/>
          <c:showPercent val="0"/>
          <c:showBubbleSize val="0"/>
        </c:dLbls>
        <c:gapWidth val="219"/>
        <c:overlap val="-27"/>
        <c:axId val="849351904"/>
        <c:axId val="849350104"/>
      </c:barChart>
      <c:catAx>
        <c:axId val="84935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ptos" panose="020B0004020202020204" pitchFamily="34" charset="0"/>
                <a:ea typeface="+mn-ea"/>
                <a:cs typeface="+mn-cs"/>
              </a:defRPr>
            </a:pPr>
            <a:endParaRPr lang="fr-FR"/>
          </a:p>
        </c:txPr>
        <c:crossAx val="849350104"/>
        <c:crosses val="autoZero"/>
        <c:auto val="1"/>
        <c:lblAlgn val="ctr"/>
        <c:lblOffset val="100"/>
        <c:noMultiLvlLbl val="0"/>
      </c:catAx>
      <c:valAx>
        <c:axId val="849350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ptos" panose="020B0004020202020204" pitchFamily="34" charset="0"/>
                <a:ea typeface="+mn-ea"/>
                <a:cs typeface="+mn-cs"/>
              </a:defRPr>
            </a:pPr>
            <a:endParaRPr lang="fr-FR"/>
          </a:p>
        </c:txPr>
        <c:crossAx val="8493519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E9F8FB"/>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solidFill>
                  <a:srgbClr val="953D89"/>
                </a:solidFill>
                <a:latin typeface="Aptos" panose="020B0004020202020204" pitchFamily="34" charset="0"/>
              </a:rPr>
              <a:t>Graphique 4</a:t>
            </a:r>
            <a:br>
              <a:rPr lang="en-US" sz="1100">
                <a:solidFill>
                  <a:srgbClr val="953D89"/>
                </a:solidFill>
                <a:latin typeface="Aptos" panose="020B0004020202020204" pitchFamily="34" charset="0"/>
              </a:rPr>
            </a:br>
            <a:r>
              <a:rPr lang="en-US" sz="1100">
                <a:solidFill>
                  <a:srgbClr val="953D89"/>
                </a:solidFill>
                <a:latin typeface="Aptos" panose="020B0004020202020204" pitchFamily="34" charset="0"/>
              </a:rPr>
              <a:t>Fréquence</a:t>
            </a:r>
            <a:r>
              <a:rPr lang="en-US" sz="1100" baseline="0">
                <a:solidFill>
                  <a:srgbClr val="953D89"/>
                </a:solidFill>
                <a:latin typeface="Aptos" panose="020B0004020202020204" pitchFamily="34" charset="0"/>
              </a:rPr>
              <a:t> des mentions de motifs de compromission dans les décisions, n = 501 </a:t>
            </a:r>
            <a:endParaRPr lang="en-US" sz="1100">
              <a:solidFill>
                <a:srgbClr val="953D89"/>
              </a:solidFill>
              <a:latin typeface="Aptos" panose="020B00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1"/>
          <c:order val="1"/>
          <c:spPr>
            <a:solidFill>
              <a:schemeClr val="accent2"/>
            </a:solidFill>
            <a:ln>
              <a:noFill/>
            </a:ln>
            <a:effectLst/>
          </c:spPr>
          <c:invertIfNegative val="0"/>
          <c:dPt>
            <c:idx val="0"/>
            <c:invertIfNegative val="0"/>
            <c:bubble3D val="0"/>
            <c:spPr>
              <a:solidFill>
                <a:srgbClr val="2A73D0"/>
              </a:solidFill>
              <a:ln>
                <a:noFill/>
              </a:ln>
              <a:effectLst/>
            </c:spPr>
            <c:extLst>
              <c:ext xmlns:c16="http://schemas.microsoft.com/office/drawing/2014/chart" uri="{C3380CC4-5D6E-409C-BE32-E72D297353CC}">
                <c16:uniqueId val="{00000001-1CC2-4DB0-BA2E-27CA4D697C72}"/>
              </c:ext>
            </c:extLst>
          </c:dPt>
          <c:dPt>
            <c:idx val="1"/>
            <c:invertIfNegative val="0"/>
            <c:bubble3D val="0"/>
            <c:spPr>
              <a:solidFill>
                <a:srgbClr val="CF3575"/>
              </a:solidFill>
              <a:ln>
                <a:noFill/>
              </a:ln>
              <a:effectLst/>
            </c:spPr>
            <c:extLst>
              <c:ext xmlns:c16="http://schemas.microsoft.com/office/drawing/2014/chart" uri="{C3380CC4-5D6E-409C-BE32-E72D297353CC}">
                <c16:uniqueId val="{00000003-1CC2-4DB0-BA2E-27CA4D697C72}"/>
              </c:ext>
            </c:extLst>
          </c:dPt>
          <c:dPt>
            <c:idx val="2"/>
            <c:invertIfNegative val="0"/>
            <c:bubble3D val="0"/>
            <c:spPr>
              <a:solidFill>
                <a:srgbClr val="27BCD5"/>
              </a:solidFill>
              <a:ln>
                <a:noFill/>
              </a:ln>
              <a:effectLst/>
            </c:spPr>
            <c:extLst>
              <c:ext xmlns:c16="http://schemas.microsoft.com/office/drawing/2014/chart" uri="{C3380CC4-5D6E-409C-BE32-E72D297353CC}">
                <c16:uniqueId val="{00000005-1CC2-4DB0-BA2E-27CA4D697C72}"/>
              </c:ext>
            </c:extLst>
          </c:dPt>
          <c:dPt>
            <c:idx val="3"/>
            <c:invertIfNegative val="0"/>
            <c:bubble3D val="0"/>
            <c:spPr>
              <a:solidFill>
                <a:srgbClr val="001042"/>
              </a:solidFill>
              <a:ln>
                <a:noFill/>
              </a:ln>
              <a:effectLst/>
            </c:spPr>
            <c:extLst>
              <c:ext xmlns:c16="http://schemas.microsoft.com/office/drawing/2014/chart" uri="{C3380CC4-5D6E-409C-BE32-E72D297353CC}">
                <c16:uniqueId val="{00000007-1CC2-4DB0-BA2E-27CA4D697C72}"/>
              </c:ext>
            </c:extLst>
          </c:dPt>
          <c:dPt>
            <c:idx val="4"/>
            <c:invertIfNegative val="0"/>
            <c:bubble3D val="0"/>
            <c:spPr>
              <a:solidFill>
                <a:srgbClr val="953D89"/>
              </a:solidFill>
              <a:ln>
                <a:noFill/>
              </a:ln>
              <a:effectLst/>
            </c:spPr>
            <c:extLst>
              <c:ext xmlns:c16="http://schemas.microsoft.com/office/drawing/2014/chart" uri="{C3380CC4-5D6E-409C-BE32-E72D297353CC}">
                <c16:uniqueId val="{00000009-1CC2-4DB0-BA2E-27CA4D697C72}"/>
              </c:ext>
            </c:extLst>
          </c:dPt>
          <c:dPt>
            <c:idx val="5"/>
            <c:invertIfNegative val="0"/>
            <c:bubble3D val="0"/>
            <c:spPr>
              <a:solidFill>
                <a:srgbClr val="008000"/>
              </a:solidFill>
              <a:ln>
                <a:noFill/>
              </a:ln>
              <a:effectLst/>
            </c:spPr>
            <c:extLst>
              <c:ext xmlns:c16="http://schemas.microsoft.com/office/drawing/2014/chart" uri="{C3380CC4-5D6E-409C-BE32-E72D297353CC}">
                <c16:uniqueId val="{0000000B-1CC2-4DB0-BA2E-27CA4D697C72}"/>
              </c:ext>
            </c:extLst>
          </c:dPt>
          <c:dPt>
            <c:idx val="6"/>
            <c:invertIfNegative val="0"/>
            <c:bubble3D val="0"/>
            <c:spPr>
              <a:solidFill>
                <a:srgbClr val="FFC000"/>
              </a:solidFill>
              <a:ln>
                <a:noFill/>
              </a:ln>
              <a:effectLst/>
            </c:spPr>
            <c:extLst>
              <c:ext xmlns:c16="http://schemas.microsoft.com/office/drawing/2014/chart" uri="{C3380CC4-5D6E-409C-BE32-E72D297353CC}">
                <c16:uniqueId val="{0000000D-1CC2-4DB0-BA2E-27CA4D697C72}"/>
              </c:ext>
            </c:extLst>
          </c:dPt>
          <c:dPt>
            <c:idx val="7"/>
            <c:invertIfNegative val="0"/>
            <c:bubble3D val="0"/>
            <c:spPr>
              <a:solidFill>
                <a:srgbClr val="666699"/>
              </a:solidFill>
              <a:ln>
                <a:noFill/>
              </a:ln>
              <a:effectLst/>
            </c:spPr>
            <c:extLst>
              <c:ext xmlns:c16="http://schemas.microsoft.com/office/drawing/2014/chart" uri="{C3380CC4-5D6E-409C-BE32-E72D297353CC}">
                <c16:uniqueId val="{0000000F-1CC2-4DB0-BA2E-27CA4D697C72}"/>
              </c:ext>
            </c:extLst>
          </c:dPt>
          <c:dPt>
            <c:idx val="8"/>
            <c:invertIfNegative val="0"/>
            <c:bubble3D val="0"/>
            <c:spPr>
              <a:solidFill>
                <a:srgbClr val="00FF00"/>
              </a:solidFill>
              <a:ln>
                <a:noFill/>
              </a:ln>
              <a:effectLst/>
            </c:spPr>
            <c:extLst>
              <c:ext xmlns:c16="http://schemas.microsoft.com/office/drawing/2014/chart" uri="{C3380CC4-5D6E-409C-BE32-E72D297353CC}">
                <c16:uniqueId val="{00000011-1CC2-4DB0-BA2E-27CA4D697C72}"/>
              </c:ext>
            </c:extLst>
          </c:dPt>
          <c:dPt>
            <c:idx val="9"/>
            <c:invertIfNegative val="0"/>
            <c:bubble3D val="0"/>
            <c:spPr>
              <a:solidFill>
                <a:srgbClr val="FF6600"/>
              </a:solidFill>
              <a:ln>
                <a:noFill/>
              </a:ln>
              <a:effectLst/>
            </c:spPr>
            <c:extLst>
              <c:ext xmlns:c16="http://schemas.microsoft.com/office/drawing/2014/chart" uri="{C3380CC4-5D6E-409C-BE32-E72D297353CC}">
                <c16:uniqueId val="{00000013-1CC2-4DB0-BA2E-27CA4D697C72}"/>
              </c:ext>
            </c:extLst>
          </c:dPt>
          <c:dPt>
            <c:idx val="10"/>
            <c:invertIfNegative val="0"/>
            <c:bubble3D val="0"/>
            <c:spPr>
              <a:solidFill>
                <a:srgbClr val="666633"/>
              </a:solidFill>
              <a:ln>
                <a:noFill/>
              </a:ln>
              <a:effectLst/>
            </c:spPr>
            <c:extLst>
              <c:ext xmlns:c16="http://schemas.microsoft.com/office/drawing/2014/chart" uri="{C3380CC4-5D6E-409C-BE32-E72D297353CC}">
                <c16:uniqueId val="{00000015-1CC2-4DB0-BA2E-27CA4D697C72}"/>
              </c:ext>
            </c:extLst>
          </c:dPt>
          <c:dPt>
            <c:idx val="11"/>
            <c:invertIfNegative val="0"/>
            <c:bubble3D val="0"/>
            <c:spPr>
              <a:solidFill>
                <a:srgbClr val="FF99FF"/>
              </a:solidFill>
              <a:ln>
                <a:noFill/>
              </a:ln>
              <a:effectLst/>
            </c:spPr>
            <c:extLst>
              <c:ext xmlns:c16="http://schemas.microsoft.com/office/drawing/2014/chart" uri="{C3380CC4-5D6E-409C-BE32-E72D297353CC}">
                <c16:uniqueId val="{00000017-1CC2-4DB0-BA2E-27CA4D697C7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ptos" panose="020B0004020202020204" pitchFamily="34"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MotifsCompromissionTab!$A$5:$A$16</c:f>
              <c:strCache>
                <c:ptCount val="12"/>
                <c:pt idx="0">
                  <c:v>Risque sérieux de négligence</c:v>
                </c:pt>
                <c:pt idx="1">
                  <c:v>Négligence sur le plan éducatif</c:v>
                </c:pt>
                <c:pt idx="2">
                  <c:v>Mauvais traitements psychologiques</c:v>
                </c:pt>
                <c:pt idx="3">
                  <c:v>Négligence sur le plan physique</c:v>
                </c:pt>
                <c:pt idx="4">
                  <c:v>Négligence sur le plan de la santé</c:v>
                </c:pt>
                <c:pt idx="5">
                  <c:v>Abus physiques</c:v>
                </c:pt>
                <c:pt idx="6">
                  <c:v>Ne sais pas (Non mentionné)</c:v>
                </c:pt>
                <c:pt idx="7">
                  <c:v>Risque sérieux d'abus physiques</c:v>
                </c:pt>
                <c:pt idx="8">
                  <c:v>Risque ou risque sérieux d'abus sexuels</c:v>
                </c:pt>
                <c:pt idx="9">
                  <c:v>Abus sexuels</c:v>
                </c:pt>
                <c:pt idx="10">
                  <c:v>Troubles de comportement sérieux</c:v>
                </c:pt>
                <c:pt idx="11">
                  <c:v>Situation d'abandon</c:v>
                </c:pt>
              </c:strCache>
            </c:strRef>
          </c:cat>
          <c:val>
            <c:numRef>
              <c:f>MotifsCompromissionTab!$C$5:$C$16</c:f>
              <c:numCache>
                <c:formatCode>0%</c:formatCode>
                <c:ptCount val="12"/>
                <c:pt idx="0">
                  <c:v>0.50299401197604787</c:v>
                </c:pt>
                <c:pt idx="1">
                  <c:v>0.46506986027944114</c:v>
                </c:pt>
                <c:pt idx="2">
                  <c:v>0.35528942115768464</c:v>
                </c:pt>
                <c:pt idx="3">
                  <c:v>0.27744510978043913</c:v>
                </c:pt>
                <c:pt idx="4">
                  <c:v>0.12974051896207583</c:v>
                </c:pt>
                <c:pt idx="5">
                  <c:v>0.12375249500998003</c:v>
                </c:pt>
                <c:pt idx="6">
                  <c:v>0.11377245508982035</c:v>
                </c:pt>
                <c:pt idx="7">
                  <c:v>0.10578842315369262</c:v>
                </c:pt>
                <c:pt idx="8">
                  <c:v>8.7824351297405193E-2</c:v>
                </c:pt>
                <c:pt idx="9">
                  <c:v>2.7944111776447105E-2</c:v>
                </c:pt>
                <c:pt idx="10">
                  <c:v>2.1956087824351298E-2</c:v>
                </c:pt>
                <c:pt idx="11">
                  <c:v>1.1976047904191617E-2</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Ref>
                </c15:tx>
              </c15:filteredSeriesTitle>
            </c:ext>
            <c:ext xmlns:c16="http://schemas.microsoft.com/office/drawing/2014/chart" uri="{C3380CC4-5D6E-409C-BE32-E72D297353CC}">
              <c16:uniqueId val="{00000018-1CC2-4DB0-BA2E-27CA4D697C72}"/>
            </c:ext>
          </c:extLst>
        </c:ser>
        <c:dLbls>
          <c:dLblPos val="outEnd"/>
          <c:showLegendKey val="0"/>
          <c:showVal val="1"/>
          <c:showCatName val="0"/>
          <c:showSerName val="0"/>
          <c:showPercent val="0"/>
          <c:showBubbleSize val="0"/>
        </c:dLbls>
        <c:gapWidth val="182"/>
        <c:axId val="1337323248"/>
        <c:axId val="1337316408"/>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MotifsCompromissionTab!$A$5:$A$16</c15:sqref>
                        </c15:formulaRef>
                      </c:ext>
                    </c:extLst>
                    <c:strCache>
                      <c:ptCount val="12"/>
                      <c:pt idx="0">
                        <c:v>Risque sérieux de négligence</c:v>
                      </c:pt>
                      <c:pt idx="1">
                        <c:v>Négligence sur le plan éducatif</c:v>
                      </c:pt>
                      <c:pt idx="2">
                        <c:v>Mauvais traitements psychologiques</c:v>
                      </c:pt>
                      <c:pt idx="3">
                        <c:v>Négligence sur le plan physique</c:v>
                      </c:pt>
                      <c:pt idx="4">
                        <c:v>Négligence sur le plan de la santé</c:v>
                      </c:pt>
                      <c:pt idx="5">
                        <c:v>Abus physiques</c:v>
                      </c:pt>
                      <c:pt idx="6">
                        <c:v>Ne sais pas (Non mentionné)</c:v>
                      </c:pt>
                      <c:pt idx="7">
                        <c:v>Risque sérieux d'abus physiques</c:v>
                      </c:pt>
                      <c:pt idx="8">
                        <c:v>Risque ou risque sérieux d'abus sexuels</c:v>
                      </c:pt>
                      <c:pt idx="9">
                        <c:v>Abus sexuels</c:v>
                      </c:pt>
                      <c:pt idx="10">
                        <c:v>Troubles de comportement sérieux</c:v>
                      </c:pt>
                      <c:pt idx="11">
                        <c:v>Situation d'abandon</c:v>
                      </c:pt>
                    </c:strCache>
                  </c:strRef>
                </c:cat>
                <c:val>
                  <c:numRef>
                    <c:extLst>
                      <c:ext uri="{02D57815-91ED-43cb-92C2-25804820EDAC}">
                        <c15:formulaRef>
                          <c15:sqref>MotifsCompromissionTab!$B$5:$B$16</c15:sqref>
                        </c15:formulaRef>
                      </c:ext>
                    </c:extLst>
                    <c:numCache>
                      <c:formatCode>General</c:formatCode>
                      <c:ptCount val="12"/>
                      <c:pt idx="0">
                        <c:v>252</c:v>
                      </c:pt>
                      <c:pt idx="1">
                        <c:v>233</c:v>
                      </c:pt>
                      <c:pt idx="2">
                        <c:v>178</c:v>
                      </c:pt>
                      <c:pt idx="3">
                        <c:v>139</c:v>
                      </c:pt>
                      <c:pt idx="4">
                        <c:v>65</c:v>
                      </c:pt>
                      <c:pt idx="5">
                        <c:v>62</c:v>
                      </c:pt>
                      <c:pt idx="6">
                        <c:v>57</c:v>
                      </c:pt>
                      <c:pt idx="7">
                        <c:v>53</c:v>
                      </c:pt>
                      <c:pt idx="8">
                        <c:v>44</c:v>
                      </c:pt>
                      <c:pt idx="9">
                        <c:v>14</c:v>
                      </c:pt>
                      <c:pt idx="10">
                        <c:v>11</c:v>
                      </c:pt>
                      <c:pt idx="11">
                        <c:v>6</c:v>
                      </c:pt>
                    </c:numCache>
                  </c:numRef>
                </c:val>
                <c:extLst>
                  <c:ext uri="{02D57815-91ED-43cb-92C2-25804820EDAC}">
                    <c15:filteredSeriesTitle>
                      <c15:tx>
                        <c:strRef>
                          <c:extLst>
                            <c:ext uri="{02D57815-91ED-43cb-92C2-25804820EDAC}">
                              <c15:formulaRef>
                                <c15:sqref> </c15:sqref>
                              </c15:formulaRef>
                            </c:ext>
                          </c:extLst>
                        </c:strRef>
                      </c15:tx>
                    </c15:filteredSeriesTitle>
                  </c:ext>
                  <c:ext xmlns:c16="http://schemas.microsoft.com/office/drawing/2014/chart" uri="{C3380CC4-5D6E-409C-BE32-E72D297353CC}">
                    <c16:uniqueId val="{00000019-1CC2-4DB0-BA2E-27CA4D697C72}"/>
                  </c:ext>
                </c:extLst>
              </c15:ser>
            </c15:filteredBarSeries>
          </c:ext>
        </c:extLst>
      </c:barChart>
      <c:catAx>
        <c:axId val="1337323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ptos" panose="020B0004020202020204" pitchFamily="34" charset="0"/>
                <a:ea typeface="+mn-ea"/>
                <a:cs typeface="+mn-cs"/>
              </a:defRPr>
            </a:pPr>
            <a:endParaRPr lang="fr-FR"/>
          </a:p>
        </c:txPr>
        <c:crossAx val="1337316408"/>
        <c:crosses val="autoZero"/>
        <c:auto val="1"/>
        <c:lblAlgn val="ctr"/>
        <c:lblOffset val="100"/>
        <c:noMultiLvlLbl val="0"/>
      </c:catAx>
      <c:valAx>
        <c:axId val="13373164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1337323248"/>
        <c:crosses val="autoZero"/>
        <c:crossBetween val="between"/>
      </c:valAx>
      <c:spPr>
        <a:noFill/>
        <a:ln>
          <a:noFill/>
        </a:ln>
        <a:effectLst/>
      </c:spPr>
    </c:plotArea>
    <c:plotVisOnly val="1"/>
    <c:dispBlanksAs val="gap"/>
    <c:showDLblsOverMax val="0"/>
  </c:chart>
  <c:spPr>
    <a:solidFill>
      <a:srgbClr val="E9F8FB"/>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sz="1100" b="1">
                <a:solidFill>
                  <a:srgbClr val="953D89"/>
                </a:solidFill>
                <a:latin typeface="Aptos" panose="020B0004020202020204" pitchFamily="34" charset="0"/>
              </a:rPr>
              <a:t>Graphique 5</a:t>
            </a:r>
            <a:br>
              <a:rPr lang="fr-CA" sz="1100" b="1">
                <a:solidFill>
                  <a:srgbClr val="953D89"/>
                </a:solidFill>
                <a:latin typeface="Aptos" panose="020B0004020202020204" pitchFamily="34" charset="0"/>
              </a:rPr>
            </a:br>
            <a:r>
              <a:rPr lang="fr-CA" sz="1100" b="0">
                <a:solidFill>
                  <a:srgbClr val="953D89"/>
                </a:solidFill>
                <a:latin typeface="Aptos" panose="020B0004020202020204" pitchFamily="34" charset="0"/>
              </a:rPr>
              <a:t>Fréquence de mention de motifs de compromission,</a:t>
            </a:r>
            <a:r>
              <a:rPr lang="fr-CA" sz="1100" b="0" baseline="0">
                <a:solidFill>
                  <a:srgbClr val="953D89"/>
                </a:solidFill>
                <a:latin typeface="Aptos" panose="020B0004020202020204" pitchFamily="34" charset="0"/>
              </a:rPr>
              <a:t> selon l'âge, n = 501</a:t>
            </a:r>
            <a:endParaRPr lang="fr-CA" sz="1100" b="0">
              <a:solidFill>
                <a:srgbClr val="953D89"/>
              </a:solidFill>
              <a:latin typeface="Aptos" panose="020B00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CA"/>
        </a:p>
      </c:txPr>
    </c:title>
    <c:autoTitleDeleted val="0"/>
    <c:plotArea>
      <c:layout/>
      <c:barChart>
        <c:barDir val="col"/>
        <c:grouping val="clustered"/>
        <c:varyColors val="0"/>
        <c:ser>
          <c:idx val="0"/>
          <c:order val="0"/>
          <c:tx>
            <c:strRef>
              <c:f>MotifsComproXageTab!$A$23</c:f>
              <c:strCache>
                <c:ptCount val="1"/>
                <c:pt idx="0">
                  <c:v>Risque sérieux de négligence</c:v>
                </c:pt>
              </c:strCache>
            </c:strRef>
          </c:tx>
          <c:spPr>
            <a:solidFill>
              <a:srgbClr val="001042"/>
            </a:solidFill>
            <a:ln>
              <a:noFill/>
            </a:ln>
            <a:effectLst/>
          </c:spPr>
          <c:invertIfNegative val="0"/>
          <c:cat>
            <c:strRef>
              <c:f>MotifsComproXageTab!$C$22:$F$22</c:f>
              <c:strCache>
                <c:ptCount val="4"/>
                <c:pt idx="0">
                  <c:v>0-23 mois</c:v>
                </c:pt>
                <c:pt idx="1">
                  <c:v>2-5 ans</c:v>
                </c:pt>
                <c:pt idx="2">
                  <c:v>6-12 ans</c:v>
                </c:pt>
                <c:pt idx="3">
                  <c:v>13 ans et plus</c:v>
                </c:pt>
              </c:strCache>
              <c:extLst/>
            </c:strRef>
          </c:cat>
          <c:val>
            <c:numRef>
              <c:f>MotifsComproXageTab!$C$23:$F$23</c:f>
              <c:numCache>
                <c:formatCode>0%</c:formatCode>
                <c:ptCount val="4"/>
                <c:pt idx="0">
                  <c:v>0.73750000000000004</c:v>
                </c:pt>
                <c:pt idx="1">
                  <c:v>0.52910052910052907</c:v>
                </c:pt>
                <c:pt idx="2">
                  <c:v>0.44318181818181818</c:v>
                </c:pt>
                <c:pt idx="3">
                  <c:v>0.25925925925925924</c:v>
                </c:pt>
              </c:numCache>
              <c:extLst/>
            </c:numRef>
          </c:val>
          <c:extLst>
            <c:ext xmlns:c16="http://schemas.microsoft.com/office/drawing/2014/chart" uri="{C3380CC4-5D6E-409C-BE32-E72D297353CC}">
              <c16:uniqueId val="{00000000-088E-4F86-A7E4-7E1B7C75D126}"/>
            </c:ext>
          </c:extLst>
        </c:ser>
        <c:ser>
          <c:idx val="1"/>
          <c:order val="1"/>
          <c:tx>
            <c:strRef>
              <c:f>MotifsComproXageTab!$A$24</c:f>
              <c:strCache>
                <c:ptCount val="1"/>
                <c:pt idx="0">
                  <c:v>Négligence sur le plan éducatif</c:v>
                </c:pt>
              </c:strCache>
            </c:strRef>
          </c:tx>
          <c:spPr>
            <a:solidFill>
              <a:schemeClr val="accent2"/>
            </a:solidFill>
            <a:ln>
              <a:noFill/>
            </a:ln>
            <a:effectLst/>
          </c:spPr>
          <c:invertIfNegative val="0"/>
          <c:cat>
            <c:strRef>
              <c:f>MotifsComproXageTab!$C$22:$F$22</c:f>
              <c:strCache>
                <c:ptCount val="4"/>
                <c:pt idx="0">
                  <c:v>0-23 mois</c:v>
                </c:pt>
                <c:pt idx="1">
                  <c:v>2-5 ans</c:v>
                </c:pt>
                <c:pt idx="2">
                  <c:v>6-12 ans</c:v>
                </c:pt>
                <c:pt idx="3">
                  <c:v>13 ans et plus</c:v>
                </c:pt>
              </c:strCache>
              <c:extLst/>
            </c:strRef>
          </c:cat>
          <c:val>
            <c:numRef>
              <c:f>MotifsComproXageTab!$C$24:$F$24</c:f>
              <c:numCache>
                <c:formatCode>0%</c:formatCode>
                <c:ptCount val="4"/>
                <c:pt idx="0">
                  <c:v>0.2</c:v>
                </c:pt>
                <c:pt idx="1">
                  <c:v>0.455026455026455</c:v>
                </c:pt>
                <c:pt idx="2">
                  <c:v>0.60227272727272729</c:v>
                </c:pt>
                <c:pt idx="3">
                  <c:v>0.46296296296296297</c:v>
                </c:pt>
              </c:numCache>
              <c:extLst/>
            </c:numRef>
          </c:val>
          <c:extLst>
            <c:ext xmlns:c16="http://schemas.microsoft.com/office/drawing/2014/chart" uri="{C3380CC4-5D6E-409C-BE32-E72D297353CC}">
              <c16:uniqueId val="{00000001-088E-4F86-A7E4-7E1B7C75D126}"/>
            </c:ext>
          </c:extLst>
        </c:ser>
        <c:ser>
          <c:idx val="2"/>
          <c:order val="2"/>
          <c:tx>
            <c:strRef>
              <c:f>MotifsComproXageTab!$A$25</c:f>
              <c:strCache>
                <c:ptCount val="1"/>
                <c:pt idx="0">
                  <c:v>Mauvais traitements psychologiques</c:v>
                </c:pt>
              </c:strCache>
            </c:strRef>
          </c:tx>
          <c:spPr>
            <a:solidFill>
              <a:srgbClr val="27BCD5"/>
            </a:solidFill>
            <a:ln>
              <a:noFill/>
            </a:ln>
            <a:effectLst/>
          </c:spPr>
          <c:invertIfNegative val="0"/>
          <c:cat>
            <c:strRef>
              <c:f>MotifsComproXageTab!$C$22:$F$22</c:f>
              <c:strCache>
                <c:ptCount val="4"/>
                <c:pt idx="0">
                  <c:v>0-23 mois</c:v>
                </c:pt>
                <c:pt idx="1">
                  <c:v>2-5 ans</c:v>
                </c:pt>
                <c:pt idx="2">
                  <c:v>6-12 ans</c:v>
                </c:pt>
                <c:pt idx="3">
                  <c:v>13 ans et plus</c:v>
                </c:pt>
              </c:strCache>
              <c:extLst/>
            </c:strRef>
          </c:cat>
          <c:val>
            <c:numRef>
              <c:f>MotifsComproXageTab!$C$25:$F$25</c:f>
              <c:numCache>
                <c:formatCode>0%</c:formatCode>
                <c:ptCount val="4"/>
                <c:pt idx="0">
                  <c:v>0.23749999999999999</c:v>
                </c:pt>
                <c:pt idx="1">
                  <c:v>0.35978835978835977</c:v>
                </c:pt>
                <c:pt idx="2">
                  <c:v>0.39204545454545453</c:v>
                </c:pt>
                <c:pt idx="3">
                  <c:v>0.37037037037037035</c:v>
                </c:pt>
              </c:numCache>
              <c:extLst/>
            </c:numRef>
          </c:val>
          <c:extLst>
            <c:ext xmlns:c16="http://schemas.microsoft.com/office/drawing/2014/chart" uri="{C3380CC4-5D6E-409C-BE32-E72D297353CC}">
              <c16:uniqueId val="{00000002-088E-4F86-A7E4-7E1B7C75D126}"/>
            </c:ext>
          </c:extLst>
        </c:ser>
        <c:ser>
          <c:idx val="3"/>
          <c:order val="3"/>
          <c:tx>
            <c:strRef>
              <c:f>MotifsComproXageTab!$A$26</c:f>
              <c:strCache>
                <c:ptCount val="1"/>
                <c:pt idx="0">
                  <c:v>Négligence sur le plan physique</c:v>
                </c:pt>
              </c:strCache>
            </c:strRef>
          </c:tx>
          <c:spPr>
            <a:solidFill>
              <a:srgbClr val="CF3575"/>
            </a:solidFill>
            <a:ln>
              <a:noFill/>
            </a:ln>
            <a:effectLst/>
          </c:spPr>
          <c:invertIfNegative val="0"/>
          <c:cat>
            <c:strRef>
              <c:f>MotifsComproXageTab!$C$22:$F$22</c:f>
              <c:strCache>
                <c:ptCount val="4"/>
                <c:pt idx="0">
                  <c:v>0-23 mois</c:v>
                </c:pt>
                <c:pt idx="1">
                  <c:v>2-5 ans</c:v>
                </c:pt>
                <c:pt idx="2">
                  <c:v>6-12 ans</c:v>
                </c:pt>
                <c:pt idx="3">
                  <c:v>13 ans et plus</c:v>
                </c:pt>
              </c:strCache>
              <c:extLst/>
            </c:strRef>
          </c:cat>
          <c:val>
            <c:numRef>
              <c:f>MotifsComproXageTab!$C$26:$F$26</c:f>
              <c:numCache>
                <c:formatCode>0%</c:formatCode>
                <c:ptCount val="4"/>
                <c:pt idx="0">
                  <c:v>0.2</c:v>
                </c:pt>
                <c:pt idx="1">
                  <c:v>0.25925925925925924</c:v>
                </c:pt>
                <c:pt idx="2">
                  <c:v>0.32386363636363635</c:v>
                </c:pt>
                <c:pt idx="3">
                  <c:v>0.31481481481481483</c:v>
                </c:pt>
              </c:numCache>
              <c:extLst/>
            </c:numRef>
          </c:val>
          <c:extLst>
            <c:ext xmlns:c16="http://schemas.microsoft.com/office/drawing/2014/chart" uri="{C3380CC4-5D6E-409C-BE32-E72D297353CC}">
              <c16:uniqueId val="{00000003-088E-4F86-A7E4-7E1B7C75D126}"/>
            </c:ext>
          </c:extLst>
        </c:ser>
        <c:ser>
          <c:idx val="4"/>
          <c:order val="4"/>
          <c:tx>
            <c:strRef>
              <c:f>MotifsComproXageTab!$A$27</c:f>
              <c:strCache>
                <c:ptCount val="1"/>
                <c:pt idx="0">
                  <c:v>Négligence sur le plan de la santé</c:v>
                </c:pt>
              </c:strCache>
            </c:strRef>
          </c:tx>
          <c:spPr>
            <a:solidFill>
              <a:schemeClr val="accent5"/>
            </a:solidFill>
            <a:ln>
              <a:noFill/>
            </a:ln>
            <a:effectLst/>
          </c:spPr>
          <c:invertIfNegative val="0"/>
          <c:cat>
            <c:strRef>
              <c:f>MotifsComproXageTab!$C$22:$F$22</c:f>
              <c:strCache>
                <c:ptCount val="4"/>
                <c:pt idx="0">
                  <c:v>0-23 mois</c:v>
                </c:pt>
                <c:pt idx="1">
                  <c:v>2-5 ans</c:v>
                </c:pt>
                <c:pt idx="2">
                  <c:v>6-12 ans</c:v>
                </c:pt>
                <c:pt idx="3">
                  <c:v>13 ans et plus</c:v>
                </c:pt>
              </c:strCache>
              <c:extLst/>
            </c:strRef>
          </c:cat>
          <c:val>
            <c:numRef>
              <c:f>MotifsComproXageTab!$C$27:$F$27</c:f>
              <c:numCache>
                <c:formatCode>0%</c:formatCode>
                <c:ptCount val="4"/>
                <c:pt idx="0">
                  <c:v>0.1125</c:v>
                </c:pt>
                <c:pt idx="1">
                  <c:v>0.13227513227513227</c:v>
                </c:pt>
                <c:pt idx="2">
                  <c:v>0.13068181818181818</c:v>
                </c:pt>
                <c:pt idx="3">
                  <c:v>0.14814814814814814</c:v>
                </c:pt>
              </c:numCache>
              <c:extLst/>
            </c:numRef>
          </c:val>
          <c:extLst>
            <c:ext xmlns:c16="http://schemas.microsoft.com/office/drawing/2014/chart" uri="{C3380CC4-5D6E-409C-BE32-E72D297353CC}">
              <c16:uniqueId val="{00000004-088E-4F86-A7E4-7E1B7C75D126}"/>
            </c:ext>
          </c:extLst>
        </c:ser>
        <c:ser>
          <c:idx val="5"/>
          <c:order val="5"/>
          <c:tx>
            <c:strRef>
              <c:f>MotifsComproXageTab!$A$28</c:f>
              <c:strCache>
                <c:ptCount val="1"/>
                <c:pt idx="0">
                  <c:v>Abus physiques</c:v>
                </c:pt>
              </c:strCache>
            </c:strRef>
          </c:tx>
          <c:spPr>
            <a:solidFill>
              <a:srgbClr val="666633"/>
            </a:solidFill>
            <a:ln>
              <a:noFill/>
            </a:ln>
            <a:effectLst/>
          </c:spPr>
          <c:invertIfNegative val="0"/>
          <c:cat>
            <c:strRef>
              <c:f>MotifsComproXageTab!$C$22:$F$22</c:f>
              <c:strCache>
                <c:ptCount val="4"/>
                <c:pt idx="0">
                  <c:v>0-23 mois</c:v>
                </c:pt>
                <c:pt idx="1">
                  <c:v>2-5 ans</c:v>
                </c:pt>
                <c:pt idx="2">
                  <c:v>6-12 ans</c:v>
                </c:pt>
                <c:pt idx="3">
                  <c:v>13 ans et plus</c:v>
                </c:pt>
              </c:strCache>
              <c:extLst/>
            </c:strRef>
          </c:cat>
          <c:val>
            <c:numRef>
              <c:f>MotifsComproXageTab!$C$28:$F$28</c:f>
              <c:numCache>
                <c:formatCode>0%</c:formatCode>
                <c:ptCount val="4"/>
                <c:pt idx="0">
                  <c:v>0.05</c:v>
                </c:pt>
                <c:pt idx="1">
                  <c:v>0.1111111111111111</c:v>
                </c:pt>
                <c:pt idx="2">
                  <c:v>0.19318181818181818</c:v>
                </c:pt>
                <c:pt idx="3">
                  <c:v>5.5555555555555552E-2</c:v>
                </c:pt>
              </c:numCache>
              <c:extLst/>
            </c:numRef>
          </c:val>
          <c:extLst>
            <c:ext xmlns:c16="http://schemas.microsoft.com/office/drawing/2014/chart" uri="{C3380CC4-5D6E-409C-BE32-E72D297353CC}">
              <c16:uniqueId val="{00000005-088E-4F86-A7E4-7E1B7C75D126}"/>
            </c:ext>
          </c:extLst>
        </c:ser>
        <c:ser>
          <c:idx val="6"/>
          <c:order val="6"/>
          <c:tx>
            <c:strRef>
              <c:f>MotifsComproXageTab!$A$29</c:f>
              <c:strCache>
                <c:ptCount val="1"/>
                <c:pt idx="0">
                  <c:v>Ne sais pas (Non mentionné)</c:v>
                </c:pt>
              </c:strCache>
            </c:strRef>
          </c:tx>
          <c:spPr>
            <a:solidFill>
              <a:srgbClr val="92D050"/>
            </a:solidFill>
            <a:ln>
              <a:noFill/>
            </a:ln>
            <a:effectLst/>
          </c:spPr>
          <c:invertIfNegative val="0"/>
          <c:cat>
            <c:strRef>
              <c:f>MotifsComproXageTab!$C$22:$F$22</c:f>
              <c:strCache>
                <c:ptCount val="4"/>
                <c:pt idx="0">
                  <c:v>0-23 mois</c:v>
                </c:pt>
                <c:pt idx="1">
                  <c:v>2-5 ans</c:v>
                </c:pt>
                <c:pt idx="2">
                  <c:v>6-12 ans</c:v>
                </c:pt>
                <c:pt idx="3">
                  <c:v>13 ans et plus</c:v>
                </c:pt>
              </c:strCache>
              <c:extLst/>
            </c:strRef>
          </c:cat>
          <c:val>
            <c:numRef>
              <c:f>MotifsComproXageTab!$C$29:$F$29</c:f>
              <c:numCache>
                <c:formatCode>0%</c:formatCode>
                <c:ptCount val="4"/>
                <c:pt idx="0">
                  <c:v>0.1</c:v>
                </c:pt>
                <c:pt idx="1">
                  <c:v>0.1164021164021164</c:v>
                </c:pt>
                <c:pt idx="2">
                  <c:v>9.0909090909090912E-2</c:v>
                </c:pt>
                <c:pt idx="3">
                  <c:v>0.20370370370370369</c:v>
                </c:pt>
              </c:numCache>
              <c:extLst/>
            </c:numRef>
          </c:val>
          <c:extLst>
            <c:ext xmlns:c16="http://schemas.microsoft.com/office/drawing/2014/chart" uri="{C3380CC4-5D6E-409C-BE32-E72D297353CC}">
              <c16:uniqueId val="{00000006-088E-4F86-A7E4-7E1B7C75D126}"/>
            </c:ext>
          </c:extLst>
        </c:ser>
        <c:ser>
          <c:idx val="7"/>
          <c:order val="7"/>
          <c:tx>
            <c:strRef>
              <c:f>MotifsComproXageTab!$A$30</c:f>
              <c:strCache>
                <c:ptCount val="1"/>
                <c:pt idx="0">
                  <c:v>Risque sérieux d'abus physiques</c:v>
                </c:pt>
              </c:strCache>
            </c:strRef>
          </c:tx>
          <c:spPr>
            <a:solidFill>
              <a:srgbClr val="FF99FF"/>
            </a:solidFill>
            <a:ln>
              <a:noFill/>
            </a:ln>
            <a:effectLst/>
          </c:spPr>
          <c:invertIfNegative val="0"/>
          <c:cat>
            <c:strRef>
              <c:f>MotifsComproXageTab!$C$22:$F$22</c:f>
              <c:strCache>
                <c:ptCount val="4"/>
                <c:pt idx="0">
                  <c:v>0-23 mois</c:v>
                </c:pt>
                <c:pt idx="1">
                  <c:v>2-5 ans</c:v>
                </c:pt>
                <c:pt idx="2">
                  <c:v>6-12 ans</c:v>
                </c:pt>
                <c:pt idx="3">
                  <c:v>13 ans et plus</c:v>
                </c:pt>
              </c:strCache>
              <c:extLst/>
            </c:strRef>
          </c:cat>
          <c:val>
            <c:numRef>
              <c:f>MotifsComproXageTab!$C$30:$F$30</c:f>
              <c:numCache>
                <c:formatCode>0%</c:formatCode>
                <c:ptCount val="4"/>
                <c:pt idx="0">
                  <c:v>0.1875</c:v>
                </c:pt>
                <c:pt idx="1">
                  <c:v>0.13756613756613756</c:v>
                </c:pt>
                <c:pt idx="2">
                  <c:v>5.113636363636364E-2</c:v>
                </c:pt>
                <c:pt idx="3">
                  <c:v>5.5555555555555552E-2</c:v>
                </c:pt>
              </c:numCache>
              <c:extLst/>
            </c:numRef>
          </c:val>
          <c:extLst>
            <c:ext xmlns:c16="http://schemas.microsoft.com/office/drawing/2014/chart" uri="{C3380CC4-5D6E-409C-BE32-E72D297353CC}">
              <c16:uniqueId val="{00000007-088E-4F86-A7E4-7E1B7C75D126}"/>
            </c:ext>
          </c:extLst>
        </c:ser>
        <c:ser>
          <c:idx val="8"/>
          <c:order val="8"/>
          <c:tx>
            <c:strRef>
              <c:f>MotifsComproXageTab!$A$31</c:f>
              <c:strCache>
                <c:ptCount val="1"/>
                <c:pt idx="0">
                  <c:v>Risque ou risque sérieux d'abus sexuels</c:v>
                </c:pt>
              </c:strCache>
            </c:strRef>
          </c:tx>
          <c:spPr>
            <a:solidFill>
              <a:srgbClr val="00B050"/>
            </a:solidFill>
            <a:ln>
              <a:noFill/>
            </a:ln>
            <a:effectLst/>
          </c:spPr>
          <c:invertIfNegative val="0"/>
          <c:cat>
            <c:strRef>
              <c:f>MotifsComproXageTab!$C$22:$F$22</c:f>
              <c:strCache>
                <c:ptCount val="4"/>
                <c:pt idx="0">
                  <c:v>0-23 mois</c:v>
                </c:pt>
                <c:pt idx="1">
                  <c:v>2-5 ans</c:v>
                </c:pt>
                <c:pt idx="2">
                  <c:v>6-12 ans</c:v>
                </c:pt>
                <c:pt idx="3">
                  <c:v>13 ans et plus</c:v>
                </c:pt>
              </c:strCache>
              <c:extLst/>
            </c:strRef>
          </c:cat>
          <c:val>
            <c:numRef>
              <c:f>MotifsComproXageTab!$C$31:$F$31</c:f>
              <c:numCache>
                <c:formatCode>0%</c:formatCode>
                <c:ptCount val="4"/>
                <c:pt idx="0">
                  <c:v>0.05</c:v>
                </c:pt>
                <c:pt idx="1">
                  <c:v>8.9947089947089942E-2</c:v>
                </c:pt>
                <c:pt idx="2">
                  <c:v>9.0909090909090912E-2</c:v>
                </c:pt>
                <c:pt idx="3">
                  <c:v>0.12962962962962962</c:v>
                </c:pt>
              </c:numCache>
              <c:extLst/>
            </c:numRef>
          </c:val>
          <c:extLst>
            <c:ext xmlns:c16="http://schemas.microsoft.com/office/drawing/2014/chart" uri="{C3380CC4-5D6E-409C-BE32-E72D297353CC}">
              <c16:uniqueId val="{00000008-088E-4F86-A7E4-7E1B7C75D126}"/>
            </c:ext>
          </c:extLst>
        </c:ser>
        <c:ser>
          <c:idx val="9"/>
          <c:order val="9"/>
          <c:tx>
            <c:strRef>
              <c:f>MotifsComproXageTab!$A$32</c:f>
              <c:strCache>
                <c:ptCount val="1"/>
                <c:pt idx="0">
                  <c:v>Abus sexuels</c:v>
                </c:pt>
              </c:strCache>
            </c:strRef>
          </c:tx>
          <c:spPr>
            <a:solidFill>
              <a:schemeClr val="accent4">
                <a:lumMod val="60000"/>
              </a:schemeClr>
            </a:solidFill>
            <a:ln>
              <a:noFill/>
            </a:ln>
            <a:effectLst/>
          </c:spPr>
          <c:invertIfNegative val="0"/>
          <c:cat>
            <c:strRef>
              <c:f>MotifsComproXageTab!$C$22:$F$22</c:f>
              <c:strCache>
                <c:ptCount val="4"/>
                <c:pt idx="0">
                  <c:v>0-23 mois</c:v>
                </c:pt>
                <c:pt idx="1">
                  <c:v>2-5 ans</c:v>
                </c:pt>
                <c:pt idx="2">
                  <c:v>6-12 ans</c:v>
                </c:pt>
                <c:pt idx="3">
                  <c:v>13 ans et plus</c:v>
                </c:pt>
              </c:strCache>
              <c:extLst/>
            </c:strRef>
          </c:cat>
          <c:val>
            <c:numRef>
              <c:f>MotifsComproXageTab!$C$32:$F$32</c:f>
              <c:numCache>
                <c:formatCode>0%</c:formatCode>
                <c:ptCount val="4"/>
                <c:pt idx="0">
                  <c:v>0</c:v>
                </c:pt>
                <c:pt idx="1">
                  <c:v>2.1164021164021163E-2</c:v>
                </c:pt>
                <c:pt idx="2">
                  <c:v>5.6818181818181816E-2</c:v>
                </c:pt>
                <c:pt idx="3">
                  <c:v>0</c:v>
                </c:pt>
              </c:numCache>
              <c:extLst/>
            </c:numRef>
          </c:val>
          <c:extLst>
            <c:ext xmlns:c16="http://schemas.microsoft.com/office/drawing/2014/chart" uri="{C3380CC4-5D6E-409C-BE32-E72D297353CC}">
              <c16:uniqueId val="{00000009-088E-4F86-A7E4-7E1B7C75D126}"/>
            </c:ext>
          </c:extLst>
        </c:ser>
        <c:ser>
          <c:idx val="10"/>
          <c:order val="10"/>
          <c:tx>
            <c:strRef>
              <c:f>MotifsComproXageTab!$A$33</c:f>
              <c:strCache>
                <c:ptCount val="1"/>
                <c:pt idx="0">
                  <c:v>Troubles de comportement sérieux</c:v>
                </c:pt>
              </c:strCache>
            </c:strRef>
          </c:tx>
          <c:spPr>
            <a:solidFill>
              <a:schemeClr val="accent5">
                <a:lumMod val="60000"/>
              </a:schemeClr>
            </a:solidFill>
            <a:ln>
              <a:noFill/>
            </a:ln>
            <a:effectLst/>
          </c:spPr>
          <c:invertIfNegative val="0"/>
          <c:cat>
            <c:strRef>
              <c:f>MotifsComproXageTab!$C$22:$F$22</c:f>
              <c:strCache>
                <c:ptCount val="4"/>
                <c:pt idx="0">
                  <c:v>0-23 mois</c:v>
                </c:pt>
                <c:pt idx="1">
                  <c:v>2-5 ans</c:v>
                </c:pt>
                <c:pt idx="2">
                  <c:v>6-12 ans</c:v>
                </c:pt>
                <c:pt idx="3">
                  <c:v>13 ans et plus</c:v>
                </c:pt>
              </c:strCache>
              <c:extLst/>
            </c:strRef>
          </c:cat>
          <c:val>
            <c:numRef>
              <c:f>MotifsComproXageTab!$C$33:$F$33</c:f>
              <c:numCache>
                <c:formatCode>0%</c:formatCode>
                <c:ptCount val="4"/>
                <c:pt idx="0">
                  <c:v>0</c:v>
                </c:pt>
                <c:pt idx="1">
                  <c:v>5.2910052910052907E-3</c:v>
                </c:pt>
                <c:pt idx="2">
                  <c:v>1.7045454545454544E-2</c:v>
                </c:pt>
                <c:pt idx="3">
                  <c:v>0.12962962962962962</c:v>
                </c:pt>
              </c:numCache>
              <c:extLst/>
            </c:numRef>
          </c:val>
          <c:extLst>
            <c:ext xmlns:c16="http://schemas.microsoft.com/office/drawing/2014/chart" uri="{C3380CC4-5D6E-409C-BE32-E72D297353CC}">
              <c16:uniqueId val="{0000000A-088E-4F86-A7E4-7E1B7C75D126}"/>
            </c:ext>
          </c:extLst>
        </c:ser>
        <c:ser>
          <c:idx val="11"/>
          <c:order val="11"/>
          <c:tx>
            <c:strRef>
              <c:f>MotifsComproXageTab!$A$34</c:f>
              <c:strCache>
                <c:ptCount val="1"/>
                <c:pt idx="0">
                  <c:v>Situation d'abandon</c:v>
                </c:pt>
              </c:strCache>
            </c:strRef>
          </c:tx>
          <c:spPr>
            <a:solidFill>
              <a:srgbClr val="FF0000"/>
            </a:solidFill>
            <a:ln>
              <a:noFill/>
            </a:ln>
            <a:effectLst/>
          </c:spPr>
          <c:invertIfNegative val="0"/>
          <c:cat>
            <c:strRef>
              <c:f>MotifsComproXageTab!$C$22:$F$22</c:f>
              <c:strCache>
                <c:ptCount val="4"/>
                <c:pt idx="0">
                  <c:v>0-23 mois</c:v>
                </c:pt>
                <c:pt idx="1">
                  <c:v>2-5 ans</c:v>
                </c:pt>
                <c:pt idx="2">
                  <c:v>6-12 ans</c:v>
                </c:pt>
                <c:pt idx="3">
                  <c:v>13 ans et plus</c:v>
                </c:pt>
              </c:strCache>
              <c:extLst/>
            </c:strRef>
          </c:cat>
          <c:val>
            <c:numRef>
              <c:f>MotifsComproXageTab!$C$34:$F$34</c:f>
              <c:numCache>
                <c:formatCode>0%</c:formatCode>
                <c:ptCount val="4"/>
                <c:pt idx="0">
                  <c:v>2.5000000000000001E-2</c:v>
                </c:pt>
                <c:pt idx="1">
                  <c:v>1.0582010582010581E-2</c:v>
                </c:pt>
                <c:pt idx="2">
                  <c:v>1.1363636363636364E-2</c:v>
                </c:pt>
                <c:pt idx="3">
                  <c:v>0</c:v>
                </c:pt>
              </c:numCache>
              <c:extLst/>
            </c:numRef>
          </c:val>
          <c:extLst>
            <c:ext xmlns:c16="http://schemas.microsoft.com/office/drawing/2014/chart" uri="{C3380CC4-5D6E-409C-BE32-E72D297353CC}">
              <c16:uniqueId val="{0000000B-088E-4F86-A7E4-7E1B7C75D126}"/>
            </c:ext>
          </c:extLst>
        </c:ser>
        <c:dLbls>
          <c:showLegendKey val="0"/>
          <c:showVal val="0"/>
          <c:showCatName val="0"/>
          <c:showSerName val="0"/>
          <c:showPercent val="0"/>
          <c:showBubbleSize val="0"/>
        </c:dLbls>
        <c:gapWidth val="219"/>
        <c:overlap val="-27"/>
        <c:axId val="554858680"/>
        <c:axId val="778237112"/>
      </c:barChart>
      <c:catAx>
        <c:axId val="554858680"/>
        <c:scaling>
          <c:orientation val="minMax"/>
        </c:scaling>
        <c:delete val="0"/>
        <c:axPos val="b"/>
        <c:numFmt formatCode="0.0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78237112"/>
        <c:crossesAt val="0"/>
        <c:auto val="1"/>
        <c:lblAlgn val="ctr"/>
        <c:lblOffset val="100"/>
        <c:noMultiLvlLbl val="0"/>
      </c:catAx>
      <c:valAx>
        <c:axId val="77823711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ptos" panose="020B0004020202020204" pitchFamily="34" charset="0"/>
                <a:ea typeface="+mn-ea"/>
                <a:cs typeface="+mn-cs"/>
              </a:defRPr>
            </a:pPr>
            <a:endParaRPr lang="fr-FR"/>
          </a:p>
        </c:txPr>
        <c:crossAx val="554858680"/>
        <c:crosses val="autoZero"/>
        <c:crossBetween val="between"/>
      </c:valAx>
      <c:spPr>
        <a:noFill/>
        <a:ln>
          <a:noFill/>
        </a:ln>
        <a:effectLst/>
      </c:spPr>
    </c:plotArea>
    <c:legend>
      <c:legendPos val="b"/>
      <c:layout>
        <c:manualLayout>
          <c:xMode val="edge"/>
          <c:yMode val="edge"/>
          <c:x val="5.2992979853703701E-2"/>
          <c:y val="0.61156764495347171"/>
          <c:w val="0.91527706389454877"/>
          <c:h val="0.3663937875534153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ptos" panose="020B0004020202020204" pitchFamily="34" charset="0"/>
              <a:ea typeface="+mn-ea"/>
              <a:cs typeface="+mn-cs"/>
            </a:defRPr>
          </a:pPr>
          <a:endParaRPr lang="fr-FR"/>
        </a:p>
      </c:txPr>
    </c:legend>
    <c:plotVisOnly val="1"/>
    <c:dispBlanksAs val="gap"/>
    <c:showDLblsOverMax val="0"/>
  </c:chart>
  <c:spPr>
    <a:solidFill>
      <a:srgbClr val="E9F8FB"/>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b="1">
                <a:solidFill>
                  <a:srgbClr val="953D89"/>
                </a:solidFill>
                <a:latin typeface="Aptos" panose="020B0004020202020204" pitchFamily="34" charset="0"/>
              </a:rPr>
              <a:t>Graphique 12</a:t>
            </a:r>
            <a:br>
              <a:rPr lang="en-US" sz="1050" b="1">
                <a:solidFill>
                  <a:srgbClr val="953D89"/>
                </a:solidFill>
                <a:latin typeface="Aptos" panose="020B0004020202020204" pitchFamily="34" charset="0"/>
              </a:rPr>
            </a:br>
            <a:r>
              <a:rPr lang="en-US" sz="1050" b="0">
                <a:solidFill>
                  <a:srgbClr val="953D89"/>
                </a:solidFill>
                <a:latin typeface="Aptos" panose="020B0004020202020204" pitchFamily="34" charset="0"/>
              </a:rPr>
              <a:t>Position de l'enfant </a:t>
            </a:r>
            <a:r>
              <a:rPr lang="fr-CA" sz="1050" b="0" i="0" u="none" strike="noStrike" baseline="0">
                <a:solidFill>
                  <a:srgbClr val="953D89"/>
                </a:solidFill>
                <a:effectLst/>
                <a:latin typeface="Aptos" panose="020B0004020202020204" pitchFamily="34" charset="0"/>
              </a:rPr>
              <a:t>en regard du projet de vie proposé par le DPJ, n = 501</a:t>
            </a:r>
            <a:endParaRPr lang="en-US" sz="1050" b="0">
              <a:solidFill>
                <a:srgbClr val="953D89"/>
              </a:solidFill>
              <a:latin typeface="Aptos" panose="020B00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Position_Enfant_Bon!$C$13</c:f>
              <c:strCache>
                <c:ptCount val="1"/>
                <c:pt idx="0">
                  <c:v>Pourcentage</c:v>
                </c:pt>
              </c:strCache>
            </c:strRef>
          </c:tx>
          <c:spPr>
            <a:solidFill>
              <a:schemeClr val="accent1"/>
            </a:solidFill>
            <a:ln>
              <a:noFill/>
            </a:ln>
            <a:effectLst/>
          </c:spPr>
          <c:invertIfNegative val="0"/>
          <c:dPt>
            <c:idx val="0"/>
            <c:invertIfNegative val="0"/>
            <c:bubble3D val="0"/>
            <c:spPr>
              <a:solidFill>
                <a:srgbClr val="001042"/>
              </a:solidFill>
              <a:ln>
                <a:noFill/>
              </a:ln>
              <a:effectLst/>
            </c:spPr>
            <c:extLst>
              <c:ext xmlns:c16="http://schemas.microsoft.com/office/drawing/2014/chart" uri="{C3380CC4-5D6E-409C-BE32-E72D297353CC}">
                <c16:uniqueId val="{00000001-FADC-49F2-89E1-A19A9921B409}"/>
              </c:ext>
            </c:extLst>
          </c:dPt>
          <c:dPt>
            <c:idx val="1"/>
            <c:invertIfNegative val="0"/>
            <c:bubble3D val="0"/>
            <c:spPr>
              <a:solidFill>
                <a:srgbClr val="CF3575"/>
              </a:solidFill>
              <a:ln>
                <a:noFill/>
              </a:ln>
              <a:effectLst/>
            </c:spPr>
            <c:extLst>
              <c:ext xmlns:c16="http://schemas.microsoft.com/office/drawing/2014/chart" uri="{C3380CC4-5D6E-409C-BE32-E72D297353CC}">
                <c16:uniqueId val="{00000003-FADC-49F2-89E1-A19A9921B409}"/>
              </c:ext>
            </c:extLst>
          </c:dPt>
          <c:dPt>
            <c:idx val="2"/>
            <c:invertIfNegative val="0"/>
            <c:bubble3D val="0"/>
            <c:spPr>
              <a:solidFill>
                <a:srgbClr val="953D89"/>
              </a:solidFill>
              <a:ln>
                <a:noFill/>
              </a:ln>
              <a:effectLst/>
            </c:spPr>
            <c:extLst>
              <c:ext xmlns:c16="http://schemas.microsoft.com/office/drawing/2014/chart" uri="{C3380CC4-5D6E-409C-BE32-E72D297353CC}">
                <c16:uniqueId val="{00000005-FADC-49F2-89E1-A19A9921B409}"/>
              </c:ext>
            </c:extLst>
          </c:dPt>
          <c:dPt>
            <c:idx val="3"/>
            <c:invertIfNegative val="0"/>
            <c:bubble3D val="0"/>
            <c:spPr>
              <a:solidFill>
                <a:srgbClr val="27BCD5"/>
              </a:solidFill>
              <a:ln>
                <a:noFill/>
              </a:ln>
              <a:effectLst/>
            </c:spPr>
            <c:extLst>
              <c:ext xmlns:c16="http://schemas.microsoft.com/office/drawing/2014/chart" uri="{C3380CC4-5D6E-409C-BE32-E72D297353CC}">
                <c16:uniqueId val="{00000007-FADC-49F2-89E1-A19A9921B40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Position_Enfant_Bon!$A$14:$A$17</c:f>
              <c:strCache>
                <c:ptCount val="4"/>
                <c:pt idx="0">
                  <c:v>Adhésion de l’enfant au projet de vie</c:v>
                </c:pt>
                <c:pt idx="1">
                  <c:v>Contestation du projet de vie par l’enfant</c:v>
                </c:pt>
                <c:pt idx="2">
                  <c:v>Autre (ambivalence: discrétion du tribunal)</c:v>
                </c:pt>
                <c:pt idx="3">
                  <c:v>Non mentionné</c:v>
                </c:pt>
              </c:strCache>
            </c:strRef>
          </c:cat>
          <c:val>
            <c:numRef>
              <c:f>Position_Enfant_Bon!$C$14:$C$17</c:f>
              <c:numCache>
                <c:formatCode>0.0%</c:formatCode>
                <c:ptCount val="4"/>
                <c:pt idx="0">
                  <c:v>0.72854291417165673</c:v>
                </c:pt>
                <c:pt idx="1">
                  <c:v>9.3812375249500993E-2</c:v>
                </c:pt>
                <c:pt idx="2">
                  <c:v>5.9880239520958087E-3</c:v>
                </c:pt>
                <c:pt idx="3">
                  <c:v>0.17165668662674652</c:v>
                </c:pt>
              </c:numCache>
            </c:numRef>
          </c:val>
          <c:extLst>
            <c:ext xmlns:c16="http://schemas.microsoft.com/office/drawing/2014/chart" uri="{C3380CC4-5D6E-409C-BE32-E72D297353CC}">
              <c16:uniqueId val="{00000008-FADC-49F2-89E1-A19A9921B409}"/>
            </c:ext>
          </c:extLst>
        </c:ser>
        <c:dLbls>
          <c:dLblPos val="outEnd"/>
          <c:showLegendKey val="0"/>
          <c:showVal val="1"/>
          <c:showCatName val="0"/>
          <c:showSerName val="0"/>
          <c:showPercent val="0"/>
          <c:showBubbleSize val="0"/>
        </c:dLbls>
        <c:gapWidth val="182"/>
        <c:axId val="1148824856"/>
        <c:axId val="1148827736"/>
      </c:barChart>
      <c:catAx>
        <c:axId val="1148824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ptos" panose="020B0004020202020204" pitchFamily="34" charset="0"/>
                <a:ea typeface="+mn-ea"/>
                <a:cs typeface="+mn-cs"/>
              </a:defRPr>
            </a:pPr>
            <a:endParaRPr lang="fr-FR"/>
          </a:p>
        </c:txPr>
        <c:crossAx val="1148827736"/>
        <c:crosses val="autoZero"/>
        <c:auto val="1"/>
        <c:lblAlgn val="ctr"/>
        <c:lblOffset val="100"/>
        <c:noMultiLvlLbl val="0"/>
      </c:catAx>
      <c:valAx>
        <c:axId val="1148827736"/>
        <c:scaling>
          <c:orientation val="minMax"/>
          <c:max val="1"/>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1148824856"/>
        <c:crosses val="autoZero"/>
        <c:crossBetween val="between"/>
        <c:majorUnit val="0.2"/>
      </c:valAx>
      <c:spPr>
        <a:noFill/>
        <a:ln>
          <a:noFill/>
        </a:ln>
        <a:effectLst/>
      </c:spPr>
    </c:plotArea>
    <c:plotVisOnly val="1"/>
    <c:dispBlanksAs val="gap"/>
    <c:showDLblsOverMax val="0"/>
  </c:chart>
  <c:spPr>
    <a:solidFill>
      <a:srgbClr val="E9F8FB"/>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sz="1100" b="1" i="0" u="none" strike="noStrike" kern="1200" spc="0" baseline="0">
                <a:solidFill>
                  <a:srgbClr val="953D89"/>
                </a:solidFill>
                <a:effectLst/>
              </a:rPr>
              <a:t>Graphique 13</a:t>
            </a:r>
            <a:br>
              <a:rPr lang="fr-CA" sz="1100" b="1" i="0" u="none" strike="noStrike" kern="1200" spc="0" baseline="0">
                <a:solidFill>
                  <a:sysClr val="windowText" lastClr="000000"/>
                </a:solidFill>
                <a:effectLst/>
              </a:rPr>
            </a:br>
            <a:r>
              <a:rPr lang="fr-CA" sz="1100" b="0" i="0" u="none" strike="noStrike" kern="1200" spc="0" baseline="0">
                <a:solidFill>
                  <a:srgbClr val="953D89"/>
                </a:solidFill>
                <a:effectLst/>
              </a:rPr>
              <a:t>Fréquence de prise en compte d'éléments pour évaluer l'implication des parents pour assumer leurs responsabilités parentales, n = 501</a:t>
            </a:r>
            <a:endParaRPr lang="fr-CA" sz="1100" b="0" i="0" u="none" strike="noStrike" kern="1200" spc="0" baseline="0">
              <a:solidFill>
                <a:srgbClr val="953D89"/>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CA"/>
        </a:p>
      </c:txPr>
    </c:title>
    <c:autoTitleDeleted val="0"/>
    <c:plotArea>
      <c:layout/>
      <c:barChart>
        <c:barDir val="bar"/>
        <c:grouping val="clustered"/>
        <c:varyColors val="0"/>
        <c:ser>
          <c:idx val="0"/>
          <c:order val="0"/>
          <c:tx>
            <c:strRef>
              <c:f>'[Graphique dans Microsoft Word]ImplicationParentsTab'!$C$4</c:f>
              <c:strCache>
                <c:ptCount val="1"/>
                <c:pt idx="0">
                  <c:v>Pourcentages</c:v>
                </c:pt>
              </c:strCache>
            </c:strRef>
          </c:tx>
          <c:spPr>
            <a:solidFill>
              <a:schemeClr val="accent1"/>
            </a:solidFill>
            <a:ln>
              <a:noFill/>
            </a:ln>
            <a:effectLst/>
          </c:spPr>
          <c:invertIfNegative val="0"/>
          <c:dPt>
            <c:idx val="0"/>
            <c:invertIfNegative val="0"/>
            <c:bubble3D val="0"/>
            <c:spPr>
              <a:solidFill>
                <a:srgbClr val="2A73D0"/>
              </a:solidFill>
              <a:ln>
                <a:noFill/>
              </a:ln>
              <a:effectLst/>
            </c:spPr>
            <c:extLst>
              <c:ext xmlns:c16="http://schemas.microsoft.com/office/drawing/2014/chart" uri="{C3380CC4-5D6E-409C-BE32-E72D297353CC}">
                <c16:uniqueId val="{00000001-BD33-4C30-8E2E-25744989DF1E}"/>
              </c:ext>
            </c:extLst>
          </c:dPt>
          <c:dPt>
            <c:idx val="1"/>
            <c:invertIfNegative val="0"/>
            <c:bubble3D val="0"/>
            <c:spPr>
              <a:solidFill>
                <a:srgbClr val="001042"/>
              </a:solidFill>
              <a:ln>
                <a:noFill/>
              </a:ln>
              <a:effectLst/>
            </c:spPr>
            <c:extLst>
              <c:ext xmlns:c16="http://schemas.microsoft.com/office/drawing/2014/chart" uri="{C3380CC4-5D6E-409C-BE32-E72D297353CC}">
                <c16:uniqueId val="{00000002-BD33-4C30-8E2E-25744989DF1E}"/>
              </c:ext>
            </c:extLst>
          </c:dPt>
          <c:dPt>
            <c:idx val="2"/>
            <c:invertIfNegative val="0"/>
            <c:bubble3D val="0"/>
            <c:spPr>
              <a:solidFill>
                <a:srgbClr val="CF3575"/>
              </a:solidFill>
              <a:ln>
                <a:noFill/>
              </a:ln>
              <a:effectLst/>
            </c:spPr>
            <c:extLst>
              <c:ext xmlns:c16="http://schemas.microsoft.com/office/drawing/2014/chart" uri="{C3380CC4-5D6E-409C-BE32-E72D297353CC}">
                <c16:uniqueId val="{00000003-BD33-4C30-8E2E-25744989DF1E}"/>
              </c:ext>
            </c:extLst>
          </c:dPt>
          <c:dPt>
            <c:idx val="3"/>
            <c:invertIfNegative val="0"/>
            <c:bubble3D val="0"/>
            <c:spPr>
              <a:solidFill>
                <a:srgbClr val="FF6600"/>
              </a:solidFill>
              <a:ln>
                <a:noFill/>
              </a:ln>
              <a:effectLst/>
            </c:spPr>
            <c:extLst>
              <c:ext xmlns:c16="http://schemas.microsoft.com/office/drawing/2014/chart" uri="{C3380CC4-5D6E-409C-BE32-E72D297353CC}">
                <c16:uniqueId val="{00000004-BD33-4C30-8E2E-25744989DF1E}"/>
              </c:ext>
            </c:extLst>
          </c:dPt>
          <c:dPt>
            <c:idx val="4"/>
            <c:invertIfNegative val="0"/>
            <c:bubble3D val="0"/>
            <c:spPr>
              <a:solidFill>
                <a:srgbClr val="953D89"/>
              </a:solidFill>
              <a:ln>
                <a:noFill/>
              </a:ln>
              <a:effectLst/>
            </c:spPr>
            <c:extLst>
              <c:ext xmlns:c16="http://schemas.microsoft.com/office/drawing/2014/chart" uri="{C3380CC4-5D6E-409C-BE32-E72D297353CC}">
                <c16:uniqueId val="{00000005-BD33-4C30-8E2E-25744989DF1E}"/>
              </c:ext>
            </c:extLst>
          </c:dPt>
          <c:dPt>
            <c:idx val="5"/>
            <c:invertIfNegative val="0"/>
            <c:bubble3D val="0"/>
            <c:spPr>
              <a:solidFill>
                <a:srgbClr val="27BCD5"/>
              </a:solidFill>
              <a:ln>
                <a:noFill/>
              </a:ln>
              <a:effectLst/>
            </c:spPr>
            <c:extLst>
              <c:ext xmlns:c16="http://schemas.microsoft.com/office/drawing/2014/chart" uri="{C3380CC4-5D6E-409C-BE32-E72D297353CC}">
                <c16:uniqueId val="{00000006-BD33-4C30-8E2E-25744989DF1E}"/>
              </c:ext>
            </c:extLst>
          </c:dPt>
          <c:dPt>
            <c:idx val="6"/>
            <c:invertIfNegative val="0"/>
            <c:bubble3D val="0"/>
            <c:spPr>
              <a:solidFill>
                <a:srgbClr val="CCCC00"/>
              </a:solidFill>
              <a:ln>
                <a:noFill/>
              </a:ln>
              <a:effectLst/>
            </c:spPr>
            <c:extLst>
              <c:ext xmlns:c16="http://schemas.microsoft.com/office/drawing/2014/chart" uri="{C3380CC4-5D6E-409C-BE32-E72D297353CC}">
                <c16:uniqueId val="{00000007-BD33-4C30-8E2E-25744989DF1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 dans Microsoft Word]ImplicationParentsTab'!$A$5:$A$11</c:f>
              <c:strCache>
                <c:ptCount val="7"/>
                <c:pt idx="0">
                  <c:v>La collaboration offerte avec les intervenantes et intervenants DPJ</c:v>
                </c:pt>
                <c:pt idx="1">
                  <c:v>Leur participation aux services mis à leur disposition (ex: habilités parentales, toxicomanie, psychothérapie)</c:v>
                </c:pt>
                <c:pt idx="2">
                  <c:v>La reconnaissance de leurs problématiques</c:v>
                </c:pt>
                <c:pt idx="3">
                  <c:v>L’assiduité lors des contacts planifiés avec l’enfant</c:v>
                </c:pt>
                <c:pt idx="4">
                  <c:v>La participation des parents dans les suivis à l’école, les suivis médicaux et les activités de l’enfant</c:v>
                </c:pt>
                <c:pt idx="5">
                  <c:v>Non mentionné</c:v>
                </c:pt>
                <c:pt idx="6">
                  <c:v>Parents décédés</c:v>
                </c:pt>
              </c:strCache>
            </c:strRef>
          </c:cat>
          <c:val>
            <c:numRef>
              <c:f>'[Graphique dans Microsoft Word]ImplicationParentsTab'!$C$5:$C$11</c:f>
              <c:numCache>
                <c:formatCode>0%</c:formatCode>
                <c:ptCount val="7"/>
                <c:pt idx="0">
                  <c:v>0.66067864271457089</c:v>
                </c:pt>
                <c:pt idx="1">
                  <c:v>0.58083832335329344</c:v>
                </c:pt>
                <c:pt idx="2">
                  <c:v>0.50698602794411174</c:v>
                </c:pt>
                <c:pt idx="3">
                  <c:v>0.42115768463073855</c:v>
                </c:pt>
                <c:pt idx="4">
                  <c:v>0.12375249500998003</c:v>
                </c:pt>
                <c:pt idx="5">
                  <c:v>0.10778443113772455</c:v>
                </c:pt>
                <c:pt idx="6">
                  <c:v>9.9800399201596807E-3</c:v>
                </c:pt>
              </c:numCache>
            </c:numRef>
          </c:val>
          <c:extLst>
            <c:ext xmlns:c16="http://schemas.microsoft.com/office/drawing/2014/chart" uri="{C3380CC4-5D6E-409C-BE32-E72D297353CC}">
              <c16:uniqueId val="{00000000-BD33-4C30-8E2E-25744989DF1E}"/>
            </c:ext>
          </c:extLst>
        </c:ser>
        <c:dLbls>
          <c:dLblPos val="outEnd"/>
          <c:showLegendKey val="0"/>
          <c:showVal val="1"/>
          <c:showCatName val="0"/>
          <c:showSerName val="0"/>
          <c:showPercent val="0"/>
          <c:showBubbleSize val="0"/>
        </c:dLbls>
        <c:gapWidth val="182"/>
        <c:axId val="541201040"/>
        <c:axId val="541198160"/>
      </c:barChart>
      <c:catAx>
        <c:axId val="541201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541198160"/>
        <c:crosses val="autoZero"/>
        <c:auto val="1"/>
        <c:lblAlgn val="ctr"/>
        <c:lblOffset val="100"/>
        <c:noMultiLvlLbl val="0"/>
      </c:catAx>
      <c:valAx>
        <c:axId val="5411981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412010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E9F8FB"/>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sz="1050" b="1">
                <a:solidFill>
                  <a:srgbClr val="953D89"/>
                </a:solidFill>
                <a:latin typeface="Aptos" panose="020B0004020202020204" pitchFamily="34" charset="0"/>
              </a:rPr>
              <a:t>Graphique</a:t>
            </a:r>
            <a:r>
              <a:rPr lang="fr-CA" sz="1050" b="1" baseline="0">
                <a:solidFill>
                  <a:srgbClr val="953D89"/>
                </a:solidFill>
                <a:latin typeface="Aptos" panose="020B0004020202020204" pitchFamily="34" charset="0"/>
              </a:rPr>
              <a:t> 15</a:t>
            </a:r>
          </a:p>
          <a:p>
            <a:pPr>
              <a:defRPr/>
            </a:pPr>
            <a:r>
              <a:rPr lang="fr-CA" sz="1050" b="0">
                <a:solidFill>
                  <a:srgbClr val="953D89"/>
                </a:solidFill>
                <a:latin typeface="Aptos" panose="020B0004020202020204" pitchFamily="34" charset="0"/>
              </a:rPr>
              <a:t>Contestation du projet de vie</a:t>
            </a:r>
            <a:r>
              <a:rPr lang="fr-CA" sz="1050" b="0" baseline="0">
                <a:solidFill>
                  <a:srgbClr val="953D89"/>
                </a:solidFill>
                <a:latin typeface="Aptos" panose="020B0004020202020204" pitchFamily="34" charset="0"/>
              </a:rPr>
              <a:t> par un ou les parents, selon l'âge de l'enfant, n = 499</a:t>
            </a:r>
            <a:endParaRPr lang="fr-CA" sz="1050" b="0">
              <a:solidFill>
                <a:srgbClr val="953D89"/>
              </a:solidFill>
              <a:latin typeface="Aptos" panose="020B0004020202020204" pitchFamily="34" charset="0"/>
            </a:endParaRPr>
          </a:p>
        </c:rich>
      </c:tx>
      <c:layout>
        <c:manualLayout>
          <c:xMode val="edge"/>
          <c:yMode val="edge"/>
          <c:x val="0.12084711286089239"/>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CA"/>
        </a:p>
      </c:txPr>
    </c:title>
    <c:autoTitleDeleted val="0"/>
    <c:plotArea>
      <c:layout/>
      <c:barChart>
        <c:barDir val="col"/>
        <c:grouping val="clustered"/>
        <c:varyColors val="0"/>
        <c:ser>
          <c:idx val="0"/>
          <c:order val="0"/>
          <c:tx>
            <c:strRef>
              <c:f>PositionParentsXâge!$A$13</c:f>
              <c:strCache>
                <c:ptCount val="1"/>
                <c:pt idx="0">
                  <c:v>0-23 mois</c:v>
                </c:pt>
              </c:strCache>
            </c:strRef>
          </c:tx>
          <c:spPr>
            <a:solidFill>
              <a:srgbClr val="CF357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(PositionParentsXâge!$B$12,PositionParentsXâge!$D$12,PositionParentsXâge!$F$12,PositionParentsXâge!$H$12)</c:f>
              <c:strCache>
                <c:ptCount val="4"/>
                <c:pt idx="0">
                  <c:v>Contestation par les deux parents</c:v>
                </c:pt>
                <c:pt idx="1">
                  <c:v>Contestation par un seul parent</c:v>
                </c:pt>
                <c:pt idx="2">
                  <c:v>Contestation par un parent et adhésion de l'autre parent</c:v>
                </c:pt>
                <c:pt idx="3">
                  <c:v>Total - contestation</c:v>
                </c:pt>
              </c:strCache>
              <c:extLst/>
            </c:strRef>
          </c:cat>
          <c:val>
            <c:numRef>
              <c:f>(PositionParentsXâge!$B$13,PositionParentsXâge!$D$13,PositionParentsXâge!$F$13,PositionParentsXâge!$H$13)</c:f>
              <c:numCache>
                <c:formatCode>0%</c:formatCode>
                <c:ptCount val="4"/>
                <c:pt idx="0">
                  <c:v>0.16250000000000001</c:v>
                </c:pt>
                <c:pt idx="1">
                  <c:v>0.27500000000000002</c:v>
                </c:pt>
                <c:pt idx="2">
                  <c:v>0.125</c:v>
                </c:pt>
                <c:pt idx="3">
                  <c:v>0.5625</c:v>
                </c:pt>
              </c:numCache>
              <c:extLst/>
            </c:numRef>
          </c:val>
          <c:extLst>
            <c:ext xmlns:c16="http://schemas.microsoft.com/office/drawing/2014/chart" uri="{C3380CC4-5D6E-409C-BE32-E72D297353CC}">
              <c16:uniqueId val="{00000000-1264-4FE5-ABDD-17026D73A71C}"/>
            </c:ext>
          </c:extLst>
        </c:ser>
        <c:ser>
          <c:idx val="2"/>
          <c:order val="1"/>
          <c:tx>
            <c:strRef>
              <c:f>PositionParentsXâge!$A$15</c:f>
              <c:strCache>
                <c:ptCount val="1"/>
                <c:pt idx="0">
                  <c:v>2-5 ans</c:v>
                </c:pt>
              </c:strCache>
            </c:strRef>
          </c:tx>
          <c:spPr>
            <a:solidFill>
              <a:srgbClr val="0010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(PositionParentsXâge!$B$12,PositionParentsXâge!$D$12,PositionParentsXâge!$F$12,PositionParentsXâge!$H$12)</c:f>
              <c:strCache>
                <c:ptCount val="4"/>
                <c:pt idx="0">
                  <c:v>Contestation par les deux parents</c:v>
                </c:pt>
                <c:pt idx="1">
                  <c:v>Contestation par un seul parent</c:v>
                </c:pt>
                <c:pt idx="2">
                  <c:v>Contestation par un parent et adhésion de l'autre parent</c:v>
                </c:pt>
                <c:pt idx="3">
                  <c:v>Total - contestation</c:v>
                </c:pt>
              </c:strCache>
              <c:extLst/>
            </c:strRef>
          </c:cat>
          <c:val>
            <c:numRef>
              <c:f>(PositionParentsXâge!$B$15,PositionParentsXâge!$D$15,PositionParentsXâge!$F$15,PositionParentsXâge!$H$15)</c:f>
              <c:numCache>
                <c:formatCode>0%</c:formatCode>
                <c:ptCount val="4"/>
                <c:pt idx="0">
                  <c:v>0.23809523809523808</c:v>
                </c:pt>
                <c:pt idx="1">
                  <c:v>0.27513227513227512</c:v>
                </c:pt>
                <c:pt idx="2">
                  <c:v>0.14285714285714285</c:v>
                </c:pt>
                <c:pt idx="3">
                  <c:v>0.65608465608465605</c:v>
                </c:pt>
              </c:numCache>
              <c:extLst/>
            </c:numRef>
          </c:val>
          <c:extLst>
            <c:ext xmlns:c16="http://schemas.microsoft.com/office/drawing/2014/chart" uri="{C3380CC4-5D6E-409C-BE32-E72D297353CC}">
              <c16:uniqueId val="{00000001-1264-4FE5-ABDD-17026D73A71C}"/>
            </c:ext>
          </c:extLst>
        </c:ser>
        <c:ser>
          <c:idx val="3"/>
          <c:order val="2"/>
          <c:tx>
            <c:strRef>
              <c:f>PositionParentsXâge!$A$16</c:f>
              <c:strCache>
                <c:ptCount val="1"/>
                <c:pt idx="0">
                  <c:v>6-12 ans</c:v>
                </c:pt>
              </c:strCache>
            </c:strRef>
          </c:tx>
          <c:spPr>
            <a:solidFill>
              <a:srgbClr val="27BC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(PositionParentsXâge!$B$12,PositionParentsXâge!$D$12,PositionParentsXâge!$F$12,PositionParentsXâge!$H$12)</c:f>
              <c:strCache>
                <c:ptCount val="4"/>
                <c:pt idx="0">
                  <c:v>Contestation par les deux parents</c:v>
                </c:pt>
                <c:pt idx="1">
                  <c:v>Contestation par un seul parent</c:v>
                </c:pt>
                <c:pt idx="2">
                  <c:v>Contestation par un parent et adhésion de l'autre parent</c:v>
                </c:pt>
                <c:pt idx="3">
                  <c:v>Total - contestation</c:v>
                </c:pt>
              </c:strCache>
              <c:extLst/>
            </c:strRef>
          </c:cat>
          <c:val>
            <c:numRef>
              <c:f>(PositionParentsXâge!$B$16,PositionParentsXâge!$D$16,PositionParentsXâge!$F$16,PositionParentsXâge!$H$16)</c:f>
              <c:numCache>
                <c:formatCode>0%</c:formatCode>
                <c:ptCount val="4"/>
                <c:pt idx="0">
                  <c:v>0.14772727272727273</c:v>
                </c:pt>
                <c:pt idx="1">
                  <c:v>0.21022727272727273</c:v>
                </c:pt>
                <c:pt idx="2">
                  <c:v>0.125</c:v>
                </c:pt>
                <c:pt idx="3">
                  <c:v>0.48295454545454547</c:v>
                </c:pt>
              </c:numCache>
              <c:extLst/>
            </c:numRef>
          </c:val>
          <c:extLst>
            <c:ext xmlns:c16="http://schemas.microsoft.com/office/drawing/2014/chart" uri="{C3380CC4-5D6E-409C-BE32-E72D297353CC}">
              <c16:uniqueId val="{00000002-1264-4FE5-ABDD-17026D73A71C}"/>
            </c:ext>
          </c:extLst>
        </c:ser>
        <c:ser>
          <c:idx val="1"/>
          <c:order val="3"/>
          <c:tx>
            <c:strRef>
              <c:f>PositionParentsXâge!$A$14</c:f>
              <c:strCache>
                <c:ptCount val="1"/>
                <c:pt idx="0">
                  <c:v>13 ans et plus</c:v>
                </c:pt>
              </c:strCache>
            </c:strRef>
          </c:tx>
          <c:spPr>
            <a:solidFill>
              <a:srgbClr val="953D8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(PositionParentsXâge!$B$12,PositionParentsXâge!$D$12,PositionParentsXâge!$F$12,PositionParentsXâge!$H$12)</c:f>
              <c:strCache>
                <c:ptCount val="4"/>
                <c:pt idx="0">
                  <c:v>Contestation par les deux parents</c:v>
                </c:pt>
                <c:pt idx="1">
                  <c:v>Contestation par un seul parent</c:v>
                </c:pt>
                <c:pt idx="2">
                  <c:v>Contestation par un parent et adhésion de l'autre parent</c:v>
                </c:pt>
                <c:pt idx="3">
                  <c:v>Total - contestation</c:v>
                </c:pt>
              </c:strCache>
              <c:extLst/>
            </c:strRef>
          </c:cat>
          <c:val>
            <c:numRef>
              <c:f>(PositionParentsXâge!$B$14,PositionParentsXâge!$D$14,PositionParentsXâge!$F$14,PositionParentsXâge!$H$14)</c:f>
              <c:numCache>
                <c:formatCode>0%</c:formatCode>
                <c:ptCount val="4"/>
                <c:pt idx="0">
                  <c:v>9.2592592592592587E-2</c:v>
                </c:pt>
                <c:pt idx="1">
                  <c:v>0.35185185185185186</c:v>
                </c:pt>
                <c:pt idx="2">
                  <c:v>3.7037037037037035E-2</c:v>
                </c:pt>
                <c:pt idx="3">
                  <c:v>0.48148148148148145</c:v>
                </c:pt>
              </c:numCache>
              <c:extLst/>
            </c:numRef>
          </c:val>
          <c:extLst>
            <c:ext xmlns:c16="http://schemas.microsoft.com/office/drawing/2014/chart" uri="{C3380CC4-5D6E-409C-BE32-E72D297353CC}">
              <c16:uniqueId val="{00000003-1264-4FE5-ABDD-17026D73A71C}"/>
            </c:ext>
          </c:extLst>
        </c:ser>
        <c:dLbls>
          <c:dLblPos val="outEnd"/>
          <c:showLegendKey val="0"/>
          <c:showVal val="1"/>
          <c:showCatName val="0"/>
          <c:showSerName val="0"/>
          <c:showPercent val="0"/>
          <c:showBubbleSize val="0"/>
        </c:dLbls>
        <c:gapWidth val="219"/>
        <c:overlap val="-27"/>
        <c:axId val="1067298784"/>
        <c:axId val="1067299864"/>
        <c:extLst>
          <c:ext xmlns:c15="http://schemas.microsoft.com/office/drawing/2012/chart" uri="{02D57815-91ED-43cb-92C2-25804820EDAC}">
            <c15:filteredBarSeries>
              <c15:ser>
                <c:idx val="4"/>
                <c:order val="4"/>
                <c:tx>
                  <c:strRef>
                    <c:extLst>
                      <c:ext uri="{02D57815-91ED-43cb-92C2-25804820EDAC}">
                        <c15:formulaRef>
                          <c15:sqref>PositionParentsXâge!$A$17</c15:sqref>
                        </c15:formulaRef>
                      </c:ext>
                    </c:extLst>
                    <c:strCache>
                      <c:ptCount val="1"/>
                      <c:pt idx="0">
                        <c:v>Non mentionné</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(PositionParentsXâge!$B$12,PositionParentsXâge!$D$12,PositionParentsXâge!$F$12,PositionParentsXâge!$H$12)</c15:sqref>
                        </c15:formulaRef>
                      </c:ext>
                    </c:extLst>
                    <c:strCache>
                      <c:ptCount val="4"/>
                      <c:pt idx="0">
                        <c:v>Contestation par les deux parents</c:v>
                      </c:pt>
                      <c:pt idx="1">
                        <c:v>Contestation par un seul parent</c:v>
                      </c:pt>
                      <c:pt idx="2">
                        <c:v>Contestation par un parent et adhésion de l'autre parent</c:v>
                      </c:pt>
                      <c:pt idx="3">
                        <c:v>Total - contestation</c:v>
                      </c:pt>
                    </c:strCache>
                  </c:strRef>
                </c:cat>
                <c:val>
                  <c:numRef>
                    <c:extLst>
                      <c:ext uri="{02D57815-91ED-43cb-92C2-25804820EDAC}">
                        <c15:formulaRef>
                          <c15:sqref>(PositionParentsXâge!$B$17,PositionParentsXâge!$D$17,PositionParentsXâge!$F$17,PositionParentsXâge!$H$17)</c15:sqref>
                        </c15:formulaRef>
                      </c:ext>
                    </c:extLst>
                    <c:numCache>
                      <c:formatCode>0%</c:formatCode>
                      <c:ptCount val="4"/>
                      <c:pt idx="0">
                        <c:v>0.5</c:v>
                      </c:pt>
                      <c:pt idx="1">
                        <c:v>0.5</c:v>
                      </c:pt>
                      <c:pt idx="2">
                        <c:v>0</c:v>
                      </c:pt>
                      <c:pt idx="3">
                        <c:v>1</c:v>
                      </c:pt>
                    </c:numCache>
                  </c:numRef>
                </c:val>
                <c:extLst>
                  <c:ext xmlns:c16="http://schemas.microsoft.com/office/drawing/2014/chart" uri="{C3380CC4-5D6E-409C-BE32-E72D297353CC}">
                    <c16:uniqueId val="{00000004-1264-4FE5-ABDD-17026D73A71C}"/>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PositionParentsXâge!$A$18</c15:sqref>
                        </c15:formulaRef>
                      </c:ext>
                    </c:extLst>
                    <c:strCache>
                      <c:ptCount val="1"/>
                      <c:pt idx="0">
                        <c:v>Total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(PositionParentsXâge!$B$12,PositionParentsXâge!$D$12,PositionParentsXâge!$F$12,PositionParentsXâge!$H$12)</c15:sqref>
                        </c15:formulaRef>
                      </c:ext>
                    </c:extLst>
                    <c:strCache>
                      <c:ptCount val="4"/>
                      <c:pt idx="0">
                        <c:v>Contestation par les deux parents</c:v>
                      </c:pt>
                      <c:pt idx="1">
                        <c:v>Contestation par un seul parent</c:v>
                      </c:pt>
                      <c:pt idx="2">
                        <c:v>Contestation par un parent et adhésion de l'autre parent</c:v>
                      </c:pt>
                      <c:pt idx="3">
                        <c:v>Total - contestation</c:v>
                      </c:pt>
                    </c:strCache>
                  </c:strRef>
                </c:cat>
                <c:val>
                  <c:numRef>
                    <c:extLst xmlns:c15="http://schemas.microsoft.com/office/drawing/2012/chart">
                      <c:ext xmlns:c15="http://schemas.microsoft.com/office/drawing/2012/chart" uri="{02D57815-91ED-43cb-92C2-25804820EDAC}">
                        <c15:formulaRef>
                          <c15:sqref>(PositionParentsXâge!$B$18,PositionParentsXâge!$D$18,PositionParentsXâge!$F$18,PositionParentsXâge!$H$18)</c15:sqref>
                        </c15:formulaRef>
                      </c:ext>
                    </c:extLst>
                    <c:numCache>
                      <c:formatCode>General</c:formatCode>
                      <c:ptCount val="4"/>
                      <c:pt idx="2">
                        <c:v>282</c:v>
                      </c:pt>
                      <c:pt idx="3">
                        <c:v>282</c:v>
                      </c:pt>
                    </c:numCache>
                  </c:numRef>
                </c:val>
                <c:extLst xmlns:c15="http://schemas.microsoft.com/office/drawing/2012/chart">
                  <c:ext xmlns:c16="http://schemas.microsoft.com/office/drawing/2014/chart" uri="{C3380CC4-5D6E-409C-BE32-E72D297353CC}">
                    <c16:uniqueId val="{00000005-1264-4FE5-ABDD-17026D73A71C}"/>
                  </c:ext>
                </c:extLst>
              </c15:ser>
            </c15:filteredBarSeries>
          </c:ext>
        </c:extLst>
      </c:barChart>
      <c:catAx>
        <c:axId val="1067298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ptos" panose="020B0004020202020204" pitchFamily="34" charset="0"/>
                <a:ea typeface="+mn-ea"/>
                <a:cs typeface="+mn-cs"/>
              </a:defRPr>
            </a:pPr>
            <a:endParaRPr lang="fr-FR"/>
          </a:p>
        </c:txPr>
        <c:crossAx val="1067299864"/>
        <c:crosses val="autoZero"/>
        <c:auto val="1"/>
        <c:lblAlgn val="ctr"/>
        <c:lblOffset val="100"/>
        <c:noMultiLvlLbl val="0"/>
      </c:catAx>
      <c:valAx>
        <c:axId val="1067299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ptos" panose="020B0004020202020204" pitchFamily="34" charset="0"/>
                <a:ea typeface="+mn-ea"/>
                <a:cs typeface="+mn-cs"/>
              </a:defRPr>
            </a:pPr>
            <a:endParaRPr lang="fr-FR"/>
          </a:p>
        </c:txPr>
        <c:crossAx val="1067298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ptos" panose="020B0004020202020204" pitchFamily="34" charset="0"/>
              <a:ea typeface="+mn-ea"/>
              <a:cs typeface="+mn-cs"/>
            </a:defRPr>
          </a:pPr>
          <a:endParaRPr lang="fr-FR"/>
        </a:p>
      </c:txPr>
    </c:legend>
    <c:plotVisOnly val="1"/>
    <c:dispBlanksAs val="gap"/>
    <c:showDLblsOverMax val="0"/>
  </c:chart>
  <c:spPr>
    <a:solidFill>
      <a:srgbClr val="E9F8FB"/>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Bleu chaud">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b66c5a5-9349-45f3-a35d-93d4de43bb68" ContentTypeId="0x0101005B31C1E327F24A4395DD83803DF5CBECC1" PreviousValue="false" LastSyncTimeStamp="2022-04-26T18:24:49.14Z"/>
</file>

<file path=customXml/item4.xml><?xml version="1.0" encoding="utf-8"?>
<p:properties xmlns:p="http://schemas.microsoft.com/office/2006/metadata/properties" xmlns:xsi="http://www.w3.org/2001/XMLSchema-instance" xmlns:pc="http://schemas.microsoft.com/office/infopath/2007/PartnerControls">
  <documentManagement>
    <m676632b177a439a97fe6d7269451e6d xmlns="3cc706f8-daeb-4c57-a93c-fdf45da762a7">
      <Terms xmlns="http://schemas.microsoft.com/office/infopath/2007/PartnerControls"/>
    </m676632b177a439a97fe6d7269451e6d>
    <if89c33f4f2c46ec9c8e5a9ac9138037 xmlns="3cc706f8-daeb-4c57-a93c-fdf45da762a7">
      <Terms xmlns="http://schemas.microsoft.com/office/infopath/2007/PartnerControls">
        <TermInfo xmlns="http://schemas.microsoft.com/office/infopath/2007/PartnerControls">
          <TermName xmlns="http://schemas.microsoft.com/office/infopath/2007/PartnerControls">05520 Site web et intranet</TermName>
          <TermId xmlns="http://schemas.microsoft.com/office/infopath/2007/PartnerControls">f319807c-ee92-4e4c-8e31-98a8ecb838da</TermId>
        </TermInfo>
      </Terms>
    </if89c33f4f2c46ec9c8e5a9ac9138037>
    <TaxCatchAll xmlns="3cc706f8-daeb-4c57-a93c-fdf45da762a7">
      <Value>676</Value>
    </TaxCatchAll>
  </documentManagement>
</p:properties>
</file>

<file path=customXml/item5.xml><?xml version="1.0" encoding="utf-8"?>
<ct:contentTypeSchema xmlns:ct="http://schemas.microsoft.com/office/2006/metadata/contentType" xmlns:ma="http://schemas.microsoft.com/office/2006/metadata/properties/metaAttributes" ct:_="" ma:_="" ma:contentTypeName="Document Site Web et intranet" ma:contentTypeID="0x0101005B31C1E327F24A4395DD83803DF5CBECC100008FF0FC23E3FE48BD24CD9549EFFD2A" ma:contentTypeVersion="6" ma:contentTypeDescription="" ma:contentTypeScope="" ma:versionID="fd3139db038d015fb0800a1ab023dd11">
  <xsd:schema xmlns:xsd="http://www.w3.org/2001/XMLSchema" xmlns:xs="http://www.w3.org/2001/XMLSchema" xmlns:p="http://schemas.microsoft.com/office/2006/metadata/properties" xmlns:ns2="3cc706f8-daeb-4c57-a93c-fdf45da762a7" targetNamespace="http://schemas.microsoft.com/office/2006/metadata/properties" ma:root="true" ma:fieldsID="5cec38c37d49e151644004ecfa3e627b" ns2:_="">
    <xsd:import namespace="3cc706f8-daeb-4c57-a93c-fdf45da762a7"/>
    <xsd:element name="properties">
      <xsd:complexType>
        <xsd:sequence>
          <xsd:element name="documentManagement">
            <xsd:complexType>
              <xsd:all>
                <xsd:element ref="ns2:m676632b177a439a97fe6d7269451e6d" minOccurs="0"/>
                <xsd:element ref="ns2:TaxCatchAll" minOccurs="0"/>
                <xsd:element ref="ns2:TaxCatchAllLabel" minOccurs="0"/>
                <xsd:element ref="ns2:if89c33f4f2c46ec9c8e5a9ac913803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c706f8-daeb-4c57-a93c-fdf45da762a7" elementFormDefault="qualified">
    <xsd:import namespace="http://schemas.microsoft.com/office/2006/documentManagement/types"/>
    <xsd:import namespace="http://schemas.microsoft.com/office/infopath/2007/PartnerControls"/>
    <xsd:element name="m676632b177a439a97fe6d7269451e6d" ma:index="8" nillable="true" ma:taxonomy="true" ma:internalName="m676632b177a439a97fe6d7269451e6d" ma:taxonomyFieldName="TypeDocument" ma:displayName="Type de documents" ma:default="" ma:fieldId="{6676632b-177a-439a-97fe-6d7269451e6d}" ma:sspId="3b66c5a5-9349-45f3-a35d-93d4de43bb68" ma:termSetId="00195338-892d-401b-b201-ba0dd3a2cea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aab6ff4-4c65-4c2b-8b33-eb04d6bf87db}" ma:internalName="TaxCatchAll" ma:showField="CatchAllData" ma:web="48702d63-54e3-45e9-ba0d-ea3f2a183d3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aab6ff4-4c65-4c2b-8b33-eb04d6bf87db}" ma:internalName="TaxCatchAllLabel" ma:readOnly="true" ma:showField="CatchAllDataLabel" ma:web="48702d63-54e3-45e9-ba0d-ea3f2a183d3c">
      <xsd:complexType>
        <xsd:complexContent>
          <xsd:extension base="dms:MultiChoiceLookup">
            <xsd:sequence>
              <xsd:element name="Value" type="dms:Lookup" maxOccurs="unbounded" minOccurs="0" nillable="true"/>
            </xsd:sequence>
          </xsd:extension>
        </xsd:complexContent>
      </xsd:complexType>
    </xsd:element>
    <xsd:element name="if89c33f4f2c46ec9c8e5a9ac9138037" ma:index="12" nillable="true" ma:taxonomy="true" ma:internalName="if89c33f4f2c46ec9c8e5a9ac9138037" ma:taxonomyFieldName="HUBClassification" ma:displayName="Plan de classification" ma:default="2316;#05500 Publications et outils de communication|ff97af88-16fc-40b3-99b5-dad2c88afb6d" ma:fieldId="{2f89c33f-4f2c-46ec-9c8e-5a9ac9138037}" ma:sspId="3b66c5a5-9349-45f3-a35d-93d4de43bb68" ma:termSetId="06a8b823-5712-4f5e-9153-4f9a0e87a97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098084-592A-4805-98E0-3A8033E6C00E}">
  <ds:schemaRefs>
    <ds:schemaRef ds:uri="http://schemas.openxmlformats.org/officeDocument/2006/bibliography"/>
  </ds:schemaRefs>
</ds:datastoreItem>
</file>

<file path=customXml/itemProps2.xml><?xml version="1.0" encoding="utf-8"?>
<ds:datastoreItem xmlns:ds="http://schemas.openxmlformats.org/officeDocument/2006/customXml" ds:itemID="{EC09E478-9C14-4B6D-B342-E5AE9C1FBF63}">
  <ds:schemaRefs>
    <ds:schemaRef ds:uri="http://schemas.microsoft.com/sharepoint/v3/contenttype/forms"/>
  </ds:schemaRefs>
</ds:datastoreItem>
</file>

<file path=customXml/itemProps3.xml><?xml version="1.0" encoding="utf-8"?>
<ds:datastoreItem xmlns:ds="http://schemas.openxmlformats.org/officeDocument/2006/customXml" ds:itemID="{8260E127-9E9F-4DC3-A20B-EDE1E64EFC5B}">
  <ds:schemaRefs>
    <ds:schemaRef ds:uri="Microsoft.SharePoint.Taxonomy.ContentTypeSync"/>
  </ds:schemaRefs>
</ds:datastoreItem>
</file>

<file path=customXml/itemProps4.xml><?xml version="1.0" encoding="utf-8"?>
<ds:datastoreItem xmlns:ds="http://schemas.openxmlformats.org/officeDocument/2006/customXml" ds:itemID="{EC584F79-D61C-4A03-826A-11BCA958853C}">
  <ds:schemaRefs>
    <ds:schemaRef ds:uri="http://schemas.microsoft.com/office/2006/metadata/properties"/>
    <ds:schemaRef ds:uri="http://schemas.microsoft.com/office/infopath/2007/PartnerControls"/>
    <ds:schemaRef ds:uri="3cc706f8-daeb-4c57-a93c-fdf45da762a7"/>
  </ds:schemaRefs>
</ds:datastoreItem>
</file>

<file path=customXml/itemProps5.xml><?xml version="1.0" encoding="utf-8"?>
<ds:datastoreItem xmlns:ds="http://schemas.openxmlformats.org/officeDocument/2006/customXml" ds:itemID="{8DF93331-1D5A-4A7D-A7CB-72C2773360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c706f8-daeb-4c57-a93c-fdf45da762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579630c-7c64-4800-abc4-0b7c5052dafa}" enabled="1" method="Standard" siteId="{1b52fca3-c468-4eac-a85f-e8bf21f0fb3d}" removed="0"/>
</clbl:labelList>
</file>

<file path=docProps/app.xml><?xml version="1.0" encoding="utf-8"?>
<Properties xmlns="http://schemas.openxmlformats.org/officeDocument/2006/extended-properties" xmlns:vt="http://schemas.openxmlformats.org/officeDocument/2006/docPropsVTypes">
  <Template>Normal</Template>
  <TotalTime>5</TotalTime>
  <Pages>104</Pages>
  <Words>35914</Words>
  <Characters>187113</Characters>
  <Application>Microsoft Office Word</Application>
  <DocSecurity>8</DocSecurity>
  <Lines>2835</Lines>
  <Paragraphs>1082</Paragraphs>
  <ScaleCrop>false</ScaleCrop>
  <HeadingPairs>
    <vt:vector size="2" baseType="variant">
      <vt:variant>
        <vt:lpstr>Titre</vt:lpstr>
      </vt:variant>
      <vt:variant>
        <vt:i4>1</vt:i4>
      </vt:variant>
    </vt:vector>
  </HeadingPairs>
  <TitlesOfParts>
    <vt:vector size="1" baseType="lpstr">
      <vt:lpstr>Rapport - Évaluation de la mise en œuvre des dispositions de la Loi sur la protection de la jeunesse relatives à la stabilité des liens et des conditions de vie des enfants confiés à un milieu de vie substitut jusqu’à la majorité : regard sur la jurisprud</vt:lpstr>
    </vt:vector>
  </TitlesOfParts>
  <Company/>
  <LinksUpToDate>false</LinksUpToDate>
  <CharactersWithSpaces>221945</CharactersWithSpaces>
  <SharedDoc>false</SharedDoc>
  <HLinks>
    <vt:vector size="600" baseType="variant">
      <vt:variant>
        <vt:i4>2162769</vt:i4>
      </vt:variant>
      <vt:variant>
        <vt:i4>435</vt:i4>
      </vt:variant>
      <vt:variant>
        <vt:i4>0</vt:i4>
      </vt:variant>
      <vt:variant>
        <vt:i4>5</vt:i4>
      </vt:variant>
      <vt:variant>
        <vt:lpwstr/>
      </vt:variant>
      <vt:variant>
        <vt:lpwstr>_bookmark32</vt:lpwstr>
      </vt:variant>
      <vt:variant>
        <vt:i4>1048629</vt:i4>
      </vt:variant>
      <vt:variant>
        <vt:i4>428</vt:i4>
      </vt:variant>
      <vt:variant>
        <vt:i4>0</vt:i4>
      </vt:variant>
      <vt:variant>
        <vt:i4>5</vt:i4>
      </vt:variant>
      <vt:variant>
        <vt:lpwstr/>
      </vt:variant>
      <vt:variant>
        <vt:lpwstr>_Toc201330545</vt:lpwstr>
      </vt:variant>
      <vt:variant>
        <vt:i4>1048629</vt:i4>
      </vt:variant>
      <vt:variant>
        <vt:i4>422</vt:i4>
      </vt:variant>
      <vt:variant>
        <vt:i4>0</vt:i4>
      </vt:variant>
      <vt:variant>
        <vt:i4>5</vt:i4>
      </vt:variant>
      <vt:variant>
        <vt:lpwstr/>
      </vt:variant>
      <vt:variant>
        <vt:lpwstr>_Toc201330543</vt:lpwstr>
      </vt:variant>
      <vt:variant>
        <vt:i4>1048629</vt:i4>
      </vt:variant>
      <vt:variant>
        <vt:i4>416</vt:i4>
      </vt:variant>
      <vt:variant>
        <vt:i4>0</vt:i4>
      </vt:variant>
      <vt:variant>
        <vt:i4>5</vt:i4>
      </vt:variant>
      <vt:variant>
        <vt:lpwstr/>
      </vt:variant>
      <vt:variant>
        <vt:lpwstr>_Toc201330542</vt:lpwstr>
      </vt:variant>
      <vt:variant>
        <vt:i4>1048629</vt:i4>
      </vt:variant>
      <vt:variant>
        <vt:i4>410</vt:i4>
      </vt:variant>
      <vt:variant>
        <vt:i4>0</vt:i4>
      </vt:variant>
      <vt:variant>
        <vt:i4>5</vt:i4>
      </vt:variant>
      <vt:variant>
        <vt:lpwstr/>
      </vt:variant>
      <vt:variant>
        <vt:lpwstr>_Toc201330541</vt:lpwstr>
      </vt:variant>
      <vt:variant>
        <vt:i4>1048629</vt:i4>
      </vt:variant>
      <vt:variant>
        <vt:i4>404</vt:i4>
      </vt:variant>
      <vt:variant>
        <vt:i4>0</vt:i4>
      </vt:variant>
      <vt:variant>
        <vt:i4>5</vt:i4>
      </vt:variant>
      <vt:variant>
        <vt:lpwstr/>
      </vt:variant>
      <vt:variant>
        <vt:lpwstr>_Toc201330540</vt:lpwstr>
      </vt:variant>
      <vt:variant>
        <vt:i4>1507381</vt:i4>
      </vt:variant>
      <vt:variant>
        <vt:i4>398</vt:i4>
      </vt:variant>
      <vt:variant>
        <vt:i4>0</vt:i4>
      </vt:variant>
      <vt:variant>
        <vt:i4>5</vt:i4>
      </vt:variant>
      <vt:variant>
        <vt:lpwstr/>
      </vt:variant>
      <vt:variant>
        <vt:lpwstr>_Toc201330539</vt:lpwstr>
      </vt:variant>
      <vt:variant>
        <vt:i4>1507381</vt:i4>
      </vt:variant>
      <vt:variant>
        <vt:i4>392</vt:i4>
      </vt:variant>
      <vt:variant>
        <vt:i4>0</vt:i4>
      </vt:variant>
      <vt:variant>
        <vt:i4>5</vt:i4>
      </vt:variant>
      <vt:variant>
        <vt:lpwstr/>
      </vt:variant>
      <vt:variant>
        <vt:lpwstr>_Toc201330538</vt:lpwstr>
      </vt:variant>
      <vt:variant>
        <vt:i4>1507381</vt:i4>
      </vt:variant>
      <vt:variant>
        <vt:i4>386</vt:i4>
      </vt:variant>
      <vt:variant>
        <vt:i4>0</vt:i4>
      </vt:variant>
      <vt:variant>
        <vt:i4>5</vt:i4>
      </vt:variant>
      <vt:variant>
        <vt:lpwstr/>
      </vt:variant>
      <vt:variant>
        <vt:lpwstr>_Toc201330537</vt:lpwstr>
      </vt:variant>
      <vt:variant>
        <vt:i4>1507381</vt:i4>
      </vt:variant>
      <vt:variant>
        <vt:i4>380</vt:i4>
      </vt:variant>
      <vt:variant>
        <vt:i4>0</vt:i4>
      </vt:variant>
      <vt:variant>
        <vt:i4>5</vt:i4>
      </vt:variant>
      <vt:variant>
        <vt:lpwstr/>
      </vt:variant>
      <vt:variant>
        <vt:lpwstr>_Toc201330536</vt:lpwstr>
      </vt:variant>
      <vt:variant>
        <vt:i4>1507381</vt:i4>
      </vt:variant>
      <vt:variant>
        <vt:i4>374</vt:i4>
      </vt:variant>
      <vt:variant>
        <vt:i4>0</vt:i4>
      </vt:variant>
      <vt:variant>
        <vt:i4>5</vt:i4>
      </vt:variant>
      <vt:variant>
        <vt:lpwstr/>
      </vt:variant>
      <vt:variant>
        <vt:lpwstr>_Toc201330535</vt:lpwstr>
      </vt:variant>
      <vt:variant>
        <vt:i4>1507381</vt:i4>
      </vt:variant>
      <vt:variant>
        <vt:i4>368</vt:i4>
      </vt:variant>
      <vt:variant>
        <vt:i4>0</vt:i4>
      </vt:variant>
      <vt:variant>
        <vt:i4>5</vt:i4>
      </vt:variant>
      <vt:variant>
        <vt:lpwstr/>
      </vt:variant>
      <vt:variant>
        <vt:lpwstr>_Toc201330534</vt:lpwstr>
      </vt:variant>
      <vt:variant>
        <vt:i4>1507381</vt:i4>
      </vt:variant>
      <vt:variant>
        <vt:i4>362</vt:i4>
      </vt:variant>
      <vt:variant>
        <vt:i4>0</vt:i4>
      </vt:variant>
      <vt:variant>
        <vt:i4>5</vt:i4>
      </vt:variant>
      <vt:variant>
        <vt:lpwstr/>
      </vt:variant>
      <vt:variant>
        <vt:lpwstr>_Toc201330533</vt:lpwstr>
      </vt:variant>
      <vt:variant>
        <vt:i4>1507381</vt:i4>
      </vt:variant>
      <vt:variant>
        <vt:i4>356</vt:i4>
      </vt:variant>
      <vt:variant>
        <vt:i4>0</vt:i4>
      </vt:variant>
      <vt:variant>
        <vt:i4>5</vt:i4>
      </vt:variant>
      <vt:variant>
        <vt:lpwstr/>
      </vt:variant>
      <vt:variant>
        <vt:lpwstr>_Toc201330532</vt:lpwstr>
      </vt:variant>
      <vt:variant>
        <vt:i4>1507381</vt:i4>
      </vt:variant>
      <vt:variant>
        <vt:i4>350</vt:i4>
      </vt:variant>
      <vt:variant>
        <vt:i4>0</vt:i4>
      </vt:variant>
      <vt:variant>
        <vt:i4>5</vt:i4>
      </vt:variant>
      <vt:variant>
        <vt:lpwstr/>
      </vt:variant>
      <vt:variant>
        <vt:lpwstr>_Toc201330531</vt:lpwstr>
      </vt:variant>
      <vt:variant>
        <vt:i4>1507381</vt:i4>
      </vt:variant>
      <vt:variant>
        <vt:i4>344</vt:i4>
      </vt:variant>
      <vt:variant>
        <vt:i4>0</vt:i4>
      </vt:variant>
      <vt:variant>
        <vt:i4>5</vt:i4>
      </vt:variant>
      <vt:variant>
        <vt:lpwstr/>
      </vt:variant>
      <vt:variant>
        <vt:lpwstr>_Toc201330530</vt:lpwstr>
      </vt:variant>
      <vt:variant>
        <vt:i4>1441845</vt:i4>
      </vt:variant>
      <vt:variant>
        <vt:i4>338</vt:i4>
      </vt:variant>
      <vt:variant>
        <vt:i4>0</vt:i4>
      </vt:variant>
      <vt:variant>
        <vt:i4>5</vt:i4>
      </vt:variant>
      <vt:variant>
        <vt:lpwstr/>
      </vt:variant>
      <vt:variant>
        <vt:lpwstr>_Toc201330529</vt:lpwstr>
      </vt:variant>
      <vt:variant>
        <vt:i4>1441845</vt:i4>
      </vt:variant>
      <vt:variant>
        <vt:i4>332</vt:i4>
      </vt:variant>
      <vt:variant>
        <vt:i4>0</vt:i4>
      </vt:variant>
      <vt:variant>
        <vt:i4>5</vt:i4>
      </vt:variant>
      <vt:variant>
        <vt:lpwstr/>
      </vt:variant>
      <vt:variant>
        <vt:lpwstr>_Toc201330528</vt:lpwstr>
      </vt:variant>
      <vt:variant>
        <vt:i4>1441845</vt:i4>
      </vt:variant>
      <vt:variant>
        <vt:i4>326</vt:i4>
      </vt:variant>
      <vt:variant>
        <vt:i4>0</vt:i4>
      </vt:variant>
      <vt:variant>
        <vt:i4>5</vt:i4>
      </vt:variant>
      <vt:variant>
        <vt:lpwstr/>
      </vt:variant>
      <vt:variant>
        <vt:lpwstr>_Toc201330527</vt:lpwstr>
      </vt:variant>
      <vt:variant>
        <vt:i4>1441845</vt:i4>
      </vt:variant>
      <vt:variant>
        <vt:i4>320</vt:i4>
      </vt:variant>
      <vt:variant>
        <vt:i4>0</vt:i4>
      </vt:variant>
      <vt:variant>
        <vt:i4>5</vt:i4>
      </vt:variant>
      <vt:variant>
        <vt:lpwstr/>
      </vt:variant>
      <vt:variant>
        <vt:lpwstr>_Toc201330526</vt:lpwstr>
      </vt:variant>
      <vt:variant>
        <vt:i4>1441845</vt:i4>
      </vt:variant>
      <vt:variant>
        <vt:i4>314</vt:i4>
      </vt:variant>
      <vt:variant>
        <vt:i4>0</vt:i4>
      </vt:variant>
      <vt:variant>
        <vt:i4>5</vt:i4>
      </vt:variant>
      <vt:variant>
        <vt:lpwstr/>
      </vt:variant>
      <vt:variant>
        <vt:lpwstr>_Toc201330525</vt:lpwstr>
      </vt:variant>
      <vt:variant>
        <vt:i4>1441845</vt:i4>
      </vt:variant>
      <vt:variant>
        <vt:i4>308</vt:i4>
      </vt:variant>
      <vt:variant>
        <vt:i4>0</vt:i4>
      </vt:variant>
      <vt:variant>
        <vt:i4>5</vt:i4>
      </vt:variant>
      <vt:variant>
        <vt:lpwstr/>
      </vt:variant>
      <vt:variant>
        <vt:lpwstr>_Toc201330524</vt:lpwstr>
      </vt:variant>
      <vt:variant>
        <vt:i4>1441845</vt:i4>
      </vt:variant>
      <vt:variant>
        <vt:i4>302</vt:i4>
      </vt:variant>
      <vt:variant>
        <vt:i4>0</vt:i4>
      </vt:variant>
      <vt:variant>
        <vt:i4>5</vt:i4>
      </vt:variant>
      <vt:variant>
        <vt:lpwstr/>
      </vt:variant>
      <vt:variant>
        <vt:lpwstr>_Toc201330523</vt:lpwstr>
      </vt:variant>
      <vt:variant>
        <vt:i4>1441845</vt:i4>
      </vt:variant>
      <vt:variant>
        <vt:i4>296</vt:i4>
      </vt:variant>
      <vt:variant>
        <vt:i4>0</vt:i4>
      </vt:variant>
      <vt:variant>
        <vt:i4>5</vt:i4>
      </vt:variant>
      <vt:variant>
        <vt:lpwstr/>
      </vt:variant>
      <vt:variant>
        <vt:lpwstr>_Toc201330522</vt:lpwstr>
      </vt:variant>
      <vt:variant>
        <vt:i4>1441845</vt:i4>
      </vt:variant>
      <vt:variant>
        <vt:i4>290</vt:i4>
      </vt:variant>
      <vt:variant>
        <vt:i4>0</vt:i4>
      </vt:variant>
      <vt:variant>
        <vt:i4>5</vt:i4>
      </vt:variant>
      <vt:variant>
        <vt:lpwstr/>
      </vt:variant>
      <vt:variant>
        <vt:lpwstr>_Toc201330521</vt:lpwstr>
      </vt:variant>
      <vt:variant>
        <vt:i4>1441845</vt:i4>
      </vt:variant>
      <vt:variant>
        <vt:i4>284</vt:i4>
      </vt:variant>
      <vt:variant>
        <vt:i4>0</vt:i4>
      </vt:variant>
      <vt:variant>
        <vt:i4>5</vt:i4>
      </vt:variant>
      <vt:variant>
        <vt:lpwstr/>
      </vt:variant>
      <vt:variant>
        <vt:lpwstr>_Toc201330520</vt:lpwstr>
      </vt:variant>
      <vt:variant>
        <vt:i4>1376309</vt:i4>
      </vt:variant>
      <vt:variant>
        <vt:i4>278</vt:i4>
      </vt:variant>
      <vt:variant>
        <vt:i4>0</vt:i4>
      </vt:variant>
      <vt:variant>
        <vt:i4>5</vt:i4>
      </vt:variant>
      <vt:variant>
        <vt:lpwstr/>
      </vt:variant>
      <vt:variant>
        <vt:lpwstr>_Toc201330519</vt:lpwstr>
      </vt:variant>
      <vt:variant>
        <vt:i4>1376309</vt:i4>
      </vt:variant>
      <vt:variant>
        <vt:i4>272</vt:i4>
      </vt:variant>
      <vt:variant>
        <vt:i4>0</vt:i4>
      </vt:variant>
      <vt:variant>
        <vt:i4>5</vt:i4>
      </vt:variant>
      <vt:variant>
        <vt:lpwstr/>
      </vt:variant>
      <vt:variant>
        <vt:lpwstr>_Toc201330518</vt:lpwstr>
      </vt:variant>
      <vt:variant>
        <vt:i4>1376309</vt:i4>
      </vt:variant>
      <vt:variant>
        <vt:i4>266</vt:i4>
      </vt:variant>
      <vt:variant>
        <vt:i4>0</vt:i4>
      </vt:variant>
      <vt:variant>
        <vt:i4>5</vt:i4>
      </vt:variant>
      <vt:variant>
        <vt:lpwstr/>
      </vt:variant>
      <vt:variant>
        <vt:lpwstr>_Toc201330517</vt:lpwstr>
      </vt:variant>
      <vt:variant>
        <vt:i4>1376309</vt:i4>
      </vt:variant>
      <vt:variant>
        <vt:i4>260</vt:i4>
      </vt:variant>
      <vt:variant>
        <vt:i4>0</vt:i4>
      </vt:variant>
      <vt:variant>
        <vt:i4>5</vt:i4>
      </vt:variant>
      <vt:variant>
        <vt:lpwstr/>
      </vt:variant>
      <vt:variant>
        <vt:lpwstr>_Toc201330516</vt:lpwstr>
      </vt:variant>
      <vt:variant>
        <vt:i4>1376309</vt:i4>
      </vt:variant>
      <vt:variant>
        <vt:i4>254</vt:i4>
      </vt:variant>
      <vt:variant>
        <vt:i4>0</vt:i4>
      </vt:variant>
      <vt:variant>
        <vt:i4>5</vt:i4>
      </vt:variant>
      <vt:variant>
        <vt:lpwstr/>
      </vt:variant>
      <vt:variant>
        <vt:lpwstr>_Toc201330515</vt:lpwstr>
      </vt:variant>
      <vt:variant>
        <vt:i4>1376309</vt:i4>
      </vt:variant>
      <vt:variant>
        <vt:i4>248</vt:i4>
      </vt:variant>
      <vt:variant>
        <vt:i4>0</vt:i4>
      </vt:variant>
      <vt:variant>
        <vt:i4>5</vt:i4>
      </vt:variant>
      <vt:variant>
        <vt:lpwstr/>
      </vt:variant>
      <vt:variant>
        <vt:lpwstr>_Toc201330514</vt:lpwstr>
      </vt:variant>
      <vt:variant>
        <vt:i4>1376309</vt:i4>
      </vt:variant>
      <vt:variant>
        <vt:i4>242</vt:i4>
      </vt:variant>
      <vt:variant>
        <vt:i4>0</vt:i4>
      </vt:variant>
      <vt:variant>
        <vt:i4>5</vt:i4>
      </vt:variant>
      <vt:variant>
        <vt:lpwstr/>
      </vt:variant>
      <vt:variant>
        <vt:lpwstr>_Toc201330513</vt:lpwstr>
      </vt:variant>
      <vt:variant>
        <vt:i4>1376309</vt:i4>
      </vt:variant>
      <vt:variant>
        <vt:i4>236</vt:i4>
      </vt:variant>
      <vt:variant>
        <vt:i4>0</vt:i4>
      </vt:variant>
      <vt:variant>
        <vt:i4>5</vt:i4>
      </vt:variant>
      <vt:variant>
        <vt:lpwstr/>
      </vt:variant>
      <vt:variant>
        <vt:lpwstr>_Toc201330512</vt:lpwstr>
      </vt:variant>
      <vt:variant>
        <vt:i4>1376309</vt:i4>
      </vt:variant>
      <vt:variant>
        <vt:i4>230</vt:i4>
      </vt:variant>
      <vt:variant>
        <vt:i4>0</vt:i4>
      </vt:variant>
      <vt:variant>
        <vt:i4>5</vt:i4>
      </vt:variant>
      <vt:variant>
        <vt:lpwstr/>
      </vt:variant>
      <vt:variant>
        <vt:lpwstr>_Toc201330511</vt:lpwstr>
      </vt:variant>
      <vt:variant>
        <vt:i4>1376309</vt:i4>
      </vt:variant>
      <vt:variant>
        <vt:i4>224</vt:i4>
      </vt:variant>
      <vt:variant>
        <vt:i4>0</vt:i4>
      </vt:variant>
      <vt:variant>
        <vt:i4>5</vt:i4>
      </vt:variant>
      <vt:variant>
        <vt:lpwstr/>
      </vt:variant>
      <vt:variant>
        <vt:lpwstr>_Toc201330510</vt:lpwstr>
      </vt:variant>
      <vt:variant>
        <vt:i4>1310773</vt:i4>
      </vt:variant>
      <vt:variant>
        <vt:i4>218</vt:i4>
      </vt:variant>
      <vt:variant>
        <vt:i4>0</vt:i4>
      </vt:variant>
      <vt:variant>
        <vt:i4>5</vt:i4>
      </vt:variant>
      <vt:variant>
        <vt:lpwstr/>
      </vt:variant>
      <vt:variant>
        <vt:lpwstr>_Toc201330509</vt:lpwstr>
      </vt:variant>
      <vt:variant>
        <vt:i4>1310773</vt:i4>
      </vt:variant>
      <vt:variant>
        <vt:i4>212</vt:i4>
      </vt:variant>
      <vt:variant>
        <vt:i4>0</vt:i4>
      </vt:variant>
      <vt:variant>
        <vt:i4>5</vt:i4>
      </vt:variant>
      <vt:variant>
        <vt:lpwstr/>
      </vt:variant>
      <vt:variant>
        <vt:lpwstr>_Toc201330508</vt:lpwstr>
      </vt:variant>
      <vt:variant>
        <vt:i4>1310773</vt:i4>
      </vt:variant>
      <vt:variant>
        <vt:i4>206</vt:i4>
      </vt:variant>
      <vt:variant>
        <vt:i4>0</vt:i4>
      </vt:variant>
      <vt:variant>
        <vt:i4>5</vt:i4>
      </vt:variant>
      <vt:variant>
        <vt:lpwstr/>
      </vt:variant>
      <vt:variant>
        <vt:lpwstr>_Toc201330507</vt:lpwstr>
      </vt:variant>
      <vt:variant>
        <vt:i4>1310773</vt:i4>
      </vt:variant>
      <vt:variant>
        <vt:i4>200</vt:i4>
      </vt:variant>
      <vt:variant>
        <vt:i4>0</vt:i4>
      </vt:variant>
      <vt:variant>
        <vt:i4>5</vt:i4>
      </vt:variant>
      <vt:variant>
        <vt:lpwstr/>
      </vt:variant>
      <vt:variant>
        <vt:lpwstr>_Toc201330506</vt:lpwstr>
      </vt:variant>
      <vt:variant>
        <vt:i4>1310773</vt:i4>
      </vt:variant>
      <vt:variant>
        <vt:i4>194</vt:i4>
      </vt:variant>
      <vt:variant>
        <vt:i4>0</vt:i4>
      </vt:variant>
      <vt:variant>
        <vt:i4>5</vt:i4>
      </vt:variant>
      <vt:variant>
        <vt:lpwstr/>
      </vt:variant>
      <vt:variant>
        <vt:lpwstr>_Toc201330505</vt:lpwstr>
      </vt:variant>
      <vt:variant>
        <vt:i4>1310773</vt:i4>
      </vt:variant>
      <vt:variant>
        <vt:i4>188</vt:i4>
      </vt:variant>
      <vt:variant>
        <vt:i4>0</vt:i4>
      </vt:variant>
      <vt:variant>
        <vt:i4>5</vt:i4>
      </vt:variant>
      <vt:variant>
        <vt:lpwstr/>
      </vt:variant>
      <vt:variant>
        <vt:lpwstr>_Toc201330504</vt:lpwstr>
      </vt:variant>
      <vt:variant>
        <vt:i4>1310773</vt:i4>
      </vt:variant>
      <vt:variant>
        <vt:i4>182</vt:i4>
      </vt:variant>
      <vt:variant>
        <vt:i4>0</vt:i4>
      </vt:variant>
      <vt:variant>
        <vt:i4>5</vt:i4>
      </vt:variant>
      <vt:variant>
        <vt:lpwstr/>
      </vt:variant>
      <vt:variant>
        <vt:lpwstr>_Toc201330503</vt:lpwstr>
      </vt:variant>
      <vt:variant>
        <vt:i4>1310773</vt:i4>
      </vt:variant>
      <vt:variant>
        <vt:i4>176</vt:i4>
      </vt:variant>
      <vt:variant>
        <vt:i4>0</vt:i4>
      </vt:variant>
      <vt:variant>
        <vt:i4>5</vt:i4>
      </vt:variant>
      <vt:variant>
        <vt:lpwstr/>
      </vt:variant>
      <vt:variant>
        <vt:lpwstr>_Toc201330502</vt:lpwstr>
      </vt:variant>
      <vt:variant>
        <vt:i4>1310773</vt:i4>
      </vt:variant>
      <vt:variant>
        <vt:i4>170</vt:i4>
      </vt:variant>
      <vt:variant>
        <vt:i4>0</vt:i4>
      </vt:variant>
      <vt:variant>
        <vt:i4>5</vt:i4>
      </vt:variant>
      <vt:variant>
        <vt:lpwstr/>
      </vt:variant>
      <vt:variant>
        <vt:lpwstr>_Toc201330501</vt:lpwstr>
      </vt:variant>
      <vt:variant>
        <vt:i4>1310773</vt:i4>
      </vt:variant>
      <vt:variant>
        <vt:i4>164</vt:i4>
      </vt:variant>
      <vt:variant>
        <vt:i4>0</vt:i4>
      </vt:variant>
      <vt:variant>
        <vt:i4>5</vt:i4>
      </vt:variant>
      <vt:variant>
        <vt:lpwstr/>
      </vt:variant>
      <vt:variant>
        <vt:lpwstr>_Toc201330500</vt:lpwstr>
      </vt:variant>
      <vt:variant>
        <vt:i4>1900596</vt:i4>
      </vt:variant>
      <vt:variant>
        <vt:i4>158</vt:i4>
      </vt:variant>
      <vt:variant>
        <vt:i4>0</vt:i4>
      </vt:variant>
      <vt:variant>
        <vt:i4>5</vt:i4>
      </vt:variant>
      <vt:variant>
        <vt:lpwstr/>
      </vt:variant>
      <vt:variant>
        <vt:lpwstr>_Toc201330499</vt:lpwstr>
      </vt:variant>
      <vt:variant>
        <vt:i4>1900596</vt:i4>
      </vt:variant>
      <vt:variant>
        <vt:i4>152</vt:i4>
      </vt:variant>
      <vt:variant>
        <vt:i4>0</vt:i4>
      </vt:variant>
      <vt:variant>
        <vt:i4>5</vt:i4>
      </vt:variant>
      <vt:variant>
        <vt:lpwstr/>
      </vt:variant>
      <vt:variant>
        <vt:lpwstr>_Toc201330498</vt:lpwstr>
      </vt:variant>
      <vt:variant>
        <vt:i4>1900596</vt:i4>
      </vt:variant>
      <vt:variant>
        <vt:i4>146</vt:i4>
      </vt:variant>
      <vt:variant>
        <vt:i4>0</vt:i4>
      </vt:variant>
      <vt:variant>
        <vt:i4>5</vt:i4>
      </vt:variant>
      <vt:variant>
        <vt:lpwstr/>
      </vt:variant>
      <vt:variant>
        <vt:lpwstr>_Toc201330497</vt:lpwstr>
      </vt:variant>
      <vt:variant>
        <vt:i4>1900596</vt:i4>
      </vt:variant>
      <vt:variant>
        <vt:i4>140</vt:i4>
      </vt:variant>
      <vt:variant>
        <vt:i4>0</vt:i4>
      </vt:variant>
      <vt:variant>
        <vt:i4>5</vt:i4>
      </vt:variant>
      <vt:variant>
        <vt:lpwstr/>
      </vt:variant>
      <vt:variant>
        <vt:lpwstr>_Toc201330496</vt:lpwstr>
      </vt:variant>
      <vt:variant>
        <vt:i4>1900596</vt:i4>
      </vt:variant>
      <vt:variant>
        <vt:i4>134</vt:i4>
      </vt:variant>
      <vt:variant>
        <vt:i4>0</vt:i4>
      </vt:variant>
      <vt:variant>
        <vt:i4>5</vt:i4>
      </vt:variant>
      <vt:variant>
        <vt:lpwstr/>
      </vt:variant>
      <vt:variant>
        <vt:lpwstr>_Toc201330495</vt:lpwstr>
      </vt:variant>
      <vt:variant>
        <vt:i4>1900596</vt:i4>
      </vt:variant>
      <vt:variant>
        <vt:i4>128</vt:i4>
      </vt:variant>
      <vt:variant>
        <vt:i4>0</vt:i4>
      </vt:variant>
      <vt:variant>
        <vt:i4>5</vt:i4>
      </vt:variant>
      <vt:variant>
        <vt:lpwstr/>
      </vt:variant>
      <vt:variant>
        <vt:lpwstr>_Toc201330494</vt:lpwstr>
      </vt:variant>
      <vt:variant>
        <vt:i4>1900596</vt:i4>
      </vt:variant>
      <vt:variant>
        <vt:i4>122</vt:i4>
      </vt:variant>
      <vt:variant>
        <vt:i4>0</vt:i4>
      </vt:variant>
      <vt:variant>
        <vt:i4>5</vt:i4>
      </vt:variant>
      <vt:variant>
        <vt:lpwstr/>
      </vt:variant>
      <vt:variant>
        <vt:lpwstr>_Toc201330493</vt:lpwstr>
      </vt:variant>
      <vt:variant>
        <vt:i4>1900596</vt:i4>
      </vt:variant>
      <vt:variant>
        <vt:i4>116</vt:i4>
      </vt:variant>
      <vt:variant>
        <vt:i4>0</vt:i4>
      </vt:variant>
      <vt:variant>
        <vt:i4>5</vt:i4>
      </vt:variant>
      <vt:variant>
        <vt:lpwstr/>
      </vt:variant>
      <vt:variant>
        <vt:lpwstr>_Toc201330492</vt:lpwstr>
      </vt:variant>
      <vt:variant>
        <vt:i4>1900596</vt:i4>
      </vt:variant>
      <vt:variant>
        <vt:i4>110</vt:i4>
      </vt:variant>
      <vt:variant>
        <vt:i4>0</vt:i4>
      </vt:variant>
      <vt:variant>
        <vt:i4>5</vt:i4>
      </vt:variant>
      <vt:variant>
        <vt:lpwstr/>
      </vt:variant>
      <vt:variant>
        <vt:lpwstr>_Toc201330491</vt:lpwstr>
      </vt:variant>
      <vt:variant>
        <vt:i4>1900596</vt:i4>
      </vt:variant>
      <vt:variant>
        <vt:i4>104</vt:i4>
      </vt:variant>
      <vt:variant>
        <vt:i4>0</vt:i4>
      </vt:variant>
      <vt:variant>
        <vt:i4>5</vt:i4>
      </vt:variant>
      <vt:variant>
        <vt:lpwstr/>
      </vt:variant>
      <vt:variant>
        <vt:lpwstr>_Toc201330490</vt:lpwstr>
      </vt:variant>
      <vt:variant>
        <vt:i4>1835060</vt:i4>
      </vt:variant>
      <vt:variant>
        <vt:i4>98</vt:i4>
      </vt:variant>
      <vt:variant>
        <vt:i4>0</vt:i4>
      </vt:variant>
      <vt:variant>
        <vt:i4>5</vt:i4>
      </vt:variant>
      <vt:variant>
        <vt:lpwstr/>
      </vt:variant>
      <vt:variant>
        <vt:lpwstr>_Toc201330489</vt:lpwstr>
      </vt:variant>
      <vt:variant>
        <vt:i4>1835060</vt:i4>
      </vt:variant>
      <vt:variant>
        <vt:i4>92</vt:i4>
      </vt:variant>
      <vt:variant>
        <vt:i4>0</vt:i4>
      </vt:variant>
      <vt:variant>
        <vt:i4>5</vt:i4>
      </vt:variant>
      <vt:variant>
        <vt:lpwstr/>
      </vt:variant>
      <vt:variant>
        <vt:lpwstr>_Toc201330488</vt:lpwstr>
      </vt:variant>
      <vt:variant>
        <vt:i4>1835060</vt:i4>
      </vt:variant>
      <vt:variant>
        <vt:i4>86</vt:i4>
      </vt:variant>
      <vt:variant>
        <vt:i4>0</vt:i4>
      </vt:variant>
      <vt:variant>
        <vt:i4>5</vt:i4>
      </vt:variant>
      <vt:variant>
        <vt:lpwstr/>
      </vt:variant>
      <vt:variant>
        <vt:lpwstr>_Toc201330487</vt:lpwstr>
      </vt:variant>
      <vt:variant>
        <vt:i4>1835060</vt:i4>
      </vt:variant>
      <vt:variant>
        <vt:i4>80</vt:i4>
      </vt:variant>
      <vt:variant>
        <vt:i4>0</vt:i4>
      </vt:variant>
      <vt:variant>
        <vt:i4>5</vt:i4>
      </vt:variant>
      <vt:variant>
        <vt:lpwstr/>
      </vt:variant>
      <vt:variant>
        <vt:lpwstr>_Toc201330486</vt:lpwstr>
      </vt:variant>
      <vt:variant>
        <vt:i4>1835060</vt:i4>
      </vt:variant>
      <vt:variant>
        <vt:i4>74</vt:i4>
      </vt:variant>
      <vt:variant>
        <vt:i4>0</vt:i4>
      </vt:variant>
      <vt:variant>
        <vt:i4>5</vt:i4>
      </vt:variant>
      <vt:variant>
        <vt:lpwstr/>
      </vt:variant>
      <vt:variant>
        <vt:lpwstr>_Toc201330485</vt:lpwstr>
      </vt:variant>
      <vt:variant>
        <vt:i4>1835060</vt:i4>
      </vt:variant>
      <vt:variant>
        <vt:i4>68</vt:i4>
      </vt:variant>
      <vt:variant>
        <vt:i4>0</vt:i4>
      </vt:variant>
      <vt:variant>
        <vt:i4>5</vt:i4>
      </vt:variant>
      <vt:variant>
        <vt:lpwstr/>
      </vt:variant>
      <vt:variant>
        <vt:lpwstr>_Toc201330484</vt:lpwstr>
      </vt:variant>
      <vt:variant>
        <vt:i4>1835060</vt:i4>
      </vt:variant>
      <vt:variant>
        <vt:i4>62</vt:i4>
      </vt:variant>
      <vt:variant>
        <vt:i4>0</vt:i4>
      </vt:variant>
      <vt:variant>
        <vt:i4>5</vt:i4>
      </vt:variant>
      <vt:variant>
        <vt:lpwstr/>
      </vt:variant>
      <vt:variant>
        <vt:lpwstr>_Toc201330483</vt:lpwstr>
      </vt:variant>
      <vt:variant>
        <vt:i4>1835060</vt:i4>
      </vt:variant>
      <vt:variant>
        <vt:i4>56</vt:i4>
      </vt:variant>
      <vt:variant>
        <vt:i4>0</vt:i4>
      </vt:variant>
      <vt:variant>
        <vt:i4>5</vt:i4>
      </vt:variant>
      <vt:variant>
        <vt:lpwstr/>
      </vt:variant>
      <vt:variant>
        <vt:lpwstr>_Toc201330482</vt:lpwstr>
      </vt:variant>
      <vt:variant>
        <vt:i4>1835060</vt:i4>
      </vt:variant>
      <vt:variant>
        <vt:i4>50</vt:i4>
      </vt:variant>
      <vt:variant>
        <vt:i4>0</vt:i4>
      </vt:variant>
      <vt:variant>
        <vt:i4>5</vt:i4>
      </vt:variant>
      <vt:variant>
        <vt:lpwstr/>
      </vt:variant>
      <vt:variant>
        <vt:lpwstr>_Toc201330481</vt:lpwstr>
      </vt:variant>
      <vt:variant>
        <vt:i4>1835060</vt:i4>
      </vt:variant>
      <vt:variant>
        <vt:i4>44</vt:i4>
      </vt:variant>
      <vt:variant>
        <vt:i4>0</vt:i4>
      </vt:variant>
      <vt:variant>
        <vt:i4>5</vt:i4>
      </vt:variant>
      <vt:variant>
        <vt:lpwstr/>
      </vt:variant>
      <vt:variant>
        <vt:lpwstr>_Toc201330480</vt:lpwstr>
      </vt:variant>
      <vt:variant>
        <vt:i4>1245236</vt:i4>
      </vt:variant>
      <vt:variant>
        <vt:i4>38</vt:i4>
      </vt:variant>
      <vt:variant>
        <vt:i4>0</vt:i4>
      </vt:variant>
      <vt:variant>
        <vt:i4>5</vt:i4>
      </vt:variant>
      <vt:variant>
        <vt:lpwstr/>
      </vt:variant>
      <vt:variant>
        <vt:lpwstr>_Toc201330479</vt:lpwstr>
      </vt:variant>
      <vt:variant>
        <vt:i4>1245236</vt:i4>
      </vt:variant>
      <vt:variant>
        <vt:i4>32</vt:i4>
      </vt:variant>
      <vt:variant>
        <vt:i4>0</vt:i4>
      </vt:variant>
      <vt:variant>
        <vt:i4>5</vt:i4>
      </vt:variant>
      <vt:variant>
        <vt:lpwstr/>
      </vt:variant>
      <vt:variant>
        <vt:lpwstr>_Toc201330478</vt:lpwstr>
      </vt:variant>
      <vt:variant>
        <vt:i4>1245236</vt:i4>
      </vt:variant>
      <vt:variant>
        <vt:i4>26</vt:i4>
      </vt:variant>
      <vt:variant>
        <vt:i4>0</vt:i4>
      </vt:variant>
      <vt:variant>
        <vt:i4>5</vt:i4>
      </vt:variant>
      <vt:variant>
        <vt:lpwstr/>
      </vt:variant>
      <vt:variant>
        <vt:lpwstr>_Toc201330477</vt:lpwstr>
      </vt:variant>
      <vt:variant>
        <vt:i4>1245236</vt:i4>
      </vt:variant>
      <vt:variant>
        <vt:i4>20</vt:i4>
      </vt:variant>
      <vt:variant>
        <vt:i4>0</vt:i4>
      </vt:variant>
      <vt:variant>
        <vt:i4>5</vt:i4>
      </vt:variant>
      <vt:variant>
        <vt:lpwstr/>
      </vt:variant>
      <vt:variant>
        <vt:lpwstr>_Toc201330476</vt:lpwstr>
      </vt:variant>
      <vt:variant>
        <vt:i4>1245236</vt:i4>
      </vt:variant>
      <vt:variant>
        <vt:i4>14</vt:i4>
      </vt:variant>
      <vt:variant>
        <vt:i4>0</vt:i4>
      </vt:variant>
      <vt:variant>
        <vt:i4>5</vt:i4>
      </vt:variant>
      <vt:variant>
        <vt:lpwstr/>
      </vt:variant>
      <vt:variant>
        <vt:lpwstr>_Toc201330475</vt:lpwstr>
      </vt:variant>
      <vt:variant>
        <vt:i4>1245236</vt:i4>
      </vt:variant>
      <vt:variant>
        <vt:i4>8</vt:i4>
      </vt:variant>
      <vt:variant>
        <vt:i4>0</vt:i4>
      </vt:variant>
      <vt:variant>
        <vt:i4>5</vt:i4>
      </vt:variant>
      <vt:variant>
        <vt:lpwstr/>
      </vt:variant>
      <vt:variant>
        <vt:lpwstr>_Toc201330474</vt:lpwstr>
      </vt:variant>
      <vt:variant>
        <vt:i4>1245236</vt:i4>
      </vt:variant>
      <vt:variant>
        <vt:i4>2</vt:i4>
      </vt:variant>
      <vt:variant>
        <vt:i4>0</vt:i4>
      </vt:variant>
      <vt:variant>
        <vt:i4>5</vt:i4>
      </vt:variant>
      <vt:variant>
        <vt:lpwstr/>
      </vt:variant>
      <vt:variant>
        <vt:lpwstr>_Toc201330471</vt:lpwstr>
      </vt:variant>
      <vt:variant>
        <vt:i4>2359414</vt:i4>
      </vt:variant>
      <vt:variant>
        <vt:i4>408</vt:i4>
      </vt:variant>
      <vt:variant>
        <vt:i4>0</vt:i4>
      </vt:variant>
      <vt:variant>
        <vt:i4>5</vt:i4>
      </vt:variant>
      <vt:variant>
        <vt:lpwstr>https://chairejeunesse.ca/</vt:lpwstr>
      </vt:variant>
      <vt:variant>
        <vt:lpwstr/>
      </vt:variant>
      <vt:variant>
        <vt:i4>3670136</vt:i4>
      </vt:variant>
      <vt:variant>
        <vt:i4>399</vt:i4>
      </vt:variant>
      <vt:variant>
        <vt:i4>0</vt:i4>
      </vt:variant>
      <vt:variant>
        <vt:i4>5</vt:i4>
      </vt:variant>
      <vt:variant>
        <vt:lpwstr>https://www.cdpdj.qc.ca/storage/app/media/publications/2025-04-07-Orientations-concernant-les droits-des-Premieres-Nations-et-des-Inuit-VF.pdf</vt:lpwstr>
      </vt:variant>
      <vt:variant>
        <vt:lpwstr/>
      </vt:variant>
      <vt:variant>
        <vt:i4>4194333</vt:i4>
      </vt:variant>
      <vt:variant>
        <vt:i4>396</vt:i4>
      </vt:variant>
      <vt:variant>
        <vt:i4>0</vt:i4>
      </vt:variant>
      <vt:variant>
        <vt:i4>5</vt:i4>
      </vt:variant>
      <vt:variant>
        <vt:lpwstr>https://mirs.qc.ca/protection-de-la-jeunesse/</vt:lpwstr>
      </vt:variant>
      <vt:variant>
        <vt:lpwstr/>
      </vt:variant>
      <vt:variant>
        <vt:i4>7864377</vt:i4>
      </vt:variant>
      <vt:variant>
        <vt:i4>393</vt:i4>
      </vt:variant>
      <vt:variant>
        <vt:i4>0</vt:i4>
      </vt:variant>
      <vt:variant>
        <vt:i4>5</vt:i4>
      </vt:variant>
      <vt:variant>
        <vt:lpwstr>https://www.bchm.ca/dpj-2/</vt:lpwstr>
      </vt:variant>
      <vt:variant>
        <vt:lpwstr/>
      </vt:variant>
      <vt:variant>
        <vt:i4>4128804</vt:i4>
      </vt:variant>
      <vt:variant>
        <vt:i4>390</vt:i4>
      </vt:variant>
      <vt:variant>
        <vt:i4>0</vt:i4>
      </vt:variant>
      <vt:variant>
        <vt:i4>5</vt:i4>
      </vt:variant>
      <vt:variant>
        <vt:lpwstr>https://protecteurducitoyen.qc.ca/fr/nouvelles/communiques/commissions-viens-rapport-protection-jeunesse-autochtone</vt:lpwstr>
      </vt:variant>
      <vt:variant>
        <vt:lpwstr/>
      </vt:variant>
      <vt:variant>
        <vt:i4>2359394</vt:i4>
      </vt:variant>
      <vt:variant>
        <vt:i4>354</vt:i4>
      </vt:variant>
      <vt:variant>
        <vt:i4>0</vt:i4>
      </vt:variant>
      <vt:variant>
        <vt:i4>5</vt:i4>
      </vt:variant>
      <vt:variant>
        <vt:lpwstr>https://www.cdpdj.qc.ca/storage/app/media/publications/rapport-nunavik-2024-FR.pdf</vt:lpwstr>
      </vt:variant>
      <vt:variant>
        <vt:lpwstr/>
      </vt:variant>
      <vt:variant>
        <vt:i4>786503</vt:i4>
      </vt:variant>
      <vt:variant>
        <vt:i4>333</vt:i4>
      </vt:variant>
      <vt:variant>
        <vt:i4>0</vt:i4>
      </vt:variant>
      <vt:variant>
        <vt:i4>5</vt:i4>
      </vt:variant>
      <vt:variant>
        <vt:lpwstr>http://www.cdpdj.qc.ca/Publications/avis_contacts_hebergement_article91_LPJ.pdf</vt:lpwstr>
      </vt:variant>
      <vt:variant>
        <vt:lpwstr/>
      </vt:variant>
      <vt:variant>
        <vt:i4>3342437</vt:i4>
      </vt:variant>
      <vt:variant>
        <vt:i4>306</vt:i4>
      </vt:variant>
      <vt:variant>
        <vt:i4>0</vt:i4>
      </vt:variant>
      <vt:variant>
        <vt:i4>5</vt:i4>
      </vt:variant>
      <vt:variant>
        <vt:lpwstr>https://www.quebec.ca/personnes-handicapees</vt:lpwstr>
      </vt:variant>
      <vt:variant>
        <vt:lpwstr/>
      </vt:variant>
      <vt:variant>
        <vt:i4>3145784</vt:i4>
      </vt:variant>
      <vt:variant>
        <vt:i4>297</vt:i4>
      </vt:variant>
      <vt:variant>
        <vt:i4>0</vt:i4>
      </vt:variant>
      <vt:variant>
        <vt:i4>5</vt:i4>
      </vt:variant>
      <vt:variant>
        <vt:lpwstr>https://www.quebec.ca/famille-et-soutien-aux-personnes/enfance/services-jeunes-difficulte-famille/services-proximite-jeunes-difficulte-famille</vt:lpwstr>
      </vt:variant>
      <vt:variant>
        <vt:lpwstr/>
      </vt:variant>
      <vt:variant>
        <vt:i4>917586</vt:i4>
      </vt:variant>
      <vt:variant>
        <vt:i4>237</vt:i4>
      </vt:variant>
      <vt:variant>
        <vt:i4>0</vt:i4>
      </vt:variant>
      <vt:variant>
        <vt:i4>5</vt:i4>
      </vt:variant>
      <vt:variant>
        <vt:lpwstr>https://collections.banq.qc.ca/ark:/52327/bs61009</vt:lpwstr>
      </vt:variant>
      <vt:variant>
        <vt:lpwstr/>
      </vt:variant>
      <vt:variant>
        <vt:i4>2293814</vt:i4>
      </vt:variant>
      <vt:variant>
        <vt:i4>201</vt:i4>
      </vt:variant>
      <vt:variant>
        <vt:i4>0</vt:i4>
      </vt:variant>
      <vt:variant>
        <vt:i4>5</vt:i4>
      </vt:variant>
      <vt:variant>
        <vt:lpwstr>https://suivi-csdepj.org/media/q4zdjbtd/mai-2024_comite-suivi-csdepj_rapport-anayse-bilan2021-2023.pdf</vt:lpwstr>
      </vt:variant>
      <vt:variant>
        <vt:lpwstr/>
      </vt:variant>
      <vt:variant>
        <vt:i4>6160397</vt:i4>
      </vt:variant>
      <vt:variant>
        <vt:i4>195</vt:i4>
      </vt:variant>
      <vt:variant>
        <vt:i4>0</vt:i4>
      </vt:variant>
      <vt:variant>
        <vt:i4>5</vt:i4>
      </vt:variant>
      <vt:variant>
        <vt:lpwstr>http://www.santecom.qc.ca/BibliothequeVirtuelle/CCSMTL/9782893940793.pdf</vt:lpwstr>
      </vt:variant>
      <vt:variant>
        <vt:lpwstr/>
      </vt:variant>
      <vt:variant>
        <vt:i4>6291537</vt:i4>
      </vt:variant>
      <vt:variant>
        <vt:i4>114</vt:i4>
      </vt:variant>
      <vt:variant>
        <vt:i4>0</vt:i4>
      </vt:variant>
      <vt:variant>
        <vt:i4>5</vt:i4>
      </vt:variant>
      <vt:variant>
        <vt:lpwstr>https://statistique.quebec.ca/fr/produit/tableau/familles-recensement-structure-nombre-enfants-ages-canada-provinces</vt:lpwstr>
      </vt:variant>
      <vt:variant>
        <vt:lpwstr>de_temps_refrn=2021&amp;tri_mesr=2199</vt:lpwstr>
      </vt:variant>
      <vt:variant>
        <vt:i4>7864361</vt:i4>
      </vt:variant>
      <vt:variant>
        <vt:i4>87</vt:i4>
      </vt:variant>
      <vt:variant>
        <vt:i4>0</vt:i4>
      </vt:variant>
      <vt:variant>
        <vt:i4>5</vt:i4>
      </vt:variant>
      <vt:variant>
        <vt:lpwstr>https://publications.msss.gouv.qc.ca/msss/fichiers/2024/24-838-07W.pdf</vt:lpwstr>
      </vt:variant>
      <vt:variant>
        <vt:lpwstr/>
      </vt:variant>
      <vt:variant>
        <vt:i4>262184</vt:i4>
      </vt:variant>
      <vt:variant>
        <vt:i4>63</vt:i4>
      </vt:variant>
      <vt:variant>
        <vt:i4>0</vt:i4>
      </vt:variant>
      <vt:variant>
        <vt:i4>5</vt:i4>
      </vt:variant>
      <vt:variant>
        <vt:lpwstr>https://www.cdpdj.qc.ca/storage/app/media/publications/RapportJeunesseMCQ_avril2025.pdf</vt:lpwstr>
      </vt:variant>
      <vt:variant>
        <vt:lpwstr/>
      </vt:variant>
      <vt:variant>
        <vt:i4>262269</vt:i4>
      </vt:variant>
      <vt:variant>
        <vt:i4>60</vt:i4>
      </vt:variant>
      <vt:variant>
        <vt:i4>0</vt:i4>
      </vt:variant>
      <vt:variant>
        <vt:i4>5</vt:i4>
      </vt:variant>
      <vt:variant>
        <vt:lpwstr>https://www.cdpdj.qc.ca/storage/app/media/publications/memoire_commission-laurent.pdf</vt:lpwstr>
      </vt:variant>
      <vt:variant>
        <vt:lpwstr/>
      </vt:variant>
      <vt:variant>
        <vt:i4>1376287</vt:i4>
      </vt:variant>
      <vt:variant>
        <vt:i4>54</vt:i4>
      </vt:variant>
      <vt:variant>
        <vt:i4>0</vt:i4>
      </vt:variant>
      <vt:variant>
        <vt:i4>5</vt:i4>
      </vt:variant>
      <vt:variant>
        <vt:lpwstr>https://www.chairejeunesse.ca/sites/default/files/2021-04/Minist%C3%A8re de la Sant%C3%A9 et des services sociaux%2C 2020.pdf</vt:lpwstr>
      </vt:variant>
      <vt:variant>
        <vt:lpwstr/>
      </vt:variant>
      <vt:variant>
        <vt:i4>8257582</vt:i4>
      </vt:variant>
      <vt:variant>
        <vt:i4>51</vt:i4>
      </vt:variant>
      <vt:variant>
        <vt:i4>0</vt:i4>
      </vt:variant>
      <vt:variant>
        <vt:i4>5</vt:i4>
      </vt:variant>
      <vt:variant>
        <vt:lpwstr>https://www.erudit.org/en/journals/psyedu/2022-v51-n3-psyedu07465/1093883ar.pdf</vt:lpwstr>
      </vt:variant>
      <vt:variant>
        <vt:lpwstr/>
      </vt:variant>
      <vt:variant>
        <vt:i4>5832789</vt:i4>
      </vt:variant>
      <vt:variant>
        <vt:i4>48</vt:i4>
      </vt:variant>
      <vt:variant>
        <vt:i4>0</vt:i4>
      </vt:variant>
      <vt:variant>
        <vt:i4>5</vt:i4>
      </vt:variant>
      <vt:variant>
        <vt:lpwstr>https://iujd.ca/sites/iujd/files/media/document/Rapport ELPJ 3 version integrale.pdf</vt:lpwstr>
      </vt:variant>
      <vt:variant>
        <vt:lpwstr/>
      </vt:variant>
      <vt:variant>
        <vt:i4>2162770</vt:i4>
      </vt:variant>
      <vt:variant>
        <vt:i4>45</vt:i4>
      </vt:variant>
      <vt:variant>
        <vt:i4>0</vt:i4>
      </vt:variant>
      <vt:variant>
        <vt:i4>5</vt:i4>
      </vt:variant>
      <vt:variant>
        <vt:lpwstr>https://www.crujef.ca/sites/crujef.ca/files/Publications/DRAPEAU_TURCOTTE_Rapport_ELPJ_2015_0.pdf</vt:lpwstr>
      </vt:variant>
      <vt:variant>
        <vt:lpwstr/>
      </vt:variant>
      <vt:variant>
        <vt:i4>3276853</vt:i4>
      </vt:variant>
      <vt:variant>
        <vt:i4>42</vt:i4>
      </vt:variant>
      <vt:variant>
        <vt:i4>0</vt:i4>
      </vt:variant>
      <vt:variant>
        <vt:i4>5</vt:i4>
      </vt:variant>
      <vt:variant>
        <vt:lpwstr>https://www.jefar.ulaval.ca/sites/jefar.ulaval.ca/files/uploads/rapports recherche/rapport_Turcotte_2011.pdf</vt:lpwstr>
      </vt:variant>
      <vt:variant>
        <vt:lpwstr/>
      </vt:variant>
      <vt:variant>
        <vt:i4>3539014</vt:i4>
      </vt:variant>
      <vt:variant>
        <vt:i4>39</vt:i4>
      </vt:variant>
      <vt:variant>
        <vt:i4>0</vt:i4>
      </vt:variant>
      <vt:variant>
        <vt:i4>5</vt:i4>
      </vt:variant>
      <vt:variant>
        <vt:lpwstr>https://www.cdpdj.qc.ca/storage/app/media/publications/PL_125_LPJ_memoire.pdf</vt:lpwstr>
      </vt:variant>
      <vt:variant>
        <vt:lpwstr/>
      </vt:variant>
      <vt:variant>
        <vt:i4>6815788</vt:i4>
      </vt:variant>
      <vt:variant>
        <vt:i4>36</vt:i4>
      </vt:variant>
      <vt:variant>
        <vt:i4>0</vt:i4>
      </vt:variant>
      <vt:variant>
        <vt:i4>5</vt:i4>
      </vt:variant>
      <vt:variant>
        <vt:lpwstr>https://publications.msss.gouv.qc.ca/msss/fichiers/2016/16-838-03F.pdf</vt:lpwstr>
      </vt:variant>
      <vt:variant>
        <vt:lpwstr/>
      </vt:variant>
      <vt:variant>
        <vt:i4>6553698</vt:i4>
      </vt:variant>
      <vt:variant>
        <vt:i4>33</vt:i4>
      </vt:variant>
      <vt:variant>
        <vt:i4>0</vt:i4>
      </vt:variant>
      <vt:variant>
        <vt:i4>5</vt:i4>
      </vt:variant>
      <vt:variant>
        <vt:lpwstr>https://www.csdepj.gouv.qc.ca/fileadmin/Fichiers_clients/Documents_deposes_a_la_Commission/P-424_Cadre_de_reference_ACJQ_2009.pdf</vt:lpwstr>
      </vt:variant>
      <vt:variant>
        <vt:lpwstr/>
      </vt:variant>
      <vt:variant>
        <vt:i4>1704004</vt:i4>
      </vt:variant>
      <vt:variant>
        <vt:i4>12</vt:i4>
      </vt:variant>
      <vt:variant>
        <vt:i4>0</vt:i4>
      </vt:variant>
      <vt:variant>
        <vt:i4>5</vt:i4>
      </vt:variant>
      <vt:variant>
        <vt:lpwstr>https://www.ordrepsy.qc.ca/-/placement-en-famille-d-accueil-jusqu-a-la-majorite-ou- adoption-quelques-notions-de-la-theorie-d-attachement-pour-soutenir-la-reflexion</vt:lpwstr>
      </vt:variant>
      <vt:variant>
        <vt:lpwstr/>
      </vt:variant>
      <vt:variant>
        <vt:i4>4653108</vt:i4>
      </vt:variant>
      <vt:variant>
        <vt:i4>3</vt:i4>
      </vt:variant>
      <vt:variant>
        <vt:i4>0</vt:i4>
      </vt:variant>
      <vt:variant>
        <vt:i4>5</vt:i4>
      </vt:variant>
      <vt:variant>
        <vt:lpwstr>https://www.cdpdj.qc.ca/storage/app/media/publications/Loi_protection_jeunesse_2020_article_156.pdf</vt:lpwstr>
      </vt:variant>
      <vt:variant>
        <vt:lpwstr/>
      </vt:variant>
      <vt:variant>
        <vt:i4>4653108</vt:i4>
      </vt:variant>
      <vt:variant>
        <vt:i4>0</vt:i4>
      </vt:variant>
      <vt:variant>
        <vt:i4>0</vt:i4>
      </vt:variant>
      <vt:variant>
        <vt:i4>5</vt:i4>
      </vt:variant>
      <vt:variant>
        <vt:lpwstr>https://www.cdpdj.qc.ca/storage/app/media/publications/Loi_protection_jeunesse_2020_article_156.pdf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 Évaluation de la mise en œuvre des dispositions de la Loi sur la protection de la jeunesse relatives à la stabilité des liens et des conditions de vie des enfants confiés à un milieu de vie substitut jusqu’à la majorité : regard sur la jurisprudence</dc:title>
  <dc:subject>Dans son quatrième rapport d’évaluation de la mise en œuvre de la Loi sur la protection de la jeunesse , la Commission des droits de la personne et des droits de la jeunesse se penche sur le respect des droits des enfants confiés à un milieu de vie substitut jusqu’à la majorité. Elle s’intéresse aux effets de la réforme de la LPJ de 2022 concernant la stabilité des liens de l’enfant et de ses conditions de vie appropriées à ses besoins et à son âge. L’analyse s’appuie sur une collecte de données jurisprudentielles, puis de façon complémentaire, sur un sondage effectué auprès de procureures et procureurs de l’enfant exerçant en droit de la jeunesse.</dc:subject>
  <dc:creator>Commission des droits de la personne et des droits de la jeunesse</dc:creator>
  <cp:keywords>Loi sur la protection de la jeunesse; Art 39 Protection de l'enfant; Art 47 Conjoints égalité; Droits de l'enfant; Droit international; Convention relative aux droits de l'enfant;Art 3 LPJ Intérêt de l'enfant; Art 4LPJ; Continuité des soins et stabilité des liens; Art 6 LPJ Droit d'être entendu; Art 9.1 LPJ Contacts personne significative; Enfants autochtones; Enfants racisés;  Compétence du tribunal; Intervention socilae; Famille d'accueil (ressource de type familial); Placement à majorité; Projet de vie; Abus psychologiques; Négligence</cp:keywords>
  <dc:description/>
  <cp:lastModifiedBy>Sophie Ambrosi</cp:lastModifiedBy>
  <cp:revision>6</cp:revision>
  <cp:lastPrinted>2025-10-27T18:30:00Z</cp:lastPrinted>
  <dcterms:created xsi:type="dcterms:W3CDTF">2025-10-27T18:29:00Z</dcterms:created>
  <dcterms:modified xsi:type="dcterms:W3CDTF">2025-10-28T13:53:00Z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_x0020_de_x0020_dossiers">
    <vt:lpwstr>17;#Analyse de la législation et de la règlementation|ef1a3308-d72f-4289-b256-eeb15e6c700d</vt:lpwstr>
  </property>
  <property fmtid="{D5CDD505-2E9C-101B-9397-08002B2CF9AE}" pid="3" name="mc2e767dea7f4827a4535bf70c6ec0e3">
    <vt:lpwstr>Analyse de la législation et de la règlementation|ef1a3308-d72f-4289-b256-eeb15e6c700d</vt:lpwstr>
  </property>
  <property fmtid="{D5CDD505-2E9C-101B-9397-08002B2CF9AE}" pid="4" name="TypeDocument">
    <vt:lpwstr/>
  </property>
  <property fmtid="{D5CDD505-2E9C-101B-9397-08002B2CF9AE}" pid="5" name="Auteur-s">
    <vt:lpwstr>361;#Montminy, Karina|e7fd4000-7c20-4f73-8725-9365f412d6e7</vt:lpwstr>
  </property>
  <property fmtid="{D5CDD505-2E9C-101B-9397-08002B2CF9AE}" pid="6" name="HUBStatutProjet">
    <vt:lpwstr/>
  </property>
  <property fmtid="{D5CDD505-2E9C-101B-9397-08002B2CF9AE}" pid="7" name="BiblioAnalytique">
    <vt:lpwstr/>
  </property>
  <property fmtid="{D5CDD505-2E9C-101B-9397-08002B2CF9AE}" pid="8" name="TypeDiffusion">
    <vt:lpwstr/>
  </property>
  <property fmtid="{D5CDD505-2E9C-101B-9397-08002B2CF9AE}" pid="9" name="Motifs">
    <vt:lpwstr/>
  </property>
  <property fmtid="{D5CDD505-2E9C-101B-9397-08002B2CF9AE}" pid="10" name="Thematiques">
    <vt:lpwstr>971;#Compétence du tribunal|05c4793f-698a-4c2e-a657-18a30c12e49a</vt:lpwstr>
  </property>
  <property fmtid="{D5CDD505-2E9C-101B-9397-08002B2CF9AE}" pid="11" name="Auteur_x002d_s">
    <vt:lpwstr>361;#Montminy, Karina|e7fd4000-7c20-4f73-8725-9365f412d6e7</vt:lpwstr>
  </property>
  <property fmtid="{D5CDD505-2E9C-101B-9397-08002B2CF9AE}" pid="12" name="l85f0e55eaa040ec862692f0b4c301ff">
    <vt:lpwstr/>
  </property>
  <property fmtid="{D5CDD505-2E9C-101B-9397-08002B2CF9AE}" pid="13" name="Type de dossiers">
    <vt:lpwstr>17;#Analyse de la législation et de la règlementation|ef1a3308-d72f-4289-b256-eeb15e6c700d</vt:lpwstr>
  </property>
  <property fmtid="{D5CDD505-2E9C-101B-9397-08002B2CF9AE}" pid="14" name="SecteursActivites">
    <vt:lpwstr>748;#Administration publique|6d689d38-6156-4094-9c37-fdcad8991eb4;#817;#Gouvernement|86360bce-5e6c-4b24-bad1-ef731369a042;#707;#Santé et services sociaux|16b87f1a-dec5-4ad7-9ffe-7e1ab3765edb</vt:lpwstr>
  </property>
  <property fmtid="{D5CDD505-2E9C-101B-9397-08002B2CF9AE}" pid="15" name="_docset_NoMedatataSyncRequired">
    <vt:lpwstr>False</vt:lpwstr>
  </property>
  <property fmtid="{D5CDD505-2E9C-101B-9397-08002B2CF9AE}" pid="16" name="ClassificationContentMarkingHeaderShapeIds">
    <vt:lpwstr>fad715,36df1203,4866d6da,74468cdc,27adcbd7,506b0925</vt:lpwstr>
  </property>
  <property fmtid="{D5CDD505-2E9C-101B-9397-08002B2CF9AE}" pid="17" name="ClassificationContentMarkingHeaderFontProps">
    <vt:lpwstr>#000000,10,Calibri</vt:lpwstr>
  </property>
  <property fmtid="{D5CDD505-2E9C-101B-9397-08002B2CF9AE}" pid="18" name="ClassificationContentMarkingHeaderText">
    <vt:lpwstr>Document à diffusion restreinte</vt:lpwstr>
  </property>
  <property fmtid="{D5CDD505-2E9C-101B-9397-08002B2CF9AE}" pid="19" name="p798e44a99534455a6bcb4225fae541e">
    <vt:lpwstr/>
  </property>
  <property fmtid="{D5CDD505-2E9C-101B-9397-08002B2CF9AE}" pid="20" name="HUBStatutDocument">
    <vt:lpwstr/>
  </property>
  <property fmtid="{D5CDD505-2E9C-101B-9397-08002B2CF9AE}" pid="21" name="Droits">
    <vt:lpwstr>786;#Loi sur la protection de la jeunesse|9b0ab4e6-32ba-4585-a952-399bc19a562c;#815;#Art 39 Protection de l'enfant|8a49b2cc-5197-4d1e-9203-75f35a085e90;#794;#Art 47 Conjoints égalité|88c16e14-94f9-4b32-9d20-50999d724368;#754;#Droits de l'enfant|c2f56ff6-0e50-403d-9142-840a7eba2908;#711;#Droit international|1b79d837-c32e-44e9-bb53-7912c7895a7d;#996;#Convention relative aux droits de l'enfant|4386de4e-9c6c-49ef-ba01-63ca1d30d955</vt:lpwstr>
  </property>
  <property fmtid="{D5CDD505-2E9C-101B-9397-08002B2CF9AE}" pid="22" name="JEWJCDocID">
    <vt:lpwstr>c575902b-435d-4df8-ad09-5db8df825e19</vt:lpwstr>
  </property>
  <property fmtid="{D5CDD505-2E9C-101B-9397-08002B2CF9AE}" pid="23" name="ContentTypeId">
    <vt:lpwstr>0x0101005B31C1E327F24A4395DD83803DF5CBECC100008FF0FC23E3FE48BD24CD9549EFFD2A</vt:lpwstr>
  </property>
  <property fmtid="{D5CDD505-2E9C-101B-9397-08002B2CF9AE}" pid="24" name="HUBClassification">
    <vt:lpwstr>676</vt:lpwstr>
  </property>
  <property fmtid="{D5CDD505-2E9C-101B-9397-08002B2CF9AE}" pid="25" name="MediaServiceImageTags">
    <vt:lpwstr/>
  </property>
  <property fmtid="{D5CDD505-2E9C-101B-9397-08002B2CF9AE}" pid="26" name="lcf76f155ced4ddcb4097134ff3c332f">
    <vt:lpwstr/>
  </property>
</Properties>
</file>