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1B68" w14:textId="1AC4489D" w:rsidR="002C656C" w:rsidRPr="00615873" w:rsidRDefault="00222B6E" w:rsidP="00222B6E">
      <w:pPr>
        <w:jc w:val="right"/>
        <w:rPr>
          <w:rFonts w:cs="Arial"/>
        </w:rPr>
      </w:pPr>
      <w:bookmarkStart w:id="0" w:name="_Toc347842335"/>
      <w:r>
        <w:rPr>
          <w:rFonts w:cs="Arial"/>
        </w:rPr>
        <w:t>Cat. 2.177.8</w:t>
      </w:r>
    </w:p>
    <w:p w14:paraId="009F980B" w14:textId="77777777" w:rsidR="00ED1B90" w:rsidRPr="00615873" w:rsidRDefault="00ED1B90" w:rsidP="00D40AC7">
      <w:pPr>
        <w:rPr>
          <w:rFonts w:cs="Arial"/>
        </w:rPr>
      </w:pPr>
    </w:p>
    <w:p w14:paraId="332C1809" w14:textId="263F63F1" w:rsidR="002C656C" w:rsidRPr="00615873" w:rsidRDefault="002C656C" w:rsidP="00D40AC7">
      <w:pPr>
        <w:rPr>
          <w:rFonts w:cs="Arial"/>
        </w:rPr>
      </w:pPr>
    </w:p>
    <w:p w14:paraId="68E9CC98" w14:textId="304BD319" w:rsidR="00612D68" w:rsidRDefault="00612D68" w:rsidP="00D40AC7">
      <w:pPr>
        <w:rPr>
          <w:rFonts w:cs="Arial"/>
        </w:rPr>
      </w:pPr>
    </w:p>
    <w:p w14:paraId="2A1B5417" w14:textId="77777777" w:rsidR="00222B6E" w:rsidRDefault="00222B6E" w:rsidP="00D40AC7">
      <w:pPr>
        <w:rPr>
          <w:rFonts w:cs="Arial"/>
        </w:rPr>
      </w:pPr>
    </w:p>
    <w:p w14:paraId="41C136DB" w14:textId="77777777" w:rsidR="00222B6E" w:rsidRPr="00615873" w:rsidRDefault="00222B6E" w:rsidP="00D40AC7">
      <w:pPr>
        <w:rPr>
          <w:rFonts w:cs="Arial"/>
        </w:rPr>
      </w:pPr>
    </w:p>
    <w:p w14:paraId="67EE453D" w14:textId="77777777" w:rsidR="00C964F1" w:rsidRDefault="00C964F1" w:rsidP="00D40AC7">
      <w:pPr>
        <w:rPr>
          <w:rFonts w:cs="Arial"/>
        </w:rPr>
      </w:pPr>
    </w:p>
    <w:p w14:paraId="3729F63E" w14:textId="77777777" w:rsidR="00262309" w:rsidRDefault="00262309" w:rsidP="00D40AC7">
      <w:pPr>
        <w:rPr>
          <w:rFonts w:cs="Arial"/>
        </w:rPr>
      </w:pPr>
    </w:p>
    <w:p w14:paraId="0CEEDF6A" w14:textId="77777777" w:rsidR="00262309" w:rsidRPr="00615873" w:rsidRDefault="00262309" w:rsidP="00D40AC7">
      <w:pPr>
        <w:rPr>
          <w:rFonts w:cs="Arial"/>
        </w:rPr>
      </w:pPr>
    </w:p>
    <w:p w14:paraId="025BE0C8" w14:textId="77777777" w:rsidR="000C70F1" w:rsidRPr="00615873" w:rsidRDefault="000C70F1" w:rsidP="00D40AC7">
      <w:pPr>
        <w:rPr>
          <w:rFonts w:cs="Arial"/>
        </w:rPr>
      </w:pPr>
    </w:p>
    <w:p w14:paraId="4F000B21" w14:textId="36A86E07" w:rsidR="008379C6" w:rsidRPr="00812D47" w:rsidRDefault="003F1E13" w:rsidP="00262309">
      <w:pPr>
        <w:jc w:val="center"/>
        <w:rPr>
          <w:rFonts w:ascii="Arial Gras" w:eastAsia="Calibri" w:hAnsi="Arial Gras" w:cs="Arial"/>
          <w:caps/>
          <w:lang w:eastAsia="en-US"/>
        </w:rPr>
      </w:pPr>
      <w:r w:rsidRPr="00812D47">
        <w:rPr>
          <w:rFonts w:ascii="Arial Gras" w:hAnsi="Arial Gras" w:cs="Arial"/>
          <w:b/>
          <w:bCs/>
          <w:caps/>
        </w:rPr>
        <w:t xml:space="preserve">COMMENTAIRES DANS LE CADRE DE LA CONSULTATION PUBLIQUE </w:t>
      </w:r>
      <w:r w:rsidRPr="00812D47">
        <w:rPr>
          <w:rFonts w:ascii="Arial Gras" w:hAnsi="Arial Gras" w:cs="Arial"/>
          <w:b/>
          <w:bCs/>
          <w:caps/>
        </w:rPr>
        <w:br/>
      </w:r>
      <w:r w:rsidR="00812D47" w:rsidRPr="00812D47">
        <w:rPr>
          <w:rFonts w:ascii="Arial Gras" w:eastAsia="Calibri" w:hAnsi="Arial Gras" w:cs="Arial"/>
          <w:b/>
          <w:bCs/>
          <w:caps/>
          <w:lang w:eastAsia="en-US"/>
        </w:rPr>
        <w:t>pour l’élaboration du quatrième plan d’action gouvernemental</w:t>
      </w:r>
      <w:r w:rsidR="00812D47" w:rsidRPr="00812D47">
        <w:rPr>
          <w:rFonts w:ascii="Arial Gras" w:hAnsi="Arial Gras" w:cs="Arial"/>
          <w:b/>
          <w:bCs/>
          <w:caps/>
        </w:rPr>
        <w:br/>
      </w:r>
      <w:r w:rsidR="00812D47" w:rsidRPr="00812D47">
        <w:rPr>
          <w:rFonts w:ascii="Arial Gras" w:eastAsia="Calibri" w:hAnsi="Arial Gras" w:cs="Arial"/>
          <w:b/>
          <w:bCs/>
          <w:caps/>
          <w:lang w:eastAsia="en-US"/>
        </w:rPr>
        <w:t>en matière de lutte contre la pauvreté et l’exclusion sociale</w:t>
      </w:r>
      <w:r w:rsidR="00812D47" w:rsidRPr="00812D47">
        <w:rPr>
          <w:rFonts w:ascii="Arial Gras" w:hAnsi="Arial Gras" w:cs="Arial"/>
          <w:b/>
          <w:bCs/>
          <w:caps/>
        </w:rPr>
        <w:br/>
      </w:r>
    </w:p>
    <w:p w14:paraId="59F84CA9" w14:textId="77777777" w:rsidR="008379C6" w:rsidRPr="00615873" w:rsidRDefault="008379C6" w:rsidP="00381BDA">
      <w:pPr>
        <w:pStyle w:val="Paragraphe"/>
        <w:rPr>
          <w:rFonts w:eastAsia="Calibri" w:cs="Arial"/>
          <w:lang w:val="fr-CA" w:eastAsia="en-US"/>
        </w:rPr>
      </w:pPr>
    </w:p>
    <w:p w14:paraId="4AAEF499" w14:textId="77777777" w:rsidR="008379C6" w:rsidRPr="00615873" w:rsidRDefault="008379C6" w:rsidP="00381BDA">
      <w:pPr>
        <w:pStyle w:val="Paragraphe"/>
        <w:rPr>
          <w:rFonts w:eastAsia="Calibri" w:cs="Arial"/>
          <w:lang w:val="fr-CA" w:eastAsia="en-US"/>
        </w:rPr>
      </w:pPr>
    </w:p>
    <w:p w14:paraId="20B4B992" w14:textId="77777777" w:rsidR="008379C6" w:rsidRPr="00615873" w:rsidRDefault="008379C6" w:rsidP="00381BDA">
      <w:pPr>
        <w:pStyle w:val="Paragraphe"/>
        <w:rPr>
          <w:rFonts w:eastAsia="Calibri" w:cs="Arial"/>
          <w:lang w:val="fr-CA" w:eastAsia="en-US"/>
        </w:rPr>
      </w:pPr>
    </w:p>
    <w:p w14:paraId="3E4D0EA5" w14:textId="77777777" w:rsidR="008379C6" w:rsidRPr="00615873" w:rsidRDefault="008379C6" w:rsidP="00381BDA">
      <w:pPr>
        <w:pStyle w:val="Paragraphe"/>
        <w:rPr>
          <w:rFonts w:eastAsia="Calibri" w:cs="Arial"/>
          <w:lang w:val="fr-CA" w:eastAsia="en-US"/>
        </w:rPr>
      </w:pPr>
    </w:p>
    <w:p w14:paraId="4C3F8667" w14:textId="6C552622" w:rsidR="008379C6" w:rsidRPr="00615873" w:rsidRDefault="008379C6" w:rsidP="00381BDA">
      <w:pPr>
        <w:pStyle w:val="Paragraphe"/>
        <w:rPr>
          <w:rFonts w:eastAsia="Calibri" w:cs="Arial"/>
          <w:lang w:val="fr-CA" w:eastAsia="en-US"/>
        </w:rPr>
      </w:pPr>
    </w:p>
    <w:p w14:paraId="19A4E3AC" w14:textId="65BEFC59" w:rsidR="00E228C1" w:rsidRPr="00615873" w:rsidRDefault="00E228C1" w:rsidP="00381BDA">
      <w:pPr>
        <w:pStyle w:val="Paragraphe"/>
        <w:rPr>
          <w:rFonts w:eastAsia="Calibri" w:cs="Arial"/>
          <w:lang w:val="fr-CA" w:eastAsia="en-US"/>
        </w:rPr>
      </w:pPr>
    </w:p>
    <w:p w14:paraId="6AE3CB61" w14:textId="3FFE3B67" w:rsidR="00E228C1" w:rsidRPr="00615873" w:rsidRDefault="00E228C1" w:rsidP="00381BDA">
      <w:pPr>
        <w:pStyle w:val="Paragraphe"/>
        <w:rPr>
          <w:rFonts w:eastAsia="Calibri" w:cs="Arial"/>
          <w:lang w:val="fr-CA" w:eastAsia="en-US"/>
        </w:rPr>
      </w:pPr>
    </w:p>
    <w:p w14:paraId="1739BF4E" w14:textId="1D6CC17F" w:rsidR="00E228C1" w:rsidRPr="00615873" w:rsidRDefault="00E228C1" w:rsidP="00381BDA">
      <w:pPr>
        <w:pStyle w:val="Paragraphe"/>
        <w:rPr>
          <w:rFonts w:eastAsia="Calibri" w:cs="Arial"/>
          <w:lang w:val="fr-CA" w:eastAsia="en-US"/>
        </w:rPr>
      </w:pPr>
    </w:p>
    <w:p w14:paraId="7047D46A" w14:textId="0EACD7F4" w:rsidR="00E228C1" w:rsidRPr="00615873" w:rsidRDefault="00E228C1" w:rsidP="00381BDA">
      <w:pPr>
        <w:pStyle w:val="Paragraphe"/>
        <w:rPr>
          <w:rFonts w:eastAsia="Calibri" w:cs="Arial"/>
          <w:lang w:val="fr-CA" w:eastAsia="en-US"/>
        </w:rPr>
      </w:pPr>
    </w:p>
    <w:p w14:paraId="4697A720" w14:textId="42F35AF4" w:rsidR="00E46C46" w:rsidRDefault="00E46C46" w:rsidP="00381BDA">
      <w:pPr>
        <w:pStyle w:val="Paragraphe"/>
        <w:rPr>
          <w:rFonts w:eastAsia="Calibri" w:cs="Arial"/>
          <w:lang w:val="fr-CA" w:eastAsia="en-US"/>
        </w:rPr>
      </w:pPr>
    </w:p>
    <w:p w14:paraId="6E0361F9" w14:textId="1C403B5C" w:rsidR="00C740FB" w:rsidRPr="00615873" w:rsidRDefault="0068717B" w:rsidP="00BA1A09">
      <w:pPr>
        <w:jc w:val="center"/>
        <w:rPr>
          <w:rFonts w:eastAsia="Calibri" w:cs="Arial"/>
          <w:lang w:eastAsia="en-US"/>
        </w:rPr>
        <w:sectPr w:rsidR="00C740FB" w:rsidRPr="00615873" w:rsidSect="00A72F4A">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872" w:right="1440" w:bottom="1440" w:left="1440" w:header="706" w:footer="706" w:gutter="0"/>
          <w:pgNumType w:start="1"/>
          <w:cols w:space="708"/>
          <w:titlePg/>
          <w:docGrid w:linePitch="360"/>
        </w:sectPr>
      </w:pPr>
      <w:r w:rsidRPr="00615873">
        <w:rPr>
          <w:rFonts w:eastAsia="Calibri" w:cs="Arial"/>
          <w:lang w:eastAsia="en-US"/>
        </w:rPr>
        <w:t>29 juin 2023</w:t>
      </w:r>
    </w:p>
    <w:p w14:paraId="056198F5" w14:textId="6931E052" w:rsidR="00B22677" w:rsidRPr="00615873" w:rsidRDefault="00B22677" w:rsidP="00F25FFB">
      <w:pPr>
        <w:spacing w:line="240" w:lineRule="auto"/>
        <w:rPr>
          <w:rFonts w:eastAsia="MS Mincho" w:cs="Arial"/>
          <w:snapToGrid w:val="0"/>
          <w:lang w:eastAsia="fr-FR"/>
        </w:rPr>
      </w:pPr>
    </w:p>
    <w:p w14:paraId="0C359645" w14:textId="77777777" w:rsidR="00B22677" w:rsidRPr="00615873" w:rsidRDefault="00B22677" w:rsidP="00F25FFB">
      <w:pPr>
        <w:spacing w:line="240" w:lineRule="auto"/>
        <w:rPr>
          <w:rFonts w:eastAsiaTheme="minorHAnsi" w:cs="Arial"/>
          <w:lang w:eastAsia="en-US"/>
        </w:rPr>
      </w:pPr>
    </w:p>
    <w:p w14:paraId="7ED28F6F" w14:textId="77777777" w:rsidR="00B22677" w:rsidRPr="00615873" w:rsidRDefault="00B22677" w:rsidP="00F25FFB">
      <w:pPr>
        <w:spacing w:line="240" w:lineRule="auto"/>
        <w:rPr>
          <w:rFonts w:eastAsiaTheme="minorHAnsi" w:cs="Arial"/>
          <w:lang w:eastAsia="en-US"/>
        </w:rPr>
      </w:pPr>
    </w:p>
    <w:p w14:paraId="444BD981" w14:textId="77777777" w:rsidR="00B22677" w:rsidRDefault="00B22677" w:rsidP="00F25FFB">
      <w:pPr>
        <w:spacing w:line="240" w:lineRule="auto"/>
        <w:rPr>
          <w:rFonts w:eastAsiaTheme="minorHAnsi" w:cs="Arial"/>
          <w:lang w:eastAsia="en-US"/>
        </w:rPr>
      </w:pPr>
    </w:p>
    <w:p w14:paraId="3183972D" w14:textId="77777777" w:rsidR="00615873" w:rsidRDefault="00615873" w:rsidP="00F25FFB">
      <w:pPr>
        <w:spacing w:line="240" w:lineRule="auto"/>
        <w:rPr>
          <w:rFonts w:eastAsiaTheme="minorHAnsi" w:cs="Arial"/>
          <w:lang w:eastAsia="en-US"/>
        </w:rPr>
      </w:pPr>
    </w:p>
    <w:p w14:paraId="072A9CAA" w14:textId="77777777" w:rsidR="00615873" w:rsidRDefault="00615873" w:rsidP="00F25FFB">
      <w:pPr>
        <w:spacing w:line="240" w:lineRule="auto"/>
        <w:rPr>
          <w:rFonts w:eastAsiaTheme="minorHAnsi" w:cs="Arial"/>
          <w:lang w:eastAsia="en-US"/>
        </w:rPr>
      </w:pPr>
    </w:p>
    <w:p w14:paraId="1A263CC9" w14:textId="77777777" w:rsidR="00615873" w:rsidRDefault="00615873" w:rsidP="00F25FFB">
      <w:pPr>
        <w:spacing w:line="240" w:lineRule="auto"/>
        <w:rPr>
          <w:rFonts w:eastAsiaTheme="minorHAnsi" w:cs="Arial"/>
          <w:lang w:eastAsia="en-US"/>
        </w:rPr>
      </w:pPr>
    </w:p>
    <w:p w14:paraId="5C3973A7" w14:textId="77777777" w:rsidR="00615873" w:rsidRDefault="00615873" w:rsidP="00F25FFB">
      <w:pPr>
        <w:spacing w:line="240" w:lineRule="auto"/>
        <w:rPr>
          <w:rFonts w:eastAsiaTheme="minorHAnsi" w:cs="Arial"/>
          <w:lang w:eastAsia="en-US"/>
        </w:rPr>
      </w:pPr>
    </w:p>
    <w:p w14:paraId="3683FF24" w14:textId="77777777" w:rsidR="00615873" w:rsidRPr="00615873" w:rsidRDefault="00615873" w:rsidP="00F25FFB">
      <w:pPr>
        <w:spacing w:line="240" w:lineRule="auto"/>
        <w:rPr>
          <w:rFonts w:eastAsiaTheme="minorHAnsi" w:cs="Arial"/>
          <w:lang w:eastAsia="en-US"/>
        </w:rPr>
      </w:pPr>
    </w:p>
    <w:p w14:paraId="2CE402A8" w14:textId="77777777" w:rsidR="00B22677" w:rsidRPr="00615873" w:rsidRDefault="00B22677" w:rsidP="00F25FFB">
      <w:pPr>
        <w:spacing w:line="240" w:lineRule="auto"/>
        <w:rPr>
          <w:rFonts w:eastAsiaTheme="minorHAnsi" w:cs="Arial"/>
          <w:lang w:eastAsia="en-US"/>
        </w:rPr>
      </w:pPr>
    </w:p>
    <w:p w14:paraId="4246A3E0" w14:textId="77777777" w:rsidR="00B22677" w:rsidRPr="00615873" w:rsidRDefault="00B22677" w:rsidP="00F25FFB">
      <w:pPr>
        <w:spacing w:line="240" w:lineRule="auto"/>
        <w:rPr>
          <w:rFonts w:eastAsiaTheme="minorHAnsi" w:cs="Arial"/>
          <w:lang w:eastAsia="en-US"/>
        </w:rPr>
      </w:pPr>
    </w:p>
    <w:p w14:paraId="2B098EBC" w14:textId="77777777" w:rsidR="00B22677" w:rsidRPr="00615873" w:rsidRDefault="00B22677" w:rsidP="00F25FFB">
      <w:pPr>
        <w:spacing w:line="240" w:lineRule="auto"/>
        <w:rPr>
          <w:rFonts w:eastAsiaTheme="minorHAnsi" w:cs="Arial"/>
          <w:lang w:eastAsia="en-US"/>
        </w:rPr>
      </w:pPr>
    </w:p>
    <w:p w14:paraId="28B58B47" w14:textId="77777777" w:rsidR="00B22677" w:rsidRPr="00615873" w:rsidRDefault="00B22677" w:rsidP="00F25FFB">
      <w:pPr>
        <w:spacing w:line="240" w:lineRule="auto"/>
        <w:rPr>
          <w:rFonts w:eastAsiaTheme="minorHAnsi" w:cs="Arial"/>
          <w:lang w:eastAsia="en-US"/>
        </w:rPr>
      </w:pPr>
    </w:p>
    <w:p w14:paraId="57ACF97C" w14:textId="77777777" w:rsidR="00B22677" w:rsidRPr="00615873" w:rsidRDefault="00B22677" w:rsidP="00F25FFB">
      <w:pPr>
        <w:spacing w:line="240" w:lineRule="auto"/>
        <w:rPr>
          <w:rFonts w:eastAsiaTheme="minorHAnsi" w:cs="Arial"/>
          <w:lang w:eastAsia="en-US"/>
        </w:rPr>
      </w:pPr>
    </w:p>
    <w:p w14:paraId="21EBE9F5" w14:textId="77777777" w:rsidR="00B22677" w:rsidRPr="00615873" w:rsidRDefault="00B22677" w:rsidP="00F25FFB">
      <w:pPr>
        <w:spacing w:line="240" w:lineRule="auto"/>
        <w:rPr>
          <w:rFonts w:eastAsiaTheme="minorHAnsi" w:cs="Arial"/>
          <w:lang w:eastAsia="en-US"/>
        </w:rPr>
      </w:pPr>
    </w:p>
    <w:p w14:paraId="727B22A9" w14:textId="77777777" w:rsidR="00B22677" w:rsidRPr="00615873" w:rsidRDefault="00B22677" w:rsidP="00F25FFB">
      <w:pPr>
        <w:spacing w:line="240" w:lineRule="auto"/>
        <w:rPr>
          <w:rFonts w:eastAsiaTheme="minorHAnsi" w:cs="Arial"/>
          <w:lang w:eastAsia="en-US"/>
        </w:rPr>
      </w:pPr>
    </w:p>
    <w:p w14:paraId="78ED923F" w14:textId="77777777" w:rsidR="00B22677" w:rsidRPr="00615873" w:rsidRDefault="00B22677" w:rsidP="00F25FFB">
      <w:pPr>
        <w:spacing w:line="240" w:lineRule="auto"/>
        <w:rPr>
          <w:rFonts w:eastAsiaTheme="minorHAnsi" w:cs="Arial"/>
          <w:lang w:eastAsia="en-US"/>
        </w:rPr>
      </w:pPr>
    </w:p>
    <w:p w14:paraId="4D10679B" w14:textId="77777777" w:rsidR="00B22677" w:rsidRPr="00615873" w:rsidRDefault="00B22677" w:rsidP="00F25FFB">
      <w:pPr>
        <w:spacing w:line="240" w:lineRule="auto"/>
        <w:rPr>
          <w:rFonts w:eastAsia="MS Mincho" w:cs="Arial"/>
          <w:snapToGrid w:val="0"/>
          <w:lang w:eastAsia="fr-FR"/>
        </w:rPr>
      </w:pPr>
    </w:p>
    <w:p w14:paraId="4C4D813B" w14:textId="77777777" w:rsidR="00B22677" w:rsidRPr="00615873" w:rsidRDefault="00B22677" w:rsidP="00F25FFB">
      <w:pPr>
        <w:spacing w:line="240" w:lineRule="auto"/>
        <w:rPr>
          <w:rFonts w:eastAsia="Calibri" w:cs="Arial"/>
          <w:lang w:eastAsia="en-US"/>
        </w:rPr>
      </w:pPr>
    </w:p>
    <w:p w14:paraId="54639038" w14:textId="77777777" w:rsidR="00B22677" w:rsidRPr="00615873" w:rsidRDefault="00B22677" w:rsidP="00F25FFB">
      <w:pPr>
        <w:spacing w:line="240" w:lineRule="auto"/>
        <w:rPr>
          <w:rFonts w:eastAsia="Calibri" w:cs="Arial"/>
          <w:lang w:eastAsia="en-US"/>
        </w:rPr>
      </w:pPr>
    </w:p>
    <w:p w14:paraId="0AA0A1BE" w14:textId="77777777" w:rsidR="00B22677" w:rsidRPr="00615873" w:rsidRDefault="00B22677" w:rsidP="00F25FFB">
      <w:pPr>
        <w:spacing w:line="240" w:lineRule="auto"/>
        <w:rPr>
          <w:rFonts w:eastAsia="Calibri" w:cs="Arial"/>
          <w:lang w:eastAsia="en-US"/>
        </w:rPr>
      </w:pPr>
    </w:p>
    <w:p w14:paraId="4F69B0FE" w14:textId="0368A389" w:rsidR="00B22677" w:rsidRPr="00615873" w:rsidRDefault="00B22677" w:rsidP="00F25FFB">
      <w:pPr>
        <w:spacing w:line="240" w:lineRule="auto"/>
        <w:rPr>
          <w:rFonts w:eastAsia="Calibri" w:cs="Arial"/>
          <w:lang w:eastAsia="en-US"/>
        </w:rPr>
      </w:pPr>
    </w:p>
    <w:p w14:paraId="25F04E4F" w14:textId="168564F7" w:rsidR="0082142A" w:rsidRPr="00615873" w:rsidRDefault="0082142A" w:rsidP="00F25FFB">
      <w:pPr>
        <w:spacing w:line="240" w:lineRule="auto"/>
        <w:rPr>
          <w:rFonts w:eastAsia="Calibri" w:cs="Arial"/>
          <w:lang w:eastAsia="en-US"/>
        </w:rPr>
      </w:pPr>
    </w:p>
    <w:p w14:paraId="167F12DA" w14:textId="77777777" w:rsidR="00820863" w:rsidRPr="00615873" w:rsidRDefault="00820863" w:rsidP="00F25FFB">
      <w:pPr>
        <w:spacing w:line="240" w:lineRule="auto"/>
        <w:rPr>
          <w:rFonts w:eastAsia="Calibri" w:cs="Arial"/>
          <w:lang w:eastAsia="en-US"/>
        </w:rPr>
      </w:pPr>
    </w:p>
    <w:p w14:paraId="18887061" w14:textId="454C0298" w:rsidR="000D37C5" w:rsidRDefault="000D37C5" w:rsidP="00F25FFB">
      <w:pPr>
        <w:spacing w:line="240" w:lineRule="auto"/>
        <w:rPr>
          <w:rFonts w:eastAsia="Calibri" w:cs="Arial"/>
          <w:lang w:eastAsia="en-US"/>
        </w:rPr>
      </w:pPr>
    </w:p>
    <w:p w14:paraId="14A455DE" w14:textId="77777777" w:rsidR="007527EE" w:rsidRDefault="007527EE" w:rsidP="00F25FFB">
      <w:pPr>
        <w:spacing w:line="240" w:lineRule="auto"/>
        <w:rPr>
          <w:rFonts w:eastAsia="Calibri" w:cs="Arial"/>
          <w:lang w:eastAsia="en-US"/>
        </w:rPr>
      </w:pPr>
    </w:p>
    <w:p w14:paraId="32EAF4FD" w14:textId="77777777" w:rsidR="007527EE" w:rsidRDefault="007527EE" w:rsidP="00F25FFB">
      <w:pPr>
        <w:spacing w:line="240" w:lineRule="auto"/>
        <w:rPr>
          <w:rFonts w:eastAsia="Calibri" w:cs="Arial"/>
          <w:lang w:eastAsia="en-US"/>
        </w:rPr>
      </w:pPr>
    </w:p>
    <w:p w14:paraId="7DD47457" w14:textId="77777777" w:rsidR="007527EE" w:rsidRDefault="007527EE" w:rsidP="00F25FFB">
      <w:pPr>
        <w:spacing w:line="240" w:lineRule="auto"/>
        <w:rPr>
          <w:rFonts w:eastAsia="Calibri" w:cs="Arial"/>
          <w:lang w:eastAsia="en-US"/>
        </w:rPr>
      </w:pPr>
    </w:p>
    <w:p w14:paraId="7F455427" w14:textId="77777777" w:rsidR="007527EE" w:rsidRDefault="007527EE" w:rsidP="00F25FFB">
      <w:pPr>
        <w:spacing w:line="240" w:lineRule="auto"/>
        <w:rPr>
          <w:rFonts w:eastAsia="Calibri" w:cs="Arial"/>
          <w:lang w:eastAsia="en-US"/>
        </w:rPr>
      </w:pPr>
    </w:p>
    <w:p w14:paraId="06E389EA" w14:textId="77777777" w:rsidR="007527EE" w:rsidRDefault="007527EE" w:rsidP="00F25FFB">
      <w:pPr>
        <w:spacing w:line="240" w:lineRule="auto"/>
        <w:rPr>
          <w:rFonts w:eastAsia="Calibri" w:cs="Arial"/>
          <w:lang w:eastAsia="en-US"/>
        </w:rPr>
      </w:pPr>
    </w:p>
    <w:p w14:paraId="2CB0DEFD" w14:textId="77777777" w:rsidR="007527EE" w:rsidRDefault="007527EE" w:rsidP="00F25FFB">
      <w:pPr>
        <w:spacing w:line="240" w:lineRule="auto"/>
        <w:rPr>
          <w:rFonts w:eastAsia="Calibri" w:cs="Arial"/>
          <w:lang w:eastAsia="en-US"/>
        </w:rPr>
      </w:pPr>
    </w:p>
    <w:p w14:paraId="52481CCF" w14:textId="77777777" w:rsidR="007527EE" w:rsidRDefault="007527EE" w:rsidP="00F25FFB">
      <w:pPr>
        <w:spacing w:line="240" w:lineRule="auto"/>
        <w:rPr>
          <w:rFonts w:eastAsia="Calibri" w:cs="Arial"/>
          <w:lang w:eastAsia="en-US"/>
        </w:rPr>
      </w:pPr>
    </w:p>
    <w:p w14:paraId="6DF8DF60" w14:textId="77777777" w:rsidR="00B22677" w:rsidRDefault="00B22677" w:rsidP="00F25FFB">
      <w:pPr>
        <w:spacing w:line="240" w:lineRule="auto"/>
        <w:rPr>
          <w:rFonts w:eastAsia="Calibri" w:cs="Arial"/>
          <w:lang w:eastAsia="en-US"/>
        </w:rPr>
      </w:pPr>
    </w:p>
    <w:p w14:paraId="43C80BDB" w14:textId="77777777" w:rsidR="006512FB" w:rsidRDefault="006512FB" w:rsidP="00F25FFB">
      <w:pPr>
        <w:spacing w:line="240" w:lineRule="auto"/>
        <w:rPr>
          <w:rFonts w:eastAsia="Calibri" w:cs="Arial"/>
          <w:lang w:eastAsia="en-US"/>
        </w:rPr>
      </w:pPr>
    </w:p>
    <w:p w14:paraId="5F225E47" w14:textId="77777777" w:rsidR="006512FB" w:rsidRDefault="006512FB" w:rsidP="00F25FFB">
      <w:pPr>
        <w:spacing w:line="240" w:lineRule="auto"/>
        <w:rPr>
          <w:rFonts w:eastAsia="Calibri" w:cs="Arial"/>
          <w:lang w:eastAsia="en-US"/>
        </w:rPr>
      </w:pPr>
    </w:p>
    <w:p w14:paraId="243B3CE7" w14:textId="77777777" w:rsidR="006512FB" w:rsidRDefault="006512FB" w:rsidP="00F25FFB">
      <w:pPr>
        <w:spacing w:line="240" w:lineRule="auto"/>
        <w:rPr>
          <w:rFonts w:eastAsia="Calibri" w:cs="Arial"/>
          <w:lang w:eastAsia="en-US"/>
        </w:rPr>
      </w:pPr>
    </w:p>
    <w:p w14:paraId="761D1AF6" w14:textId="77777777" w:rsidR="006512FB" w:rsidRPr="00615873" w:rsidRDefault="006512FB" w:rsidP="00F25FFB">
      <w:pPr>
        <w:spacing w:line="240" w:lineRule="auto"/>
        <w:rPr>
          <w:rFonts w:eastAsia="Calibri" w:cs="Arial"/>
          <w:lang w:eastAsia="en-US"/>
        </w:rPr>
      </w:pPr>
    </w:p>
    <w:p w14:paraId="79526B0D" w14:textId="77777777" w:rsidR="00B22677" w:rsidRPr="00615873" w:rsidRDefault="00B22677" w:rsidP="00F25FFB">
      <w:pPr>
        <w:spacing w:line="240" w:lineRule="auto"/>
        <w:rPr>
          <w:rFonts w:eastAsia="MS Mincho" w:cs="Arial"/>
        </w:rPr>
      </w:pPr>
      <w:r w:rsidRPr="00615873">
        <w:rPr>
          <w:rFonts w:eastAsia="MS Mincho" w:cs="Arial"/>
        </w:rPr>
        <w:t>Analyse, recherche et rédaction :</w:t>
      </w:r>
    </w:p>
    <w:p w14:paraId="69E1BBAB" w14:textId="77777777" w:rsidR="00B22677" w:rsidRPr="00615873" w:rsidRDefault="00B22677" w:rsidP="00F25FFB">
      <w:pPr>
        <w:spacing w:line="240" w:lineRule="auto"/>
        <w:rPr>
          <w:rFonts w:eastAsia="Calibri" w:cs="Arial"/>
          <w:lang w:eastAsia="en-US"/>
        </w:rPr>
      </w:pPr>
    </w:p>
    <w:p w14:paraId="65796A45" w14:textId="03A2C2FA" w:rsidR="004A322F" w:rsidRPr="00615873" w:rsidRDefault="00B22677" w:rsidP="00F25FFB">
      <w:pPr>
        <w:spacing w:line="240" w:lineRule="auto"/>
        <w:rPr>
          <w:rFonts w:eastAsia="Calibri" w:cs="Arial"/>
          <w:lang w:eastAsia="en-US"/>
        </w:rPr>
      </w:pPr>
      <w:r w:rsidRPr="00615873">
        <w:rPr>
          <w:rFonts w:eastAsia="Calibri" w:cs="Arial"/>
          <w:lang w:eastAsia="en-US"/>
        </w:rPr>
        <w:tab/>
      </w:r>
      <w:r w:rsidR="00615873" w:rsidRPr="00615873">
        <w:rPr>
          <w:rFonts w:eastAsia="Calibri" w:cs="Arial"/>
          <w:i/>
          <w:iCs/>
          <w:lang w:eastAsia="en-US"/>
        </w:rPr>
        <w:t>Daniel Ducharme</w:t>
      </w:r>
      <w:r w:rsidR="00615873">
        <w:rPr>
          <w:rFonts w:eastAsia="Calibri" w:cs="Arial"/>
          <w:lang w:eastAsia="en-US"/>
        </w:rPr>
        <w:t>, chercheur expert</w:t>
      </w:r>
    </w:p>
    <w:p w14:paraId="0F3FAE4E" w14:textId="4D224EBA" w:rsidR="00615873" w:rsidRPr="00615873" w:rsidRDefault="00615873" w:rsidP="00F25FFB">
      <w:pPr>
        <w:spacing w:line="240" w:lineRule="auto"/>
        <w:rPr>
          <w:rFonts w:cs="Arial"/>
          <w:i/>
          <w:iCs/>
        </w:rPr>
      </w:pPr>
      <w:r>
        <w:rPr>
          <w:rFonts w:cs="Arial"/>
        </w:rPr>
        <w:tab/>
      </w:r>
      <w:r w:rsidRPr="00615873">
        <w:rPr>
          <w:rFonts w:cs="Arial"/>
          <w:i/>
          <w:iCs/>
        </w:rPr>
        <w:t>M</w:t>
      </w:r>
      <w:r w:rsidRPr="00615873">
        <w:rPr>
          <w:rFonts w:cs="Arial"/>
          <w:i/>
          <w:iCs/>
          <w:vertAlign w:val="superscript"/>
        </w:rPr>
        <w:t>e</w:t>
      </w:r>
      <w:r w:rsidRPr="00615873">
        <w:rPr>
          <w:rFonts w:cs="Arial"/>
          <w:i/>
          <w:iCs/>
        </w:rPr>
        <w:t xml:space="preserve"> Evelyne Pedneault</w:t>
      </w:r>
      <w:r w:rsidR="00EF7348">
        <w:rPr>
          <w:rFonts w:cs="Arial"/>
          <w:i/>
          <w:iCs/>
        </w:rPr>
        <w:t xml:space="preserve">, </w:t>
      </w:r>
      <w:r w:rsidR="00EF7348" w:rsidRPr="00EF7348">
        <w:rPr>
          <w:rFonts w:cs="Arial"/>
        </w:rPr>
        <w:t>conseillère juridique</w:t>
      </w:r>
    </w:p>
    <w:p w14:paraId="31B7ED30" w14:textId="12A40401" w:rsidR="00615873" w:rsidRPr="00615873" w:rsidRDefault="00615873" w:rsidP="00F25FFB">
      <w:pPr>
        <w:spacing w:line="240" w:lineRule="auto"/>
        <w:rPr>
          <w:rFonts w:cs="Arial"/>
        </w:rPr>
      </w:pPr>
      <w:r>
        <w:rPr>
          <w:rFonts w:cs="Arial"/>
        </w:rPr>
        <w:tab/>
        <w:t>Direction de la recherche</w:t>
      </w:r>
    </w:p>
    <w:p w14:paraId="3EA746AA" w14:textId="77777777" w:rsidR="006512FB" w:rsidRDefault="006512FB" w:rsidP="00F25FFB">
      <w:pPr>
        <w:spacing w:line="240" w:lineRule="auto"/>
        <w:rPr>
          <w:rFonts w:eastAsia="Calibri" w:cs="Arial"/>
          <w:lang w:eastAsia="en-US"/>
        </w:rPr>
      </w:pPr>
    </w:p>
    <w:p w14:paraId="0EE7F1C4" w14:textId="68DE992D" w:rsidR="00B22677" w:rsidRPr="00615873" w:rsidRDefault="00B22677" w:rsidP="00F25FFB">
      <w:pPr>
        <w:spacing w:line="240" w:lineRule="auto"/>
        <w:rPr>
          <w:rFonts w:eastAsia="MS Mincho" w:cs="Arial"/>
        </w:rPr>
      </w:pPr>
      <w:r w:rsidRPr="00615873">
        <w:rPr>
          <w:rFonts w:eastAsia="MS Mincho" w:cs="Arial"/>
        </w:rPr>
        <w:t>Traitement de texte :</w:t>
      </w:r>
    </w:p>
    <w:p w14:paraId="7332A42C" w14:textId="77777777" w:rsidR="00B22677" w:rsidRPr="00615873" w:rsidRDefault="00B22677" w:rsidP="00F25FFB">
      <w:pPr>
        <w:spacing w:line="240" w:lineRule="auto"/>
        <w:rPr>
          <w:rFonts w:eastAsia="MS Mincho" w:cs="Arial"/>
        </w:rPr>
      </w:pPr>
    </w:p>
    <w:p w14:paraId="78D1201F" w14:textId="0EB2C5EB" w:rsidR="00B22677" w:rsidRPr="00615873" w:rsidRDefault="00B22677" w:rsidP="00F25FFB">
      <w:pPr>
        <w:spacing w:line="240" w:lineRule="auto"/>
        <w:rPr>
          <w:rFonts w:eastAsia="MS Mincho" w:cs="Arial"/>
          <w:i/>
          <w:iCs/>
        </w:rPr>
      </w:pPr>
      <w:r w:rsidRPr="00615873">
        <w:rPr>
          <w:rFonts w:eastAsia="MS Mincho" w:cs="Arial"/>
        </w:rPr>
        <w:tab/>
      </w:r>
      <w:r w:rsidR="00615873" w:rsidRPr="00615873">
        <w:rPr>
          <w:rFonts w:eastAsia="MS Mincho" w:cs="Arial"/>
          <w:i/>
          <w:iCs/>
        </w:rPr>
        <w:t>Sylvie Durand</w:t>
      </w:r>
    </w:p>
    <w:p w14:paraId="329FC88D" w14:textId="5425F99B" w:rsidR="00C740FB" w:rsidRPr="00615873" w:rsidRDefault="00C41228" w:rsidP="00F25FFB">
      <w:pPr>
        <w:spacing w:line="240" w:lineRule="auto"/>
        <w:rPr>
          <w:rFonts w:eastAsia="Calibri" w:cs="Arial"/>
        </w:rPr>
      </w:pPr>
      <w:r w:rsidRPr="00615873">
        <w:rPr>
          <w:rFonts w:eastAsia="MS Mincho" w:cs="Arial"/>
        </w:rPr>
        <w:tab/>
      </w:r>
      <w:r w:rsidR="00B22677" w:rsidRPr="00615873">
        <w:rPr>
          <w:rFonts w:eastAsia="MS Mincho" w:cs="Arial"/>
        </w:rPr>
        <w:t>Direction de la recherche</w:t>
      </w:r>
    </w:p>
    <w:p w14:paraId="482531BC" w14:textId="77777777" w:rsidR="00C740FB" w:rsidRPr="00615873" w:rsidRDefault="00C740FB" w:rsidP="00D40AC7">
      <w:pPr>
        <w:rPr>
          <w:rFonts w:eastAsia="Calibri" w:cs="Arial"/>
          <w:lang w:eastAsia="en-US"/>
        </w:rPr>
      </w:pPr>
    </w:p>
    <w:p w14:paraId="72D9B95A" w14:textId="3C140D5D" w:rsidR="008379C6" w:rsidRPr="00615873" w:rsidRDefault="008379C6" w:rsidP="00710427">
      <w:pPr>
        <w:rPr>
          <w:rFonts w:eastAsia="Calibri" w:cs="Arial"/>
        </w:rPr>
        <w:sectPr w:rsidR="008379C6" w:rsidRPr="00615873" w:rsidSect="00A72F4A">
          <w:headerReference w:type="first" r:id="rId18"/>
          <w:footerReference w:type="first" r:id="rId19"/>
          <w:type w:val="evenPage"/>
          <w:pgSz w:w="12240" w:h="15840" w:code="1"/>
          <w:pgMar w:top="1872" w:right="1440" w:bottom="1440" w:left="1440" w:header="706" w:footer="706" w:gutter="0"/>
          <w:pgNumType w:start="1"/>
          <w:cols w:space="708"/>
          <w:titlePg/>
          <w:docGrid w:linePitch="360"/>
        </w:sectPr>
      </w:pPr>
    </w:p>
    <w:p w14:paraId="21F475DE" w14:textId="070445E4" w:rsidR="00A72F4A" w:rsidRPr="00615873" w:rsidRDefault="00BB10A7" w:rsidP="00D254F3">
      <w:pPr>
        <w:pBdr>
          <w:bottom w:val="single" w:sz="4" w:space="1" w:color="auto"/>
        </w:pBdr>
        <w:rPr>
          <w:rFonts w:eastAsia="Calibri" w:cs="Arial"/>
          <w:b/>
          <w:bCs/>
        </w:rPr>
      </w:pPr>
      <w:r w:rsidRPr="00615873">
        <w:rPr>
          <w:rFonts w:eastAsia="Calibri" w:cs="Arial"/>
          <w:b/>
          <w:bCs/>
        </w:rPr>
        <w:lastRenderedPageBreak/>
        <w:t>TABLE DES MATIÈRES</w:t>
      </w:r>
    </w:p>
    <w:p w14:paraId="3E8ED3A6" w14:textId="77777777" w:rsidR="00A72F4A" w:rsidRPr="00615873" w:rsidRDefault="00A72F4A" w:rsidP="00D40AC7">
      <w:pPr>
        <w:rPr>
          <w:rFonts w:eastAsia="Calibri" w:cs="Arial"/>
          <w:lang w:eastAsia="en-US"/>
        </w:rPr>
      </w:pPr>
    </w:p>
    <w:p w14:paraId="7038BA7C" w14:textId="5B9118B9" w:rsidR="00AD6D69" w:rsidRPr="00AD6D69" w:rsidRDefault="00AD6D69" w:rsidP="00AD6D69">
      <w:pPr>
        <w:pStyle w:val="TM1"/>
        <w:tabs>
          <w:tab w:val="right" w:leader="dot" w:pos="9350"/>
        </w:tabs>
        <w:spacing w:after="0"/>
        <w:rPr>
          <w:rStyle w:val="Lienhypertexte"/>
          <w:rFonts w:ascii="Arial" w:hAnsi="Arial" w:cs="Arial"/>
          <w:noProof/>
          <w:color w:val="auto"/>
          <w:szCs w:val="22"/>
        </w:rPr>
      </w:pPr>
      <w:r w:rsidRPr="00AD6D69">
        <w:rPr>
          <w:rFonts w:ascii="Arial" w:eastAsia="Calibri" w:hAnsi="Arial" w:cs="Arial"/>
          <w:b w:val="0"/>
          <w:caps w:val="0"/>
          <w:szCs w:val="22"/>
          <w:lang w:eastAsia="en-US"/>
        </w:rPr>
        <w:fldChar w:fldCharType="begin"/>
      </w:r>
      <w:r w:rsidRPr="00AD6D69">
        <w:rPr>
          <w:rFonts w:ascii="Arial" w:eastAsia="Calibri" w:hAnsi="Arial" w:cs="Arial"/>
          <w:b w:val="0"/>
          <w:caps w:val="0"/>
          <w:szCs w:val="22"/>
          <w:lang w:eastAsia="en-US"/>
        </w:rPr>
        <w:instrText xml:space="preserve"> TOC \o "1-4" \h \z \u </w:instrText>
      </w:r>
      <w:r w:rsidRPr="00AD6D69">
        <w:rPr>
          <w:rFonts w:ascii="Arial" w:eastAsia="Calibri" w:hAnsi="Arial" w:cs="Arial"/>
          <w:b w:val="0"/>
          <w:caps w:val="0"/>
          <w:szCs w:val="22"/>
          <w:lang w:eastAsia="en-US"/>
        </w:rPr>
        <w:fldChar w:fldCharType="separate"/>
      </w:r>
      <w:hyperlink w:anchor="_Toc138945273" w:history="1">
        <w:r w:rsidRPr="00AD6D69">
          <w:rPr>
            <w:rStyle w:val="Lienhypertexte"/>
            <w:rFonts w:ascii="Arial" w:eastAsia="Calibri" w:hAnsi="Arial" w:cs="Arial"/>
            <w:noProof/>
            <w:color w:val="auto"/>
            <w:szCs w:val="22"/>
            <w:lang w:eastAsia="en-US"/>
          </w:rPr>
          <w:t>Introduction</w:t>
        </w:r>
        <w:r w:rsidRPr="00AD6D69">
          <w:rPr>
            <w:rFonts w:ascii="Arial" w:hAnsi="Arial" w:cs="Arial"/>
            <w:noProof/>
            <w:webHidden/>
            <w:szCs w:val="22"/>
          </w:rPr>
          <w:tab/>
        </w:r>
        <w:r w:rsidRPr="00AD6D69">
          <w:rPr>
            <w:rFonts w:ascii="Arial" w:hAnsi="Arial" w:cs="Arial"/>
            <w:noProof/>
            <w:webHidden/>
            <w:szCs w:val="22"/>
          </w:rPr>
          <w:fldChar w:fldCharType="begin"/>
        </w:r>
        <w:r w:rsidRPr="00AD6D69">
          <w:rPr>
            <w:rFonts w:ascii="Arial" w:hAnsi="Arial" w:cs="Arial"/>
            <w:noProof/>
            <w:webHidden/>
            <w:szCs w:val="22"/>
          </w:rPr>
          <w:instrText xml:space="preserve"> PAGEREF _Toc138945273 \h </w:instrText>
        </w:r>
        <w:r w:rsidRPr="00AD6D69">
          <w:rPr>
            <w:rFonts w:ascii="Arial" w:hAnsi="Arial" w:cs="Arial"/>
            <w:noProof/>
            <w:webHidden/>
            <w:szCs w:val="22"/>
          </w:rPr>
        </w:r>
        <w:r w:rsidRPr="00AD6D69">
          <w:rPr>
            <w:rFonts w:ascii="Arial" w:hAnsi="Arial" w:cs="Arial"/>
            <w:noProof/>
            <w:webHidden/>
            <w:szCs w:val="22"/>
          </w:rPr>
          <w:fldChar w:fldCharType="separate"/>
        </w:r>
        <w:r w:rsidR="002A1D2F">
          <w:rPr>
            <w:rFonts w:ascii="Arial" w:hAnsi="Arial" w:cs="Arial"/>
            <w:noProof/>
            <w:webHidden/>
            <w:szCs w:val="22"/>
          </w:rPr>
          <w:t>1</w:t>
        </w:r>
        <w:r w:rsidRPr="00AD6D69">
          <w:rPr>
            <w:rFonts w:ascii="Arial" w:hAnsi="Arial" w:cs="Arial"/>
            <w:noProof/>
            <w:webHidden/>
            <w:szCs w:val="22"/>
          </w:rPr>
          <w:fldChar w:fldCharType="end"/>
        </w:r>
      </w:hyperlink>
    </w:p>
    <w:p w14:paraId="71FD6ABC" w14:textId="77777777" w:rsidR="00AD6D69" w:rsidRPr="00AD6D69" w:rsidRDefault="00AD6D69" w:rsidP="00AD6D69">
      <w:pPr>
        <w:pStyle w:val="Paragraphe"/>
        <w:spacing w:before="0" w:after="0" w:line="240" w:lineRule="auto"/>
        <w:rPr>
          <w:rFonts w:eastAsiaTheme="minorEastAsia" w:cs="Arial"/>
          <w:color w:val="auto"/>
          <w:szCs w:val="22"/>
          <w:lang w:val="fr-CA"/>
        </w:rPr>
      </w:pPr>
    </w:p>
    <w:p w14:paraId="42D7363F" w14:textId="77777777" w:rsidR="00AD6D69" w:rsidRPr="00AD6D69" w:rsidRDefault="00AD6D69" w:rsidP="00AD6D69">
      <w:pPr>
        <w:pStyle w:val="Corpsdetexte"/>
        <w:spacing w:after="0" w:line="240" w:lineRule="auto"/>
        <w:rPr>
          <w:rFonts w:eastAsiaTheme="minorEastAsia" w:cs="Arial"/>
          <w:szCs w:val="22"/>
        </w:rPr>
      </w:pPr>
    </w:p>
    <w:p w14:paraId="4B571531" w14:textId="46E23F93" w:rsidR="00AD6D69" w:rsidRPr="00AD6D69" w:rsidRDefault="00B44682" w:rsidP="00AD6D69">
      <w:pPr>
        <w:pStyle w:val="TM1"/>
        <w:tabs>
          <w:tab w:val="left" w:pos="709"/>
          <w:tab w:val="right" w:leader="dot" w:pos="9350"/>
        </w:tabs>
        <w:spacing w:after="0"/>
        <w:rPr>
          <w:rStyle w:val="Lienhypertexte"/>
          <w:rFonts w:ascii="Arial" w:hAnsi="Arial" w:cs="Arial"/>
          <w:noProof/>
          <w:color w:val="auto"/>
          <w:szCs w:val="22"/>
        </w:rPr>
      </w:pPr>
      <w:hyperlink w:anchor="_Toc138945274" w:history="1">
        <w:r w:rsidR="00AD6D69" w:rsidRPr="00AD6D69">
          <w:rPr>
            <w:rStyle w:val="Lienhypertexte"/>
            <w:rFonts w:ascii="Arial" w:hAnsi="Arial" w:cs="Arial"/>
            <w:noProof/>
            <w:color w:val="auto"/>
            <w:szCs w:val="22"/>
          </w:rPr>
          <w:t>1</w:t>
        </w:r>
        <w:r w:rsidR="00AD6D69" w:rsidRPr="00AD6D69">
          <w:rPr>
            <w:rFonts w:ascii="Arial" w:eastAsiaTheme="minorEastAsia" w:hAnsi="Arial" w:cs="Arial"/>
            <w:b w:val="0"/>
            <w:caps w:val="0"/>
            <w:noProof/>
            <w:kern w:val="2"/>
            <w:szCs w:val="22"/>
            <w14:ligatures w14:val="standardContextual"/>
          </w:rPr>
          <w:tab/>
        </w:r>
        <w:r w:rsidR="00AD6D69" w:rsidRPr="00AD6D69">
          <w:rPr>
            <w:rStyle w:val="Lienhypertexte"/>
            <w:rFonts w:ascii="Arial" w:hAnsi="Arial" w:cs="Arial"/>
            <w:noProof/>
            <w:color w:val="auto"/>
            <w:szCs w:val="22"/>
          </w:rPr>
          <w:t>La nécessité d’une approche fondée sur les droits de la personne</w:t>
        </w:r>
        <w:r w:rsidR="00AD6D69" w:rsidRPr="00AD6D69">
          <w:rPr>
            <w:rFonts w:ascii="Arial" w:hAnsi="Arial" w:cs="Arial"/>
            <w:noProof/>
            <w:webHidden/>
            <w:szCs w:val="22"/>
          </w:rPr>
          <w:tab/>
        </w:r>
        <w:r w:rsidR="00AD6D69">
          <w:rPr>
            <w:rFonts w:ascii="Arial" w:hAnsi="Arial" w:cs="Arial"/>
            <w:noProof/>
            <w:webHidden/>
            <w:szCs w:val="22"/>
          </w:rPr>
          <w:tab/>
        </w:r>
        <w:r w:rsidR="00AD6D69">
          <w:rPr>
            <w:rFonts w:ascii="Arial" w:hAnsi="Arial" w:cs="Arial"/>
            <w:noProof/>
            <w:webHidden/>
            <w:szCs w:val="22"/>
          </w:rPr>
          <w:tab/>
        </w:r>
        <w:r w:rsidR="00AD6D69" w:rsidRPr="00AD6D69">
          <w:rPr>
            <w:rFonts w:ascii="Arial" w:hAnsi="Arial" w:cs="Arial"/>
            <w:noProof/>
            <w:webHidden/>
            <w:szCs w:val="22"/>
          </w:rPr>
          <w:fldChar w:fldCharType="begin"/>
        </w:r>
        <w:r w:rsidR="00AD6D69" w:rsidRPr="00AD6D69">
          <w:rPr>
            <w:rFonts w:ascii="Arial" w:hAnsi="Arial" w:cs="Arial"/>
            <w:noProof/>
            <w:webHidden/>
            <w:szCs w:val="22"/>
          </w:rPr>
          <w:instrText xml:space="preserve"> PAGEREF _Toc138945274 \h </w:instrText>
        </w:r>
        <w:r w:rsidR="00AD6D69" w:rsidRPr="00AD6D69">
          <w:rPr>
            <w:rFonts w:ascii="Arial" w:hAnsi="Arial" w:cs="Arial"/>
            <w:noProof/>
            <w:webHidden/>
            <w:szCs w:val="22"/>
          </w:rPr>
        </w:r>
        <w:r w:rsidR="00AD6D69" w:rsidRPr="00AD6D69">
          <w:rPr>
            <w:rFonts w:ascii="Arial" w:hAnsi="Arial" w:cs="Arial"/>
            <w:noProof/>
            <w:webHidden/>
            <w:szCs w:val="22"/>
          </w:rPr>
          <w:fldChar w:fldCharType="separate"/>
        </w:r>
        <w:r w:rsidR="002A1D2F">
          <w:rPr>
            <w:rFonts w:ascii="Arial" w:hAnsi="Arial" w:cs="Arial"/>
            <w:noProof/>
            <w:webHidden/>
            <w:szCs w:val="22"/>
          </w:rPr>
          <w:t>2</w:t>
        </w:r>
        <w:r w:rsidR="00AD6D69" w:rsidRPr="00AD6D69">
          <w:rPr>
            <w:rFonts w:ascii="Arial" w:hAnsi="Arial" w:cs="Arial"/>
            <w:noProof/>
            <w:webHidden/>
            <w:szCs w:val="22"/>
          </w:rPr>
          <w:fldChar w:fldCharType="end"/>
        </w:r>
      </w:hyperlink>
    </w:p>
    <w:p w14:paraId="6A0F0DFD" w14:textId="77777777" w:rsidR="00AD6D69" w:rsidRPr="00AD6D69" w:rsidRDefault="00AD6D69" w:rsidP="00AD6D69">
      <w:pPr>
        <w:pStyle w:val="Paragraphe"/>
        <w:spacing w:before="0" w:after="0" w:line="240" w:lineRule="auto"/>
        <w:rPr>
          <w:rFonts w:eastAsiaTheme="minorEastAsia" w:cs="Arial"/>
          <w:color w:val="auto"/>
          <w:szCs w:val="22"/>
          <w:lang w:val="fr-CA"/>
        </w:rPr>
      </w:pPr>
    </w:p>
    <w:p w14:paraId="1EA858E0" w14:textId="77777777" w:rsidR="00AD6D69" w:rsidRPr="00AD6D69" w:rsidRDefault="00AD6D69" w:rsidP="00AD6D69">
      <w:pPr>
        <w:pStyle w:val="Corpsdetexte"/>
        <w:spacing w:after="0" w:line="240" w:lineRule="auto"/>
        <w:rPr>
          <w:rFonts w:eastAsiaTheme="minorEastAsia" w:cs="Arial"/>
          <w:szCs w:val="22"/>
        </w:rPr>
      </w:pPr>
    </w:p>
    <w:p w14:paraId="66D4D33D" w14:textId="559BECB4" w:rsidR="00AD6D69" w:rsidRPr="00AD6D69" w:rsidRDefault="00B44682" w:rsidP="00AD6D69">
      <w:pPr>
        <w:pStyle w:val="TM1"/>
        <w:tabs>
          <w:tab w:val="left" w:pos="709"/>
          <w:tab w:val="right" w:leader="dot" w:pos="9350"/>
        </w:tabs>
        <w:spacing w:after="0"/>
        <w:ind w:left="706" w:hanging="706"/>
        <w:rPr>
          <w:rStyle w:val="Lienhypertexte"/>
          <w:rFonts w:ascii="Arial" w:hAnsi="Arial" w:cs="Arial"/>
          <w:noProof/>
          <w:color w:val="auto"/>
          <w:szCs w:val="22"/>
        </w:rPr>
      </w:pPr>
      <w:hyperlink w:anchor="_Toc138945275" w:history="1">
        <w:r w:rsidR="00AD6D69" w:rsidRPr="00AD6D69">
          <w:rPr>
            <w:rStyle w:val="Lienhypertexte"/>
            <w:rFonts w:ascii="Arial" w:hAnsi="Arial" w:cs="Arial"/>
            <w:noProof/>
            <w:color w:val="auto"/>
            <w:szCs w:val="22"/>
          </w:rPr>
          <w:t>2</w:t>
        </w:r>
        <w:r w:rsidR="00AD6D69" w:rsidRPr="00AD6D69">
          <w:rPr>
            <w:rFonts w:ascii="Arial" w:eastAsiaTheme="minorEastAsia" w:hAnsi="Arial" w:cs="Arial"/>
            <w:b w:val="0"/>
            <w:caps w:val="0"/>
            <w:noProof/>
            <w:kern w:val="2"/>
            <w:szCs w:val="22"/>
            <w14:ligatures w14:val="standardContextual"/>
          </w:rPr>
          <w:tab/>
        </w:r>
        <w:r w:rsidR="00AD6D69" w:rsidRPr="00AD6D69">
          <w:rPr>
            <w:rStyle w:val="Lienhypertexte"/>
            <w:rFonts w:ascii="Arial" w:hAnsi="Arial" w:cs="Arial"/>
            <w:noProof/>
            <w:color w:val="auto"/>
            <w:szCs w:val="22"/>
          </w:rPr>
          <w:t>La pauvreté comme obstacle à l’exercice effectif des droits de la personne : quelques exemples</w:t>
        </w:r>
        <w:r w:rsidR="00AD6D69" w:rsidRPr="00AD6D69">
          <w:rPr>
            <w:rFonts w:ascii="Arial" w:hAnsi="Arial" w:cs="Arial"/>
            <w:noProof/>
            <w:webHidden/>
            <w:szCs w:val="22"/>
          </w:rPr>
          <w:tab/>
        </w:r>
        <w:r w:rsidR="00AD6D69" w:rsidRPr="00AD6D69">
          <w:rPr>
            <w:rFonts w:ascii="Arial" w:hAnsi="Arial" w:cs="Arial"/>
            <w:noProof/>
            <w:webHidden/>
            <w:szCs w:val="22"/>
          </w:rPr>
          <w:fldChar w:fldCharType="begin"/>
        </w:r>
        <w:r w:rsidR="00AD6D69" w:rsidRPr="00AD6D69">
          <w:rPr>
            <w:rFonts w:ascii="Arial" w:hAnsi="Arial" w:cs="Arial"/>
            <w:noProof/>
            <w:webHidden/>
            <w:szCs w:val="22"/>
          </w:rPr>
          <w:instrText xml:space="preserve"> PAGEREF _Toc138945275 \h </w:instrText>
        </w:r>
        <w:r w:rsidR="00AD6D69" w:rsidRPr="00AD6D69">
          <w:rPr>
            <w:rFonts w:ascii="Arial" w:hAnsi="Arial" w:cs="Arial"/>
            <w:noProof/>
            <w:webHidden/>
            <w:szCs w:val="22"/>
          </w:rPr>
        </w:r>
        <w:r w:rsidR="00AD6D69" w:rsidRPr="00AD6D69">
          <w:rPr>
            <w:rFonts w:ascii="Arial" w:hAnsi="Arial" w:cs="Arial"/>
            <w:noProof/>
            <w:webHidden/>
            <w:szCs w:val="22"/>
          </w:rPr>
          <w:fldChar w:fldCharType="separate"/>
        </w:r>
        <w:r w:rsidR="002A1D2F">
          <w:rPr>
            <w:rFonts w:ascii="Arial" w:hAnsi="Arial" w:cs="Arial"/>
            <w:noProof/>
            <w:webHidden/>
            <w:szCs w:val="22"/>
          </w:rPr>
          <w:t>5</w:t>
        </w:r>
        <w:r w:rsidR="00AD6D69" w:rsidRPr="00AD6D69">
          <w:rPr>
            <w:rFonts w:ascii="Arial" w:hAnsi="Arial" w:cs="Arial"/>
            <w:noProof/>
            <w:webHidden/>
            <w:szCs w:val="22"/>
          </w:rPr>
          <w:fldChar w:fldCharType="end"/>
        </w:r>
      </w:hyperlink>
    </w:p>
    <w:p w14:paraId="5FF0BE0F" w14:textId="77777777" w:rsidR="00AD6D69" w:rsidRPr="00AD6D69" w:rsidRDefault="00AD6D69" w:rsidP="00AD6D69">
      <w:pPr>
        <w:pStyle w:val="Paragraphe"/>
        <w:spacing w:before="0" w:after="0" w:line="240" w:lineRule="auto"/>
        <w:rPr>
          <w:rFonts w:eastAsiaTheme="minorEastAsia" w:cs="Arial"/>
          <w:color w:val="auto"/>
          <w:szCs w:val="22"/>
          <w:lang w:val="fr-CA"/>
        </w:rPr>
      </w:pPr>
    </w:p>
    <w:p w14:paraId="0DB8AE38" w14:textId="4B0BD628" w:rsidR="00AD6D69" w:rsidRPr="00AD6D69" w:rsidRDefault="00B44682" w:rsidP="00AD6D69">
      <w:pPr>
        <w:pStyle w:val="TM2"/>
        <w:spacing w:after="0" w:line="240" w:lineRule="auto"/>
        <w:rPr>
          <w:rFonts w:ascii="Arial" w:eastAsiaTheme="minorEastAsia" w:hAnsi="Arial" w:cs="Arial"/>
          <w:b w:val="0"/>
          <w:bCs/>
          <w:kern w:val="2"/>
          <w:szCs w:val="22"/>
          <w14:ligatures w14:val="standardContextual"/>
        </w:rPr>
      </w:pPr>
      <w:hyperlink w:anchor="_Toc138945276" w:history="1">
        <w:r w:rsidR="00AD6D69" w:rsidRPr="00AD6D69">
          <w:rPr>
            <w:rStyle w:val="Lienhypertexte"/>
            <w:rFonts w:ascii="Arial" w:hAnsi="Arial" w:cs="Arial"/>
            <w:b w:val="0"/>
            <w:bCs/>
            <w:color w:val="auto"/>
            <w:szCs w:val="22"/>
          </w:rPr>
          <w:t>2.1</w:t>
        </w:r>
        <w:r w:rsidR="00AD6D69" w:rsidRPr="00AD6D69">
          <w:rPr>
            <w:rFonts w:ascii="Arial" w:eastAsiaTheme="minorEastAsia" w:hAnsi="Arial" w:cs="Arial"/>
            <w:b w:val="0"/>
            <w:bCs/>
            <w:kern w:val="2"/>
            <w:szCs w:val="22"/>
            <w14:ligatures w14:val="standardContextual"/>
          </w:rPr>
          <w:tab/>
        </w:r>
        <w:r w:rsidR="00AD6D69" w:rsidRPr="00AD6D69">
          <w:rPr>
            <w:rStyle w:val="Lienhypertexte"/>
            <w:rFonts w:ascii="Arial" w:hAnsi="Arial" w:cs="Arial"/>
            <w:b w:val="0"/>
            <w:bCs/>
            <w:color w:val="auto"/>
            <w:szCs w:val="22"/>
          </w:rPr>
          <w:t>Revenus et emplois</w:t>
        </w:r>
        <w:r w:rsidR="00AD6D69" w:rsidRPr="00AD6D69">
          <w:rPr>
            <w:rFonts w:ascii="Arial" w:hAnsi="Arial" w:cs="Arial"/>
            <w:b w:val="0"/>
            <w:bCs/>
            <w:webHidden/>
            <w:szCs w:val="22"/>
          </w:rPr>
          <w:tab/>
        </w:r>
        <w:r w:rsidR="00AD6D69" w:rsidRPr="00AD6D69">
          <w:rPr>
            <w:rFonts w:ascii="Arial" w:hAnsi="Arial" w:cs="Arial"/>
            <w:b w:val="0"/>
            <w:bCs/>
            <w:webHidden/>
            <w:szCs w:val="22"/>
          </w:rPr>
          <w:fldChar w:fldCharType="begin"/>
        </w:r>
        <w:r w:rsidR="00AD6D69" w:rsidRPr="00AD6D69">
          <w:rPr>
            <w:rFonts w:ascii="Arial" w:hAnsi="Arial" w:cs="Arial"/>
            <w:b w:val="0"/>
            <w:bCs/>
            <w:webHidden/>
            <w:szCs w:val="22"/>
          </w:rPr>
          <w:instrText xml:space="preserve"> PAGEREF _Toc138945276 \h </w:instrText>
        </w:r>
        <w:r w:rsidR="00AD6D69" w:rsidRPr="00AD6D69">
          <w:rPr>
            <w:rFonts w:ascii="Arial" w:hAnsi="Arial" w:cs="Arial"/>
            <w:b w:val="0"/>
            <w:bCs/>
            <w:webHidden/>
            <w:szCs w:val="22"/>
          </w:rPr>
        </w:r>
        <w:r w:rsidR="00AD6D69" w:rsidRPr="00AD6D69">
          <w:rPr>
            <w:rFonts w:ascii="Arial" w:hAnsi="Arial" w:cs="Arial"/>
            <w:b w:val="0"/>
            <w:bCs/>
            <w:webHidden/>
            <w:szCs w:val="22"/>
          </w:rPr>
          <w:fldChar w:fldCharType="separate"/>
        </w:r>
        <w:r w:rsidR="002A1D2F">
          <w:rPr>
            <w:rFonts w:ascii="Arial" w:hAnsi="Arial" w:cs="Arial"/>
            <w:b w:val="0"/>
            <w:bCs/>
            <w:webHidden/>
            <w:szCs w:val="22"/>
          </w:rPr>
          <w:t>5</w:t>
        </w:r>
        <w:r w:rsidR="00AD6D69" w:rsidRPr="00AD6D69">
          <w:rPr>
            <w:rFonts w:ascii="Arial" w:hAnsi="Arial" w:cs="Arial"/>
            <w:b w:val="0"/>
            <w:bCs/>
            <w:webHidden/>
            <w:szCs w:val="22"/>
          </w:rPr>
          <w:fldChar w:fldCharType="end"/>
        </w:r>
      </w:hyperlink>
    </w:p>
    <w:p w14:paraId="010052C5" w14:textId="10918915"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77"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2.1.1</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Le droit à un niveau de vie décent</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_Toc138945277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5</w:t>
        </w:r>
        <w:r w:rsidR="00AD6D69" w:rsidRPr="00AD6D69">
          <w:rPr>
            <w:rFonts w:cs="Arial"/>
            <w:bCs/>
            <w:noProof/>
            <w:webHidden/>
            <w:szCs w:val="22"/>
          </w:rPr>
          <w:fldChar w:fldCharType="end"/>
        </w:r>
      </w:hyperlink>
    </w:p>
    <w:p w14:paraId="0473FA6E" w14:textId="77CDE852"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78"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2.1.2</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Emploi et accès au marché du travail</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_Toc138945278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7</w:t>
        </w:r>
        <w:r w:rsidR="00AD6D69" w:rsidRPr="00AD6D69">
          <w:rPr>
            <w:rFonts w:cs="Arial"/>
            <w:bCs/>
            <w:noProof/>
            <w:webHidden/>
            <w:szCs w:val="22"/>
          </w:rPr>
          <w:fldChar w:fldCharType="end"/>
        </w:r>
      </w:hyperlink>
    </w:p>
    <w:p w14:paraId="705AFD8A" w14:textId="5DE434C8" w:rsidR="00AD6D69" w:rsidRPr="00AD6D69" w:rsidRDefault="00B44682" w:rsidP="00AD6D69">
      <w:pPr>
        <w:pStyle w:val="TM2"/>
        <w:spacing w:after="0" w:line="240" w:lineRule="auto"/>
        <w:rPr>
          <w:rFonts w:ascii="Arial" w:eastAsiaTheme="minorEastAsia" w:hAnsi="Arial" w:cs="Arial"/>
          <w:b w:val="0"/>
          <w:bCs/>
          <w:kern w:val="2"/>
          <w:szCs w:val="22"/>
          <w14:ligatures w14:val="standardContextual"/>
        </w:rPr>
      </w:pPr>
      <w:hyperlink w:anchor="_Toc138945279" w:history="1">
        <w:r w:rsidR="00AD6D69" w:rsidRPr="00AD6D69">
          <w:rPr>
            <w:rStyle w:val="Lienhypertexte"/>
            <w:rFonts w:ascii="Arial" w:hAnsi="Arial" w:cs="Arial"/>
            <w:b w:val="0"/>
            <w:bCs/>
            <w:color w:val="auto"/>
            <w:szCs w:val="22"/>
          </w:rPr>
          <w:t>2.2</w:t>
        </w:r>
        <w:r w:rsidR="00AD6D69" w:rsidRPr="00AD6D69">
          <w:rPr>
            <w:rFonts w:ascii="Arial" w:eastAsiaTheme="minorEastAsia" w:hAnsi="Arial" w:cs="Arial"/>
            <w:b w:val="0"/>
            <w:bCs/>
            <w:kern w:val="2"/>
            <w:szCs w:val="22"/>
            <w14:ligatures w14:val="standardContextual"/>
          </w:rPr>
          <w:tab/>
        </w:r>
        <w:r w:rsidR="00AD6D69" w:rsidRPr="00AD6D69">
          <w:rPr>
            <w:rStyle w:val="Lienhypertexte"/>
            <w:rFonts w:ascii="Arial" w:hAnsi="Arial" w:cs="Arial"/>
            <w:b w:val="0"/>
            <w:bCs/>
            <w:color w:val="auto"/>
            <w:szCs w:val="22"/>
          </w:rPr>
          <w:t>Éducation, famille et personnes aînées</w:t>
        </w:r>
        <w:r w:rsidR="00AD6D69" w:rsidRPr="00AD6D69">
          <w:rPr>
            <w:rFonts w:ascii="Arial" w:hAnsi="Arial" w:cs="Arial"/>
            <w:b w:val="0"/>
            <w:bCs/>
            <w:webHidden/>
            <w:szCs w:val="22"/>
          </w:rPr>
          <w:tab/>
        </w:r>
        <w:r w:rsidR="00AD6D69" w:rsidRPr="00AD6D69">
          <w:rPr>
            <w:rFonts w:ascii="Arial" w:hAnsi="Arial" w:cs="Arial"/>
            <w:b w:val="0"/>
            <w:bCs/>
            <w:webHidden/>
            <w:szCs w:val="22"/>
          </w:rPr>
          <w:fldChar w:fldCharType="begin"/>
        </w:r>
        <w:r w:rsidR="00AD6D69" w:rsidRPr="00AD6D69">
          <w:rPr>
            <w:rFonts w:ascii="Arial" w:hAnsi="Arial" w:cs="Arial"/>
            <w:b w:val="0"/>
            <w:bCs/>
            <w:webHidden/>
            <w:szCs w:val="22"/>
          </w:rPr>
          <w:instrText xml:space="preserve"> PAGEREF _Toc138945279 \h </w:instrText>
        </w:r>
        <w:r w:rsidR="00AD6D69" w:rsidRPr="00AD6D69">
          <w:rPr>
            <w:rFonts w:ascii="Arial" w:hAnsi="Arial" w:cs="Arial"/>
            <w:b w:val="0"/>
            <w:bCs/>
            <w:webHidden/>
            <w:szCs w:val="22"/>
          </w:rPr>
        </w:r>
        <w:r w:rsidR="00AD6D69" w:rsidRPr="00AD6D69">
          <w:rPr>
            <w:rFonts w:ascii="Arial" w:hAnsi="Arial" w:cs="Arial"/>
            <w:b w:val="0"/>
            <w:bCs/>
            <w:webHidden/>
            <w:szCs w:val="22"/>
          </w:rPr>
          <w:fldChar w:fldCharType="separate"/>
        </w:r>
        <w:r w:rsidR="002A1D2F">
          <w:rPr>
            <w:rFonts w:ascii="Arial" w:hAnsi="Arial" w:cs="Arial"/>
            <w:b w:val="0"/>
            <w:bCs/>
            <w:webHidden/>
            <w:szCs w:val="22"/>
          </w:rPr>
          <w:t>9</w:t>
        </w:r>
        <w:r w:rsidR="00AD6D69" w:rsidRPr="00AD6D69">
          <w:rPr>
            <w:rFonts w:ascii="Arial" w:hAnsi="Arial" w:cs="Arial"/>
            <w:b w:val="0"/>
            <w:bCs/>
            <w:webHidden/>
            <w:szCs w:val="22"/>
          </w:rPr>
          <w:fldChar w:fldCharType="end"/>
        </w:r>
      </w:hyperlink>
    </w:p>
    <w:p w14:paraId="6DBD8994" w14:textId="5681743E"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80"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2.2.1</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Éducation et formation : l’importance des mesures de soutien à l’apprentissage</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_Toc138945280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9</w:t>
        </w:r>
        <w:r w:rsidR="00AD6D69" w:rsidRPr="00AD6D69">
          <w:rPr>
            <w:rFonts w:cs="Arial"/>
            <w:bCs/>
            <w:noProof/>
            <w:webHidden/>
            <w:szCs w:val="22"/>
          </w:rPr>
          <w:fldChar w:fldCharType="end"/>
        </w:r>
      </w:hyperlink>
    </w:p>
    <w:p w14:paraId="1B53E9AE" w14:textId="48582BD7"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81"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2.2.2</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La nécessité des mesures destinées aux familles</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_Toc138945281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13</w:t>
        </w:r>
        <w:r w:rsidR="00AD6D69" w:rsidRPr="00AD6D69">
          <w:rPr>
            <w:rFonts w:cs="Arial"/>
            <w:bCs/>
            <w:noProof/>
            <w:webHidden/>
            <w:szCs w:val="22"/>
          </w:rPr>
          <w:fldChar w:fldCharType="end"/>
        </w:r>
      </w:hyperlink>
    </w:p>
    <w:p w14:paraId="7D3875E0" w14:textId="274B0BDA"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82"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2.2.3</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Des recommandations visant différentes sphères de la vie des aînées</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_Toc138945282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14</w:t>
        </w:r>
        <w:r w:rsidR="00AD6D69" w:rsidRPr="00AD6D69">
          <w:rPr>
            <w:rFonts w:cs="Arial"/>
            <w:bCs/>
            <w:noProof/>
            <w:webHidden/>
            <w:szCs w:val="22"/>
          </w:rPr>
          <w:fldChar w:fldCharType="end"/>
        </w:r>
      </w:hyperlink>
    </w:p>
    <w:p w14:paraId="7A0EFF05" w14:textId="3026F88D" w:rsidR="00AD6D69" w:rsidRPr="00AD6D69" w:rsidRDefault="00B44682" w:rsidP="00AD6D69">
      <w:pPr>
        <w:pStyle w:val="TM2"/>
        <w:spacing w:after="0" w:line="240" w:lineRule="auto"/>
        <w:rPr>
          <w:rFonts w:ascii="Arial" w:eastAsiaTheme="minorEastAsia" w:hAnsi="Arial" w:cs="Arial"/>
          <w:b w:val="0"/>
          <w:bCs/>
          <w:kern w:val="2"/>
          <w:szCs w:val="22"/>
          <w14:ligatures w14:val="standardContextual"/>
        </w:rPr>
      </w:pPr>
      <w:hyperlink w:anchor="_Toc138945283" w:history="1">
        <w:r w:rsidR="00AD6D69" w:rsidRPr="00AD6D69">
          <w:rPr>
            <w:rStyle w:val="Lienhypertexte"/>
            <w:rFonts w:ascii="Arial" w:hAnsi="Arial" w:cs="Arial"/>
            <w:b w:val="0"/>
            <w:bCs/>
            <w:color w:val="auto"/>
            <w:szCs w:val="22"/>
          </w:rPr>
          <w:t>2.3</w:t>
        </w:r>
        <w:r w:rsidR="00AD6D69" w:rsidRPr="00AD6D69">
          <w:rPr>
            <w:rFonts w:ascii="Arial" w:eastAsiaTheme="minorEastAsia" w:hAnsi="Arial" w:cs="Arial"/>
            <w:b w:val="0"/>
            <w:bCs/>
            <w:kern w:val="2"/>
            <w:szCs w:val="22"/>
            <w14:ligatures w14:val="standardContextual"/>
          </w:rPr>
          <w:tab/>
        </w:r>
        <w:r w:rsidR="00AD6D69" w:rsidRPr="00AD6D69">
          <w:rPr>
            <w:rStyle w:val="Lienhypertexte"/>
            <w:rFonts w:ascii="Arial" w:hAnsi="Arial" w:cs="Arial"/>
            <w:b w:val="0"/>
            <w:bCs/>
            <w:color w:val="auto"/>
            <w:szCs w:val="22"/>
          </w:rPr>
          <w:t>Besoins essentiels</w:t>
        </w:r>
        <w:r w:rsidR="00AD6D69" w:rsidRPr="00AD6D69">
          <w:rPr>
            <w:rFonts w:ascii="Arial" w:hAnsi="Arial" w:cs="Arial"/>
            <w:b w:val="0"/>
            <w:bCs/>
            <w:webHidden/>
            <w:szCs w:val="22"/>
          </w:rPr>
          <w:tab/>
        </w:r>
        <w:r w:rsidR="00AD6D69" w:rsidRPr="00AD6D69">
          <w:rPr>
            <w:rFonts w:ascii="Arial" w:hAnsi="Arial" w:cs="Arial"/>
            <w:b w:val="0"/>
            <w:bCs/>
            <w:webHidden/>
            <w:szCs w:val="22"/>
          </w:rPr>
          <w:fldChar w:fldCharType="begin"/>
        </w:r>
        <w:r w:rsidR="00AD6D69" w:rsidRPr="00AD6D69">
          <w:rPr>
            <w:rFonts w:ascii="Arial" w:hAnsi="Arial" w:cs="Arial"/>
            <w:b w:val="0"/>
            <w:bCs/>
            <w:webHidden/>
            <w:szCs w:val="22"/>
          </w:rPr>
          <w:instrText xml:space="preserve"> PAGEREF _Toc138945283 \h </w:instrText>
        </w:r>
        <w:r w:rsidR="00AD6D69" w:rsidRPr="00AD6D69">
          <w:rPr>
            <w:rFonts w:ascii="Arial" w:hAnsi="Arial" w:cs="Arial"/>
            <w:b w:val="0"/>
            <w:bCs/>
            <w:webHidden/>
            <w:szCs w:val="22"/>
          </w:rPr>
        </w:r>
        <w:r w:rsidR="00AD6D69" w:rsidRPr="00AD6D69">
          <w:rPr>
            <w:rFonts w:ascii="Arial" w:hAnsi="Arial" w:cs="Arial"/>
            <w:b w:val="0"/>
            <w:bCs/>
            <w:webHidden/>
            <w:szCs w:val="22"/>
          </w:rPr>
          <w:fldChar w:fldCharType="separate"/>
        </w:r>
        <w:r w:rsidR="002A1D2F">
          <w:rPr>
            <w:rFonts w:ascii="Arial" w:hAnsi="Arial" w:cs="Arial"/>
            <w:b w:val="0"/>
            <w:bCs/>
            <w:webHidden/>
            <w:szCs w:val="22"/>
          </w:rPr>
          <w:t>15</w:t>
        </w:r>
        <w:r w:rsidR="00AD6D69" w:rsidRPr="00AD6D69">
          <w:rPr>
            <w:rFonts w:ascii="Arial" w:hAnsi="Arial" w:cs="Arial"/>
            <w:b w:val="0"/>
            <w:bCs/>
            <w:webHidden/>
            <w:szCs w:val="22"/>
          </w:rPr>
          <w:fldChar w:fldCharType="end"/>
        </w:r>
      </w:hyperlink>
    </w:p>
    <w:p w14:paraId="2C5A4B58" w14:textId="1915CFA2" w:rsidR="00AD6D69" w:rsidRPr="00AD6D69" w:rsidRDefault="00B44682" w:rsidP="00AD6D69">
      <w:pPr>
        <w:pStyle w:val="TM3"/>
        <w:spacing w:after="0" w:line="240" w:lineRule="auto"/>
        <w:ind w:left="1276" w:hanging="567"/>
        <w:rPr>
          <w:rFonts w:eastAsiaTheme="minorEastAsia" w:cs="Arial"/>
          <w:bCs/>
          <w:noProof/>
          <w:kern w:val="2"/>
          <w:szCs w:val="22"/>
          <w14:ligatures w14:val="standardContextual"/>
        </w:rPr>
      </w:pPr>
      <w:hyperlink w:anchor="_Toc138945284"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2.3.1</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Lutter contre les inégalités de santé en reconnaissant explicitement le droit à la santé</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_Toc138945284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15</w:t>
        </w:r>
        <w:r w:rsidR="00AD6D69" w:rsidRPr="00AD6D69">
          <w:rPr>
            <w:rFonts w:cs="Arial"/>
            <w:bCs/>
            <w:noProof/>
            <w:webHidden/>
            <w:szCs w:val="22"/>
          </w:rPr>
          <w:fldChar w:fldCharType="end"/>
        </w:r>
      </w:hyperlink>
    </w:p>
    <w:p w14:paraId="1F09316F" w14:textId="307D0DDD"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85"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2.3.2</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Garantir l’exercice effectif du droit au logement</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_Toc138945285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17</w:t>
        </w:r>
        <w:r w:rsidR="00AD6D69" w:rsidRPr="00AD6D69">
          <w:rPr>
            <w:rFonts w:cs="Arial"/>
            <w:bCs/>
            <w:noProof/>
            <w:webHidden/>
            <w:szCs w:val="22"/>
          </w:rPr>
          <w:fldChar w:fldCharType="end"/>
        </w:r>
      </w:hyperlink>
    </w:p>
    <w:p w14:paraId="3EBA2739" w14:textId="62940A5E" w:rsidR="00AD6D69" w:rsidRPr="00AD6D69" w:rsidRDefault="00B44682" w:rsidP="00AD6D69">
      <w:pPr>
        <w:pStyle w:val="TM2"/>
        <w:spacing w:after="0" w:line="240" w:lineRule="auto"/>
        <w:rPr>
          <w:rFonts w:ascii="Arial" w:eastAsiaTheme="minorEastAsia" w:hAnsi="Arial" w:cs="Arial"/>
          <w:b w:val="0"/>
          <w:bCs/>
          <w:kern w:val="2"/>
          <w:szCs w:val="22"/>
          <w14:ligatures w14:val="standardContextual"/>
        </w:rPr>
      </w:pPr>
      <w:hyperlink w:anchor="_Toc138945286" w:history="1">
        <w:r w:rsidR="00AD6D69" w:rsidRPr="00AD6D69">
          <w:rPr>
            <w:rStyle w:val="Lienhypertexte"/>
            <w:rFonts w:ascii="Arial" w:hAnsi="Arial" w:cs="Arial"/>
            <w:b w:val="0"/>
            <w:bCs/>
            <w:color w:val="auto"/>
            <w:szCs w:val="22"/>
          </w:rPr>
          <w:t>2.4</w:t>
        </w:r>
        <w:r w:rsidR="00AD6D69" w:rsidRPr="00AD6D69">
          <w:rPr>
            <w:rFonts w:ascii="Arial" w:eastAsiaTheme="minorEastAsia" w:hAnsi="Arial" w:cs="Arial"/>
            <w:b w:val="0"/>
            <w:bCs/>
            <w:kern w:val="2"/>
            <w:szCs w:val="22"/>
            <w14:ligatures w14:val="standardContextual"/>
          </w:rPr>
          <w:tab/>
        </w:r>
        <w:r w:rsidR="00AD6D69" w:rsidRPr="00AD6D69">
          <w:rPr>
            <w:rStyle w:val="Lienhypertexte"/>
            <w:rFonts w:ascii="Arial" w:hAnsi="Arial" w:cs="Arial"/>
            <w:b w:val="0"/>
            <w:bCs/>
            <w:color w:val="auto"/>
            <w:szCs w:val="22"/>
          </w:rPr>
          <w:t>Assurer l’inclusion sociale</w:t>
        </w:r>
        <w:r w:rsidR="00AD6D69" w:rsidRPr="00AD6D69">
          <w:rPr>
            <w:rFonts w:ascii="Arial" w:hAnsi="Arial" w:cs="Arial"/>
            <w:b w:val="0"/>
            <w:bCs/>
            <w:webHidden/>
            <w:szCs w:val="22"/>
          </w:rPr>
          <w:tab/>
        </w:r>
        <w:r w:rsidR="00AD6D69" w:rsidRPr="00AD6D69">
          <w:rPr>
            <w:rFonts w:ascii="Arial" w:hAnsi="Arial" w:cs="Arial"/>
            <w:b w:val="0"/>
            <w:bCs/>
            <w:webHidden/>
            <w:szCs w:val="22"/>
          </w:rPr>
          <w:fldChar w:fldCharType="begin"/>
        </w:r>
        <w:r w:rsidR="00AD6D69" w:rsidRPr="00AD6D69">
          <w:rPr>
            <w:rFonts w:ascii="Arial" w:hAnsi="Arial" w:cs="Arial"/>
            <w:b w:val="0"/>
            <w:bCs/>
            <w:webHidden/>
            <w:szCs w:val="22"/>
          </w:rPr>
          <w:instrText xml:space="preserve"> PAGEREF _Toc138945286 \h </w:instrText>
        </w:r>
        <w:r w:rsidR="00AD6D69" w:rsidRPr="00AD6D69">
          <w:rPr>
            <w:rFonts w:ascii="Arial" w:hAnsi="Arial" w:cs="Arial"/>
            <w:b w:val="0"/>
            <w:bCs/>
            <w:webHidden/>
            <w:szCs w:val="22"/>
          </w:rPr>
        </w:r>
        <w:r w:rsidR="00AD6D69" w:rsidRPr="00AD6D69">
          <w:rPr>
            <w:rFonts w:ascii="Arial" w:hAnsi="Arial" w:cs="Arial"/>
            <w:b w:val="0"/>
            <w:bCs/>
            <w:webHidden/>
            <w:szCs w:val="22"/>
          </w:rPr>
          <w:fldChar w:fldCharType="separate"/>
        </w:r>
        <w:r w:rsidR="002A1D2F">
          <w:rPr>
            <w:rFonts w:ascii="Arial" w:hAnsi="Arial" w:cs="Arial"/>
            <w:b w:val="0"/>
            <w:bCs/>
            <w:webHidden/>
            <w:szCs w:val="22"/>
          </w:rPr>
          <w:t>19</w:t>
        </w:r>
        <w:r w:rsidR="00AD6D69" w:rsidRPr="00AD6D69">
          <w:rPr>
            <w:rFonts w:ascii="Arial" w:hAnsi="Arial" w:cs="Arial"/>
            <w:b w:val="0"/>
            <w:bCs/>
            <w:webHidden/>
            <w:szCs w:val="22"/>
          </w:rPr>
          <w:fldChar w:fldCharType="end"/>
        </w:r>
      </w:hyperlink>
    </w:p>
    <w:p w14:paraId="067F7C85" w14:textId="1EB0FEF1"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87"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2.4.1</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Mettre fin aux préjugés visant les personnes en situation de pauvreté</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_Toc138945287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19</w:t>
        </w:r>
        <w:r w:rsidR="00AD6D69" w:rsidRPr="00AD6D69">
          <w:rPr>
            <w:rFonts w:cs="Arial"/>
            <w:bCs/>
            <w:noProof/>
            <w:webHidden/>
            <w:szCs w:val="22"/>
          </w:rPr>
          <w:fldChar w:fldCharType="end"/>
        </w:r>
      </w:hyperlink>
    </w:p>
    <w:p w14:paraId="63D8A061" w14:textId="03979ED6" w:rsidR="00AD6D69" w:rsidRPr="00AD6D69" w:rsidRDefault="00B44682" w:rsidP="00AD6D69">
      <w:pPr>
        <w:pStyle w:val="TM3"/>
        <w:spacing w:after="0" w:line="240" w:lineRule="auto"/>
        <w:rPr>
          <w:rFonts w:eastAsiaTheme="minorEastAsia" w:cs="Arial"/>
          <w:bCs/>
          <w:noProof/>
          <w:kern w:val="2"/>
          <w:szCs w:val="22"/>
          <w14:ligatures w14:val="standardContextual"/>
        </w:rPr>
      </w:pPr>
      <w:hyperlink w:anchor="_Toc138945288" w:history="1">
        <w:r w:rsidR="00AD6D69" w:rsidRPr="00AD6D69">
          <w:rPr>
            <w:rStyle w:val="Lienhypertexte"/>
            <w:rFonts w:cs="Arial"/>
            <w:bCs/>
            <w:noProof/>
            <w:color w:val="auto"/>
            <w:szCs w:val="22"/>
            <w14:scene3d>
              <w14:camera w14:prst="orthographicFront"/>
              <w14:lightRig w14:rig="threePt" w14:dir="t">
                <w14:rot w14:lat="0" w14:lon="0" w14:rev="0"/>
              </w14:lightRig>
            </w14:scene3d>
          </w:rPr>
          <w:t>2.4.2</w:t>
        </w:r>
        <w:r w:rsidR="00AD6D69" w:rsidRPr="00AD6D69">
          <w:rPr>
            <w:rFonts w:eastAsiaTheme="minorEastAsia" w:cs="Arial"/>
            <w:bCs/>
            <w:noProof/>
            <w:kern w:val="2"/>
            <w:szCs w:val="22"/>
            <w14:ligatures w14:val="standardContextual"/>
          </w:rPr>
          <w:tab/>
        </w:r>
        <w:r w:rsidR="00AD6D69" w:rsidRPr="00AD6D69">
          <w:rPr>
            <w:rStyle w:val="Lienhypertexte"/>
            <w:rFonts w:cs="Arial"/>
            <w:bCs/>
            <w:noProof/>
            <w:color w:val="auto"/>
            <w:szCs w:val="22"/>
          </w:rPr>
          <w:t>Le profilage social : une discrimination interdite visant plus particulièrement les personnes en situation de pauvreté et d’itinérance</w:t>
        </w:r>
        <w:r w:rsidR="00AD6D69" w:rsidRPr="00AD6D69">
          <w:rPr>
            <w:rFonts w:cs="Arial"/>
            <w:bCs/>
            <w:noProof/>
            <w:webHidden/>
            <w:szCs w:val="22"/>
          </w:rPr>
          <w:tab/>
        </w:r>
        <w:r w:rsidR="00AD6D69" w:rsidRPr="00AD6D69">
          <w:rPr>
            <w:rFonts w:cs="Arial"/>
            <w:bCs/>
            <w:noProof/>
            <w:webHidden/>
            <w:szCs w:val="22"/>
          </w:rPr>
          <w:fldChar w:fldCharType="begin"/>
        </w:r>
        <w:r w:rsidR="00AD6D69" w:rsidRPr="00AD6D69">
          <w:rPr>
            <w:rFonts w:cs="Arial"/>
            <w:bCs/>
            <w:noProof/>
            <w:webHidden/>
            <w:szCs w:val="22"/>
          </w:rPr>
          <w:instrText xml:space="preserve"> PAGEREF _Toc138945288 \h </w:instrText>
        </w:r>
        <w:r w:rsidR="00AD6D69" w:rsidRPr="00AD6D69">
          <w:rPr>
            <w:rFonts w:cs="Arial"/>
            <w:bCs/>
            <w:noProof/>
            <w:webHidden/>
            <w:szCs w:val="22"/>
          </w:rPr>
        </w:r>
        <w:r w:rsidR="00AD6D69" w:rsidRPr="00AD6D69">
          <w:rPr>
            <w:rFonts w:cs="Arial"/>
            <w:bCs/>
            <w:noProof/>
            <w:webHidden/>
            <w:szCs w:val="22"/>
          </w:rPr>
          <w:fldChar w:fldCharType="separate"/>
        </w:r>
        <w:r w:rsidR="002A1D2F">
          <w:rPr>
            <w:rFonts w:cs="Arial"/>
            <w:bCs/>
            <w:noProof/>
            <w:webHidden/>
            <w:szCs w:val="22"/>
          </w:rPr>
          <w:t>22</w:t>
        </w:r>
        <w:r w:rsidR="00AD6D69" w:rsidRPr="00AD6D69">
          <w:rPr>
            <w:rFonts w:cs="Arial"/>
            <w:bCs/>
            <w:noProof/>
            <w:webHidden/>
            <w:szCs w:val="22"/>
          </w:rPr>
          <w:fldChar w:fldCharType="end"/>
        </w:r>
      </w:hyperlink>
    </w:p>
    <w:p w14:paraId="088D8D92" w14:textId="43B5101A" w:rsidR="00AD6D69" w:rsidRPr="00AD6D69" w:rsidRDefault="00B44682" w:rsidP="00AD6D69">
      <w:pPr>
        <w:pStyle w:val="TM2"/>
        <w:spacing w:after="0" w:line="240" w:lineRule="auto"/>
        <w:rPr>
          <w:rStyle w:val="Lienhypertexte"/>
          <w:rFonts w:ascii="Arial" w:hAnsi="Arial" w:cs="Arial"/>
          <w:b w:val="0"/>
          <w:bCs/>
          <w:color w:val="auto"/>
          <w:szCs w:val="22"/>
        </w:rPr>
      </w:pPr>
      <w:hyperlink w:anchor="_Toc138945289" w:history="1">
        <w:r w:rsidR="00AD6D69" w:rsidRPr="00AD6D69">
          <w:rPr>
            <w:rStyle w:val="Lienhypertexte"/>
            <w:rFonts w:ascii="Arial" w:hAnsi="Arial" w:cs="Arial"/>
            <w:b w:val="0"/>
            <w:bCs/>
            <w:color w:val="auto"/>
            <w:szCs w:val="22"/>
          </w:rPr>
          <w:t>2.5</w:t>
        </w:r>
        <w:r w:rsidR="00AD6D69" w:rsidRPr="00AD6D69">
          <w:rPr>
            <w:rFonts w:ascii="Arial" w:eastAsiaTheme="minorEastAsia" w:hAnsi="Arial" w:cs="Arial"/>
            <w:b w:val="0"/>
            <w:bCs/>
            <w:kern w:val="2"/>
            <w:szCs w:val="22"/>
            <w14:ligatures w14:val="standardContextual"/>
          </w:rPr>
          <w:tab/>
        </w:r>
        <w:r w:rsidR="00AD6D69" w:rsidRPr="00AD6D69">
          <w:rPr>
            <w:rStyle w:val="Lienhypertexte"/>
            <w:rFonts w:ascii="Arial" w:hAnsi="Arial" w:cs="Arial"/>
            <w:b w:val="0"/>
            <w:bCs/>
            <w:color w:val="auto"/>
            <w:szCs w:val="22"/>
          </w:rPr>
          <w:t>La nécessité de mesures visant plus particulièrement les Premières Nations et Inuit</w:t>
        </w:r>
        <w:r w:rsidR="00AD6D69" w:rsidRPr="00AD6D69">
          <w:rPr>
            <w:rFonts w:ascii="Arial" w:hAnsi="Arial" w:cs="Arial"/>
            <w:b w:val="0"/>
            <w:bCs/>
            <w:webHidden/>
            <w:szCs w:val="22"/>
          </w:rPr>
          <w:tab/>
        </w:r>
        <w:r w:rsidR="00AD6D69" w:rsidRPr="00AD6D69">
          <w:rPr>
            <w:rFonts w:ascii="Arial" w:hAnsi="Arial" w:cs="Arial"/>
            <w:b w:val="0"/>
            <w:bCs/>
            <w:webHidden/>
            <w:szCs w:val="22"/>
          </w:rPr>
          <w:fldChar w:fldCharType="begin"/>
        </w:r>
        <w:r w:rsidR="00AD6D69" w:rsidRPr="00AD6D69">
          <w:rPr>
            <w:rFonts w:ascii="Arial" w:hAnsi="Arial" w:cs="Arial"/>
            <w:b w:val="0"/>
            <w:bCs/>
            <w:webHidden/>
            <w:szCs w:val="22"/>
          </w:rPr>
          <w:instrText xml:space="preserve"> PAGEREF _Toc138945289 \h </w:instrText>
        </w:r>
        <w:r w:rsidR="00AD6D69" w:rsidRPr="00AD6D69">
          <w:rPr>
            <w:rFonts w:ascii="Arial" w:hAnsi="Arial" w:cs="Arial"/>
            <w:b w:val="0"/>
            <w:bCs/>
            <w:webHidden/>
            <w:szCs w:val="22"/>
          </w:rPr>
        </w:r>
        <w:r w:rsidR="00AD6D69" w:rsidRPr="00AD6D69">
          <w:rPr>
            <w:rFonts w:ascii="Arial" w:hAnsi="Arial" w:cs="Arial"/>
            <w:b w:val="0"/>
            <w:bCs/>
            <w:webHidden/>
            <w:szCs w:val="22"/>
          </w:rPr>
          <w:fldChar w:fldCharType="separate"/>
        </w:r>
        <w:r w:rsidR="002A1D2F">
          <w:rPr>
            <w:rFonts w:ascii="Arial" w:hAnsi="Arial" w:cs="Arial"/>
            <w:b w:val="0"/>
            <w:bCs/>
            <w:webHidden/>
            <w:szCs w:val="22"/>
          </w:rPr>
          <w:t>25</w:t>
        </w:r>
        <w:r w:rsidR="00AD6D69" w:rsidRPr="00AD6D69">
          <w:rPr>
            <w:rFonts w:ascii="Arial" w:hAnsi="Arial" w:cs="Arial"/>
            <w:b w:val="0"/>
            <w:bCs/>
            <w:webHidden/>
            <w:szCs w:val="22"/>
          </w:rPr>
          <w:fldChar w:fldCharType="end"/>
        </w:r>
      </w:hyperlink>
    </w:p>
    <w:p w14:paraId="02106EFA" w14:textId="77777777" w:rsidR="00AD6D69" w:rsidRPr="00AD6D69" w:rsidRDefault="00AD6D69" w:rsidP="00AD6D69">
      <w:pPr>
        <w:spacing w:line="240" w:lineRule="auto"/>
        <w:rPr>
          <w:rFonts w:eastAsiaTheme="minorEastAsia" w:cs="Arial"/>
          <w:bCs/>
          <w:szCs w:val="22"/>
        </w:rPr>
      </w:pPr>
    </w:p>
    <w:p w14:paraId="4216E4DC" w14:textId="77777777" w:rsidR="00AD6D69" w:rsidRPr="00AD6D69" w:rsidRDefault="00AD6D69" w:rsidP="00AD6D69">
      <w:pPr>
        <w:spacing w:line="240" w:lineRule="auto"/>
        <w:rPr>
          <w:rFonts w:eastAsiaTheme="minorEastAsia" w:cs="Arial"/>
          <w:bCs/>
          <w:szCs w:val="22"/>
        </w:rPr>
      </w:pPr>
    </w:p>
    <w:p w14:paraId="397CD5D5" w14:textId="31F6BB66" w:rsidR="00AD6D69" w:rsidRPr="00AD6D69" w:rsidRDefault="00B44682" w:rsidP="00AD6D69">
      <w:pPr>
        <w:pStyle w:val="TM1"/>
        <w:tabs>
          <w:tab w:val="left" w:pos="709"/>
          <w:tab w:val="right" w:leader="dot" w:pos="9350"/>
        </w:tabs>
        <w:spacing w:after="0"/>
        <w:ind w:left="706" w:hanging="706"/>
        <w:rPr>
          <w:rStyle w:val="Lienhypertexte"/>
          <w:rFonts w:ascii="Arial" w:hAnsi="Arial" w:cs="Arial"/>
          <w:color w:val="auto"/>
          <w:szCs w:val="22"/>
        </w:rPr>
      </w:pPr>
      <w:hyperlink w:anchor="_Toc138945290" w:history="1">
        <w:r w:rsidR="00AD6D69" w:rsidRPr="00AD6D69">
          <w:rPr>
            <w:rStyle w:val="Lienhypertexte"/>
            <w:rFonts w:ascii="Arial" w:hAnsi="Arial" w:cs="Arial"/>
            <w:noProof/>
            <w:color w:val="auto"/>
            <w:szCs w:val="22"/>
          </w:rPr>
          <w:t>3</w:t>
        </w:r>
        <w:r w:rsidR="00AD6D69" w:rsidRPr="00AD6D69">
          <w:rPr>
            <w:rStyle w:val="Lienhypertexte"/>
            <w:rFonts w:ascii="Arial" w:hAnsi="Arial" w:cs="Arial"/>
            <w:color w:val="auto"/>
            <w:szCs w:val="22"/>
          </w:rPr>
          <w:tab/>
        </w:r>
        <w:r w:rsidR="00AD6D69" w:rsidRPr="00AD6D69">
          <w:rPr>
            <w:rStyle w:val="Lienhypertexte"/>
            <w:rFonts w:ascii="Arial" w:hAnsi="Arial" w:cs="Arial"/>
            <w:noProof/>
            <w:color w:val="auto"/>
            <w:szCs w:val="22"/>
          </w:rPr>
          <w:t>La nécessité de mesures structurantes pour lutter contre la pauvreté</w:t>
        </w:r>
        <w:r w:rsidR="00AD6D69" w:rsidRPr="00AD6D69">
          <w:rPr>
            <w:rStyle w:val="Lienhypertexte"/>
            <w:rFonts w:ascii="Arial" w:hAnsi="Arial" w:cs="Arial"/>
            <w:webHidden/>
            <w:color w:val="auto"/>
            <w:szCs w:val="22"/>
          </w:rPr>
          <w:tab/>
        </w:r>
        <w:r w:rsidR="00AD6D69" w:rsidRPr="00AD6D69">
          <w:rPr>
            <w:rStyle w:val="Lienhypertexte"/>
            <w:rFonts w:ascii="Arial" w:hAnsi="Arial" w:cs="Arial"/>
            <w:webHidden/>
            <w:color w:val="auto"/>
            <w:szCs w:val="22"/>
          </w:rPr>
          <w:fldChar w:fldCharType="begin"/>
        </w:r>
        <w:r w:rsidR="00AD6D69" w:rsidRPr="00AD6D69">
          <w:rPr>
            <w:rStyle w:val="Lienhypertexte"/>
            <w:rFonts w:ascii="Arial" w:hAnsi="Arial" w:cs="Arial"/>
            <w:webHidden/>
            <w:color w:val="auto"/>
            <w:szCs w:val="22"/>
          </w:rPr>
          <w:instrText xml:space="preserve"> PAGEREF _Toc138945290 \h </w:instrText>
        </w:r>
        <w:r w:rsidR="00AD6D69" w:rsidRPr="00AD6D69">
          <w:rPr>
            <w:rStyle w:val="Lienhypertexte"/>
            <w:rFonts w:ascii="Arial" w:hAnsi="Arial" w:cs="Arial"/>
            <w:webHidden/>
            <w:color w:val="auto"/>
            <w:szCs w:val="22"/>
          </w:rPr>
        </w:r>
        <w:r w:rsidR="00AD6D69" w:rsidRPr="00AD6D69">
          <w:rPr>
            <w:rStyle w:val="Lienhypertexte"/>
            <w:rFonts w:ascii="Arial" w:hAnsi="Arial" w:cs="Arial"/>
            <w:webHidden/>
            <w:color w:val="auto"/>
            <w:szCs w:val="22"/>
          </w:rPr>
          <w:fldChar w:fldCharType="separate"/>
        </w:r>
        <w:r w:rsidR="002A1D2F">
          <w:rPr>
            <w:rStyle w:val="Lienhypertexte"/>
            <w:rFonts w:ascii="Arial" w:hAnsi="Arial" w:cs="Arial"/>
            <w:noProof/>
            <w:webHidden/>
            <w:color w:val="auto"/>
            <w:szCs w:val="22"/>
          </w:rPr>
          <w:t>27</w:t>
        </w:r>
        <w:r w:rsidR="00AD6D69" w:rsidRPr="00AD6D69">
          <w:rPr>
            <w:rStyle w:val="Lienhypertexte"/>
            <w:rFonts w:ascii="Arial" w:hAnsi="Arial" w:cs="Arial"/>
            <w:webHidden/>
            <w:color w:val="auto"/>
            <w:szCs w:val="22"/>
          </w:rPr>
          <w:fldChar w:fldCharType="end"/>
        </w:r>
      </w:hyperlink>
    </w:p>
    <w:p w14:paraId="2FA2F996" w14:textId="05242446" w:rsidR="00A72F4A" w:rsidRPr="00AD6D69" w:rsidRDefault="00AD6D69" w:rsidP="00AD6D69">
      <w:pPr>
        <w:spacing w:line="240" w:lineRule="auto"/>
        <w:rPr>
          <w:rFonts w:eastAsia="Calibri" w:cs="Arial"/>
          <w:sz w:val="21"/>
          <w:szCs w:val="21"/>
          <w:lang w:eastAsia="en-US"/>
        </w:rPr>
      </w:pPr>
      <w:r w:rsidRPr="00AD6D69">
        <w:rPr>
          <w:rFonts w:eastAsia="Calibri" w:cs="Arial"/>
          <w:b/>
          <w:caps/>
          <w:szCs w:val="22"/>
          <w:lang w:eastAsia="en-US"/>
        </w:rPr>
        <w:fldChar w:fldCharType="end"/>
      </w:r>
    </w:p>
    <w:p w14:paraId="21C6E5F3" w14:textId="056F3090" w:rsidR="00920AFD" w:rsidRPr="00AD6D69" w:rsidRDefault="00920AFD" w:rsidP="00AD6D69">
      <w:pPr>
        <w:spacing w:line="240" w:lineRule="auto"/>
        <w:rPr>
          <w:rFonts w:eastAsia="Calibri" w:cs="Arial"/>
          <w:sz w:val="21"/>
          <w:szCs w:val="21"/>
          <w:lang w:eastAsia="en-US"/>
        </w:rPr>
      </w:pPr>
    </w:p>
    <w:p w14:paraId="15A6B40B" w14:textId="77777777" w:rsidR="00972F5B" w:rsidRPr="00615873" w:rsidRDefault="00972F5B" w:rsidP="00D40AC7">
      <w:pPr>
        <w:rPr>
          <w:rFonts w:eastAsia="Calibri" w:cs="Arial"/>
          <w:lang w:eastAsia="en-US"/>
        </w:rPr>
      </w:pPr>
    </w:p>
    <w:p w14:paraId="4C08164F" w14:textId="77777777" w:rsidR="00C10BC8" w:rsidRPr="00615873" w:rsidRDefault="00C10BC8" w:rsidP="00D40AC7">
      <w:pPr>
        <w:rPr>
          <w:rFonts w:eastAsia="Calibri" w:cs="Arial"/>
          <w:lang w:eastAsia="en-US"/>
        </w:rPr>
      </w:pPr>
    </w:p>
    <w:p w14:paraId="6FD707B2" w14:textId="254465F4" w:rsidR="00C10BC8" w:rsidRPr="00615873" w:rsidRDefault="00C10BC8" w:rsidP="00D40AC7">
      <w:pPr>
        <w:rPr>
          <w:rFonts w:eastAsia="Calibri" w:cs="Arial"/>
        </w:rPr>
        <w:sectPr w:rsidR="00C10BC8" w:rsidRPr="00615873" w:rsidSect="00A72F4A">
          <w:footerReference w:type="even" r:id="rId20"/>
          <w:footerReference w:type="first" r:id="rId21"/>
          <w:type w:val="oddPage"/>
          <w:pgSz w:w="12240" w:h="15840" w:code="1"/>
          <w:pgMar w:top="1872" w:right="1440" w:bottom="1440" w:left="1440" w:header="706" w:footer="706" w:gutter="0"/>
          <w:pgNumType w:start="1"/>
          <w:cols w:space="708"/>
          <w:titlePg/>
          <w:docGrid w:linePitch="360"/>
        </w:sectPr>
      </w:pPr>
    </w:p>
    <w:p w14:paraId="5CD36A64" w14:textId="1A99D8EA" w:rsidR="00764FBC" w:rsidRPr="00615873" w:rsidRDefault="00764FBC" w:rsidP="003361A7">
      <w:pPr>
        <w:pStyle w:val="Titre"/>
        <w:spacing w:before="240" w:after="240"/>
        <w:rPr>
          <w:rFonts w:eastAsia="Calibri" w:cs="Arial"/>
          <w:lang w:eastAsia="en-US"/>
        </w:rPr>
      </w:pPr>
      <w:bookmarkStart w:id="1" w:name="_Toc42091623"/>
      <w:bookmarkStart w:id="2" w:name="_Toc98163891"/>
      <w:bookmarkStart w:id="3" w:name="_Toc138945273"/>
      <w:r w:rsidRPr="00615873">
        <w:rPr>
          <w:rFonts w:eastAsia="Calibri" w:cs="Arial"/>
          <w:lang w:eastAsia="en-US"/>
        </w:rPr>
        <w:lastRenderedPageBreak/>
        <w:t>Introduction</w:t>
      </w:r>
      <w:bookmarkEnd w:id="0"/>
      <w:bookmarkEnd w:id="1"/>
      <w:bookmarkEnd w:id="2"/>
      <w:bookmarkEnd w:id="3"/>
      <w:r w:rsidR="003361A7" w:rsidRPr="00615873">
        <w:rPr>
          <w:rFonts w:eastAsia="Calibri" w:cs="Arial"/>
          <w:lang w:eastAsia="en-US"/>
        </w:rPr>
        <w:t xml:space="preserve"> </w:t>
      </w:r>
    </w:p>
    <w:p w14:paraId="047FC30D" w14:textId="5E175477" w:rsidR="00463481" w:rsidRPr="00EF7348" w:rsidRDefault="00247C7D" w:rsidP="000C70F1">
      <w:pPr>
        <w:pStyle w:val="Paragraphe"/>
        <w:rPr>
          <w:rFonts w:eastAsiaTheme="minorHAnsi" w:cs="Arial"/>
          <w:lang w:val="fr-CA" w:eastAsia="en-US"/>
        </w:rPr>
      </w:pPr>
      <w:bookmarkStart w:id="4" w:name="_Toc42091631"/>
      <w:r w:rsidRPr="00615873">
        <w:rPr>
          <w:rFonts w:eastAsiaTheme="minorHAnsi" w:cs="Arial"/>
          <w:lang w:val="fr-CA" w:eastAsia="en-US"/>
        </w:rPr>
        <w:t xml:space="preserve">La </w:t>
      </w:r>
      <w:r w:rsidR="00463481" w:rsidRPr="00615873">
        <w:rPr>
          <w:rFonts w:eastAsiaTheme="minorHAnsi" w:cs="Arial"/>
          <w:lang w:val="fr-CA" w:eastAsia="en-US"/>
        </w:rPr>
        <w:t>Commission des droits de la personne et des droits de la jeunesse</w:t>
      </w:r>
      <w:r w:rsidR="00463481" w:rsidRPr="00615873">
        <w:rPr>
          <w:rFonts w:eastAsiaTheme="minorHAnsi" w:cs="Arial"/>
          <w:vertAlign w:val="superscript"/>
          <w:lang w:eastAsia="en-US"/>
        </w:rPr>
        <w:footnoteReference w:id="2"/>
      </w:r>
      <w:r w:rsidR="00463481" w:rsidRPr="00615873">
        <w:rPr>
          <w:rFonts w:eastAsiaTheme="minorHAnsi" w:cs="Arial"/>
          <w:lang w:val="fr-CA" w:eastAsia="en-US"/>
        </w:rPr>
        <w:t xml:space="preserve"> assure le respect et la promotion des principes énoncés dans la </w:t>
      </w:r>
      <w:r w:rsidR="00463481" w:rsidRPr="00615873">
        <w:rPr>
          <w:rFonts w:eastAsiaTheme="minorHAnsi" w:cs="Arial"/>
          <w:i/>
          <w:lang w:val="fr-CA" w:eastAsia="en-US"/>
        </w:rPr>
        <w:t>Charte des droits et libertés de la personne</w:t>
      </w:r>
      <w:r w:rsidR="00463481" w:rsidRPr="00615873">
        <w:rPr>
          <w:rFonts w:eastAsiaTheme="minorHAnsi" w:cs="Arial"/>
          <w:lang w:val="fr-CA" w:eastAsia="en-US"/>
        </w:rPr>
        <w:t xml:space="preserve"> du Québec</w:t>
      </w:r>
      <w:r w:rsidR="00463481" w:rsidRPr="00615873">
        <w:rPr>
          <w:rFonts w:eastAsiaTheme="minorHAnsi" w:cs="Arial"/>
          <w:vertAlign w:val="superscript"/>
          <w:lang w:eastAsia="en-US"/>
        </w:rPr>
        <w:footnoteReference w:id="3"/>
      </w:r>
      <w:r w:rsidR="00463481" w:rsidRPr="00615873">
        <w:rPr>
          <w:rFonts w:eastAsiaTheme="minorHAnsi" w:cs="Arial"/>
          <w:lang w:val="fr-CA" w:eastAsia="en-US"/>
        </w:rPr>
        <w:t>. </w:t>
      </w:r>
      <w:r w:rsidR="00463481" w:rsidRPr="00015CC6">
        <w:rPr>
          <w:rFonts w:eastAsiaTheme="minorHAnsi" w:cs="Arial"/>
          <w:lang w:val="fr-CA" w:eastAsia="en-US"/>
        </w:rPr>
        <w:t xml:space="preserve">Elle assure aussi la protection de l’intérêt de l’enfant, ainsi que le respect et la promotion des droits qui lui sont reconnus par la </w:t>
      </w:r>
      <w:r w:rsidR="00463481" w:rsidRPr="00015CC6">
        <w:rPr>
          <w:rFonts w:eastAsiaTheme="minorHAnsi" w:cs="Arial"/>
          <w:i/>
          <w:lang w:val="fr-CA" w:eastAsia="en-US"/>
        </w:rPr>
        <w:t>Loi sur la protection de la jeunesse</w:t>
      </w:r>
      <w:r w:rsidR="00463481" w:rsidRPr="00615873">
        <w:rPr>
          <w:rFonts w:eastAsiaTheme="minorHAnsi" w:cs="Arial"/>
          <w:vertAlign w:val="superscript"/>
          <w:lang w:eastAsia="en-US"/>
        </w:rPr>
        <w:footnoteReference w:id="4"/>
      </w:r>
      <w:r w:rsidR="00463481" w:rsidRPr="00015CC6">
        <w:rPr>
          <w:rFonts w:eastAsiaTheme="minorHAnsi" w:cs="Arial"/>
          <w:lang w:val="fr-CA" w:eastAsia="en-US"/>
        </w:rPr>
        <w:t xml:space="preserve">. </w:t>
      </w:r>
      <w:r w:rsidR="00463481" w:rsidRPr="00EF7348">
        <w:rPr>
          <w:rFonts w:eastAsiaTheme="minorHAnsi" w:cs="Arial"/>
          <w:lang w:val="fr-CA" w:eastAsia="en-US"/>
        </w:rPr>
        <w:t xml:space="preserve">Elle veille également à l’application de la </w:t>
      </w:r>
      <w:r w:rsidR="00463481" w:rsidRPr="00EF7348">
        <w:rPr>
          <w:rFonts w:eastAsiaTheme="minorHAnsi" w:cs="Arial"/>
          <w:i/>
          <w:lang w:val="fr-CA" w:eastAsia="en-US"/>
        </w:rPr>
        <w:t>Loi sur l’accès à l’égalité en emploi dans des organismes publics</w:t>
      </w:r>
      <w:r w:rsidR="00463481" w:rsidRPr="00615873">
        <w:rPr>
          <w:rFonts w:eastAsiaTheme="minorHAnsi" w:cs="Arial"/>
          <w:vertAlign w:val="superscript"/>
          <w:lang w:eastAsia="en-US"/>
        </w:rPr>
        <w:footnoteReference w:id="5"/>
      </w:r>
      <w:r w:rsidR="00463481" w:rsidRPr="00EF7348">
        <w:rPr>
          <w:rFonts w:eastAsiaTheme="minorHAnsi" w:cs="Arial"/>
          <w:lang w:val="fr-CA" w:eastAsia="en-US"/>
        </w:rPr>
        <w:t>.</w:t>
      </w:r>
    </w:p>
    <w:p w14:paraId="4EA0A17B" w14:textId="77777777" w:rsidR="00463481" w:rsidRPr="00EF7348" w:rsidRDefault="00463481" w:rsidP="000C70F1">
      <w:pPr>
        <w:pStyle w:val="Paragraphe"/>
        <w:rPr>
          <w:rFonts w:eastAsiaTheme="minorHAnsi" w:cs="Arial"/>
          <w:lang w:val="fr-CA" w:eastAsia="en-US"/>
        </w:rPr>
      </w:pPr>
      <w:r w:rsidRPr="00615873">
        <w:rPr>
          <w:rFonts w:eastAsiaTheme="minorHAnsi" w:cs="Arial"/>
          <w:lang w:val="fr-CA" w:eastAsia="en-US"/>
        </w:rPr>
        <w:t xml:space="preserve">Ces trois missions commandent une approche de lutte contre la pauvreté et l’exclusion sociale fondée sur les droits et visant la prévention de ces phénomènes. </w:t>
      </w:r>
      <w:r w:rsidRPr="00EF7348">
        <w:rPr>
          <w:rFonts w:eastAsiaTheme="minorHAnsi" w:cs="Arial"/>
          <w:lang w:val="fr-CA" w:eastAsia="en-US"/>
        </w:rPr>
        <w:t>C’est d’ailleurs en rappelant l’importance d’une telle approche que la Commission a produit de nombreux travaux en la matière, tant par le biais du traitement des plaintes et des recours judiciaires, de l’éducation aux droits, de la recherche et de l’analyse de conformité des lois du Québec à la Charte, que de l’étude des demandes qui lui sont présentées ou de la coopération avec toute organisation vouée à la promotion des droits et libertés de la personne</w:t>
      </w:r>
      <w:r w:rsidRPr="00615873">
        <w:rPr>
          <w:rFonts w:eastAsiaTheme="minorHAnsi" w:cs="Arial"/>
          <w:vertAlign w:val="superscript"/>
          <w:lang w:eastAsia="en-US"/>
        </w:rPr>
        <w:footnoteReference w:id="6"/>
      </w:r>
      <w:r w:rsidRPr="00EF7348">
        <w:rPr>
          <w:rFonts w:eastAsiaTheme="minorHAnsi" w:cs="Arial"/>
          <w:lang w:val="fr-CA" w:eastAsia="en-US"/>
        </w:rPr>
        <w:t xml:space="preserve">. Mobilisant l’ensemble des responsabilités que lui confie notamment la Charte, la Commission a ainsi développé une expertise unique depuis près de 50 ans. </w:t>
      </w:r>
    </w:p>
    <w:p w14:paraId="0E401F4D" w14:textId="77777777" w:rsidR="00463481" w:rsidRPr="00615873" w:rsidRDefault="00463481" w:rsidP="000C70F1">
      <w:pPr>
        <w:pStyle w:val="Paragraphe"/>
        <w:rPr>
          <w:rFonts w:eastAsiaTheme="minorHAnsi" w:cs="Arial"/>
          <w:lang w:val="fr-CA" w:eastAsia="en-US"/>
        </w:rPr>
      </w:pPr>
      <w:r w:rsidRPr="00615873">
        <w:rPr>
          <w:rFonts w:eastAsiaTheme="minorHAnsi" w:cs="Arial"/>
          <w:lang w:val="fr-CA" w:eastAsia="en-US"/>
        </w:rPr>
        <w:t xml:space="preserve">C’est en se basant sur cette expertise que la Commission transmet les présents commentaires dans le cadre de la consultation publique en cours concernant le prochain plan d’action gouvernemental en matière de lutte contre la pauvreté et l’exclusion sociale. </w:t>
      </w:r>
    </w:p>
    <w:p w14:paraId="3E99F5BB" w14:textId="77777777" w:rsidR="00463481" w:rsidRPr="00615873" w:rsidRDefault="00463481" w:rsidP="000C70F1">
      <w:pPr>
        <w:pStyle w:val="Paragraphe"/>
        <w:rPr>
          <w:rFonts w:eastAsiaTheme="minorHAnsi" w:cs="Arial"/>
          <w:lang w:val="fr-CA" w:eastAsia="en-US"/>
        </w:rPr>
      </w:pPr>
    </w:p>
    <w:p w14:paraId="0917D55B" w14:textId="77777777" w:rsidR="000C70F1" w:rsidRPr="00615873" w:rsidRDefault="000C70F1" w:rsidP="000C70F1">
      <w:pPr>
        <w:pStyle w:val="Corpsdetexte"/>
        <w:rPr>
          <w:rFonts w:eastAsiaTheme="minorHAnsi" w:cs="Arial"/>
          <w:lang w:eastAsia="en-US"/>
        </w:rPr>
      </w:pPr>
    </w:p>
    <w:p w14:paraId="01CD0733" w14:textId="77777777" w:rsidR="000C70F1" w:rsidRPr="00615873" w:rsidRDefault="000C70F1" w:rsidP="000C70F1">
      <w:pPr>
        <w:pStyle w:val="Corpsdetexte"/>
        <w:rPr>
          <w:rFonts w:eastAsiaTheme="minorHAnsi" w:cs="Arial"/>
          <w:lang w:eastAsia="en-US"/>
        </w:rPr>
      </w:pPr>
    </w:p>
    <w:p w14:paraId="245BCF10" w14:textId="77777777" w:rsidR="00463481" w:rsidRPr="00615873" w:rsidRDefault="00463481" w:rsidP="000C70F1">
      <w:pPr>
        <w:pStyle w:val="Titre1"/>
        <w:rPr>
          <w:rFonts w:cs="Arial"/>
        </w:rPr>
      </w:pPr>
      <w:bookmarkStart w:id="5" w:name="_Toc138945274"/>
      <w:r w:rsidRPr="00615873">
        <w:rPr>
          <w:rFonts w:cs="Arial"/>
        </w:rPr>
        <w:lastRenderedPageBreak/>
        <w:t>La nécessité d’une approche fondée sur les droits de la personne</w:t>
      </w:r>
      <w:bookmarkEnd w:id="5"/>
    </w:p>
    <w:p w14:paraId="75040417" w14:textId="77777777" w:rsidR="00463481" w:rsidRPr="00463481" w:rsidRDefault="00463481" w:rsidP="000C70F1">
      <w:pPr>
        <w:pStyle w:val="Paragraphe"/>
        <w:rPr>
          <w:rFonts w:eastAsiaTheme="minorHAnsi" w:cs="Arial"/>
          <w:lang w:val="fr-CA" w:eastAsia="en-US"/>
        </w:rPr>
      </w:pPr>
      <w:r w:rsidRPr="00463481">
        <w:rPr>
          <w:rFonts w:eastAsiaTheme="minorHAnsi" w:cs="Arial"/>
          <w:lang w:val="fr-CA" w:eastAsia="en-US"/>
        </w:rPr>
        <w:t>À l’aube d’un nouveau plan d’action gouvernemental en la matière, il convient de renouveler un constat maintes fois dressé : la pauvreté constitue une entrave à l’exercice de tous les droits de la personne protégés par la Charte, voire un déni de ceux-ci</w:t>
      </w:r>
      <w:bookmarkStart w:id="6" w:name="_Ref102588657"/>
      <w:r w:rsidRPr="00463481">
        <w:rPr>
          <w:rFonts w:eastAsiaTheme="minorHAnsi" w:cs="Arial"/>
          <w:vertAlign w:val="superscript"/>
          <w:lang w:eastAsia="en-US"/>
        </w:rPr>
        <w:footnoteReference w:id="7"/>
      </w:r>
      <w:bookmarkEnd w:id="6"/>
      <w:r w:rsidRPr="00463481">
        <w:rPr>
          <w:rFonts w:eastAsiaTheme="minorHAnsi" w:cs="Arial"/>
          <w:lang w:val="fr-CA" w:eastAsia="en-US"/>
        </w:rPr>
        <w:t xml:space="preserve">. </w:t>
      </w:r>
    </w:p>
    <w:p w14:paraId="344B0BE3" w14:textId="77777777" w:rsidR="00463481" w:rsidRPr="00EF7348" w:rsidRDefault="00463481" w:rsidP="000C70F1">
      <w:pPr>
        <w:pStyle w:val="Paragraphe"/>
        <w:rPr>
          <w:rFonts w:eastAsiaTheme="minorHAnsi" w:cs="Arial"/>
          <w:lang w:val="fr-CA" w:eastAsia="en-US"/>
        </w:rPr>
      </w:pPr>
      <w:r w:rsidRPr="00463481">
        <w:rPr>
          <w:rFonts w:eastAsiaTheme="minorHAnsi" w:cs="Arial"/>
          <w:lang w:val="fr-CA" w:eastAsia="en-US"/>
        </w:rPr>
        <w:t>La Charte est pourtant une loi fondamentale, de nature quasi constitutionnelle, à laquelle est soumis l’État québécois</w:t>
      </w:r>
      <w:r w:rsidRPr="00463481">
        <w:rPr>
          <w:rFonts w:eastAsiaTheme="minorHAnsi" w:cs="Arial"/>
          <w:vertAlign w:val="superscript"/>
          <w:lang w:eastAsia="en-US"/>
        </w:rPr>
        <w:footnoteReference w:id="8"/>
      </w:r>
      <w:r w:rsidRPr="00463481">
        <w:rPr>
          <w:rFonts w:eastAsiaTheme="minorHAnsi" w:cs="Arial"/>
          <w:lang w:val="fr-CA" w:eastAsia="en-US"/>
        </w:rPr>
        <w:t xml:space="preserve"> et qui a « une suprématie de principe par rapport aux lois ordinaires »</w:t>
      </w:r>
      <w:r w:rsidRPr="00463481">
        <w:rPr>
          <w:rFonts w:eastAsiaTheme="minorHAnsi" w:cs="Arial"/>
          <w:vertAlign w:val="superscript"/>
          <w:lang w:eastAsia="en-US"/>
        </w:rPr>
        <w:footnoteReference w:id="9"/>
      </w:r>
      <w:r w:rsidRPr="00463481">
        <w:rPr>
          <w:rFonts w:eastAsiaTheme="minorHAnsi" w:cs="Arial"/>
          <w:vertAlign w:val="superscript"/>
          <w:lang w:val="fr-CA" w:eastAsia="en-US"/>
        </w:rPr>
        <w:t>.</w:t>
      </w:r>
      <w:r w:rsidRPr="00463481">
        <w:rPr>
          <w:rFonts w:eastAsiaTheme="minorHAnsi" w:cs="Arial"/>
          <w:lang w:val="fr-CA" w:eastAsia="en-US"/>
        </w:rPr>
        <w:t xml:space="preserve"> </w:t>
      </w:r>
      <w:r w:rsidRPr="00EF7348">
        <w:rPr>
          <w:rFonts w:eastAsiaTheme="minorHAnsi" w:cs="Arial"/>
          <w:lang w:val="fr-CA" w:eastAsia="en-US"/>
        </w:rPr>
        <w:t>La Charte se distingue en outre par la reconnaissance explicite qu’elle consacre aux droits économiques et sociaux</w:t>
      </w:r>
      <w:r w:rsidRPr="00463481">
        <w:rPr>
          <w:rFonts w:eastAsiaTheme="minorHAnsi" w:cs="Arial"/>
          <w:vertAlign w:val="superscript"/>
          <w:lang w:eastAsia="en-US"/>
        </w:rPr>
        <w:footnoteReference w:id="10"/>
      </w:r>
      <w:r w:rsidRPr="00EF7348">
        <w:rPr>
          <w:rFonts w:eastAsiaTheme="minorHAnsi" w:cs="Arial"/>
          <w:vertAlign w:val="superscript"/>
          <w:lang w:val="fr-CA" w:eastAsia="en-US"/>
        </w:rPr>
        <w:t>.</w:t>
      </w:r>
    </w:p>
    <w:p w14:paraId="19324120" w14:textId="77777777" w:rsidR="00463481" w:rsidRPr="00EF7348" w:rsidRDefault="00463481" w:rsidP="000C70F1">
      <w:pPr>
        <w:pStyle w:val="Paragraphe"/>
        <w:rPr>
          <w:rFonts w:eastAsiaTheme="minorHAnsi" w:cs="Arial"/>
          <w:lang w:val="fr-CA" w:eastAsia="en-US"/>
        </w:rPr>
      </w:pPr>
      <w:r w:rsidRPr="00463481">
        <w:rPr>
          <w:rFonts w:eastAsiaTheme="minorHAnsi" w:cs="Arial"/>
          <w:lang w:val="fr-CA" w:eastAsia="en-US"/>
        </w:rPr>
        <w:t>Soulignons de plus l’importance des engagements internationaux pris par le Québec en la matière, notamment en vertu de la Déclaration universelle des droits de l’homme</w:t>
      </w:r>
      <w:bookmarkStart w:id="7" w:name="_Ref440377919"/>
      <w:r w:rsidRPr="00463481">
        <w:rPr>
          <w:rFonts w:eastAsiaTheme="minorHAnsi" w:cs="Arial"/>
          <w:vertAlign w:val="superscript"/>
          <w:lang w:eastAsia="en-US"/>
        </w:rPr>
        <w:footnoteReference w:id="11"/>
      </w:r>
      <w:bookmarkEnd w:id="7"/>
      <w:r w:rsidRPr="00463481">
        <w:rPr>
          <w:rFonts w:eastAsiaTheme="minorHAnsi" w:cs="Arial"/>
          <w:lang w:val="fr-CA" w:eastAsia="en-US"/>
        </w:rPr>
        <w:t xml:space="preserve"> et du Pacte international relatif aux droits économiques, sociaux et culturels</w:t>
      </w:r>
      <w:bookmarkStart w:id="8" w:name="_Ref440381297"/>
      <w:r w:rsidRPr="00463481">
        <w:rPr>
          <w:rFonts w:eastAsiaTheme="minorHAnsi" w:cs="Arial"/>
          <w:vertAlign w:val="superscript"/>
          <w:lang w:eastAsia="en-US"/>
        </w:rPr>
        <w:footnoteReference w:id="12"/>
      </w:r>
      <w:bookmarkEnd w:id="8"/>
      <w:r w:rsidRPr="00463481">
        <w:rPr>
          <w:rFonts w:eastAsiaTheme="minorHAnsi" w:cs="Arial"/>
          <w:vertAlign w:val="superscript"/>
          <w:lang w:val="fr-CA" w:eastAsia="en-US"/>
        </w:rPr>
        <w:t>.</w:t>
      </w:r>
      <w:r w:rsidRPr="00463481">
        <w:rPr>
          <w:rFonts w:eastAsiaTheme="minorHAnsi" w:cs="Arial"/>
          <w:lang w:val="fr-CA" w:eastAsia="en-US"/>
        </w:rPr>
        <w:t xml:space="preserve"> </w:t>
      </w:r>
      <w:r w:rsidRPr="00EF7348">
        <w:rPr>
          <w:rFonts w:eastAsiaTheme="minorHAnsi" w:cs="Arial"/>
          <w:lang w:val="fr-CA" w:eastAsia="en-US"/>
        </w:rPr>
        <w:t>Les États parties à ce dernier se sont engagés à « respecter », « protéger » et « donner effet</w:t>
      </w:r>
      <w:bookmarkStart w:id="9" w:name="_Ref440382371"/>
      <w:r w:rsidRPr="00EF7348">
        <w:rPr>
          <w:rFonts w:eastAsiaTheme="minorHAnsi" w:cs="Arial"/>
          <w:lang w:val="fr-CA" w:eastAsia="en-US"/>
        </w:rPr>
        <w:t> » aux droits qu’il inclut</w:t>
      </w:r>
      <w:bookmarkStart w:id="10" w:name="_Ref138851644"/>
      <w:r w:rsidRPr="00463481">
        <w:rPr>
          <w:rFonts w:eastAsiaTheme="minorHAnsi" w:cs="Arial"/>
          <w:vertAlign w:val="superscript"/>
          <w:lang w:eastAsia="en-US"/>
        </w:rPr>
        <w:footnoteReference w:id="13"/>
      </w:r>
      <w:bookmarkEnd w:id="9"/>
      <w:bookmarkEnd w:id="10"/>
      <w:r w:rsidRPr="00EF7348">
        <w:rPr>
          <w:rFonts w:eastAsiaTheme="minorHAnsi" w:cs="Arial"/>
          <w:lang w:val="fr-CA" w:eastAsia="en-US"/>
        </w:rPr>
        <w:t xml:space="preserve">. De façon en encore plus précise, l’article 2 de ce Pacte établit que chaque État partie s’engage à </w:t>
      </w:r>
      <w:r w:rsidRPr="00EF7348">
        <w:rPr>
          <w:rFonts w:eastAsiaTheme="minorHAnsi" w:cs="Arial"/>
          <w:lang w:val="fr-CA" w:eastAsia="en-US"/>
        </w:rPr>
        <w:lastRenderedPageBreak/>
        <w:t>agir en vue d’assurer le plein exercice des droits qui y sont reconnus, sans discrimination. Comme la Commission a déjà eu l’occasion de le souligner, assurer progressivement le plein exercice de ces droits signifie ne pas adopter de mesure régressive relativement à ceux-ci</w:t>
      </w:r>
      <w:r w:rsidRPr="00463481">
        <w:rPr>
          <w:rFonts w:eastAsiaTheme="minorHAnsi" w:cs="Arial"/>
          <w:vertAlign w:val="superscript"/>
          <w:lang w:eastAsia="en-US"/>
        </w:rPr>
        <w:footnoteReference w:id="14"/>
      </w:r>
      <w:r w:rsidRPr="00EF7348">
        <w:rPr>
          <w:rFonts w:eastAsiaTheme="minorHAnsi" w:cs="Arial"/>
          <w:lang w:val="fr-CA" w:eastAsia="en-US"/>
        </w:rPr>
        <w:t>.</w:t>
      </w:r>
    </w:p>
    <w:p w14:paraId="6CC5EB73" w14:textId="77777777" w:rsidR="00463481" w:rsidRPr="00EF7348" w:rsidRDefault="00463481" w:rsidP="000C70F1">
      <w:pPr>
        <w:pStyle w:val="Paragraphe"/>
        <w:rPr>
          <w:rFonts w:eastAsiaTheme="minorHAnsi" w:cs="Arial"/>
          <w:lang w:val="fr-CA" w:eastAsia="en-US"/>
        </w:rPr>
      </w:pPr>
      <w:r w:rsidRPr="00463481">
        <w:rPr>
          <w:rFonts w:eastAsiaTheme="minorHAnsi" w:cs="Arial"/>
          <w:lang w:val="fr-CA" w:eastAsia="en-US"/>
        </w:rPr>
        <w:t>Le Comité des droits économiques, sociaux et culturels — organe des Nations Unies chargé de surveiller la mise en œuvre par les États parties du PIDESC — se dit lui aussi « convaincu que la pauvreté constitue un déni des droits de l’homme »</w:t>
      </w:r>
      <w:r w:rsidRPr="00463481">
        <w:rPr>
          <w:rFonts w:eastAsiaTheme="minorHAnsi" w:cs="Arial"/>
          <w:vertAlign w:val="superscript"/>
          <w:lang w:eastAsia="en-US"/>
        </w:rPr>
        <w:footnoteReference w:id="15"/>
      </w:r>
      <w:r w:rsidRPr="00463481">
        <w:rPr>
          <w:rFonts w:eastAsiaTheme="minorHAnsi" w:cs="Arial"/>
          <w:vertAlign w:val="superscript"/>
          <w:lang w:val="fr-CA" w:eastAsia="en-US"/>
        </w:rPr>
        <w:t>.</w:t>
      </w:r>
      <w:r w:rsidRPr="00463481">
        <w:rPr>
          <w:rFonts w:eastAsiaTheme="minorHAnsi" w:cs="Arial"/>
          <w:lang w:val="fr-CA" w:eastAsia="en-US"/>
        </w:rPr>
        <w:t xml:space="preserve"> </w:t>
      </w:r>
      <w:r w:rsidRPr="00EF7348">
        <w:rPr>
          <w:rFonts w:eastAsiaTheme="minorHAnsi" w:cs="Arial"/>
          <w:lang w:val="fr-CA" w:eastAsia="en-US"/>
        </w:rPr>
        <w:t>La définition que le Comité retient de la pauvreté confirme d’ailleurs que celle-ci constitue une atteinte à l’ensemble des droits de la personne. Ainsi, dans la perspective du PIDESC, « la pauvreté peut être définie comme étant la condition dans laquelle se trouve un être humain qui est privé de manière durable des ressources, des moyens, des choix, de la sécurité et du pouvoir nécessaires pour jouir d’un niveau de vie suffisant et d’autres droits civils, culturels, économiques, politiques et sociaux »</w:t>
      </w:r>
      <w:r w:rsidRPr="00463481">
        <w:rPr>
          <w:rFonts w:eastAsiaTheme="minorHAnsi" w:cs="Arial"/>
          <w:vertAlign w:val="superscript"/>
          <w:lang w:eastAsia="en-US"/>
        </w:rPr>
        <w:footnoteReference w:id="16"/>
      </w:r>
      <w:r w:rsidRPr="00EF7348">
        <w:rPr>
          <w:rFonts w:eastAsiaTheme="minorHAnsi" w:cs="Arial"/>
          <w:vertAlign w:val="superscript"/>
          <w:lang w:val="fr-CA" w:eastAsia="en-US"/>
        </w:rPr>
        <w:t>.</w:t>
      </w:r>
    </w:p>
    <w:p w14:paraId="48FA6D37" w14:textId="5690D5BE" w:rsidR="00463481" w:rsidRPr="00463481" w:rsidRDefault="00463481" w:rsidP="000C70F1">
      <w:pPr>
        <w:pStyle w:val="Paragraphe"/>
        <w:rPr>
          <w:rFonts w:eastAsiaTheme="minorHAnsi" w:cs="Arial"/>
          <w:lang w:val="fr-CA" w:eastAsia="en-US"/>
        </w:rPr>
      </w:pPr>
      <w:r w:rsidRPr="00463481">
        <w:rPr>
          <w:rFonts w:eastAsiaTheme="minorHAnsi" w:cs="Arial"/>
          <w:lang w:val="fr-CA" w:eastAsia="en-US"/>
        </w:rPr>
        <w:t xml:space="preserve">Louise </w:t>
      </w:r>
      <w:proofErr w:type="spellStart"/>
      <w:r w:rsidRPr="00463481">
        <w:rPr>
          <w:rFonts w:eastAsiaTheme="minorHAnsi" w:cs="Arial"/>
          <w:lang w:val="fr-CA" w:eastAsia="en-US"/>
        </w:rPr>
        <w:t>Arbour</w:t>
      </w:r>
      <w:proofErr w:type="spellEnd"/>
      <w:r w:rsidRPr="00463481">
        <w:rPr>
          <w:rFonts w:eastAsiaTheme="minorHAnsi" w:cs="Arial"/>
          <w:lang w:val="fr-CA" w:eastAsia="en-US"/>
        </w:rPr>
        <w:t xml:space="preserve"> le soulignait aussi alors qu’elle était </w:t>
      </w:r>
      <w:r w:rsidR="00F83BD2" w:rsidRPr="00463481">
        <w:rPr>
          <w:rFonts w:eastAsiaTheme="minorHAnsi" w:cs="Arial"/>
          <w:lang w:val="fr-CA" w:eastAsia="en-US"/>
        </w:rPr>
        <w:t>Haut-Commissaire</w:t>
      </w:r>
      <w:r w:rsidRPr="00463481">
        <w:rPr>
          <w:rFonts w:eastAsiaTheme="minorHAnsi" w:cs="Arial"/>
          <w:lang w:val="fr-CA" w:eastAsia="en-US"/>
        </w:rPr>
        <w:t xml:space="preserve"> des Nations Unies pour les droits de l’Homme :</w:t>
      </w:r>
    </w:p>
    <w:p w14:paraId="1466C4D4" w14:textId="77777777" w:rsidR="00463481" w:rsidRPr="00463481" w:rsidRDefault="00463481" w:rsidP="00463481">
      <w:pPr>
        <w:spacing w:line="240" w:lineRule="auto"/>
        <w:ind w:left="709" w:right="861"/>
        <w:jc w:val="left"/>
        <w:rPr>
          <w:rFonts w:cs="Arial"/>
          <w:sz w:val="20"/>
          <w:szCs w:val="22"/>
          <w:lang w:val="en-CA"/>
        </w:rPr>
      </w:pPr>
      <w:r w:rsidRPr="00EF7348">
        <w:rPr>
          <w:sz w:val="20"/>
          <w:szCs w:val="22"/>
          <w:lang w:val="en-CA"/>
        </w:rPr>
        <w:t>« Poverty is not only a matter of income […]. It describes a complex of interrelated and mutually reinforcing deprivations, which impact on people’s ability to claim and access</w:t>
      </w:r>
      <w:r w:rsidRPr="00463481">
        <w:rPr>
          <w:rFonts w:cs="Arial"/>
          <w:sz w:val="20"/>
          <w:szCs w:val="22"/>
          <w:lang w:val="en-CA"/>
        </w:rPr>
        <w:t xml:space="preserve"> their civil, cultural, economic, </w:t>
      </w:r>
      <w:proofErr w:type="gramStart"/>
      <w:r w:rsidRPr="00463481">
        <w:rPr>
          <w:rFonts w:cs="Arial"/>
          <w:sz w:val="20"/>
          <w:szCs w:val="22"/>
          <w:lang w:val="en-CA"/>
        </w:rPr>
        <w:t>political</w:t>
      </w:r>
      <w:proofErr w:type="gramEnd"/>
      <w:r w:rsidRPr="00463481">
        <w:rPr>
          <w:rFonts w:cs="Arial"/>
          <w:sz w:val="20"/>
          <w:szCs w:val="22"/>
          <w:lang w:val="en-CA"/>
        </w:rPr>
        <w:t xml:space="preserve"> and social rights. In a fundamental way, therefore, the denial of human rights forms part of the very definition of what it is to be poor. »</w:t>
      </w:r>
      <w:r w:rsidRPr="00463481">
        <w:rPr>
          <w:rFonts w:cs="Arial"/>
          <w:sz w:val="20"/>
          <w:szCs w:val="20"/>
          <w:vertAlign w:val="superscript"/>
        </w:rPr>
        <w:footnoteReference w:id="17"/>
      </w:r>
    </w:p>
    <w:p w14:paraId="338C6EAC" w14:textId="77777777" w:rsidR="00463481" w:rsidRPr="00EF7348" w:rsidRDefault="00463481" w:rsidP="000C70F1">
      <w:pPr>
        <w:pStyle w:val="Paragraphe"/>
        <w:rPr>
          <w:rFonts w:eastAsiaTheme="minorHAnsi" w:cs="Arial"/>
          <w:lang w:val="fr-CA" w:eastAsia="en-US"/>
        </w:rPr>
      </w:pPr>
      <w:r w:rsidRPr="00463481">
        <w:rPr>
          <w:rFonts w:eastAsiaTheme="minorHAnsi" w:cs="Arial"/>
          <w:lang w:val="fr-CA" w:eastAsia="en-US"/>
        </w:rPr>
        <w:t xml:space="preserve">Comme la Commission l’a déjà mentionné, ce déni de droits s’avère par ailleurs encore plus sévère lorsque la pauvreté se conjugue à l’exclusion sociale. </w:t>
      </w:r>
      <w:r w:rsidRPr="00EF7348">
        <w:rPr>
          <w:rFonts w:eastAsiaTheme="minorHAnsi" w:cs="Arial"/>
          <w:lang w:val="fr-CA" w:eastAsia="en-US"/>
        </w:rPr>
        <w:t xml:space="preserve">Pour reprendre la définition du Centre d’étude sur la pauvreté et l’exclusion : </w:t>
      </w:r>
    </w:p>
    <w:p w14:paraId="6893EB47" w14:textId="77777777" w:rsidR="00463481" w:rsidRPr="00463481" w:rsidRDefault="00463481" w:rsidP="00463481">
      <w:pPr>
        <w:tabs>
          <w:tab w:val="left" w:pos="7088"/>
        </w:tabs>
        <w:autoSpaceDE w:val="0"/>
        <w:autoSpaceDN w:val="0"/>
        <w:adjustRightInd w:val="0"/>
        <w:spacing w:after="120" w:line="240" w:lineRule="auto"/>
        <w:ind w:left="720" w:right="861"/>
        <w:jc w:val="left"/>
        <w:rPr>
          <w:rFonts w:cs="Arial"/>
          <w:sz w:val="20"/>
          <w:szCs w:val="22"/>
        </w:rPr>
      </w:pPr>
      <w:r w:rsidRPr="00463481">
        <w:rPr>
          <w:rFonts w:cs="Arial"/>
          <w:sz w:val="20"/>
          <w:szCs w:val="22"/>
        </w:rPr>
        <w:t>« L’exclusion sociale est le résultat d’un ensemble de processus économiques, politiques, institutionnels, culturels, souvent interdépendants et cumulatifs, qui mettent des personnes ou des groupes à part dans la société.</w:t>
      </w:r>
    </w:p>
    <w:p w14:paraId="0DB5DFC8" w14:textId="77777777" w:rsidR="00463481" w:rsidRPr="00463481" w:rsidRDefault="00463481" w:rsidP="00463481">
      <w:pPr>
        <w:tabs>
          <w:tab w:val="left" w:pos="7088"/>
        </w:tabs>
        <w:autoSpaceDE w:val="0"/>
        <w:autoSpaceDN w:val="0"/>
        <w:adjustRightInd w:val="0"/>
        <w:spacing w:after="120" w:line="240" w:lineRule="auto"/>
        <w:ind w:left="720" w:right="861"/>
        <w:jc w:val="left"/>
        <w:rPr>
          <w:rFonts w:cs="Arial"/>
          <w:sz w:val="20"/>
          <w:szCs w:val="22"/>
        </w:rPr>
      </w:pPr>
      <w:r w:rsidRPr="00463481">
        <w:rPr>
          <w:rFonts w:cs="Arial"/>
          <w:sz w:val="20"/>
          <w:szCs w:val="22"/>
        </w:rPr>
        <w:t xml:space="preserve">Quand l’exclusion sociale et la pauvreté se conjuguent, elles peuvent se renforcer mutuellement au fil du temps. L’exclusion sociale associée à la pauvreté peut se traduire notamment par des possibilités limitées pour les individus (et conséquemment pour leur famille et leur communauté) de maintenir leur autonomie économique, tout en </w:t>
      </w:r>
      <w:r w:rsidRPr="00463481">
        <w:rPr>
          <w:rFonts w:cs="Arial"/>
          <w:sz w:val="20"/>
          <w:szCs w:val="22"/>
        </w:rPr>
        <w:lastRenderedPageBreak/>
        <w:t>affectant l’intégrité de leur identité sociale, leur santé, leur éducation, leur participation au marché du travail ainsi qu’aux réseaux de relations sociales et familiales. Ces conséquences peuvent à leur tour entraver la sortie de pauvreté.</w:t>
      </w:r>
    </w:p>
    <w:p w14:paraId="1556BF18" w14:textId="77777777" w:rsidR="00463481" w:rsidRPr="00463481" w:rsidRDefault="00463481" w:rsidP="00463481">
      <w:pPr>
        <w:autoSpaceDE w:val="0"/>
        <w:autoSpaceDN w:val="0"/>
        <w:adjustRightInd w:val="0"/>
        <w:spacing w:after="120" w:line="240" w:lineRule="auto"/>
        <w:ind w:left="720" w:right="861"/>
        <w:jc w:val="left"/>
        <w:rPr>
          <w:rFonts w:eastAsiaTheme="minorHAnsi" w:cs="Arial"/>
          <w:szCs w:val="22"/>
          <w:lang w:eastAsia="en-US"/>
        </w:rPr>
      </w:pPr>
      <w:r w:rsidRPr="00463481">
        <w:rPr>
          <w:rFonts w:cs="Arial"/>
          <w:sz w:val="20"/>
          <w:szCs w:val="22"/>
        </w:rPr>
        <w:t>Les mécanismes de l’exclusion sociale peuvent être corrigés par une action collective et par des politiques publiques</w:t>
      </w:r>
      <w:r w:rsidRPr="00463481">
        <w:rPr>
          <w:rFonts w:eastAsiaTheme="minorHAnsi" w:cs="Arial"/>
          <w:szCs w:val="22"/>
          <w:lang w:eastAsia="en-US"/>
        </w:rPr>
        <w:t>. »</w:t>
      </w:r>
      <w:r w:rsidRPr="00463481">
        <w:rPr>
          <w:rFonts w:eastAsiaTheme="minorHAnsi" w:cs="Arial"/>
          <w:szCs w:val="22"/>
          <w:vertAlign w:val="superscript"/>
          <w:lang w:eastAsia="en-US"/>
        </w:rPr>
        <w:footnoteReference w:id="18"/>
      </w:r>
    </w:p>
    <w:p w14:paraId="2B244348" w14:textId="77777777" w:rsidR="00463481" w:rsidRPr="00EF7348" w:rsidRDefault="00463481" w:rsidP="000C70F1">
      <w:pPr>
        <w:pStyle w:val="Paragraphe"/>
        <w:rPr>
          <w:rFonts w:eastAsiaTheme="minorHAnsi" w:cs="Arial"/>
          <w:lang w:val="fr-CA" w:eastAsia="en-US"/>
        </w:rPr>
      </w:pPr>
      <w:r w:rsidRPr="00463481">
        <w:rPr>
          <w:rFonts w:eastAsiaTheme="minorHAnsi" w:cs="Arial"/>
          <w:lang w:val="fr-CA" w:eastAsia="en-US"/>
        </w:rPr>
        <w:t xml:space="preserve">Ces définitions rappellent que la pauvreté et l’exclusion sociale réfèrent avant tout à des dynamiques de discrimination interdite par la Charte et qui portent atteinte à de nombreux droits garantis par celle-ci. </w:t>
      </w:r>
      <w:r w:rsidRPr="00EF7348">
        <w:rPr>
          <w:rFonts w:eastAsiaTheme="minorHAnsi" w:cs="Arial"/>
          <w:lang w:val="fr-CA" w:eastAsia="en-US"/>
        </w:rPr>
        <w:t>Ces dynamiques de discrimination s’inscrivent d’ailleurs en lien avec d’autres systèmes d’oppression. Comme la Commission l’a déjà noté, la féminisation et la racisation de la pauvreté constituent une illustration particulière de l’intersection complexe des motifs de discrimination et des effets croisés de différents systèmes d’oppression dont sont victimes les femmes autochtones et les femmes racisées dans plusieurs secteurs tels que l’emploi, le logement, la sécurité publique, la santé et les services sociaux, etc.</w:t>
      </w:r>
      <w:r w:rsidRPr="00463481">
        <w:rPr>
          <w:rFonts w:eastAsiaTheme="minorHAnsi" w:cs="Arial"/>
          <w:vertAlign w:val="superscript"/>
          <w:lang w:eastAsia="en-US"/>
        </w:rPr>
        <w:footnoteReference w:id="19"/>
      </w:r>
    </w:p>
    <w:p w14:paraId="15A3290E" w14:textId="77777777" w:rsidR="00463481" w:rsidRPr="00EF7348" w:rsidRDefault="00463481" w:rsidP="000C70F1">
      <w:pPr>
        <w:pStyle w:val="Paragraphe"/>
        <w:rPr>
          <w:rFonts w:eastAsiaTheme="minorHAnsi" w:cs="Arial"/>
          <w:lang w:val="fr-CA" w:eastAsia="en-US"/>
        </w:rPr>
      </w:pPr>
      <w:r w:rsidRPr="00615873">
        <w:rPr>
          <w:rFonts w:eastAsiaTheme="minorHAnsi" w:cs="Arial"/>
          <w:lang w:val="fr-CA" w:eastAsia="en-US"/>
        </w:rPr>
        <w:t xml:space="preserve">Les définitions précitées démontrent en outre les causes sociales et structurelles de ces phénomènes. </w:t>
      </w:r>
      <w:r w:rsidRPr="00EF7348">
        <w:rPr>
          <w:rFonts w:eastAsiaTheme="minorHAnsi" w:cs="Arial"/>
          <w:lang w:val="fr-CA" w:eastAsia="en-US"/>
        </w:rPr>
        <w:t>L’atteinte de l’autonomie économique ne peut être de la seule responsabilité des personnes en situation de pauvreté et exclues socialement. Les solutions à mettre en œuvre sont d’ordre systémique et fondées sur les droits et libertés de la personne.</w:t>
      </w:r>
    </w:p>
    <w:p w14:paraId="2C83A377" w14:textId="77777777" w:rsidR="00463481" w:rsidRPr="00EF7348" w:rsidRDefault="00463481" w:rsidP="000C70F1">
      <w:pPr>
        <w:pStyle w:val="Paragraphe"/>
        <w:rPr>
          <w:rFonts w:eastAsiaTheme="minorHAnsi" w:cs="Arial"/>
          <w:lang w:val="fr-CA" w:eastAsia="en-US"/>
        </w:rPr>
      </w:pPr>
      <w:r w:rsidRPr="00615873">
        <w:rPr>
          <w:rFonts w:eastAsiaTheme="minorHAnsi" w:cs="Arial"/>
          <w:lang w:val="fr-CA" w:eastAsia="en-US"/>
        </w:rPr>
        <w:t xml:space="preserve">Le Comité des droits économiques, sociaux et culturels précité souligne pourtant que </w:t>
      </w:r>
      <w:proofErr w:type="gramStart"/>
      <w:r w:rsidRPr="00615873">
        <w:rPr>
          <w:rFonts w:eastAsiaTheme="minorHAnsi" w:cs="Arial"/>
          <w:lang w:val="fr-CA" w:eastAsia="en-US"/>
        </w:rPr>
        <w:t>« la dimension droits</w:t>
      </w:r>
      <w:proofErr w:type="gramEnd"/>
      <w:r w:rsidRPr="00615873">
        <w:rPr>
          <w:rFonts w:eastAsiaTheme="minorHAnsi" w:cs="Arial"/>
          <w:lang w:val="fr-CA" w:eastAsia="en-US"/>
        </w:rPr>
        <w:t xml:space="preserve"> de l’homme » reçoit rarement l’attention qu’elle mérite dans le cadre des politiques d’élimination de la pauvreté</w:t>
      </w:r>
      <w:r w:rsidRPr="00615873">
        <w:rPr>
          <w:rFonts w:eastAsiaTheme="minorHAnsi" w:cs="Arial"/>
          <w:vertAlign w:val="superscript"/>
          <w:lang w:eastAsia="en-US"/>
        </w:rPr>
        <w:footnoteReference w:id="20"/>
      </w:r>
      <w:r w:rsidRPr="00615873">
        <w:rPr>
          <w:rFonts w:eastAsiaTheme="minorHAnsi" w:cs="Arial"/>
          <w:lang w:val="fr-CA" w:eastAsia="en-US"/>
        </w:rPr>
        <w:t xml:space="preserve">. </w:t>
      </w:r>
      <w:r w:rsidRPr="00EF7348">
        <w:rPr>
          <w:rFonts w:eastAsiaTheme="minorHAnsi" w:cs="Arial"/>
          <w:lang w:val="fr-CA" w:eastAsia="en-US"/>
        </w:rPr>
        <w:t>De l’avis du Comité, cela est d’autant plus regrettable qu’une approche de la pauvreté fondée sur les droits de la personne « peut renforcer les stratégies de lutte contre la pauvreté et les rendre plus efficaces »</w:t>
      </w:r>
      <w:r w:rsidRPr="00615873">
        <w:rPr>
          <w:rFonts w:eastAsiaTheme="minorHAnsi" w:cs="Arial"/>
          <w:vertAlign w:val="superscript"/>
          <w:lang w:eastAsia="en-US"/>
        </w:rPr>
        <w:footnoteReference w:id="21"/>
      </w:r>
      <w:r w:rsidRPr="00EF7348">
        <w:rPr>
          <w:rFonts w:eastAsiaTheme="minorHAnsi" w:cs="Arial"/>
          <w:lang w:val="fr-CA" w:eastAsia="en-US"/>
        </w:rPr>
        <w:t xml:space="preserve">. Il ajoute que les droits de la personne « peuvent contribuer à la </w:t>
      </w:r>
      <w:proofErr w:type="spellStart"/>
      <w:r w:rsidRPr="00EF7348">
        <w:rPr>
          <w:rFonts w:eastAsiaTheme="minorHAnsi" w:cs="Arial"/>
          <w:lang w:val="fr-CA" w:eastAsia="en-US"/>
        </w:rPr>
        <w:t>démarginalisation</w:t>
      </w:r>
      <w:proofErr w:type="spellEnd"/>
      <w:r w:rsidRPr="00EF7348">
        <w:rPr>
          <w:rFonts w:eastAsiaTheme="minorHAnsi" w:cs="Arial"/>
          <w:lang w:val="fr-CA" w:eastAsia="en-US"/>
        </w:rPr>
        <w:t xml:space="preserve"> des personnes en situation de pauvreté et au renforcement des stratégies de lutte contre la pauvreté »</w:t>
      </w:r>
      <w:r w:rsidRPr="00615873">
        <w:rPr>
          <w:rFonts w:eastAsiaTheme="minorHAnsi" w:cs="Arial"/>
          <w:vertAlign w:val="superscript"/>
          <w:lang w:eastAsia="en-US"/>
        </w:rPr>
        <w:footnoteReference w:id="22"/>
      </w:r>
      <w:r w:rsidRPr="00EF7348">
        <w:rPr>
          <w:rFonts w:eastAsiaTheme="minorHAnsi" w:cs="Arial"/>
          <w:lang w:val="fr-CA" w:eastAsia="en-US"/>
        </w:rPr>
        <w:t>.</w:t>
      </w:r>
    </w:p>
    <w:p w14:paraId="4370CBBF" w14:textId="77777777" w:rsidR="00463481" w:rsidRPr="00615873" w:rsidRDefault="00463481" w:rsidP="000C70F1">
      <w:pPr>
        <w:pStyle w:val="Paragraphe"/>
        <w:rPr>
          <w:rFonts w:eastAsiaTheme="minorHAnsi" w:cs="Arial"/>
          <w:lang w:val="fr-CA" w:eastAsia="en-US"/>
        </w:rPr>
      </w:pPr>
      <w:r w:rsidRPr="00615873">
        <w:rPr>
          <w:rFonts w:eastAsiaTheme="minorHAnsi" w:cs="Arial"/>
          <w:lang w:val="fr-CA" w:eastAsia="en-US"/>
        </w:rPr>
        <w:lastRenderedPageBreak/>
        <w:t xml:space="preserve">Ainsi, une approche de lutte contre la pauvreté et l’exclusion sociale conforme à la Charte, mais aussi aux engagements internationaux du Québec en la matière doit être fondée sur la reconnaissance et le respect des droits et libertés de la personne. </w:t>
      </w:r>
    </w:p>
    <w:p w14:paraId="2F0D71D8" w14:textId="77777777" w:rsidR="00463481" w:rsidRPr="00615873" w:rsidRDefault="00463481" w:rsidP="00B64639">
      <w:pPr>
        <w:pStyle w:val="Titre1"/>
        <w:rPr>
          <w:rFonts w:cs="Arial"/>
        </w:rPr>
      </w:pPr>
      <w:bookmarkStart w:id="11" w:name="_Toc138945275"/>
      <w:r w:rsidRPr="00615873">
        <w:rPr>
          <w:rFonts w:cs="Arial"/>
        </w:rPr>
        <w:t>La pauvreté comme obstacle à l’exercice effectif des droits de la personne : quelques exemples</w:t>
      </w:r>
      <w:bookmarkEnd w:id="11"/>
    </w:p>
    <w:p w14:paraId="5C91A7BA" w14:textId="77777777" w:rsidR="00463481" w:rsidRPr="00615873" w:rsidRDefault="00463481" w:rsidP="000C70F1">
      <w:pPr>
        <w:pStyle w:val="Paragraphe"/>
        <w:rPr>
          <w:rFonts w:eastAsiaTheme="minorHAnsi" w:cs="Arial"/>
          <w:lang w:val="fr-CA" w:eastAsia="en-US"/>
        </w:rPr>
      </w:pPr>
      <w:r w:rsidRPr="00615873">
        <w:rPr>
          <w:rFonts w:eastAsiaTheme="minorHAnsi" w:cs="Arial"/>
          <w:lang w:val="fr-CA" w:eastAsia="en-US"/>
        </w:rPr>
        <w:t xml:space="preserve">Concrètement, les travaux de la Commission ont permis d’illustrer les multiples obstacles que dressent la pauvreté et l’exclusion sociale face à la reconnaissance et l’exercice des droits et libertés de la personne pourtant protégés par la Charte. </w:t>
      </w:r>
    </w:p>
    <w:p w14:paraId="538387A3" w14:textId="77777777" w:rsidR="00463481" w:rsidRPr="00615873" w:rsidRDefault="00463481" w:rsidP="000C70F1">
      <w:pPr>
        <w:pStyle w:val="Paragraphe"/>
        <w:rPr>
          <w:rFonts w:eastAsiaTheme="minorHAnsi" w:cs="Arial"/>
          <w:lang w:val="fr-CA" w:eastAsia="en-US"/>
        </w:rPr>
      </w:pPr>
      <w:r w:rsidRPr="00615873">
        <w:rPr>
          <w:rFonts w:eastAsiaTheme="minorHAnsi" w:cs="Arial"/>
          <w:lang w:val="fr-CA" w:eastAsia="en-US"/>
        </w:rPr>
        <w:t>Sans pouvoir résumer tous les travaux qu’elle a produits en la matière, la Commission souhaite rappeler quelques-unes des positions et recommandations qu’elle a formulées et qui devraient être prises en compte dans l’élaboration du prochain plan d’action gouvernemental en matière de pauvreté et d’exclusion sociale.</w:t>
      </w:r>
    </w:p>
    <w:p w14:paraId="62600575" w14:textId="77777777" w:rsidR="00463481" w:rsidRPr="00463481" w:rsidRDefault="00463481" w:rsidP="00615873">
      <w:pPr>
        <w:pStyle w:val="Titre2"/>
      </w:pPr>
      <w:bookmarkStart w:id="12" w:name="_Toc138945276"/>
      <w:r w:rsidRPr="00463481">
        <w:t>Revenus et emplois</w:t>
      </w:r>
      <w:bookmarkEnd w:id="12"/>
    </w:p>
    <w:p w14:paraId="55A1B32C" w14:textId="77777777" w:rsidR="00463481" w:rsidRPr="00ED1FF1" w:rsidRDefault="00463481" w:rsidP="00FB37AE">
      <w:pPr>
        <w:pStyle w:val="Titre3"/>
        <w:tabs>
          <w:tab w:val="clear" w:pos="1440"/>
          <w:tab w:val="num" w:pos="709"/>
        </w:tabs>
        <w:ind w:left="709" w:hanging="709"/>
      </w:pPr>
      <w:bookmarkStart w:id="13" w:name="_Toc138945277"/>
      <w:r w:rsidRPr="00ED1FF1">
        <w:t>Le droit à un niveau de vie décent</w:t>
      </w:r>
      <w:bookmarkEnd w:id="13"/>
    </w:p>
    <w:p w14:paraId="7F04FDF9" w14:textId="77777777" w:rsidR="00463481" w:rsidRPr="00EF7348" w:rsidRDefault="00463481" w:rsidP="00B64639">
      <w:pPr>
        <w:pStyle w:val="Paragraphe"/>
        <w:rPr>
          <w:rFonts w:eastAsiaTheme="majorEastAsia" w:cs="Arial"/>
          <w:lang w:val="fr-CA"/>
        </w:rPr>
      </w:pPr>
      <w:r w:rsidRPr="00615873">
        <w:rPr>
          <w:rFonts w:eastAsiaTheme="majorEastAsia" w:cs="Arial"/>
          <w:lang w:val="fr-CA"/>
        </w:rPr>
        <w:t>Un niveau de vie décent constitue un prérequis essentiel à l’exercice effectif de l’ensemble des droits et libertés de la personne</w:t>
      </w:r>
      <w:r w:rsidRPr="00615873">
        <w:rPr>
          <w:rFonts w:eastAsiaTheme="majorEastAsia" w:cs="Arial"/>
          <w:vertAlign w:val="superscript"/>
        </w:rPr>
        <w:footnoteReference w:id="23"/>
      </w:r>
      <w:r w:rsidRPr="00615873">
        <w:rPr>
          <w:rFonts w:eastAsiaTheme="majorEastAsia" w:cs="Arial"/>
          <w:lang w:val="fr-CA"/>
        </w:rPr>
        <w:t xml:space="preserve">. </w:t>
      </w:r>
      <w:r w:rsidRPr="00EF7348">
        <w:rPr>
          <w:rFonts w:eastAsiaTheme="majorEastAsia" w:cs="Arial"/>
          <w:lang w:val="fr-CA"/>
        </w:rPr>
        <w:t>Ainsi, dès 1978, la Commission affirmait que la législation relative à l’aide sociale devait respecter le cadre qui est prescrit par l’article 45 de la Charte en permettant « d’assurer un niveau de vie décent à toute personne dans le besoin ou privée de moyens de subsistance »</w:t>
      </w:r>
      <w:r w:rsidRPr="00615873">
        <w:rPr>
          <w:rFonts w:eastAsiaTheme="majorEastAsia" w:cs="Arial"/>
          <w:vertAlign w:val="superscript"/>
        </w:rPr>
        <w:footnoteReference w:id="24"/>
      </w:r>
      <w:r w:rsidRPr="00EF7348">
        <w:rPr>
          <w:rFonts w:eastAsiaTheme="majorEastAsia" w:cs="Arial"/>
          <w:lang w:val="fr-CA"/>
        </w:rPr>
        <w:t>. Depuis, elle a formulé de nombreuses recommandations eu égard aux réformes successives du régime québécois d’aide sociale.</w:t>
      </w:r>
    </w:p>
    <w:p w14:paraId="23458005"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rPr>
        <w:lastRenderedPageBreak/>
        <w:t xml:space="preserve">La Commission a aussi rappelé que cet article 45 doit être lu conjointement avec l’article 39 de la Charte puisque, dans bien des cas, le droit de tout enfant « à la protection, à la sécurité et à l’attention que ses parents ou ceux qui en tiennent lieu peuvent lui donner » est lié au droit à des mesures d’assistance financière et sociale susceptibles d’assurer un niveau de vie décent. </w:t>
      </w:r>
      <w:r w:rsidRPr="00EF7348">
        <w:rPr>
          <w:rFonts w:eastAsiaTheme="minorHAnsi" w:cs="Arial"/>
          <w:lang w:val="fr-CA"/>
        </w:rPr>
        <w:t>Puisque, faut-il le rappeler, « les enfants sont pauvres parce que leurs parents sont pauvres »</w:t>
      </w:r>
      <w:r w:rsidRPr="00615873">
        <w:rPr>
          <w:rFonts w:eastAsiaTheme="minorHAnsi" w:cs="Arial"/>
          <w:vertAlign w:val="superscript"/>
        </w:rPr>
        <w:footnoteReference w:id="25"/>
      </w:r>
      <w:r w:rsidRPr="00EF7348">
        <w:rPr>
          <w:rFonts w:eastAsiaTheme="minorHAnsi" w:cs="Arial"/>
          <w:lang w:val="fr-CA"/>
        </w:rPr>
        <w:t>.</w:t>
      </w:r>
    </w:p>
    <w:p w14:paraId="71D5F69E" w14:textId="77777777" w:rsidR="00463481" w:rsidRPr="00EF7348" w:rsidRDefault="00463481" w:rsidP="00B64639">
      <w:pPr>
        <w:pStyle w:val="Paragraphe"/>
        <w:rPr>
          <w:rFonts w:eastAsiaTheme="majorEastAsia" w:cs="Arial"/>
          <w:lang w:val="fr-CA"/>
        </w:rPr>
      </w:pPr>
      <w:r w:rsidRPr="00615873">
        <w:rPr>
          <w:rFonts w:eastAsiaTheme="majorEastAsia" w:cs="Arial"/>
          <w:lang w:val="fr-CA"/>
        </w:rPr>
        <w:t>La Commission a plusieurs fois déploré « l’insuffisance et l’inadéquation des barèmes d’aide sociale pour satisfaire les besoins de base des personnes les plus démunies et, corrélativement, garantir le respect de leurs droits prévus par la Charte »</w:t>
      </w:r>
      <w:bookmarkStart w:id="14" w:name="_Ref138769321"/>
      <w:r w:rsidRPr="00615873">
        <w:rPr>
          <w:rFonts w:eastAsiaTheme="majorEastAsia" w:cs="Arial"/>
          <w:vertAlign w:val="superscript"/>
        </w:rPr>
        <w:footnoteReference w:id="26"/>
      </w:r>
      <w:bookmarkEnd w:id="14"/>
      <w:r w:rsidRPr="00615873">
        <w:rPr>
          <w:rFonts w:eastAsiaTheme="majorEastAsia" w:cs="Arial"/>
          <w:lang w:val="fr-CA"/>
        </w:rPr>
        <w:t xml:space="preserve">. </w:t>
      </w:r>
      <w:r w:rsidRPr="00EF7348">
        <w:rPr>
          <w:rFonts w:eastAsiaTheme="majorEastAsia" w:cs="Arial"/>
          <w:lang w:val="fr-CA"/>
        </w:rPr>
        <w:t>À ce propos, le critère déterminant devant servir à fixer le montant des prestations d’aide sociale doit demeurer « le déficit existant entre les besoins d’une personne ou d’une famille et leurs revenus »</w:t>
      </w:r>
      <w:r w:rsidRPr="00615873">
        <w:rPr>
          <w:rFonts w:eastAsiaTheme="majorEastAsia" w:cs="Arial"/>
          <w:vertAlign w:val="superscript"/>
        </w:rPr>
        <w:footnoteReference w:id="27"/>
      </w:r>
      <w:r w:rsidRPr="00EF7348">
        <w:rPr>
          <w:rFonts w:eastAsiaTheme="majorEastAsia" w:cs="Arial"/>
          <w:lang w:val="fr-CA"/>
        </w:rPr>
        <w:t>. C’est également dans cette perspective que la Commission a souhaité que les « politiques globales en matière de sécurité du revenu soient conçues en tenant compte des besoins réels des prestataires et de leur famille et de leur droit de vivre dans des conditions décentes qui leur permettent de jouir, comme les autres citoyens et comme des citoyens à part entière, de tous les droits et libertés protégés par la Charte »</w:t>
      </w:r>
      <w:r w:rsidRPr="00615873">
        <w:rPr>
          <w:rFonts w:eastAsiaTheme="majorEastAsia" w:cs="Arial"/>
          <w:vertAlign w:val="superscript"/>
        </w:rPr>
        <w:footnoteReference w:id="28"/>
      </w:r>
      <w:r w:rsidRPr="00EF7348">
        <w:rPr>
          <w:rFonts w:eastAsiaTheme="majorEastAsia" w:cs="Arial"/>
          <w:lang w:val="fr-CA"/>
        </w:rPr>
        <w:t>.</w:t>
      </w:r>
    </w:p>
    <w:p w14:paraId="4AB56536"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 xml:space="preserve">Parmi les recommandations que la Commission souhaite réitérer à ce sujet, citons notamment les suivantes :  </w:t>
      </w:r>
    </w:p>
    <w:p w14:paraId="7A2FEEAF" w14:textId="77777777" w:rsidR="00463481" w:rsidRPr="00615873" w:rsidRDefault="00463481" w:rsidP="00222B6E">
      <w:pPr>
        <w:pStyle w:val="Paragraphe"/>
        <w:numPr>
          <w:ilvl w:val="0"/>
          <w:numId w:val="10"/>
        </w:numPr>
        <w:rPr>
          <w:rFonts w:eastAsiaTheme="minorHAnsi" w:cs="Arial"/>
          <w:lang w:val="fr-CA" w:eastAsia="en-US"/>
        </w:rPr>
      </w:pPr>
      <w:proofErr w:type="gramStart"/>
      <w:r w:rsidRPr="00615873">
        <w:rPr>
          <w:rFonts w:eastAsiaTheme="minorHAnsi" w:cs="Arial"/>
          <w:lang w:val="fr-CA" w:eastAsia="en-US"/>
        </w:rPr>
        <w:t>que</w:t>
      </w:r>
      <w:proofErr w:type="gramEnd"/>
      <w:r w:rsidRPr="00615873">
        <w:rPr>
          <w:rFonts w:eastAsiaTheme="minorHAnsi" w:cs="Arial"/>
          <w:lang w:val="fr-CA" w:eastAsia="en-US"/>
        </w:rPr>
        <w:t xml:space="preserve"> les barèmes d’aide sociale soient fixés en fonction des besoins de base pour assurer un niveau de vie décent aux personnes ciblées, et non en fonction du type de programme mis en place ;</w:t>
      </w:r>
    </w:p>
    <w:p w14:paraId="1BE4B027" w14:textId="77777777" w:rsidR="00463481" w:rsidRPr="00A303ED" w:rsidRDefault="00463481" w:rsidP="00222B6E">
      <w:pPr>
        <w:pStyle w:val="Paragraphe"/>
        <w:numPr>
          <w:ilvl w:val="0"/>
          <w:numId w:val="10"/>
        </w:numPr>
        <w:rPr>
          <w:rFonts w:eastAsiaTheme="minorHAnsi" w:cs="Arial"/>
          <w:lang w:val="fr-CA" w:eastAsia="en-US"/>
        </w:rPr>
      </w:pPr>
      <w:proofErr w:type="gramStart"/>
      <w:r w:rsidRPr="00A303ED">
        <w:rPr>
          <w:rFonts w:eastAsiaTheme="minorHAnsi" w:cs="Arial"/>
          <w:lang w:val="fr-CA" w:eastAsia="en-US"/>
        </w:rPr>
        <w:t>que</w:t>
      </w:r>
      <w:proofErr w:type="gramEnd"/>
      <w:r w:rsidRPr="00A303ED">
        <w:rPr>
          <w:rFonts w:eastAsiaTheme="minorHAnsi" w:cs="Arial"/>
          <w:lang w:val="fr-CA" w:eastAsia="en-US"/>
        </w:rPr>
        <w:t xml:space="preserve"> ces barèmes ne soient pas de simples barèmes de survie, mais qu’ils assurent l’exercice de l’ensemble des droits de la personne.</w:t>
      </w:r>
    </w:p>
    <w:p w14:paraId="42018C93" w14:textId="77777777" w:rsidR="00463481" w:rsidRPr="00615873" w:rsidRDefault="00463481" w:rsidP="00B64639">
      <w:pPr>
        <w:pStyle w:val="Paragraphe"/>
        <w:rPr>
          <w:rFonts w:eastAsiaTheme="minorHAnsi" w:cs="Arial"/>
          <w:szCs w:val="22"/>
          <w:lang w:val="fr-CA"/>
        </w:rPr>
      </w:pPr>
      <w:r w:rsidRPr="00615873">
        <w:rPr>
          <w:rFonts w:eastAsiaTheme="minorHAnsi" w:cs="Arial"/>
          <w:szCs w:val="22"/>
          <w:lang w:val="fr-CA"/>
        </w:rPr>
        <w:lastRenderedPageBreak/>
        <w:t>De façon plus générale, la Commission recommande également à nouveau :</w:t>
      </w:r>
    </w:p>
    <w:p w14:paraId="0E451603" w14:textId="77777777" w:rsidR="00463481" w:rsidRPr="00EF7348" w:rsidRDefault="00463481" w:rsidP="00222B6E">
      <w:pPr>
        <w:pStyle w:val="Paragraphe"/>
        <w:numPr>
          <w:ilvl w:val="0"/>
          <w:numId w:val="11"/>
        </w:numPr>
        <w:rPr>
          <w:rFonts w:eastAsiaTheme="minorHAnsi" w:cs="Arial"/>
          <w:lang w:val="fr-CA"/>
        </w:rPr>
      </w:pPr>
      <w:proofErr w:type="gramStart"/>
      <w:r w:rsidRPr="00615873">
        <w:rPr>
          <w:rFonts w:eastAsiaTheme="minorHAnsi" w:cs="Arial"/>
          <w:lang w:val="fr-CA" w:eastAsia="en-US"/>
        </w:rPr>
        <w:t>que</w:t>
      </w:r>
      <w:proofErr w:type="gramEnd"/>
      <w:r w:rsidRPr="00615873">
        <w:rPr>
          <w:rFonts w:eastAsiaTheme="minorHAnsi" w:cs="Arial"/>
          <w:lang w:val="fr-CA" w:eastAsia="en-US"/>
        </w:rPr>
        <w:t xml:space="preserve"> la Charte soit modifiée pour étendre aux articles 39 à 48 la primauté sur la législation que confère l’article 52 de celle-ci. </w:t>
      </w:r>
      <w:r w:rsidRPr="00EF7348">
        <w:rPr>
          <w:rFonts w:eastAsiaTheme="minorHAnsi" w:cs="Arial"/>
          <w:lang w:val="fr-CA" w:eastAsia="en-US"/>
        </w:rPr>
        <w:t>Cette primauté pourrait entrer en vigueur graduellement et ainsi être limitée dans un premier temps aux lois postérieures, puis étendue aux lois existantes.</w:t>
      </w:r>
    </w:p>
    <w:p w14:paraId="01C4A375" w14:textId="77777777" w:rsidR="00463481" w:rsidRPr="00463481" w:rsidRDefault="00463481" w:rsidP="00FB37AE">
      <w:pPr>
        <w:pStyle w:val="Titre3"/>
        <w:tabs>
          <w:tab w:val="clear" w:pos="1440"/>
          <w:tab w:val="num" w:pos="709"/>
        </w:tabs>
        <w:ind w:left="709" w:hanging="709"/>
      </w:pPr>
      <w:bookmarkStart w:id="15" w:name="_Toc138945278"/>
      <w:r w:rsidRPr="00463481">
        <w:t>Emploi et accès au marché du travail</w:t>
      </w:r>
      <w:bookmarkEnd w:id="15"/>
    </w:p>
    <w:p w14:paraId="1C2CB592"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 xml:space="preserve">Conformément aux missions que lui confie la Charte, mais aussi la </w:t>
      </w:r>
      <w:r w:rsidRPr="00615873">
        <w:rPr>
          <w:rFonts w:eastAsiaTheme="minorHAnsi" w:cs="Arial"/>
          <w:i/>
          <w:iCs/>
          <w:lang w:val="fr-CA" w:eastAsia="en-US"/>
        </w:rPr>
        <w:t>Loi sur l’accès à l’égalité en emploi</w:t>
      </w:r>
      <w:r w:rsidRPr="00615873">
        <w:rPr>
          <w:rFonts w:eastAsiaTheme="minorHAnsi" w:cs="Arial"/>
          <w:i/>
          <w:lang w:val="fr-CA" w:eastAsia="en-US"/>
        </w:rPr>
        <w:t xml:space="preserve"> dans des organismes publics</w:t>
      </w:r>
      <w:r w:rsidRPr="00615873">
        <w:rPr>
          <w:rFonts w:eastAsiaTheme="minorHAnsi" w:cs="Arial"/>
          <w:lang w:val="fr-CA" w:eastAsia="en-US"/>
        </w:rPr>
        <w:t xml:space="preserve">, la Commission s’est prononcée à maintes reprises sur les conditions devant permettre la mise en œuvre d’une approche visant à favoriser l’accès à l’emploi qui soit conforme aux droits et libertés de la personne garantis par la Charte. </w:t>
      </w:r>
      <w:r w:rsidRPr="00EF7348">
        <w:rPr>
          <w:rFonts w:eastAsiaTheme="minorHAnsi" w:cs="Arial"/>
          <w:lang w:val="fr-CA" w:eastAsia="en-US"/>
        </w:rPr>
        <w:t>Certes, le fait de viser « le développement de l’employabilité est un objectif fort louable »</w:t>
      </w:r>
      <w:r w:rsidRPr="00615873">
        <w:rPr>
          <w:rFonts w:eastAsiaTheme="minorHAnsi" w:cs="Arial"/>
          <w:vertAlign w:val="superscript"/>
          <w:lang w:eastAsia="en-US"/>
        </w:rPr>
        <w:footnoteReference w:id="29"/>
      </w:r>
      <w:r w:rsidRPr="00EF7348">
        <w:rPr>
          <w:rFonts w:eastAsiaTheme="minorHAnsi" w:cs="Arial"/>
          <w:lang w:val="fr-CA" w:eastAsia="en-US"/>
        </w:rPr>
        <w:t>. Il faut néanmoins insister : « une perspective individualiste de la non-intégration au marché du travail est non seulement insatisfaisante, elle est faussée, notamment du fait qu’elle ne tient compte ni des causes de non-emploi ni des causes de la pauvreté »</w:t>
      </w:r>
      <w:r w:rsidRPr="00615873">
        <w:rPr>
          <w:rFonts w:eastAsiaTheme="minorHAnsi" w:cs="Arial"/>
          <w:vertAlign w:val="superscript"/>
          <w:lang w:eastAsia="en-US"/>
        </w:rPr>
        <w:footnoteReference w:id="30"/>
      </w:r>
      <w:r w:rsidRPr="00EF7348">
        <w:rPr>
          <w:rFonts w:eastAsiaTheme="minorHAnsi" w:cs="Arial"/>
          <w:lang w:val="fr-CA" w:eastAsia="en-US"/>
        </w:rPr>
        <w:t>.</w:t>
      </w:r>
    </w:p>
    <w:p w14:paraId="46E75DA8" w14:textId="77777777" w:rsidR="00463481" w:rsidRPr="00EF7348" w:rsidRDefault="00463481" w:rsidP="00B64639">
      <w:pPr>
        <w:pStyle w:val="Paragraphe"/>
        <w:rPr>
          <w:rFonts w:eastAsiaTheme="minorHAnsi" w:cs="Arial"/>
          <w:szCs w:val="22"/>
          <w:lang w:val="fr-CA"/>
        </w:rPr>
      </w:pPr>
      <w:r w:rsidRPr="00615873">
        <w:rPr>
          <w:rFonts w:eastAsiaTheme="minorHAnsi" w:cs="Arial"/>
          <w:szCs w:val="22"/>
          <w:lang w:val="fr-CA"/>
        </w:rPr>
        <w:t xml:space="preserve">Ainsi, l’action gouvernementale visant à favoriser l’accès à l’emploi et à valoriser le travail doit tenir compte des facteurs d’ordre systémique qui caractérisent le marché de l’emploi et constituent des obstacles auxquels doivent faire face les personnes maintenues en marge du marché de l’emploi. </w:t>
      </w:r>
      <w:r w:rsidRPr="00EF7348">
        <w:rPr>
          <w:rFonts w:eastAsiaTheme="minorHAnsi" w:cs="Arial"/>
          <w:szCs w:val="22"/>
          <w:lang w:val="fr-CA"/>
        </w:rPr>
        <w:t xml:space="preserve">À défaut, les mesures d’aide risquent plutôt d’accroître les difficultés liées à ces obstacles et de maintenir les personnes visées en marge du marché de l’emploi. </w:t>
      </w:r>
    </w:p>
    <w:p w14:paraId="7ACBF456" w14:textId="77777777" w:rsidR="00463481" w:rsidRPr="00615873" w:rsidRDefault="00463481" w:rsidP="00B64639">
      <w:pPr>
        <w:pStyle w:val="Paragraphe"/>
        <w:rPr>
          <w:rFonts w:eastAsiaTheme="minorHAnsi" w:cs="Arial"/>
          <w:lang w:val="fr-CA"/>
        </w:rPr>
      </w:pPr>
      <w:r w:rsidRPr="00615873">
        <w:rPr>
          <w:rFonts w:eastAsiaTheme="minorHAnsi" w:cs="Arial"/>
          <w:lang w:val="fr-CA"/>
        </w:rPr>
        <w:t>Parmi les obstacles d’ordre systémique qui perdurent malgré les aléas du marché de l’emploi, notons que plusieurs groupes continuent d’être la cible de préjugés et de pratiques discriminatoires en embauche, notamment les groupes qui sont visés par des programmes d’accès à l’égalité en emploi</w:t>
      </w:r>
      <w:r w:rsidRPr="00615873">
        <w:rPr>
          <w:rFonts w:eastAsiaTheme="minorHAnsi" w:cs="Arial"/>
          <w:vertAlign w:val="superscript"/>
        </w:rPr>
        <w:footnoteReference w:id="31"/>
      </w:r>
      <w:r w:rsidRPr="00615873">
        <w:rPr>
          <w:rFonts w:eastAsiaTheme="minorHAnsi" w:cs="Arial"/>
          <w:lang w:val="fr-CA"/>
        </w:rPr>
        <w:t xml:space="preserve">. </w:t>
      </w:r>
    </w:p>
    <w:p w14:paraId="53A93BBB" w14:textId="77777777" w:rsidR="00463481" w:rsidRPr="00EF7348" w:rsidRDefault="00463481" w:rsidP="00B64639">
      <w:pPr>
        <w:pStyle w:val="Paragraphe"/>
        <w:rPr>
          <w:rFonts w:eastAsiaTheme="minorHAnsi" w:cs="Arial"/>
          <w:szCs w:val="22"/>
          <w:lang w:val="fr-CA"/>
        </w:rPr>
      </w:pPr>
      <w:r w:rsidRPr="00615873">
        <w:rPr>
          <w:rFonts w:eastAsiaTheme="minorHAnsi" w:cs="Arial"/>
          <w:szCs w:val="22"/>
          <w:lang w:val="fr-CA"/>
        </w:rPr>
        <w:lastRenderedPageBreak/>
        <w:t>Dans un avis, publié en juin 2015, le Comité consultatif de lutte contre la pauvreté et l’exclusion sociale affirmait lui aussi que « le premier frein à l’insertion en emploi prend bien souvent sa</w:t>
      </w:r>
      <w:r w:rsidRPr="00615873">
        <w:rPr>
          <w:rFonts w:eastAsiaTheme="minorHAnsi" w:cs="Arial"/>
          <w:szCs w:val="22"/>
          <w:lang w:val="fr-CA" w:eastAsia="en-US"/>
        </w:rPr>
        <w:t xml:space="preserve"> </w:t>
      </w:r>
      <w:r w:rsidRPr="00615873">
        <w:rPr>
          <w:rFonts w:eastAsiaTheme="minorHAnsi" w:cs="Arial"/>
          <w:szCs w:val="22"/>
          <w:lang w:val="fr-CA"/>
        </w:rPr>
        <w:t>source dans un préjugé, tant de la part des employeurs que des intervenants ou de la société en général »</w:t>
      </w:r>
      <w:r w:rsidRPr="00615873">
        <w:rPr>
          <w:rFonts w:eastAsiaTheme="minorHAnsi" w:cs="Arial"/>
          <w:szCs w:val="22"/>
          <w:vertAlign w:val="superscript"/>
        </w:rPr>
        <w:footnoteReference w:id="32"/>
      </w:r>
      <w:r w:rsidRPr="00615873">
        <w:rPr>
          <w:rFonts w:eastAsiaTheme="minorHAnsi" w:cs="Arial"/>
          <w:szCs w:val="22"/>
          <w:lang w:val="fr-CA"/>
        </w:rPr>
        <w:t xml:space="preserve">. </w:t>
      </w:r>
      <w:r w:rsidRPr="00EF7348">
        <w:rPr>
          <w:rFonts w:eastAsiaTheme="minorHAnsi" w:cs="Arial"/>
          <w:szCs w:val="22"/>
          <w:lang w:val="fr-CA"/>
        </w:rPr>
        <w:t xml:space="preserve">Ainsi, soulignait ce comité : </w:t>
      </w:r>
    </w:p>
    <w:p w14:paraId="303E0B96" w14:textId="77777777" w:rsidR="00463481" w:rsidRPr="00615873" w:rsidRDefault="00463481" w:rsidP="00463481">
      <w:pPr>
        <w:spacing w:line="240" w:lineRule="auto"/>
        <w:ind w:left="709" w:right="476"/>
        <w:jc w:val="left"/>
        <w:rPr>
          <w:rFonts w:cs="Arial"/>
          <w:i/>
          <w:iCs/>
          <w:sz w:val="20"/>
          <w:szCs w:val="20"/>
        </w:rPr>
      </w:pPr>
      <w:r w:rsidRPr="00463481">
        <w:rPr>
          <w:rFonts w:cs="Arial"/>
          <w:sz w:val="20"/>
          <w:szCs w:val="22"/>
        </w:rPr>
        <w:t>« Les préjugés sont entre autres très forts envers les personnes en situation de pauvreté, plus spécifiquement les prestataires d’un programme d’assistance sociale, qu’on taxe souvent d’être incompétents, irresponsables, profiteurs et paresseux, sans même connaître leur réalité. De nombreuses études démontrent pourtant que l’immense majorité d’entre eux souhaitent intégrer le marché du travail, mais que de nombreux obstacles systémiques les en empêchent</w:t>
      </w:r>
      <w:r w:rsidRPr="00463481">
        <w:rPr>
          <w:rFonts w:cs="Arial"/>
          <w:sz w:val="20"/>
          <w:szCs w:val="20"/>
        </w:rPr>
        <w:t>. »</w:t>
      </w:r>
      <w:r w:rsidRPr="00463481">
        <w:rPr>
          <w:rFonts w:cs="Arial"/>
          <w:sz w:val="20"/>
          <w:szCs w:val="20"/>
          <w:vertAlign w:val="superscript"/>
        </w:rPr>
        <w:footnoteReference w:id="33"/>
      </w:r>
      <w:r w:rsidRPr="00463481">
        <w:rPr>
          <w:rFonts w:cs="Arial"/>
          <w:i/>
          <w:iCs/>
          <w:sz w:val="20"/>
          <w:szCs w:val="20"/>
        </w:rPr>
        <w:t xml:space="preserve"> </w:t>
      </w:r>
    </w:p>
    <w:p w14:paraId="155FE20B" w14:textId="77777777" w:rsidR="00463481" w:rsidRPr="00EF7348" w:rsidRDefault="00463481" w:rsidP="00B64639">
      <w:pPr>
        <w:pStyle w:val="Paragraphe"/>
        <w:rPr>
          <w:rFonts w:eastAsiaTheme="minorHAnsi" w:cs="Arial"/>
          <w:lang w:val="fr-CA"/>
        </w:rPr>
      </w:pPr>
      <w:r w:rsidRPr="00615873">
        <w:rPr>
          <w:rFonts w:eastAsiaTheme="minorHAnsi" w:cs="Arial"/>
          <w:lang w:val="fr-CA"/>
        </w:rPr>
        <w:t xml:space="preserve">De fait, les bénéficiaires de programmes d’aide sociale connaissent d’importantes difficultés en termes d’accès à l’emploi. </w:t>
      </w:r>
      <w:r w:rsidRPr="00EF7348">
        <w:rPr>
          <w:rFonts w:eastAsiaTheme="minorHAnsi" w:cs="Arial"/>
          <w:lang w:val="fr-CA"/>
        </w:rPr>
        <w:t xml:space="preserve">Trop souvent s’ajoute à cette situation déjà difficile le fait que ces personnes présentent des caractéristiques associées à un des motifs de discrimination prohibés à l’article 10 de la Charte et qu’en raison de ces caractéristiques, qui sont indépendantes de leurs qualifications et compétences, elles peuvent être exclues du marché du travail par des employeurs qui nourrissent des préjugés à leur égard. </w:t>
      </w:r>
    </w:p>
    <w:p w14:paraId="40577E82" w14:textId="77777777" w:rsidR="00463481" w:rsidRPr="00EF7348" w:rsidRDefault="00463481" w:rsidP="00B64639">
      <w:pPr>
        <w:pStyle w:val="Paragraphe"/>
        <w:rPr>
          <w:rFonts w:eastAsiaTheme="minorHAnsi" w:cs="Arial"/>
          <w:lang w:val="fr-CA"/>
        </w:rPr>
      </w:pPr>
      <w:r w:rsidRPr="00EF7348">
        <w:rPr>
          <w:rFonts w:eastAsiaTheme="minorHAnsi" w:cs="Arial"/>
          <w:lang w:val="fr-CA"/>
        </w:rPr>
        <w:t>L’intégration en emploi des personnes qui en sont exclues ne peut donc se matérialiser sans une véritable prise en compte des obstacles systémiques qui empêchent les membres de certains groupes d’accéder au marché du travail. Cette prise en compte doit être assortie d’une volonté ferme de mettre de l’avant des mesures visant à enrayer la discrimination systémique dont sont victimes ces groupes, lorsqu’il s’agit de leur insertion en emploi, et de la responsabilisation corrélative de l’ensemble des acteurs du marché de l’emploi. Les programmes d’accès à l’égalité constituent une action proactive pour parvenir à ces fins.</w:t>
      </w:r>
    </w:p>
    <w:p w14:paraId="625A9EE1" w14:textId="77777777" w:rsidR="00463481" w:rsidRPr="00615873" w:rsidRDefault="00463481" w:rsidP="00B64639">
      <w:pPr>
        <w:pStyle w:val="Paragraphe"/>
        <w:rPr>
          <w:rFonts w:eastAsiaTheme="minorHAnsi" w:cs="Arial"/>
          <w:szCs w:val="22"/>
          <w:lang w:val="fr-CA" w:eastAsia="en-US"/>
        </w:rPr>
      </w:pPr>
      <w:r w:rsidRPr="00615873">
        <w:rPr>
          <w:rFonts w:eastAsiaTheme="minorHAnsi" w:cs="Arial"/>
          <w:szCs w:val="22"/>
          <w:lang w:val="fr-CA" w:eastAsia="en-US"/>
        </w:rPr>
        <w:t xml:space="preserve">Parmi les recommandations que la Commission souhaite réitérer à ce sujet, citons notamment les suivantes : </w:t>
      </w:r>
    </w:p>
    <w:p w14:paraId="689EA092" w14:textId="77777777" w:rsidR="00463481" w:rsidRPr="00615873" w:rsidRDefault="00463481" w:rsidP="00222B6E">
      <w:pPr>
        <w:pStyle w:val="Paragraphe"/>
        <w:numPr>
          <w:ilvl w:val="0"/>
          <w:numId w:val="12"/>
        </w:numPr>
        <w:rPr>
          <w:rFonts w:eastAsiaTheme="minorHAnsi" w:cs="Arial"/>
          <w:lang w:val="fr-CA" w:eastAsia="en-US"/>
        </w:rPr>
      </w:pPr>
      <w:proofErr w:type="gramStart"/>
      <w:r w:rsidRPr="00615873">
        <w:rPr>
          <w:rFonts w:eastAsiaTheme="minorHAnsi" w:cs="Arial"/>
          <w:lang w:val="fr-CA" w:eastAsia="en-US"/>
        </w:rPr>
        <w:lastRenderedPageBreak/>
        <w:t>que</w:t>
      </w:r>
      <w:proofErr w:type="gramEnd"/>
      <w:r w:rsidRPr="00615873">
        <w:rPr>
          <w:rFonts w:eastAsiaTheme="minorHAnsi" w:cs="Arial"/>
          <w:lang w:val="fr-CA" w:eastAsia="en-US"/>
        </w:rPr>
        <w:t xml:space="preserve"> la participation aux mesures d’aide à l’emploi proposées ne conditionne pas la reconnaissance et l’exercice en pleine égalité du droit à des mesures d’assistance financière et des mesures sociales susceptibles d’assurer un niveau de vie décent ;</w:t>
      </w:r>
    </w:p>
    <w:p w14:paraId="2882EE36" w14:textId="77777777" w:rsidR="00463481" w:rsidRPr="00EF7348" w:rsidRDefault="00463481" w:rsidP="00222B6E">
      <w:pPr>
        <w:pStyle w:val="Paragraphe"/>
        <w:numPr>
          <w:ilvl w:val="0"/>
          <w:numId w:val="12"/>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les mesures d’aide à l’emploi proposées dans le cadre de la </w:t>
      </w:r>
      <w:r w:rsidRPr="00EF7348">
        <w:rPr>
          <w:rFonts w:eastAsiaTheme="minorHAnsi" w:cs="Arial"/>
          <w:i/>
          <w:iCs/>
          <w:lang w:val="fr-CA" w:eastAsia="en-US"/>
        </w:rPr>
        <w:t>Loi sur l’aide aux personnes et aux familles</w:t>
      </w:r>
      <w:r w:rsidRPr="00EF7348">
        <w:rPr>
          <w:rFonts w:eastAsiaTheme="minorHAnsi" w:cs="Arial"/>
          <w:lang w:val="fr-CA" w:eastAsia="en-US"/>
        </w:rPr>
        <w:t xml:space="preserve"> soient redéfinies en tenant compte de la discrimination systémique dont sont victimes certains groupes protégés en vertu du droit à l’égalité garanti par la Charte ;</w:t>
      </w:r>
    </w:p>
    <w:p w14:paraId="41F95A0B" w14:textId="77777777" w:rsidR="00463481" w:rsidRPr="00EF7348" w:rsidRDefault="00463481" w:rsidP="00222B6E">
      <w:pPr>
        <w:pStyle w:val="Paragraphe"/>
        <w:numPr>
          <w:ilvl w:val="0"/>
          <w:numId w:val="12"/>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l’article 92 de la Charte soit modifié afin d’assujettir les programmes d’accès à l’égalité en emploi de la fonction publique aux mécanismes de reddition de comptes et de contrôle de la Commission.</w:t>
      </w:r>
    </w:p>
    <w:p w14:paraId="22171E50" w14:textId="77777777" w:rsidR="00463481" w:rsidRPr="00463481" w:rsidRDefault="00463481" w:rsidP="00673D66">
      <w:pPr>
        <w:pStyle w:val="Titre2"/>
        <w:tabs>
          <w:tab w:val="clear" w:pos="936"/>
          <w:tab w:val="left" w:pos="720"/>
        </w:tabs>
        <w:ind w:left="720" w:hanging="720"/>
      </w:pPr>
      <w:bookmarkStart w:id="16" w:name="_Toc138945279"/>
      <w:r w:rsidRPr="00463481">
        <w:t>Éducation, famille et personnes aînées</w:t>
      </w:r>
      <w:bookmarkEnd w:id="16"/>
    </w:p>
    <w:p w14:paraId="543B412B" w14:textId="77777777" w:rsidR="00463481" w:rsidRPr="00463481" w:rsidRDefault="00463481" w:rsidP="00ED1FF1">
      <w:pPr>
        <w:pStyle w:val="Titre3"/>
        <w:tabs>
          <w:tab w:val="clear" w:pos="1440"/>
          <w:tab w:val="num" w:pos="709"/>
        </w:tabs>
        <w:ind w:left="709" w:hanging="709"/>
      </w:pPr>
      <w:bookmarkStart w:id="17" w:name="_Toc138945280"/>
      <w:r w:rsidRPr="00463481">
        <w:t>Éducation et formation : l’importance des mesures de soutien à l’apprentissage</w:t>
      </w:r>
      <w:bookmarkEnd w:id="17"/>
    </w:p>
    <w:p w14:paraId="2D83D706" w14:textId="77777777" w:rsidR="00463481" w:rsidRPr="00EF7348" w:rsidRDefault="00463481" w:rsidP="00B64639">
      <w:pPr>
        <w:pStyle w:val="Paragraphe"/>
        <w:rPr>
          <w:rFonts w:eastAsiaTheme="majorEastAsia" w:cs="Arial"/>
          <w:lang w:val="fr-CA"/>
        </w:rPr>
      </w:pPr>
      <w:r w:rsidRPr="00615873">
        <w:rPr>
          <w:rFonts w:eastAsiaTheme="majorEastAsia" w:cs="Arial"/>
          <w:lang w:val="fr-CA"/>
        </w:rPr>
        <w:t>La Commission fait valoir depuis plusieurs années que, pour briser le cercle vicieux de la pauvreté dont de nombreux enfants sont victimes, il est impératif que ceux-ci bénéficient, dès le plus jeune âge, de mesures spécifiques pour soutenir leurs apprentissages et pour favoriser leur plein développement</w:t>
      </w:r>
      <w:r w:rsidRPr="00615873">
        <w:rPr>
          <w:rFonts w:eastAsiaTheme="majorEastAsia" w:cs="Arial"/>
          <w:vertAlign w:val="superscript"/>
        </w:rPr>
        <w:footnoteReference w:id="34"/>
      </w:r>
      <w:r w:rsidRPr="00615873">
        <w:rPr>
          <w:rFonts w:eastAsiaTheme="majorEastAsia" w:cs="Arial"/>
          <w:lang w:val="fr-CA"/>
        </w:rPr>
        <w:t xml:space="preserve">. </w:t>
      </w:r>
      <w:r w:rsidRPr="00EF7348">
        <w:rPr>
          <w:rFonts w:eastAsiaTheme="majorEastAsia" w:cs="Arial"/>
          <w:lang w:val="fr-CA"/>
        </w:rPr>
        <w:t>À de nombreuses reprises, elle a ainsi rappelé que les enfants les plus à risque de présenter des retards de développement se trouvaient régulièrement parmi ceux qui proviennent de familles à faible revenu</w:t>
      </w:r>
      <w:r w:rsidRPr="00615873">
        <w:rPr>
          <w:rFonts w:eastAsiaTheme="majorEastAsia" w:cs="Arial"/>
          <w:vertAlign w:val="superscript"/>
        </w:rPr>
        <w:footnoteReference w:id="35"/>
      </w:r>
      <w:r w:rsidRPr="00EF7348">
        <w:rPr>
          <w:rFonts w:eastAsiaTheme="majorEastAsia" w:cs="Arial"/>
          <w:lang w:val="fr-CA"/>
        </w:rPr>
        <w:t>.</w:t>
      </w:r>
      <w:r w:rsidRPr="00EF7348">
        <w:rPr>
          <w:rFonts w:cs="Arial"/>
          <w:lang w:val="fr-CA"/>
        </w:rPr>
        <w:t xml:space="preserve"> De fait, l</w:t>
      </w:r>
      <w:r w:rsidRPr="00EF7348">
        <w:rPr>
          <w:rFonts w:eastAsiaTheme="majorEastAsia" w:cs="Arial"/>
          <w:lang w:val="fr-CA"/>
        </w:rPr>
        <w:t xml:space="preserve">’état de défavorisation des familles dans lesquelles ces enfants sont appelés à grandir est étroitement associé aux difficultés qu’ils </w:t>
      </w:r>
      <w:r w:rsidRPr="00EF7348">
        <w:rPr>
          <w:rFonts w:eastAsiaTheme="majorEastAsia" w:cs="Arial"/>
          <w:lang w:val="fr-CA"/>
        </w:rPr>
        <w:lastRenderedPageBreak/>
        <w:t>rencontrent à toutes les étapes de leur parcours scolaire. Qu’il soit question de préparation aux exigences du monde scolaire durant la petite enfance, d’acquisition de compétences, de persévérance scolaire, d’abandon ou d’absentéisme, et ultimement de diplomation, l’état de pauvreté de la famille influence l’histoire scolaire et l’adaptation sociale de l’enfant</w:t>
      </w:r>
      <w:r w:rsidRPr="00615873">
        <w:rPr>
          <w:rFonts w:eastAsiaTheme="majorEastAsia" w:cs="Arial"/>
          <w:vertAlign w:val="superscript"/>
        </w:rPr>
        <w:footnoteReference w:id="36"/>
      </w:r>
      <w:r w:rsidRPr="00EF7348">
        <w:rPr>
          <w:rFonts w:eastAsiaTheme="majorEastAsia" w:cs="Arial"/>
          <w:lang w:val="fr-CA"/>
        </w:rPr>
        <w:t>.</w:t>
      </w:r>
    </w:p>
    <w:p w14:paraId="74E7ED94" w14:textId="77777777" w:rsidR="00463481" w:rsidRPr="00EF7348" w:rsidRDefault="00463481" w:rsidP="00B64639">
      <w:pPr>
        <w:pStyle w:val="Paragraphe"/>
        <w:rPr>
          <w:rFonts w:eastAsiaTheme="majorEastAsia" w:cs="Arial"/>
          <w:kern w:val="28"/>
          <w:lang w:val="fr-CA"/>
        </w:rPr>
      </w:pPr>
      <w:r w:rsidRPr="00615873">
        <w:rPr>
          <w:rFonts w:eastAsiaTheme="majorEastAsia" w:cs="Arial"/>
          <w:kern w:val="28"/>
          <w:lang w:val="fr-CA"/>
        </w:rPr>
        <w:t>Pour plusieurs familles à faible revenu qui ont des enfants en âge de fréquenter l’école, les revenus disponibles s’avèrent nettement insuffisants pour garantir que les besoins de base de leurs membres seront comblés</w:t>
      </w:r>
      <w:bookmarkStart w:id="18" w:name="_Ref138770945"/>
      <w:r w:rsidRPr="00615873">
        <w:rPr>
          <w:rFonts w:eastAsiaTheme="majorEastAsia" w:cs="Arial"/>
          <w:kern w:val="28"/>
          <w:vertAlign w:val="superscript"/>
        </w:rPr>
        <w:footnoteReference w:id="37"/>
      </w:r>
      <w:bookmarkEnd w:id="18"/>
      <w:r w:rsidRPr="00615873">
        <w:rPr>
          <w:rFonts w:eastAsiaTheme="majorEastAsia" w:cs="Arial"/>
          <w:kern w:val="28"/>
          <w:lang w:val="fr-CA"/>
        </w:rPr>
        <w:t>.</w:t>
      </w:r>
      <w:r w:rsidRPr="00615873">
        <w:rPr>
          <w:rFonts w:cs="Arial"/>
          <w:lang w:val="fr-CA"/>
        </w:rPr>
        <w:t xml:space="preserve"> </w:t>
      </w:r>
      <w:r w:rsidRPr="00EF7348">
        <w:rPr>
          <w:rFonts w:eastAsiaTheme="majorEastAsia" w:cs="Arial"/>
          <w:kern w:val="28"/>
          <w:lang w:val="fr-CA"/>
        </w:rPr>
        <w:t>Dans un tel contexte, au regard des ressources extrêmement limitées dont elles disposent, ces familles doivent régulièrement procéder à des choix difficiles, voire impossibles, qui ne sont pas sans conséquence sur le parcours scolaire et le développement de leurs enfants</w:t>
      </w:r>
      <w:r w:rsidRPr="00615873">
        <w:rPr>
          <w:rFonts w:eastAsiaTheme="majorEastAsia" w:cs="Arial"/>
          <w:kern w:val="28"/>
          <w:vertAlign w:val="superscript"/>
        </w:rPr>
        <w:footnoteReference w:id="38"/>
      </w:r>
      <w:r w:rsidRPr="00EF7348">
        <w:rPr>
          <w:rFonts w:eastAsiaTheme="majorEastAsia" w:cs="Arial"/>
          <w:kern w:val="28"/>
          <w:lang w:val="fr-CA"/>
        </w:rPr>
        <w:t xml:space="preserve">. À titre d’exemple, le manque de ressources financières peut affecter significativement la qualité de la participation de ces enfants aux activités d’apprentissage que l’école leur propose, et ainsi venir compromettre leur droit à l’instruction publique gratuite protégé à l’article 40 de la Charte. </w:t>
      </w:r>
    </w:p>
    <w:p w14:paraId="0582F7D0" w14:textId="77777777" w:rsidR="00463481" w:rsidRPr="00EF7348" w:rsidRDefault="00463481" w:rsidP="00B64639">
      <w:pPr>
        <w:pStyle w:val="Paragraphe"/>
        <w:rPr>
          <w:rFonts w:eastAsiaTheme="majorEastAsia" w:cs="Arial"/>
          <w:lang w:val="fr-CA"/>
        </w:rPr>
      </w:pPr>
      <w:r w:rsidRPr="00615873">
        <w:rPr>
          <w:rFonts w:eastAsiaTheme="majorEastAsia" w:cs="Arial"/>
          <w:lang w:val="fr-CA"/>
        </w:rPr>
        <w:t xml:space="preserve">Encore ici, il s’agit aussi d’une illustration particulièrement concrète de la nécessité pour l’État québécois de garantir la mise en œuvre effective de l’article 45 de la Charte, afin d’assurer un niveau de vie décent aux familles qui ont des enfants en âge de fréquenter l’école. </w:t>
      </w:r>
      <w:r w:rsidRPr="00EF7348">
        <w:rPr>
          <w:rFonts w:eastAsiaTheme="majorEastAsia" w:cs="Arial"/>
          <w:lang w:val="fr-CA"/>
        </w:rPr>
        <w:t xml:space="preserve">Pour donner un parcours scolaire qui permet aux enfants de familles à faible revenu de développer pleinement leurs capacités sur le plan de l’instruction, de la socialisation et de la qualification, il importe que leurs familles soient dégagées des contraintes qui sont liées à des conditions de vie marquées par la survivance. </w:t>
      </w:r>
    </w:p>
    <w:p w14:paraId="48F6FDEF" w14:textId="77777777" w:rsidR="00463481" w:rsidRPr="00EF7348" w:rsidRDefault="00463481" w:rsidP="00B64639">
      <w:pPr>
        <w:pStyle w:val="Paragraphe"/>
        <w:rPr>
          <w:rFonts w:eastAsiaTheme="majorEastAsia" w:cs="Arial"/>
          <w:lang w:val="fr-CA"/>
        </w:rPr>
      </w:pPr>
      <w:r w:rsidRPr="00EF7348">
        <w:rPr>
          <w:rFonts w:eastAsiaTheme="majorEastAsia" w:cs="Arial"/>
          <w:lang w:val="fr-CA"/>
        </w:rPr>
        <w:t xml:space="preserve">Par ailleurs, la Commission a déjà rappelé que les difficultés vécues par de nombreux élèves en situation de pauvreté résultent régulièrement de l’interaction avec d’autres motifs de discrimination interdits en vertu de l’article 10 de la Charte, tels que l’origine ethnique ou </w:t>
      </w:r>
      <w:r w:rsidRPr="00EF7348">
        <w:rPr>
          <w:rFonts w:eastAsiaTheme="majorEastAsia" w:cs="Arial"/>
          <w:lang w:val="fr-CA"/>
        </w:rPr>
        <w:lastRenderedPageBreak/>
        <w:t>nationale, la « race », la couleur, la religion, la langue et la situation de handicap</w:t>
      </w:r>
      <w:r w:rsidRPr="00615873">
        <w:rPr>
          <w:rFonts w:eastAsiaTheme="majorEastAsia" w:cs="Arial"/>
          <w:vertAlign w:val="superscript"/>
        </w:rPr>
        <w:footnoteReference w:id="39"/>
      </w:r>
      <w:r w:rsidRPr="00EF7348">
        <w:rPr>
          <w:rFonts w:eastAsiaTheme="majorEastAsia" w:cs="Arial"/>
          <w:lang w:val="fr-CA"/>
        </w:rPr>
        <w:t>. Des mesures spécifiques visant à favoriser la réussite éducative de ces élèves devaient donc impérativement être mises de l’avant pour leur permettre de développer leur plein potentiel</w:t>
      </w:r>
      <w:r w:rsidRPr="00615873">
        <w:rPr>
          <w:rFonts w:eastAsiaTheme="majorEastAsia" w:cs="Arial"/>
          <w:vertAlign w:val="superscript"/>
        </w:rPr>
        <w:footnoteReference w:id="40"/>
      </w:r>
      <w:r w:rsidRPr="00EF7348">
        <w:rPr>
          <w:rFonts w:eastAsiaTheme="majorEastAsia" w:cs="Arial"/>
          <w:lang w:val="fr-CA"/>
        </w:rPr>
        <w:t>.</w:t>
      </w:r>
    </w:p>
    <w:p w14:paraId="1946ABAF" w14:textId="77777777" w:rsidR="00463481" w:rsidRPr="00EF7348" w:rsidRDefault="00463481" w:rsidP="00B64639">
      <w:pPr>
        <w:pStyle w:val="Paragraphe"/>
        <w:rPr>
          <w:rFonts w:eastAsiaTheme="majorEastAsia" w:cs="Arial"/>
          <w:lang w:val="fr-CA"/>
        </w:rPr>
      </w:pPr>
      <w:r w:rsidRPr="00615873">
        <w:rPr>
          <w:rFonts w:eastAsiaTheme="majorEastAsia" w:cs="Arial"/>
          <w:lang w:val="fr-CA"/>
        </w:rPr>
        <w:t>D’autre part, la Commission s’est inquiétée de la multiplication des projets éducatifs particuliers dans les établissements d’enseignement publics, pour lesquels les élèves de familles à faible revenu sont plus largement exclus</w:t>
      </w:r>
      <w:r w:rsidRPr="00615873">
        <w:rPr>
          <w:rFonts w:eastAsiaTheme="majorEastAsia" w:cs="Arial"/>
          <w:vertAlign w:val="superscript"/>
        </w:rPr>
        <w:footnoteReference w:id="41"/>
      </w:r>
      <w:r w:rsidRPr="00615873">
        <w:rPr>
          <w:rFonts w:eastAsiaTheme="majorEastAsia" w:cs="Arial"/>
          <w:lang w:val="fr-CA"/>
        </w:rPr>
        <w:t xml:space="preserve">. </w:t>
      </w:r>
      <w:r w:rsidRPr="00EF7348">
        <w:rPr>
          <w:rFonts w:eastAsiaTheme="majorEastAsia" w:cs="Arial"/>
          <w:lang w:val="fr-CA"/>
        </w:rPr>
        <w:t xml:space="preserve">En s’additionnant à l’offre de services éducatifs dispensés par les établissements privés, ces projets éducatifs particuliers ont progressivement ouvert la porte à un marché scolaire, dont le principal effet aura été de compromettre le principe de l’égalité des chances qui est au cœur même de la mission de l’école québécoise, telle que celle-ci est définie à l’article 36 de la </w:t>
      </w:r>
      <w:r w:rsidRPr="00EF7348">
        <w:rPr>
          <w:rFonts w:eastAsiaTheme="majorEastAsia" w:cs="Arial"/>
          <w:i/>
          <w:lang w:val="fr-CA"/>
        </w:rPr>
        <w:t>Loi sur l’instruction publique</w:t>
      </w:r>
      <w:r w:rsidRPr="00EF7348">
        <w:rPr>
          <w:rFonts w:eastAsiaTheme="majorEastAsia" w:cs="Arial"/>
          <w:lang w:val="fr-CA"/>
        </w:rPr>
        <w:t xml:space="preserve">. Comme l’accès aux écoles privées et aux projets éducatifs particuliers est généralement tributaire de la capacité des parents de payer les frais qui y sont associés, elle produit un effet d’exclusion pour les enfants de familles à faible revenu, qui se voient cantonnés dans les classes dites « ordinaires ». Ce faisant, une vaste majorité d’entre eux se trouve à ne pas pouvoir bénéficier d’une part importante de l’offre de services éducatifs du réseau scolaire québécois et des possibilités de développement qu’elle présente pour eux. Comme l’ont rappelé récemment les travaux des professeurs Canisius </w:t>
      </w:r>
      <w:proofErr w:type="spellStart"/>
      <w:r w:rsidRPr="00EF7348">
        <w:rPr>
          <w:rFonts w:eastAsiaTheme="majorEastAsia" w:cs="Arial"/>
          <w:lang w:val="fr-CA"/>
        </w:rPr>
        <w:t>Kamanzi</w:t>
      </w:r>
      <w:proofErr w:type="spellEnd"/>
      <w:r w:rsidRPr="00EF7348">
        <w:rPr>
          <w:rFonts w:eastAsiaTheme="majorEastAsia" w:cs="Arial"/>
          <w:lang w:val="fr-CA"/>
        </w:rPr>
        <w:t xml:space="preserve"> et Christian </w:t>
      </w:r>
      <w:proofErr w:type="spellStart"/>
      <w:r w:rsidRPr="00EF7348">
        <w:rPr>
          <w:rFonts w:eastAsiaTheme="majorEastAsia" w:cs="Arial"/>
          <w:lang w:val="fr-CA"/>
        </w:rPr>
        <w:t>Maroy</w:t>
      </w:r>
      <w:proofErr w:type="spellEnd"/>
      <w:r w:rsidRPr="00EF7348">
        <w:rPr>
          <w:rFonts w:eastAsiaTheme="majorEastAsia" w:cs="Arial"/>
          <w:lang w:val="fr-CA"/>
        </w:rPr>
        <w:t>, cette situation n’est pas sans conséquence pour la persévérance scolaire de ces enfants et pour la poursuite de leur cheminement scolaire aux ordres d’enseignement postsecondaire</w:t>
      </w:r>
      <w:r w:rsidRPr="00615873">
        <w:rPr>
          <w:rFonts w:eastAsiaTheme="majorEastAsia" w:cs="Arial"/>
          <w:vertAlign w:val="superscript"/>
        </w:rPr>
        <w:footnoteReference w:id="42"/>
      </w:r>
      <w:r w:rsidRPr="00EF7348">
        <w:rPr>
          <w:rFonts w:eastAsiaTheme="majorEastAsia" w:cs="Arial"/>
          <w:lang w:val="fr-CA"/>
        </w:rPr>
        <w:t>.</w:t>
      </w:r>
    </w:p>
    <w:p w14:paraId="5B1BC960" w14:textId="77777777" w:rsidR="00463481" w:rsidRPr="00615873" w:rsidRDefault="00463481" w:rsidP="00B64639">
      <w:pPr>
        <w:pStyle w:val="Paragraphe"/>
        <w:rPr>
          <w:rFonts w:eastAsiaTheme="minorHAnsi" w:cs="Arial"/>
          <w:szCs w:val="22"/>
          <w:lang w:val="fr-CA" w:eastAsia="en-US"/>
        </w:rPr>
      </w:pPr>
      <w:r w:rsidRPr="00615873">
        <w:rPr>
          <w:rFonts w:eastAsiaTheme="minorHAnsi" w:cs="Arial"/>
          <w:szCs w:val="22"/>
          <w:lang w:val="fr-CA" w:eastAsia="en-US"/>
        </w:rPr>
        <w:lastRenderedPageBreak/>
        <w:t>Parmi les recommandations que la Commission souhaite réitérer à ce sujet, citons notamment les suivantes :</w:t>
      </w:r>
    </w:p>
    <w:p w14:paraId="016763F3" w14:textId="77777777" w:rsidR="00463481" w:rsidRPr="00EF7348" w:rsidRDefault="00463481" w:rsidP="00222B6E">
      <w:pPr>
        <w:pStyle w:val="Paragraphe"/>
        <w:numPr>
          <w:ilvl w:val="0"/>
          <w:numId w:val="13"/>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l’école québécoise ait pour mission de viser la persévérance et la réussite scolaires de tous les élèves, sans distinction ;</w:t>
      </w:r>
    </w:p>
    <w:p w14:paraId="76721FFD" w14:textId="77777777" w:rsidR="00463481" w:rsidRPr="00EF7348" w:rsidRDefault="00463481" w:rsidP="00222B6E">
      <w:pPr>
        <w:pStyle w:val="Paragraphe"/>
        <w:numPr>
          <w:ilvl w:val="0"/>
          <w:numId w:val="13"/>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les membres des comités d’engagement vers la réussite des centres de services scolaires suivent une formation élaborée par le ministre de l’Éducation qui porterait sur les responsabilités et les obligations des prestataires de services au regard de la réussite éducative des élèves qui sont issus de groupes protégés par la Charte, notamment les élèves en situation de pauvreté ;</w:t>
      </w:r>
    </w:p>
    <w:p w14:paraId="13422E64" w14:textId="77777777" w:rsidR="00463481" w:rsidRPr="00EF7348" w:rsidRDefault="00463481" w:rsidP="00222B6E">
      <w:pPr>
        <w:pStyle w:val="Paragraphe"/>
        <w:numPr>
          <w:ilvl w:val="0"/>
          <w:numId w:val="13"/>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 ministère de l’Éducation rende publiques des données sur les contributions financières exigées des parents dans le réseau scolaire québécois, notamment en ce qui a trait au matériel scolaire, à la surveillance et au transport. Ces données doivent permettre d’évaluer l’impact financier </w:t>
      </w:r>
      <w:proofErr w:type="spellStart"/>
      <w:r w:rsidRPr="00EF7348">
        <w:rPr>
          <w:rFonts w:eastAsiaTheme="minorHAnsi" w:cs="Arial"/>
          <w:lang w:val="fr-CA" w:eastAsia="en-US"/>
        </w:rPr>
        <w:t>réel</w:t>
      </w:r>
      <w:proofErr w:type="spellEnd"/>
      <w:r w:rsidRPr="00EF7348">
        <w:rPr>
          <w:rFonts w:eastAsiaTheme="minorHAnsi" w:cs="Arial"/>
          <w:lang w:val="fr-CA" w:eastAsia="en-US"/>
        </w:rPr>
        <w:t xml:space="preserve"> de l’imposition de ces contributions pour les familles à faible revenu. Elles doivent aussi permettre de mesurer les conséquences de cette imposition sur la participation, en toute égalité́, des enfants de familles à faible revenu à l’ensemble des activités proposées par l’école, incluant ceux de familles dont les membres appartiennent </w:t>
      </w:r>
      <w:proofErr w:type="spellStart"/>
      <w:r w:rsidRPr="00EF7348">
        <w:rPr>
          <w:rFonts w:eastAsiaTheme="minorHAnsi" w:cs="Arial"/>
          <w:lang w:val="fr-CA" w:eastAsia="en-US"/>
        </w:rPr>
        <w:t>a</w:t>
      </w:r>
      <w:proofErr w:type="spellEnd"/>
      <w:r w:rsidRPr="00EF7348">
        <w:rPr>
          <w:rFonts w:eastAsiaTheme="minorHAnsi" w:cs="Arial"/>
          <w:lang w:val="fr-CA" w:eastAsia="en-US"/>
        </w:rPr>
        <w:t>̀ des groupes protégés par la Charte ;</w:t>
      </w:r>
    </w:p>
    <w:p w14:paraId="6CFA6C8C" w14:textId="77777777" w:rsidR="00463481" w:rsidRPr="00EF7348" w:rsidRDefault="00463481" w:rsidP="00222B6E">
      <w:pPr>
        <w:pStyle w:val="Paragraphe"/>
        <w:numPr>
          <w:ilvl w:val="0"/>
          <w:numId w:val="13"/>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les services dispensés dans le cadre de projets pédagogiques particuliers ne soient pas exclus du droit à la gratuité prévu à l’article 3 de la </w:t>
      </w:r>
      <w:r w:rsidRPr="00EF7348">
        <w:rPr>
          <w:rFonts w:eastAsiaTheme="minorHAnsi" w:cs="Arial"/>
          <w:i/>
          <w:iCs/>
          <w:lang w:val="fr-CA" w:eastAsia="en-US"/>
        </w:rPr>
        <w:t>Loi sur l’instruction publique</w:t>
      </w:r>
      <w:r w:rsidRPr="00EF7348">
        <w:rPr>
          <w:rFonts w:eastAsiaTheme="minorHAnsi" w:cs="Arial"/>
          <w:lang w:val="fr-CA" w:eastAsia="en-US"/>
        </w:rPr>
        <w:t> ;</w:t>
      </w:r>
    </w:p>
    <w:p w14:paraId="5E2315DE" w14:textId="77777777" w:rsidR="00463481" w:rsidRPr="00EF7348" w:rsidRDefault="00463481" w:rsidP="00222B6E">
      <w:pPr>
        <w:pStyle w:val="Paragraphe"/>
        <w:numPr>
          <w:ilvl w:val="0"/>
          <w:numId w:val="13"/>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 financement de l’aide supplémentaire d’un établissement scolaire soit évalué en fonction des conditions socio-économiques et des besoins qui sont propres à l’élève et à sa famille, et non pas selon les caractéristiques socio-économiques du milieu où ceux-ci résident.</w:t>
      </w:r>
    </w:p>
    <w:p w14:paraId="50385ADF" w14:textId="77777777" w:rsidR="00463481" w:rsidRPr="00615873" w:rsidRDefault="00463481" w:rsidP="00B64639">
      <w:pPr>
        <w:pStyle w:val="Paragraphe"/>
        <w:rPr>
          <w:rFonts w:eastAsiaTheme="minorHAnsi" w:cs="Arial"/>
          <w:lang w:val="fr-CA"/>
        </w:rPr>
      </w:pPr>
      <w:r w:rsidRPr="00615873">
        <w:rPr>
          <w:rFonts w:eastAsiaTheme="minorHAnsi" w:cs="Arial"/>
          <w:lang w:val="fr-CA"/>
        </w:rPr>
        <w:t>De façon plus générale, la Commission a également recommandé :</w:t>
      </w:r>
    </w:p>
    <w:p w14:paraId="17E7194D" w14:textId="77777777" w:rsidR="00463481" w:rsidRPr="00EF7348" w:rsidRDefault="00463481" w:rsidP="00222B6E">
      <w:pPr>
        <w:pStyle w:val="Paragraphe"/>
        <w:numPr>
          <w:ilvl w:val="0"/>
          <w:numId w:val="14"/>
        </w:numPr>
        <w:rPr>
          <w:rFonts w:eastAsiaTheme="minorHAnsi" w:cs="Arial"/>
          <w:lang w:val="fr-CA" w:eastAsia="en-US"/>
        </w:rPr>
      </w:pPr>
      <w:proofErr w:type="gramStart"/>
      <w:r w:rsidRPr="00EF7348">
        <w:rPr>
          <w:rFonts w:eastAsiaTheme="minorHAnsi" w:cs="Arial"/>
          <w:lang w:val="fr-CA" w:eastAsia="en-US"/>
        </w:rPr>
        <w:lastRenderedPageBreak/>
        <w:t>que</w:t>
      </w:r>
      <w:proofErr w:type="gramEnd"/>
      <w:r w:rsidRPr="00EF7348">
        <w:rPr>
          <w:rFonts w:eastAsiaTheme="minorHAnsi" w:cs="Arial"/>
          <w:lang w:val="fr-CA" w:eastAsia="en-US"/>
        </w:rPr>
        <w:t xml:space="preserve"> le droit à l’éducation, comprenant l’éducation aux droits de la personne, soit reconnu par la Charte.</w:t>
      </w:r>
    </w:p>
    <w:p w14:paraId="37568355" w14:textId="77777777" w:rsidR="00463481" w:rsidRPr="00463481" w:rsidRDefault="00463481" w:rsidP="00ED1FF1">
      <w:pPr>
        <w:pStyle w:val="Titre3"/>
        <w:tabs>
          <w:tab w:val="clear" w:pos="1440"/>
          <w:tab w:val="num" w:pos="709"/>
        </w:tabs>
        <w:ind w:left="709" w:hanging="709"/>
      </w:pPr>
      <w:bookmarkStart w:id="19" w:name="_Toc138945281"/>
      <w:r w:rsidRPr="00463481">
        <w:t>La nécessité des mesures destinées aux familles</w:t>
      </w:r>
      <w:bookmarkEnd w:id="19"/>
    </w:p>
    <w:p w14:paraId="4BE07A19"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S’agissant toujours des mesures destinées aux familles, il convient par ailleurs de rappeler que la pauvreté constitue encore, pour de nombreux enfants, un risque majeur eu égard à leur sécurité et à leur développement.</w:t>
      </w:r>
    </w:p>
    <w:p w14:paraId="3889A362"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Il ressort ainsi clairement du mémoire de la Commission à la Commission spéciale sur les droits des enfants et la protection de la jeunesse</w:t>
      </w:r>
      <w:r w:rsidRPr="00615873">
        <w:rPr>
          <w:rFonts w:eastAsiaTheme="minorHAnsi" w:cs="Arial"/>
          <w:vertAlign w:val="superscript"/>
          <w:lang w:eastAsia="en-US"/>
        </w:rPr>
        <w:footnoteReference w:id="43"/>
      </w:r>
      <w:r w:rsidRPr="00615873">
        <w:rPr>
          <w:rFonts w:eastAsiaTheme="minorHAnsi" w:cs="Arial"/>
          <w:lang w:val="fr-CA" w:eastAsia="en-US"/>
        </w:rPr>
        <w:t xml:space="preserve"> que, « malgré les politiques publiques existantes en la matière, la pauvreté prise dans ses multiples dimensions, seule ou combinée à d’autres facteurs tels que l’état civil, l’origine ethnique ou nationale, le handicap demeure l’un des premiers facteurs de risque pour le développement et la sécurité des enfants »</w:t>
      </w:r>
      <w:r w:rsidRPr="00615873">
        <w:rPr>
          <w:rFonts w:eastAsiaTheme="minorHAnsi" w:cs="Arial"/>
          <w:vertAlign w:val="superscript"/>
          <w:lang w:eastAsia="en-US"/>
        </w:rPr>
        <w:footnoteReference w:id="44"/>
      </w:r>
      <w:r w:rsidRPr="00615873">
        <w:rPr>
          <w:rFonts w:eastAsiaTheme="minorHAnsi" w:cs="Arial"/>
          <w:lang w:val="fr-CA" w:eastAsia="en-US"/>
        </w:rPr>
        <w:t xml:space="preserve">. </w:t>
      </w:r>
      <w:r w:rsidRPr="00EF7348">
        <w:rPr>
          <w:rFonts w:eastAsiaTheme="minorHAnsi" w:cs="Arial"/>
          <w:lang w:val="fr-CA" w:eastAsia="en-US"/>
        </w:rPr>
        <w:t xml:space="preserve">Plus largement, le mémoire de la Commission permit d’illustrer les conséquences de la pauvreté sur toutes les sphères de la vie des enfants et des familles. </w:t>
      </w:r>
    </w:p>
    <w:p w14:paraId="286985E6" w14:textId="77777777" w:rsidR="00463481" w:rsidRPr="00EF7348" w:rsidRDefault="00463481" w:rsidP="00B64639">
      <w:pPr>
        <w:pStyle w:val="Paragraphe"/>
        <w:rPr>
          <w:rFonts w:eastAsiaTheme="minorHAnsi" w:cs="Arial"/>
          <w:szCs w:val="22"/>
          <w:lang w:val="fr-CA" w:eastAsia="en-US"/>
        </w:rPr>
      </w:pPr>
      <w:r w:rsidRPr="00615873">
        <w:rPr>
          <w:rFonts w:eastAsiaTheme="minorHAnsi" w:cs="Arial"/>
          <w:szCs w:val="22"/>
          <w:lang w:val="fr-CA" w:eastAsia="en-US"/>
        </w:rPr>
        <w:t xml:space="preserve">Sur la base de ce portrait, il convient d’insister sur la nécessité d’agir, en amont, pour prévenir les situations de compromission menant les enfants à être pris en charge par le directeur de la protection de la jeunesse et assurer le respect de l’ensemble de ces droits. </w:t>
      </w:r>
      <w:r w:rsidRPr="00EF7348">
        <w:rPr>
          <w:rFonts w:eastAsiaTheme="minorHAnsi" w:cs="Arial"/>
          <w:szCs w:val="22"/>
          <w:lang w:val="fr-CA" w:eastAsia="en-US"/>
        </w:rPr>
        <w:t>Pour ce faire, il faut notamment s’employer à la mise en œuvre de mesures structurantes pour lutter contre la pauvreté réellement fondée sur les droits.</w:t>
      </w:r>
    </w:p>
    <w:p w14:paraId="5A40BDB2" w14:textId="77777777" w:rsidR="00463481" w:rsidRPr="00EF7348" w:rsidRDefault="00463481" w:rsidP="00B64639">
      <w:pPr>
        <w:pStyle w:val="Paragraphe"/>
        <w:rPr>
          <w:rFonts w:eastAsiaTheme="minorHAnsi" w:cs="Arial"/>
          <w:lang w:val="fr-CA" w:eastAsia="en-US"/>
        </w:rPr>
      </w:pPr>
      <w:r w:rsidRPr="00EF7348">
        <w:rPr>
          <w:rFonts w:eastAsiaTheme="minorHAnsi" w:cs="Arial"/>
          <w:lang w:val="fr-CA" w:eastAsia="en-US"/>
        </w:rPr>
        <w:t>La Commission s’étonne ainsi que les documents de consultation ne fassent pas davantage mention de ces enjeux, d’autant plus que la Commission Laurent a fait sienne l’approche fondée sur les droits dans une perspective de prévention que nous privilégions. Elle a aussi reconnu l’importance des responsabilités qui sont imparties aux réseaux publics qui interviennent dans la vie des enfants et de leur famille, en amont du système de protection de la jeunesse.</w:t>
      </w:r>
    </w:p>
    <w:p w14:paraId="037DA55D" w14:textId="77777777" w:rsidR="00463481" w:rsidRPr="00615873" w:rsidRDefault="00463481" w:rsidP="00B64639">
      <w:pPr>
        <w:pStyle w:val="Paragraphe"/>
        <w:rPr>
          <w:rFonts w:eastAsiaTheme="minorHAnsi" w:cs="Arial"/>
          <w:szCs w:val="22"/>
          <w:lang w:val="fr-CA" w:eastAsia="en-US"/>
        </w:rPr>
      </w:pPr>
      <w:r w:rsidRPr="00615873">
        <w:rPr>
          <w:rFonts w:eastAsiaTheme="minorHAnsi" w:cs="Arial"/>
          <w:szCs w:val="22"/>
          <w:lang w:val="fr-CA" w:eastAsia="en-US"/>
        </w:rPr>
        <w:t xml:space="preserve">Parmi les recommandations que la Commission souhaite réitérer à ce sujet, citons notamment la suivante :  </w:t>
      </w:r>
    </w:p>
    <w:p w14:paraId="063D9D1C" w14:textId="77777777" w:rsidR="00463481" w:rsidRPr="00615873" w:rsidRDefault="00463481" w:rsidP="00222B6E">
      <w:pPr>
        <w:pStyle w:val="Paragraphe"/>
        <w:numPr>
          <w:ilvl w:val="0"/>
          <w:numId w:val="15"/>
        </w:numPr>
        <w:rPr>
          <w:rFonts w:eastAsiaTheme="minorHAnsi" w:cs="Arial"/>
          <w:szCs w:val="22"/>
          <w:lang w:val="fr-CA"/>
        </w:rPr>
      </w:pPr>
      <w:proofErr w:type="gramStart"/>
      <w:r w:rsidRPr="00615873">
        <w:rPr>
          <w:rFonts w:eastAsiaTheme="minorHAnsi" w:cs="Arial"/>
          <w:szCs w:val="22"/>
          <w:lang w:val="fr-CA" w:eastAsia="en-US"/>
        </w:rPr>
        <w:lastRenderedPageBreak/>
        <w:t>que</w:t>
      </w:r>
      <w:proofErr w:type="gramEnd"/>
      <w:r w:rsidRPr="00615873">
        <w:rPr>
          <w:rFonts w:eastAsiaTheme="minorHAnsi" w:cs="Arial"/>
          <w:szCs w:val="22"/>
          <w:lang w:val="fr-CA" w:eastAsia="en-US"/>
        </w:rPr>
        <w:t xml:space="preserve"> le droit de la famille à des mesures de soutien soit explicitement reconnu dans la Charte.</w:t>
      </w:r>
    </w:p>
    <w:p w14:paraId="75CE49BB" w14:textId="77777777" w:rsidR="00463481" w:rsidRPr="00463481" w:rsidRDefault="00463481" w:rsidP="00ED1FF1">
      <w:pPr>
        <w:pStyle w:val="Titre3"/>
        <w:tabs>
          <w:tab w:val="clear" w:pos="1440"/>
          <w:tab w:val="num" w:pos="709"/>
        </w:tabs>
        <w:ind w:left="709" w:hanging="709"/>
      </w:pPr>
      <w:bookmarkStart w:id="20" w:name="_Toc138945282"/>
      <w:r w:rsidRPr="00463481">
        <w:t>Des recommandations visant différentes sphères de la vie des aînées</w:t>
      </w:r>
      <w:bookmarkEnd w:id="20"/>
    </w:p>
    <w:p w14:paraId="5151E61C"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 xml:space="preserve">Dans un autre ordre d’idée, les travaux de la Commission ont permis de mettre en lumière l’impact de la pauvreté sur les personnes âgées, ainsi que sur les femmes âgées, qui sont encore plus nombreuses à avoir un revenu sous le seuil de faible revenu. </w:t>
      </w:r>
    </w:p>
    <w:p w14:paraId="65107501" w14:textId="733E9948"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 xml:space="preserve">La pauvreté emporte des conséquences négatives sur l’ensemble des sphères de vie des aînées, par exemple dans le secteur du logement. </w:t>
      </w:r>
      <w:r w:rsidRPr="00EF7348">
        <w:rPr>
          <w:rFonts w:eastAsiaTheme="minorHAnsi" w:cs="Arial"/>
          <w:lang w:val="fr-CA" w:eastAsia="en-US"/>
        </w:rPr>
        <w:t>Nous reviendrons plus largement sur le droit au logement dans la section </w:t>
      </w:r>
      <w:r w:rsidRPr="00615873">
        <w:rPr>
          <w:rFonts w:eastAsiaTheme="minorHAnsi" w:cs="Arial"/>
          <w:lang w:eastAsia="en-US"/>
        </w:rPr>
        <w:fldChar w:fldCharType="begin"/>
      </w:r>
      <w:r w:rsidRPr="00EF7348">
        <w:rPr>
          <w:rFonts w:eastAsiaTheme="minorHAnsi" w:cs="Arial"/>
          <w:lang w:val="fr-CA" w:eastAsia="en-US"/>
        </w:rPr>
        <w:instrText xml:space="preserve"> REF _Ref138669278 \r \h  \* MERGEFORMAT </w:instrText>
      </w:r>
      <w:r w:rsidRPr="00615873">
        <w:rPr>
          <w:rFonts w:eastAsiaTheme="minorHAnsi" w:cs="Arial"/>
          <w:lang w:eastAsia="en-US"/>
        </w:rPr>
      </w:r>
      <w:r w:rsidRPr="00615873">
        <w:rPr>
          <w:rFonts w:eastAsiaTheme="minorHAnsi" w:cs="Arial"/>
          <w:lang w:eastAsia="en-US"/>
        </w:rPr>
        <w:fldChar w:fldCharType="separate"/>
      </w:r>
      <w:r w:rsidR="002A1D2F">
        <w:rPr>
          <w:rFonts w:eastAsiaTheme="minorHAnsi" w:cs="Arial"/>
          <w:lang w:val="fr-CA" w:eastAsia="en-US"/>
        </w:rPr>
        <w:t>2.3.2</w:t>
      </w:r>
      <w:r w:rsidRPr="00615873">
        <w:rPr>
          <w:rFonts w:eastAsiaTheme="minorHAnsi" w:cs="Arial"/>
          <w:lang w:eastAsia="en-US"/>
        </w:rPr>
        <w:fldChar w:fldCharType="end"/>
      </w:r>
      <w:r w:rsidRPr="00EF7348">
        <w:rPr>
          <w:rFonts w:eastAsiaTheme="minorHAnsi" w:cs="Arial"/>
          <w:lang w:val="fr-CA" w:eastAsia="en-US"/>
        </w:rPr>
        <w:t xml:space="preserve"> de la présente. Il convient néanmoins dès à présent de noter la particulière situation de vulnérabilité dans laquelle se trouve les locataires aînés, entre autres en regard de l’importance que peut avoir, pour une personne âgée, la proximité de sa résidence des ressources lui permettant de répondre ses besoins physiques, psychologiques et sociaux. Encore récemment, la Commission soulignait que perdre son logement ou devoir le quitter parce que les services requis n’y seront plus offerts équivaut dans de nombreux cas à une double exclusion pour les personnes aînées, étant donné que l’indisponibilité d’un logement adapté répondant à la fois à leurs besoins et à leurs capacités financières peut aussi les obliger à quitter leur quartier</w:t>
      </w:r>
      <w:r w:rsidRPr="00615873">
        <w:rPr>
          <w:rFonts w:eastAsiaTheme="minorHAnsi" w:cs="Arial"/>
          <w:vertAlign w:val="superscript"/>
          <w:lang w:eastAsia="en-US"/>
        </w:rPr>
        <w:footnoteReference w:id="45"/>
      </w:r>
      <w:r w:rsidRPr="00EF7348">
        <w:rPr>
          <w:rFonts w:eastAsiaTheme="minorHAnsi" w:cs="Arial"/>
          <w:lang w:val="fr-CA" w:eastAsia="en-US"/>
        </w:rPr>
        <w:t>.</w:t>
      </w:r>
    </w:p>
    <w:p w14:paraId="2D925A95"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À l’instar de l’Institut national de la santé publique, retenons aussi que « l’impact du logement sur la santé est encore plus important chez les personnes aînées, puisqu’elles sont susceptibles d’y passer beaucoup de temps »</w:t>
      </w:r>
      <w:r w:rsidRPr="00615873">
        <w:rPr>
          <w:rFonts w:eastAsiaTheme="minorHAnsi" w:cs="Arial"/>
          <w:vertAlign w:val="superscript"/>
          <w:lang w:eastAsia="en-US"/>
        </w:rPr>
        <w:footnoteReference w:id="46"/>
      </w:r>
      <w:r w:rsidRPr="00615873">
        <w:rPr>
          <w:rFonts w:eastAsiaTheme="minorHAnsi" w:cs="Arial"/>
          <w:lang w:val="fr-CA" w:eastAsia="en-US"/>
        </w:rPr>
        <w:t xml:space="preserve">. </w:t>
      </w:r>
    </w:p>
    <w:p w14:paraId="2821F45D"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lastRenderedPageBreak/>
        <w:t>À nouveau, la Commission tient ainsi à souligner l’importance de prévoir des mesures législatives et réglementaires afin d’assurer l’encadrement nécessaire à la stabilisation du parc locatif social et abordable destiné aux personnes aînées.</w:t>
      </w:r>
    </w:p>
    <w:p w14:paraId="6E34718B" w14:textId="77777777" w:rsidR="00463481" w:rsidRPr="00463481" w:rsidRDefault="00463481" w:rsidP="00ED1FF1">
      <w:pPr>
        <w:pStyle w:val="Titre2"/>
        <w:tabs>
          <w:tab w:val="clear" w:pos="936"/>
          <w:tab w:val="left" w:pos="720"/>
        </w:tabs>
        <w:ind w:left="720" w:hanging="720"/>
      </w:pPr>
      <w:bookmarkStart w:id="21" w:name="_Toc138945283"/>
      <w:r w:rsidRPr="00463481">
        <w:t>Besoins essentiels</w:t>
      </w:r>
      <w:bookmarkEnd w:id="21"/>
    </w:p>
    <w:p w14:paraId="05B20DC0" w14:textId="77777777" w:rsidR="00463481" w:rsidRPr="00463481" w:rsidRDefault="00463481" w:rsidP="00ED1FF1">
      <w:pPr>
        <w:pStyle w:val="Titre3"/>
        <w:tabs>
          <w:tab w:val="clear" w:pos="1440"/>
          <w:tab w:val="num" w:pos="709"/>
        </w:tabs>
        <w:ind w:left="709" w:hanging="709"/>
      </w:pPr>
      <w:bookmarkStart w:id="22" w:name="_Toc138945284"/>
      <w:r w:rsidRPr="00463481">
        <w:t>Lutter contre les inégalités de santé en reconnaissant explicitement le droit à la santé</w:t>
      </w:r>
      <w:bookmarkEnd w:id="22"/>
    </w:p>
    <w:p w14:paraId="3EC140EB"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 xml:space="preserve">Malgré de nettes améliorations de la santé globale des populations au cours des dernières décennies, d’importantes inégalités de santé persistent toujours dans la population québécoise. </w:t>
      </w:r>
      <w:r w:rsidRPr="00EF7348">
        <w:rPr>
          <w:rFonts w:eastAsiaTheme="minorHAnsi" w:cs="Arial"/>
          <w:lang w:val="fr-CA" w:eastAsia="en-US"/>
        </w:rPr>
        <w:t>Ce que les nombreuses études épidémiologiques produites sur les causes de ces inégalités de santé nous enseignent, c’est que les facteurs qui contribuent à la construction de celles-ci sont multiples et qu’ils renvoient, pour une large part, à des déterminants qui sont indépendants du système de santé et sur lesquels l’univers biomédical a peu de prises. On appelle plus généralement ces facteurs des déterminants sociaux de la santé. Considérer ces déterminants, c’est prendre en compte le fait que « […] non seulement les disparités physiques entre les individus ne sont pas fondées, de manière absolue, en nature, dans une sorte d’essence biologique de l’être humain, mais qu’elles sont aussi déterminées par les inégalités que la société institue »</w:t>
      </w:r>
      <w:r w:rsidRPr="00615873">
        <w:rPr>
          <w:rFonts w:eastAsiaTheme="minorHAnsi" w:cs="Arial"/>
          <w:vertAlign w:val="superscript"/>
          <w:lang w:eastAsia="en-US"/>
        </w:rPr>
        <w:footnoteReference w:id="47"/>
      </w:r>
      <w:r w:rsidRPr="00EF7348">
        <w:rPr>
          <w:rFonts w:eastAsiaTheme="minorHAnsi" w:cs="Arial"/>
          <w:lang w:val="fr-CA" w:eastAsia="en-US"/>
        </w:rPr>
        <w:t>. Il est bien connu, par exemple, que la discrimination et le racisme contribuent aux inégalités sociales de santé.</w:t>
      </w:r>
    </w:p>
    <w:p w14:paraId="4E96A71A"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L’Organisation mondiale de la Santé définit les déterminants sociaux de la santé comme « les circonstances dans lesquelles les individus naissent, grandissent, vivent, travaillent et vieillissent »</w:t>
      </w:r>
      <w:r w:rsidRPr="00615873">
        <w:rPr>
          <w:rFonts w:eastAsiaTheme="minorHAnsi" w:cs="Arial"/>
          <w:vertAlign w:val="superscript"/>
          <w:lang w:eastAsia="en-US"/>
        </w:rPr>
        <w:footnoteReference w:id="48"/>
      </w:r>
      <w:r w:rsidRPr="00615873">
        <w:rPr>
          <w:rFonts w:eastAsiaTheme="minorHAnsi" w:cs="Arial"/>
          <w:lang w:val="fr-CA" w:eastAsia="en-US"/>
        </w:rPr>
        <w:t xml:space="preserve">. </w:t>
      </w:r>
      <w:r w:rsidRPr="00EF7348">
        <w:rPr>
          <w:rFonts w:eastAsiaTheme="minorHAnsi" w:cs="Arial"/>
          <w:lang w:val="fr-CA" w:eastAsia="en-US"/>
        </w:rPr>
        <w:t>Pour l’OMS,</w:t>
      </w:r>
    </w:p>
    <w:p w14:paraId="72D6474B" w14:textId="77777777" w:rsidR="00463481" w:rsidRPr="00463481" w:rsidRDefault="00463481" w:rsidP="00463481">
      <w:pPr>
        <w:spacing w:line="240" w:lineRule="auto"/>
        <w:ind w:left="510" w:right="861"/>
        <w:jc w:val="left"/>
        <w:rPr>
          <w:rFonts w:cs="Arial"/>
          <w:sz w:val="20"/>
          <w:szCs w:val="22"/>
        </w:rPr>
      </w:pPr>
      <w:r w:rsidRPr="00463481">
        <w:rPr>
          <w:rFonts w:cs="Arial"/>
          <w:sz w:val="20"/>
          <w:szCs w:val="22"/>
        </w:rPr>
        <w:t>« </w:t>
      </w:r>
      <w:proofErr w:type="gramStart"/>
      <w:r w:rsidRPr="00463481">
        <w:rPr>
          <w:rFonts w:cs="Arial"/>
          <w:sz w:val="20"/>
          <w:szCs w:val="22"/>
        </w:rPr>
        <w:t>les</w:t>
      </w:r>
      <w:proofErr w:type="gramEnd"/>
      <w:r w:rsidRPr="00463481">
        <w:rPr>
          <w:rFonts w:cs="Arial"/>
          <w:sz w:val="20"/>
          <w:szCs w:val="22"/>
        </w:rPr>
        <w:t xml:space="preserve"> inégalités s’observent dans les conditions de vie pendant la petite enfance, dans la scolarisation, la nature de l’emploi et les conditions de travail, les caractéristiques physiques de l’environnement bâti et la qualité de l’environnement naturel. Selon la nature de ces environnements, les conditions matérielles, le soutien psychosocial et les schémas </w:t>
      </w:r>
      <w:r w:rsidRPr="00463481">
        <w:rPr>
          <w:rFonts w:cs="Arial"/>
          <w:sz w:val="20"/>
          <w:szCs w:val="22"/>
        </w:rPr>
        <w:lastRenderedPageBreak/>
        <w:t>comportementaux ne sont pas les mêmes pour tous les groupes et les rendent plus ou moins vulnérables aux problèmes de santé. La hiérarchie sociale crée aussi des disparités dans l’accès et le recours aux soins, avec pour conséquence des disparités dans la promotion de la santé et du bien-être, la prévention de la maladie, les chances de rétablissement et de survie. »</w:t>
      </w:r>
      <w:r w:rsidRPr="00463481">
        <w:rPr>
          <w:rFonts w:cs="Arial"/>
          <w:sz w:val="20"/>
          <w:szCs w:val="22"/>
          <w:vertAlign w:val="superscript"/>
        </w:rPr>
        <w:footnoteReference w:id="49"/>
      </w:r>
    </w:p>
    <w:p w14:paraId="5F24D23C"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De fait, l’état de santé d’un individu est fortement corrélé à la qualité des conditions de vie dans lesquelles il évolue et, ultimement, à son statut social</w:t>
      </w:r>
      <w:r w:rsidRPr="00615873">
        <w:rPr>
          <w:rFonts w:eastAsiaTheme="minorHAnsi" w:cs="Arial"/>
          <w:vertAlign w:val="superscript"/>
          <w:lang w:eastAsia="en-US"/>
        </w:rPr>
        <w:footnoteReference w:id="50"/>
      </w:r>
      <w:r w:rsidRPr="00615873">
        <w:rPr>
          <w:rFonts w:eastAsiaTheme="minorHAnsi" w:cs="Arial"/>
          <w:lang w:val="fr-CA" w:eastAsia="en-US"/>
        </w:rPr>
        <w:t xml:space="preserve">. </w:t>
      </w:r>
      <w:r w:rsidRPr="00EF7348">
        <w:rPr>
          <w:rFonts w:eastAsiaTheme="minorHAnsi" w:cs="Arial"/>
          <w:lang w:val="fr-CA" w:eastAsia="en-US"/>
        </w:rPr>
        <w:t xml:space="preserve">Plus le rang occupé dans la hiérarchie sociale est élevé, plus un individu peut mobiliser de ressources et exercer des choix favorables au maintien d’un bon état de santé. Pour les personnes qui disposent d’un revenu insuffisant pour combler leur besoin et exercer l’ensemble de leurs droits, ces choix s’avèrent inexistants. </w:t>
      </w:r>
    </w:p>
    <w:p w14:paraId="410B1AB9"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À cet égard, la Commission a par exemple rappelé que les membres de ménages qui subissent des épisodes d’insécurité alimentaire à répétition sont plus susceptibles de connaître des problèmes de santé de toutes sortes</w:t>
      </w:r>
      <w:r w:rsidRPr="00615873">
        <w:rPr>
          <w:rFonts w:eastAsiaTheme="minorHAnsi" w:cs="Arial"/>
          <w:vertAlign w:val="superscript"/>
          <w:lang w:eastAsia="en-US"/>
        </w:rPr>
        <w:footnoteReference w:id="51"/>
      </w:r>
      <w:r w:rsidRPr="00615873">
        <w:rPr>
          <w:rFonts w:eastAsiaTheme="minorHAnsi" w:cs="Arial"/>
          <w:lang w:val="fr-CA" w:eastAsia="en-US"/>
        </w:rPr>
        <w:t xml:space="preserve">. </w:t>
      </w:r>
      <w:r w:rsidRPr="00EF7348">
        <w:rPr>
          <w:rFonts w:eastAsiaTheme="minorHAnsi" w:cs="Arial"/>
          <w:lang w:val="fr-CA" w:eastAsia="en-US"/>
        </w:rPr>
        <w:t>La part des dépenses relatives à l’alimentation est inversement proportionnelle aux revenus des ménages : plus les revenus sont modestes, plus la part du budget qui est consacrée à l’alimentation est élevée</w:t>
      </w:r>
      <w:r w:rsidRPr="00615873">
        <w:rPr>
          <w:rFonts w:eastAsiaTheme="minorHAnsi" w:cs="Arial"/>
          <w:vertAlign w:val="superscript"/>
          <w:lang w:eastAsia="en-US"/>
        </w:rPr>
        <w:footnoteReference w:id="52"/>
      </w:r>
      <w:r w:rsidRPr="00EF7348">
        <w:rPr>
          <w:rFonts w:eastAsiaTheme="minorHAnsi" w:cs="Arial"/>
          <w:lang w:val="fr-CA" w:eastAsia="en-US"/>
        </w:rPr>
        <w:t xml:space="preserve">. Considérant qu’il s’agit, avec le logement, des deux principaux postes de dépense des ménages québécois, la part du budget qui reste pour couvrir les autres besoins de base s’en trouve réduite. Les familles en situation de pauvreté se trouvent devant des choix impossibles, car les ressources limitées s’avèrent nettement insuffisantes pour combler les autres besoins de base : habillement, transport, dépenses éducatives, dépenses de santé, etc. Puis, ces derniers besoins, s’ils ne sont pas adéquatement comblés, peuvent à leur tour devenir des obstacles à une bonne santé. </w:t>
      </w:r>
    </w:p>
    <w:p w14:paraId="28A70D9C"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De plus, les travaux de la Commission ont permis de rappeler que la situation socio-économique des ménages détermine le milieu dans lequel ils évolueront</w:t>
      </w:r>
      <w:r w:rsidRPr="00615873">
        <w:rPr>
          <w:rFonts w:eastAsiaTheme="minorHAnsi" w:cs="Arial"/>
          <w:vertAlign w:val="superscript"/>
          <w:lang w:eastAsia="en-US"/>
        </w:rPr>
        <w:footnoteReference w:id="53"/>
      </w:r>
      <w:r w:rsidRPr="00615873">
        <w:rPr>
          <w:rFonts w:eastAsiaTheme="minorHAnsi" w:cs="Arial"/>
          <w:lang w:val="fr-CA" w:eastAsia="en-US"/>
        </w:rPr>
        <w:t xml:space="preserve">. </w:t>
      </w:r>
      <w:r w:rsidRPr="00EF7348">
        <w:rPr>
          <w:rFonts w:eastAsiaTheme="minorHAnsi" w:cs="Arial"/>
          <w:lang w:val="fr-CA" w:eastAsia="en-US"/>
        </w:rPr>
        <w:t xml:space="preserve">Pour les ménages à faible revenu, le choix du lieu de résidence se restreint la plupart du temps à un milieu où les qualités environnementales sont déficientes : qualité de l’air et du sol laissant à désirer, grande </w:t>
      </w:r>
      <w:r w:rsidRPr="00EF7348">
        <w:rPr>
          <w:rFonts w:eastAsiaTheme="minorHAnsi" w:cs="Arial"/>
          <w:lang w:val="fr-CA" w:eastAsia="en-US"/>
        </w:rPr>
        <w:lastRenderedPageBreak/>
        <w:t>densité humaine, manque d’espaces verts, logements insalubres, etc. Ce sont autant d’éléments qui peuvent affecter la santé humaine et réduire la qualité de vie des personnes.</w:t>
      </w:r>
    </w:p>
    <w:p w14:paraId="498B2711" w14:textId="77777777" w:rsidR="00463481" w:rsidRPr="00EF7348" w:rsidRDefault="00463481" w:rsidP="00B64639">
      <w:pPr>
        <w:pStyle w:val="Paragraphe"/>
        <w:rPr>
          <w:rFonts w:eastAsiaTheme="minorHAnsi" w:cs="Arial"/>
          <w:szCs w:val="22"/>
          <w:lang w:val="fr-CA" w:eastAsia="en-US"/>
        </w:rPr>
      </w:pPr>
      <w:r w:rsidRPr="00615873">
        <w:rPr>
          <w:rFonts w:eastAsiaTheme="minorHAnsi" w:cs="Arial"/>
          <w:szCs w:val="22"/>
          <w:lang w:val="fr-CA" w:eastAsia="en-US"/>
        </w:rPr>
        <w:t xml:space="preserve">Tout en reconnaissant l’importance de préserver les fondements du régime de santé et de services sociaux du Québec qui ont contribué à l’amélioration de l’état de santé des populations, à savoir l’accessibilité, l’universalité et la gratuité des soins, la Commission souhaite rappeler que les moyens à mettre en œuvre pour réduire les inégalités sociales en matière de santé ne peuvent se résumer aux seules interventions biomédicales. </w:t>
      </w:r>
      <w:r w:rsidRPr="00EF7348">
        <w:rPr>
          <w:rFonts w:eastAsiaTheme="minorHAnsi" w:cs="Arial"/>
          <w:szCs w:val="22"/>
          <w:lang w:val="fr-CA" w:eastAsia="en-US"/>
        </w:rPr>
        <w:t>Il importe que l’État puisse également mettre en œuvre « […] des interventions visant le développement de l’environnement social des individus et a fortiori, des individus évoluant en milieux défavorisés »</w:t>
      </w:r>
      <w:r w:rsidRPr="00615873">
        <w:rPr>
          <w:rFonts w:eastAsiaTheme="minorHAnsi" w:cs="Arial"/>
          <w:szCs w:val="22"/>
          <w:vertAlign w:val="superscript"/>
          <w:lang w:eastAsia="en-US"/>
        </w:rPr>
        <w:footnoteReference w:id="54"/>
      </w:r>
      <w:r w:rsidRPr="00EF7348">
        <w:rPr>
          <w:rFonts w:eastAsiaTheme="minorHAnsi" w:cs="Arial"/>
          <w:szCs w:val="22"/>
          <w:lang w:val="fr-CA" w:eastAsia="en-US"/>
        </w:rPr>
        <w:t>.</w:t>
      </w:r>
    </w:p>
    <w:p w14:paraId="49AB5116"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 xml:space="preserve">En conséquence, la Commission souhaite réitérer la recommandation qu’elle a formulée à plusieurs reprises, visant à inscrire explicitement dans la Charte le droit à la santé, tel qu’il est prescrit dans le PIDESC. </w:t>
      </w:r>
      <w:r w:rsidRPr="00EF7348">
        <w:rPr>
          <w:rFonts w:eastAsiaTheme="minorHAnsi" w:cs="Arial"/>
          <w:lang w:val="fr-CA" w:eastAsia="en-US"/>
        </w:rPr>
        <w:t>Celle-ci constitue une manière privilégiée de s’attaquer aux sources des inégalités sociales de santé, qui ont pour ultime effet de restreindre les possibilités de participation sociale pour une part importante de la population québécoise.</w:t>
      </w:r>
    </w:p>
    <w:p w14:paraId="153F996B"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 xml:space="preserve">Ainsi, parmi les recommandations que la Commission souhaite réitérer à ce sujet, citons notamment la suivante :  </w:t>
      </w:r>
    </w:p>
    <w:p w14:paraId="03BB04F9" w14:textId="77777777" w:rsidR="00463481" w:rsidRPr="00615873" w:rsidRDefault="00463481" w:rsidP="00222B6E">
      <w:pPr>
        <w:pStyle w:val="Paragraphe"/>
        <w:numPr>
          <w:ilvl w:val="0"/>
          <w:numId w:val="16"/>
        </w:numPr>
        <w:rPr>
          <w:rFonts w:eastAsiaTheme="minorHAnsi" w:cs="Arial"/>
          <w:lang w:val="fr-CA" w:eastAsia="en-US"/>
        </w:rPr>
      </w:pPr>
      <w:proofErr w:type="gramStart"/>
      <w:r w:rsidRPr="00615873">
        <w:rPr>
          <w:rFonts w:eastAsiaTheme="minorHAnsi" w:cs="Arial"/>
          <w:lang w:val="fr-CA" w:eastAsia="en-US"/>
        </w:rPr>
        <w:t>que</w:t>
      </w:r>
      <w:proofErr w:type="gramEnd"/>
      <w:r w:rsidRPr="00615873">
        <w:rPr>
          <w:rFonts w:eastAsiaTheme="minorHAnsi" w:cs="Arial"/>
          <w:lang w:val="fr-CA" w:eastAsia="en-US"/>
        </w:rPr>
        <w:t xml:space="preserve"> la Charte reconnaisse le droit de toute personne de bénéficier des programmes, biens, services, installations et conditions lui permettant de jouir du meilleur état de santé physique et mentale qu’elle puisse atteindre.</w:t>
      </w:r>
    </w:p>
    <w:p w14:paraId="62AF337B" w14:textId="77777777" w:rsidR="00463481" w:rsidRPr="00463481" w:rsidRDefault="00463481" w:rsidP="00ED1FF1">
      <w:pPr>
        <w:pStyle w:val="Titre3"/>
        <w:tabs>
          <w:tab w:val="clear" w:pos="1440"/>
          <w:tab w:val="num" w:pos="709"/>
        </w:tabs>
        <w:ind w:left="709" w:hanging="709"/>
      </w:pPr>
      <w:bookmarkStart w:id="23" w:name="_Ref138669278"/>
      <w:bookmarkStart w:id="24" w:name="_Toc138945285"/>
      <w:r w:rsidRPr="00463481">
        <w:t>Garantir l’exercice effectif du droit au logement</w:t>
      </w:r>
      <w:bookmarkEnd w:id="23"/>
      <w:bookmarkEnd w:id="24"/>
    </w:p>
    <w:p w14:paraId="7CD408CB"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Tel que mentionné précédemment, l’accès à un logement convenable et abordable</w:t>
      </w:r>
      <w:r w:rsidRPr="00615873">
        <w:rPr>
          <w:rFonts w:eastAsiaTheme="minorHAnsi" w:cs="Arial"/>
          <w:vertAlign w:val="superscript"/>
          <w:lang w:eastAsia="en-US"/>
        </w:rPr>
        <w:footnoteReference w:id="55"/>
      </w:r>
      <w:r w:rsidRPr="00615873">
        <w:rPr>
          <w:rFonts w:eastAsiaTheme="minorHAnsi" w:cs="Arial"/>
          <w:lang w:val="fr-CA" w:eastAsia="en-US"/>
        </w:rPr>
        <w:t xml:space="preserve"> est l’un de ces déterminants sociaux ayant un impact majeur sur la santé. </w:t>
      </w:r>
      <w:r w:rsidRPr="00EF7348">
        <w:rPr>
          <w:rFonts w:eastAsiaTheme="minorHAnsi" w:cs="Arial"/>
          <w:lang w:val="fr-CA" w:eastAsia="en-US"/>
        </w:rPr>
        <w:t xml:space="preserve">La Commission a d’ailleurs </w:t>
      </w:r>
      <w:r w:rsidRPr="00EF7348">
        <w:rPr>
          <w:rFonts w:eastAsiaTheme="minorHAnsi" w:cs="Arial"/>
          <w:lang w:val="fr-CA" w:eastAsia="en-US"/>
        </w:rPr>
        <w:lastRenderedPageBreak/>
        <w:t>largement traité des conséquences négatives du mal-logement sur l’ensemble des sphères de la vie.</w:t>
      </w:r>
    </w:p>
    <w:p w14:paraId="719FD2FC"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 xml:space="preserve">Plus encore, le droit au logement fait partie intégrante du droit à des mesures sociales et d’assistance financière susceptibles d’assurer à toute personne un niveau de vie décent prévu à l’article 45 de la Charte. </w:t>
      </w:r>
      <w:r w:rsidRPr="00EF7348">
        <w:rPr>
          <w:rFonts w:eastAsiaTheme="minorHAnsi" w:cs="Arial"/>
          <w:lang w:val="fr-CA" w:eastAsia="en-US"/>
        </w:rPr>
        <w:t>L’exercice de ce droit est par ailleurs indissociable de plusieurs autres droits garantis par celle-ci, incluant le droit à l’égalité. C’est pourquoi la Commission s’inquiète de la situation du logement au Québec et de ses impacts sur les droits et libertés de la personne</w:t>
      </w:r>
      <w:r w:rsidRPr="00615873">
        <w:rPr>
          <w:rFonts w:eastAsiaTheme="minorHAnsi" w:cs="Arial"/>
          <w:vertAlign w:val="superscript"/>
          <w:lang w:eastAsia="en-US"/>
        </w:rPr>
        <w:footnoteReference w:id="56"/>
      </w:r>
      <w:r w:rsidRPr="00EF7348">
        <w:rPr>
          <w:rFonts w:eastAsiaTheme="minorHAnsi" w:cs="Arial"/>
          <w:lang w:val="fr-CA" w:eastAsia="en-US"/>
        </w:rPr>
        <w:t>.</w:t>
      </w:r>
    </w:p>
    <w:p w14:paraId="6737DA53"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 xml:space="preserve">De fait, les travaux de la Commission ont permis de documenter et de dénoncer les écueils qui rendent l’exercice du droit au logement théorique pour de nombreux ménages. </w:t>
      </w:r>
      <w:r w:rsidRPr="00EF7348">
        <w:rPr>
          <w:rFonts w:eastAsiaTheme="minorHAnsi" w:cs="Arial"/>
          <w:lang w:val="fr-CA" w:eastAsia="en-US"/>
        </w:rPr>
        <w:t>Elle a notamment pu constater l’insuffisance des politiques publiques relatives au logement ainsi que les facteurs de discrimination systémique qui rendent l’accès au logement plus difficile pour certaines catégories de personnes, incluant pour les ménages en situation de pauvreté</w:t>
      </w:r>
      <w:r w:rsidRPr="00615873">
        <w:rPr>
          <w:rFonts w:eastAsiaTheme="minorHAnsi" w:cs="Arial"/>
          <w:vertAlign w:val="superscript"/>
          <w:lang w:eastAsia="en-US"/>
        </w:rPr>
        <w:footnoteReference w:id="57"/>
      </w:r>
      <w:r w:rsidRPr="00EF7348">
        <w:rPr>
          <w:rFonts w:eastAsiaTheme="minorHAnsi" w:cs="Arial"/>
          <w:lang w:val="fr-CA" w:eastAsia="en-US"/>
        </w:rPr>
        <w:t>.</w:t>
      </w:r>
    </w:p>
    <w:p w14:paraId="22F01AD5"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Les interventions publiques dans le domaine du logement doivent représenter une pierre angulaire de la lutte contre la pauvreté et l’exclusion</w:t>
      </w:r>
      <w:r w:rsidRPr="00615873">
        <w:rPr>
          <w:rFonts w:eastAsiaTheme="minorHAnsi" w:cs="Arial"/>
          <w:vertAlign w:val="superscript"/>
          <w:lang w:eastAsia="en-US"/>
        </w:rPr>
        <w:footnoteReference w:id="58"/>
      </w:r>
      <w:r w:rsidRPr="00615873">
        <w:rPr>
          <w:rFonts w:eastAsiaTheme="minorHAnsi" w:cs="Arial"/>
          <w:lang w:val="fr-CA" w:eastAsia="en-US"/>
        </w:rPr>
        <w:t xml:space="preserve">. </w:t>
      </w:r>
      <w:r w:rsidRPr="00EF7348">
        <w:rPr>
          <w:rFonts w:eastAsiaTheme="minorHAnsi" w:cs="Arial"/>
          <w:lang w:val="fr-CA" w:eastAsia="en-US"/>
        </w:rPr>
        <w:t>Comme la Commission l’a plusieurs fois rappelé, le logement ne peut être saisi comme un bien ou une simple marchandise ; il s’agit au contraire d’un droit de la personne, soit « le droit à un lieu où l’on puisse vivre en sécurité, dans la paix et la dignité »</w:t>
      </w:r>
      <w:r w:rsidRPr="00615873">
        <w:rPr>
          <w:rFonts w:eastAsiaTheme="minorHAnsi" w:cs="Arial"/>
          <w:vertAlign w:val="superscript"/>
          <w:lang w:eastAsia="en-US"/>
        </w:rPr>
        <w:footnoteReference w:id="59"/>
      </w:r>
      <w:r w:rsidRPr="00EF7348">
        <w:rPr>
          <w:rFonts w:eastAsiaTheme="minorHAnsi" w:cs="Arial"/>
          <w:lang w:val="fr-CA" w:eastAsia="en-US"/>
        </w:rPr>
        <w:t xml:space="preserve">. Des actions systémiques et pérennes sont donc nécessaires afin de garantir l’effectivité du droit au logement à tous et toutes. </w:t>
      </w:r>
    </w:p>
    <w:p w14:paraId="351CAA3C"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lastRenderedPageBreak/>
        <w:t>Parmi les recommandations que la Commission souhaite réitérer à ce sujet, citons notamment les suivantes :</w:t>
      </w:r>
    </w:p>
    <w:p w14:paraId="62A5D806" w14:textId="77777777" w:rsidR="00463481" w:rsidRPr="00EF7348" w:rsidRDefault="00463481" w:rsidP="00222B6E">
      <w:pPr>
        <w:pStyle w:val="Paragraphe"/>
        <w:numPr>
          <w:ilvl w:val="0"/>
          <w:numId w:val="17"/>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l’article 45 de la Charte soit modifié afin que le droit à un logement suffisant soit explicitement reconnu comme faisant partie du droit à des mesures sociales et financières, susceptibles d’assurer un niveau de vie décent ;</w:t>
      </w:r>
    </w:p>
    <w:p w14:paraId="0F5D485B" w14:textId="77777777" w:rsidR="00463481" w:rsidRPr="00EF7348" w:rsidRDefault="00463481" w:rsidP="00222B6E">
      <w:pPr>
        <w:pStyle w:val="Paragraphe"/>
        <w:numPr>
          <w:ilvl w:val="0"/>
          <w:numId w:val="17"/>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 gouvernement mette en œuvre une politique gouvernementale sur le logement fondée sur une compréhension adéquate des droits et libertés de la personne et de l’interdépendance de ceux-ci en plus d’intégrer une perspective de lutte contre la discrimination, le racisme et la pauvreté.</w:t>
      </w:r>
    </w:p>
    <w:p w14:paraId="051265F8" w14:textId="77777777" w:rsidR="00463481" w:rsidRPr="00463481" w:rsidRDefault="00463481" w:rsidP="00ED1FF1">
      <w:pPr>
        <w:pStyle w:val="Titre2"/>
        <w:tabs>
          <w:tab w:val="clear" w:pos="936"/>
          <w:tab w:val="left" w:pos="720"/>
        </w:tabs>
        <w:ind w:left="720" w:hanging="720"/>
      </w:pPr>
      <w:bookmarkStart w:id="25" w:name="_Toc138945286"/>
      <w:r w:rsidRPr="00463481">
        <w:t>Assurer l’inclusion sociale</w:t>
      </w:r>
      <w:bookmarkEnd w:id="25"/>
    </w:p>
    <w:p w14:paraId="4D107438" w14:textId="77777777" w:rsidR="00463481" w:rsidRPr="00463481" w:rsidRDefault="00463481" w:rsidP="00ED1FF1">
      <w:pPr>
        <w:pStyle w:val="Titre3"/>
        <w:tabs>
          <w:tab w:val="clear" w:pos="1440"/>
          <w:tab w:val="num" w:pos="709"/>
        </w:tabs>
        <w:ind w:left="709" w:hanging="709"/>
      </w:pPr>
      <w:bookmarkStart w:id="26" w:name="_Toc138945287"/>
      <w:r w:rsidRPr="00463481">
        <w:t>Mettre fin aux préjugés visant les personnes en situation de pauvreté</w:t>
      </w:r>
      <w:bookmarkEnd w:id="26"/>
    </w:p>
    <w:p w14:paraId="4FB63268"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Tant en ce qui a trait à l’accès aux services gouvernementaux qu’aux enjeux plus larges de participation sociale et d’inclusion, la Commission souhaite avant tout mettre en lumière la place que prennent les préjugés véhiculés à l’égard des personnes en situation de pauvreté et qui constituent, eux-aussi, un rappel de l’importance d’adopter une approche fondée sur les droits afin de lutter contre la pauvreté et l’exclusion sociale.</w:t>
      </w:r>
    </w:p>
    <w:p w14:paraId="12C7E780" w14:textId="77777777" w:rsidR="00463481" w:rsidRPr="00EF7348" w:rsidRDefault="00463481" w:rsidP="00B64639">
      <w:pPr>
        <w:pStyle w:val="Paragraphe"/>
        <w:rPr>
          <w:rFonts w:eastAsiaTheme="minorHAnsi" w:cs="Arial"/>
          <w:lang w:val="fr-CA" w:eastAsia="en-US"/>
        </w:rPr>
      </w:pPr>
      <w:r w:rsidRPr="00EF7348">
        <w:rPr>
          <w:rFonts w:eastAsiaTheme="minorHAnsi" w:cs="Arial"/>
          <w:lang w:val="fr-CA" w:eastAsia="en-US"/>
        </w:rPr>
        <w:t>La Commission réfère notamment au plus récent avis du Centre d’étude sur la pauvreté et l’exclusion</w:t>
      </w:r>
      <w:r w:rsidRPr="00615873">
        <w:rPr>
          <w:rFonts w:eastAsiaTheme="minorHAnsi" w:cs="Arial"/>
          <w:vertAlign w:val="superscript"/>
          <w:lang w:eastAsia="en-US"/>
        </w:rPr>
        <w:footnoteReference w:id="60"/>
      </w:r>
      <w:r w:rsidRPr="00EF7348">
        <w:rPr>
          <w:rFonts w:eastAsiaTheme="minorHAnsi" w:cs="Arial"/>
          <w:lang w:val="fr-CA" w:eastAsia="en-US"/>
        </w:rPr>
        <w:t xml:space="preserve">. Celui-ci confirme l’impact que les politiques publiques peuvent avoir sur les préjugés, expliquant par exemple ce qui suit à ce sujet : </w:t>
      </w:r>
    </w:p>
    <w:p w14:paraId="5DBDCF3A" w14:textId="77777777" w:rsidR="00463481" w:rsidRPr="00463481" w:rsidRDefault="00463481" w:rsidP="00463481">
      <w:pPr>
        <w:tabs>
          <w:tab w:val="center" w:pos="862"/>
        </w:tabs>
        <w:spacing w:after="120" w:line="240" w:lineRule="auto"/>
        <w:ind w:left="862" w:right="862"/>
        <w:jc w:val="left"/>
        <w:rPr>
          <w:rFonts w:cs="Arial"/>
          <w:sz w:val="20"/>
          <w:szCs w:val="22"/>
        </w:rPr>
      </w:pPr>
      <w:r w:rsidRPr="00463481">
        <w:rPr>
          <w:rFonts w:cs="Arial"/>
          <w:sz w:val="20"/>
          <w:szCs w:val="22"/>
        </w:rPr>
        <w:t>« À l’instar de nombreux acteurs et actrices engagés dans la lutte contre la pauvreté et l’exclusion sociale, les membres du CEPE sont d’avis que ce combat est perdu d’avance si on ne s’attaque pas également aux préjugés associés à la pauvreté. Ceux-ci influencent notre perception quant aux causes et aux solutions au problème de la pauvreté et concourent à maintenir les personnes qui en sont la cible dans leur condition, érigeant des barrières qui les privent — et l’ensemble de la société — de leur pleine participation et de leur contribution à la société.</w:t>
      </w:r>
    </w:p>
    <w:p w14:paraId="55C3BA3D" w14:textId="77777777" w:rsidR="00463481" w:rsidRPr="00463481" w:rsidRDefault="00463481" w:rsidP="00463481">
      <w:pPr>
        <w:tabs>
          <w:tab w:val="center" w:pos="862"/>
        </w:tabs>
        <w:spacing w:after="120" w:line="240" w:lineRule="auto"/>
        <w:ind w:left="862" w:right="862"/>
        <w:jc w:val="left"/>
        <w:rPr>
          <w:rFonts w:cs="Arial"/>
          <w:sz w:val="20"/>
          <w:szCs w:val="22"/>
        </w:rPr>
      </w:pPr>
      <w:r w:rsidRPr="00463481">
        <w:rPr>
          <w:rFonts w:cs="Arial"/>
          <w:sz w:val="20"/>
          <w:szCs w:val="22"/>
        </w:rPr>
        <w:t>Lorsqu’on pense aux préjugés à l’égard des personnes en situation de pauvreté, on imagine immédiatement les propos particulièrement violents véhiculés par certains médias et sur les médias sociaux. […]</w:t>
      </w:r>
    </w:p>
    <w:p w14:paraId="50CC8BA7" w14:textId="77777777" w:rsidR="00463481" w:rsidRPr="00463481" w:rsidRDefault="00463481" w:rsidP="00463481">
      <w:pPr>
        <w:tabs>
          <w:tab w:val="center" w:pos="862"/>
        </w:tabs>
        <w:spacing w:after="120" w:line="240" w:lineRule="auto"/>
        <w:ind w:left="862" w:right="862"/>
        <w:jc w:val="left"/>
        <w:rPr>
          <w:rFonts w:cs="Arial"/>
          <w:sz w:val="20"/>
          <w:szCs w:val="22"/>
        </w:rPr>
      </w:pPr>
      <w:r w:rsidRPr="00463481">
        <w:rPr>
          <w:rFonts w:cs="Arial"/>
          <w:sz w:val="20"/>
          <w:szCs w:val="22"/>
        </w:rPr>
        <w:t xml:space="preserve">Mais les préjugés ne se limitent pas à ce type d’expression. Ils sont véhiculés dans différents milieux, parfois de manière inconsciente, et sont enracinés dans les </w:t>
      </w:r>
      <w:r w:rsidRPr="00463481">
        <w:rPr>
          <w:rFonts w:cs="Arial"/>
          <w:sz w:val="20"/>
          <w:szCs w:val="22"/>
        </w:rPr>
        <w:lastRenderedPageBreak/>
        <w:t>structures sociales. Les politiques publiques y contribuent, comme en fait foi, par exemple, la distinction que font les programmes de solidarité sociale et d’aide sociale entre les personnes avec ou sans contraintes sévères à l’emploi pour déterminer le seuil de couverture de leurs besoins essentiels. Fondée principalement sur le diagnostic médical, cette distinction ne tient pas compte des enjeux socioculturels et systémiques de la pauvreté. »</w:t>
      </w:r>
      <w:r w:rsidRPr="00463481">
        <w:rPr>
          <w:rFonts w:cs="Arial"/>
          <w:sz w:val="20"/>
          <w:szCs w:val="22"/>
          <w:vertAlign w:val="superscript"/>
        </w:rPr>
        <w:footnoteReference w:id="61"/>
      </w:r>
    </w:p>
    <w:p w14:paraId="40CD9F37"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Puis, ajoute le CEPE :</w:t>
      </w:r>
    </w:p>
    <w:p w14:paraId="64D5134B" w14:textId="77777777" w:rsidR="00463481" w:rsidRPr="00463481" w:rsidRDefault="00463481" w:rsidP="00463481">
      <w:pPr>
        <w:tabs>
          <w:tab w:val="center" w:pos="862"/>
        </w:tabs>
        <w:spacing w:line="240" w:lineRule="auto"/>
        <w:ind w:left="862" w:right="862"/>
        <w:jc w:val="left"/>
        <w:rPr>
          <w:rFonts w:cs="Arial"/>
          <w:sz w:val="20"/>
          <w:szCs w:val="22"/>
        </w:rPr>
      </w:pPr>
      <w:r w:rsidRPr="00463481">
        <w:rPr>
          <w:rFonts w:cs="Arial"/>
          <w:sz w:val="20"/>
          <w:szCs w:val="22"/>
        </w:rPr>
        <w:t>« Cette distinction entre “avec” ou “sans” contraintes sévères à l’emploi nourrit les préjugés à l’égard des personnes qui reçoivent de l’assistance sociale et qui sont catégorisées “sans” contraintes sévères à l’emploi. En faisant référence à la présence ou à l’absence de contraintes à l’emploi, on laisse entendre que rien n’empêche les prestataires sans contraintes à l’emploi d’occuper à brève échéance un emploi rémunéré. Il n’en faut pas plus à certains pour estimer que les personnes prestataires considérées comme étant sans contraintes à l’emploi seraient paresseuses et qu’elles chercheraient à se laisser vivre par la société. Or, les facteurs qui mènent une personne à la pauvreté sont multidimensionnels et se situent bien au-delà des notions de volonté ou des capacités physiques, mentales ou intellectuelles. »</w:t>
      </w:r>
      <w:r w:rsidRPr="00463481">
        <w:rPr>
          <w:rFonts w:cs="Arial"/>
          <w:sz w:val="20"/>
          <w:szCs w:val="22"/>
          <w:vertAlign w:val="superscript"/>
        </w:rPr>
        <w:footnoteReference w:id="62"/>
      </w:r>
    </w:p>
    <w:p w14:paraId="32198F4A" w14:textId="77777777" w:rsidR="00463481" w:rsidRPr="00EF7348" w:rsidRDefault="00463481" w:rsidP="00B64639">
      <w:pPr>
        <w:pStyle w:val="Paragraphe"/>
        <w:rPr>
          <w:rFonts w:eastAsiaTheme="minorHAnsi" w:cs="Arial"/>
          <w:lang w:val="fr-CA" w:eastAsia="en-US"/>
        </w:rPr>
      </w:pPr>
      <w:r w:rsidRPr="00615873">
        <w:rPr>
          <w:rFonts w:eastAsiaTheme="minorHAnsi" w:cs="Arial"/>
          <w:lang w:val="fr-CA" w:eastAsia="en-US"/>
        </w:rPr>
        <w:t>Les travaux récents du professeur Normand Landry confirment également la persistance des préjugés entretenus envers les personnes prestataires des programmes d’aide sociale, le caractère central de la question de l’aptitude et de l’inaptitude présumées au travail à cet égard, mais aussi l’importance de la circulation d’autres discours dans la constitution d’alternatives</w:t>
      </w:r>
      <w:r w:rsidRPr="00615873">
        <w:rPr>
          <w:rFonts w:eastAsiaTheme="minorHAnsi" w:cs="Arial"/>
          <w:vertAlign w:val="superscript"/>
          <w:lang w:eastAsia="en-US"/>
        </w:rPr>
        <w:footnoteReference w:id="63"/>
      </w:r>
      <w:r w:rsidRPr="00615873">
        <w:rPr>
          <w:rFonts w:eastAsiaTheme="minorHAnsi" w:cs="Arial"/>
          <w:lang w:val="fr-CA" w:eastAsia="en-US"/>
        </w:rPr>
        <w:t xml:space="preserve">. </w:t>
      </w:r>
      <w:r w:rsidRPr="00EF7348">
        <w:rPr>
          <w:rFonts w:eastAsiaTheme="minorHAnsi" w:cs="Arial"/>
          <w:lang w:val="fr-CA" w:eastAsia="en-US"/>
        </w:rPr>
        <w:t xml:space="preserve">Le professeur Landry et son équipe écrivent notamment ce qui suit : </w:t>
      </w:r>
    </w:p>
    <w:p w14:paraId="63254426" w14:textId="77777777" w:rsidR="00463481" w:rsidRPr="00463481" w:rsidRDefault="00463481" w:rsidP="00463481">
      <w:pPr>
        <w:tabs>
          <w:tab w:val="center" w:pos="862"/>
        </w:tabs>
        <w:spacing w:line="240" w:lineRule="auto"/>
        <w:ind w:left="862" w:right="862"/>
        <w:jc w:val="left"/>
        <w:rPr>
          <w:rFonts w:cs="Arial"/>
          <w:sz w:val="20"/>
          <w:szCs w:val="22"/>
        </w:rPr>
      </w:pPr>
      <w:r w:rsidRPr="00463481">
        <w:rPr>
          <w:rFonts w:cs="Arial"/>
          <w:sz w:val="20"/>
          <w:szCs w:val="22"/>
        </w:rPr>
        <w:t>« Le débat public sur l’assistance sociale se fait actuellement principalement en fonction des lignes directrices des réformes qui ont orienté ses révisions successives : le poids des programmes sur les finances publiques, la responsabilité des prestataires à l’égard de leur condition sociale, la contrepartie comme principe directeur et l’intégration des programmes au marché du travail. La constitution d’une alternative à ces réformes pose comme exigence la circulation plus soutenue de discours qui proposent des schémas d’interprétation autres de la pauvreté et des aides qui visent son atténuation ou son éradication (voir Benford et Snow, 2000). »</w:t>
      </w:r>
      <w:bookmarkStart w:id="27" w:name="_Ref138776211"/>
      <w:r w:rsidRPr="00463481">
        <w:rPr>
          <w:rFonts w:cs="Arial"/>
          <w:sz w:val="20"/>
          <w:szCs w:val="22"/>
          <w:vertAlign w:val="superscript"/>
        </w:rPr>
        <w:footnoteReference w:id="64"/>
      </w:r>
      <w:bookmarkEnd w:id="27"/>
    </w:p>
    <w:p w14:paraId="4B98307B" w14:textId="77777777" w:rsidR="00463481" w:rsidRPr="00EF7348" w:rsidRDefault="00463481" w:rsidP="00B64639">
      <w:pPr>
        <w:pStyle w:val="Paragraphe"/>
        <w:rPr>
          <w:rFonts w:eastAsia="Calibri" w:cs="Arial"/>
          <w:lang w:val="fr-CA" w:eastAsia="en-US"/>
        </w:rPr>
      </w:pPr>
      <w:r w:rsidRPr="00615873">
        <w:rPr>
          <w:rFonts w:eastAsiaTheme="minorHAnsi" w:cs="Arial"/>
          <w:lang w:val="fr-CA" w:eastAsia="en-US"/>
        </w:rPr>
        <w:lastRenderedPageBreak/>
        <w:t xml:space="preserve">Dès 2015, un rapport de recherche remis à la Commission mettait d’ailleurs en lumière l’ampleur des préjugés et stéréotypes ciblant les personnes prestataires d’un programme d’aide sociale. </w:t>
      </w:r>
      <w:r w:rsidRPr="00EF7348">
        <w:rPr>
          <w:rFonts w:eastAsiaTheme="minorHAnsi" w:cs="Arial"/>
          <w:lang w:val="fr-CA" w:eastAsia="en-US"/>
        </w:rPr>
        <w:t xml:space="preserve">En effet, ce rapport révélait que 49,1 % des personnes répondantes affirmaient entretenir une opinion négative à l’égard des prestataires de l’aide sociale et que « la figure de “l’assisté </w:t>
      </w:r>
      <w:proofErr w:type="spellStart"/>
      <w:r w:rsidRPr="00EF7348">
        <w:rPr>
          <w:rFonts w:eastAsiaTheme="minorHAnsi" w:cs="Arial"/>
          <w:lang w:val="fr-CA" w:eastAsia="en-US"/>
        </w:rPr>
        <w:t>socialˮ</w:t>
      </w:r>
      <w:proofErr w:type="spellEnd"/>
      <w:r w:rsidRPr="00EF7348">
        <w:rPr>
          <w:rFonts w:eastAsiaTheme="minorHAnsi" w:cs="Arial"/>
          <w:lang w:val="fr-CA" w:eastAsia="en-US"/>
        </w:rPr>
        <w:t xml:space="preserve"> est clairement l’objet d’une forme de stigmatisation »</w:t>
      </w:r>
      <w:r w:rsidRPr="00615873">
        <w:rPr>
          <w:rFonts w:eastAsiaTheme="minorHAnsi" w:cs="Arial"/>
          <w:vertAlign w:val="superscript"/>
          <w:lang w:eastAsia="en-US"/>
        </w:rPr>
        <w:footnoteReference w:id="65"/>
      </w:r>
      <w:r w:rsidRPr="00EF7348">
        <w:rPr>
          <w:rFonts w:eastAsiaTheme="minorHAnsi" w:cs="Arial"/>
          <w:lang w:val="fr-CA" w:eastAsia="en-US"/>
        </w:rPr>
        <w:t xml:space="preserve">. </w:t>
      </w:r>
      <w:r w:rsidRPr="00EF7348">
        <w:rPr>
          <w:rFonts w:eastAsia="Calibri" w:cs="Arial"/>
          <w:lang w:val="fr-CA" w:eastAsia="en-US"/>
        </w:rPr>
        <w:t>Ces préjugés et stéréotypes mènent souvent à ignorer les causes structurelles de la pauvreté.</w:t>
      </w:r>
    </w:p>
    <w:p w14:paraId="1FDF6112" w14:textId="77777777" w:rsidR="00463481" w:rsidRPr="00EF7348" w:rsidRDefault="00463481" w:rsidP="00B64639">
      <w:pPr>
        <w:pStyle w:val="Paragraphe"/>
        <w:rPr>
          <w:rFonts w:eastAsia="Calibri" w:cs="Arial"/>
          <w:lang w:val="fr-CA" w:eastAsia="en-US"/>
        </w:rPr>
      </w:pPr>
      <w:r w:rsidRPr="00615873">
        <w:rPr>
          <w:rFonts w:eastAsia="Calibri" w:cs="Arial"/>
          <w:lang w:val="fr-CA" w:eastAsia="en-US"/>
        </w:rPr>
        <w:t>Ils constituent en outre une toile de fond</w:t>
      </w:r>
      <w:r w:rsidRPr="00615873">
        <w:rPr>
          <w:rFonts w:eastAsia="Calibri" w:cs="Arial"/>
          <w:vertAlign w:val="superscript"/>
          <w:lang w:eastAsia="en-US"/>
        </w:rPr>
        <w:footnoteReference w:id="66"/>
      </w:r>
      <w:r w:rsidRPr="00615873">
        <w:rPr>
          <w:rFonts w:eastAsia="Calibri" w:cs="Arial"/>
          <w:lang w:val="fr-CA" w:eastAsia="en-US"/>
        </w:rPr>
        <w:t xml:space="preserve"> à la discrimination, fondée notamment sur la condition sociale, que les personnes en situation de pauvreté vivent dans les différentes sphères de leur vie. </w:t>
      </w:r>
      <w:r w:rsidRPr="00EF7348">
        <w:rPr>
          <w:rFonts w:eastAsia="Calibri" w:cs="Arial"/>
          <w:lang w:val="fr-CA" w:eastAsia="en-US"/>
        </w:rPr>
        <w:t xml:space="preserve">Comme la Commission l’a déjà souligné, les préjugés menant à privilégier la responsabilité individuelle et à ignorer les causes et les conséquences de la pauvreté orientent souvent la mise en œuvre des programmes, politiques et services publics. Ce peut être le cas de politiques publiques destinées à assister les familles dans leur rôle premier à l’égard des enfants, mais aussi en matière </w:t>
      </w:r>
      <w:r w:rsidRPr="00EF7348">
        <w:rPr>
          <w:rFonts w:eastAsiaTheme="minorHAnsi" w:cs="Arial"/>
          <w:lang w:val="fr-CA" w:eastAsia="en-US"/>
        </w:rPr>
        <w:t>d’aide financière et d’aide sociale, d’aide au logement, d’accès aux services d’éducation, des interventions en milieu scolaire et du réseau de la petite enfance, d’accès aux services de la santé (incluant les soins psychologiques), d’emploi et d’insertion en emploi, d’itinérance et de profilage social.</w:t>
      </w:r>
    </w:p>
    <w:p w14:paraId="0A30F1F6" w14:textId="77777777" w:rsidR="00463481" w:rsidRPr="00EF7348" w:rsidRDefault="00463481" w:rsidP="00B64639">
      <w:pPr>
        <w:pStyle w:val="Paragraphe"/>
        <w:rPr>
          <w:rFonts w:eastAsiaTheme="minorHAnsi" w:cs="Arial"/>
          <w:lang w:val="fr-CA" w:eastAsia="en-US"/>
        </w:rPr>
      </w:pPr>
      <w:r w:rsidRPr="00615873">
        <w:rPr>
          <w:rFonts w:eastAsia="Calibri" w:cs="Arial"/>
          <w:lang w:val="fr-CA" w:eastAsia="en-US"/>
        </w:rPr>
        <w:t>Plusieurs fois, la Commission a conclu à l’existence d’une discrimination systémique eu égard aux personnes en situation de pauvreté</w:t>
      </w:r>
      <w:r w:rsidRPr="00615873">
        <w:rPr>
          <w:rFonts w:eastAsia="Calibri" w:cs="Arial"/>
          <w:vertAlign w:val="superscript"/>
          <w:lang w:eastAsia="en-US"/>
        </w:rPr>
        <w:footnoteReference w:id="67"/>
      </w:r>
      <w:r w:rsidRPr="00615873">
        <w:rPr>
          <w:rFonts w:eastAsia="Calibri" w:cs="Arial"/>
          <w:lang w:val="fr-CA" w:eastAsia="en-US"/>
        </w:rPr>
        <w:t xml:space="preserve">. </w:t>
      </w:r>
      <w:r w:rsidRPr="00EF7348">
        <w:rPr>
          <w:rFonts w:eastAsia="Calibri" w:cs="Arial"/>
          <w:lang w:val="fr-CA" w:eastAsia="en-US"/>
        </w:rPr>
        <w:t>On parle alors d’une discrimination qui va au-delà d’un acte ou d’une mesure isolée, mais qui repose sur « un ensemble cohérent de représentations sociales, de préjugés, d’attitudes, de pratiques individuelles et institutionnalisées, qui se renforcent et s’alimentent mutuellement dans un mouvement</w:t>
      </w:r>
      <w:r w:rsidRPr="00EF7348">
        <w:rPr>
          <w:rFonts w:eastAsiaTheme="minorHAnsi" w:cs="Arial"/>
          <w:lang w:val="fr-CA" w:eastAsia="en-US"/>
        </w:rPr>
        <w:t xml:space="preserve"> </w:t>
      </w:r>
      <w:r w:rsidRPr="00EF7348">
        <w:rPr>
          <w:rFonts w:eastAsia="Calibri" w:cs="Arial"/>
          <w:lang w:val="fr-CA" w:eastAsia="en-US"/>
        </w:rPr>
        <w:lastRenderedPageBreak/>
        <w:t>circulaire »</w:t>
      </w:r>
      <w:r w:rsidRPr="00615873">
        <w:rPr>
          <w:rFonts w:eastAsia="Calibri" w:cs="Arial"/>
          <w:vertAlign w:val="superscript"/>
          <w:lang w:eastAsia="en-US"/>
        </w:rPr>
        <w:footnoteReference w:id="68"/>
      </w:r>
      <w:r w:rsidRPr="00EF7348">
        <w:rPr>
          <w:rFonts w:eastAsia="Calibri" w:cs="Arial"/>
          <w:lang w:val="fr-CA" w:eastAsia="en-US"/>
        </w:rPr>
        <w:t xml:space="preserve">. Et, </w:t>
      </w:r>
      <w:r w:rsidRPr="00EF7348">
        <w:rPr>
          <w:rFonts w:eastAsiaTheme="minorHAnsi" w:cs="Arial"/>
          <w:lang w:val="fr-CA" w:eastAsia="en-US"/>
        </w:rPr>
        <w:t>c’est en comprenant cet engrenage qu’on peut, d’une part, cesser de l’alimenter et, d’autre part, apporter des correctifs efficaces contre la pauvreté</w:t>
      </w:r>
      <w:bookmarkStart w:id="28" w:name="_Ref138776481"/>
      <w:r w:rsidRPr="00615873">
        <w:rPr>
          <w:rFonts w:eastAsiaTheme="minorHAnsi" w:cs="Arial"/>
          <w:vertAlign w:val="superscript"/>
          <w:lang w:eastAsia="en-US"/>
        </w:rPr>
        <w:footnoteReference w:id="69"/>
      </w:r>
      <w:bookmarkEnd w:id="28"/>
      <w:r w:rsidRPr="00EF7348">
        <w:rPr>
          <w:rFonts w:eastAsiaTheme="minorHAnsi" w:cs="Arial"/>
          <w:lang w:val="fr-CA" w:eastAsia="en-US"/>
        </w:rPr>
        <w:t>.</w:t>
      </w:r>
    </w:p>
    <w:p w14:paraId="4C21B406" w14:textId="77777777" w:rsidR="00463481" w:rsidRPr="00EF7348" w:rsidRDefault="00463481" w:rsidP="00B64639">
      <w:pPr>
        <w:pStyle w:val="Paragraphe"/>
        <w:rPr>
          <w:rFonts w:eastAsia="Calibri" w:cs="Arial"/>
          <w:lang w:val="fr-CA" w:eastAsia="en-US"/>
        </w:rPr>
      </w:pPr>
      <w:r w:rsidRPr="00EF7348">
        <w:rPr>
          <w:rFonts w:eastAsia="Calibri" w:cs="Arial"/>
          <w:lang w:val="fr-CA" w:eastAsia="en-US"/>
        </w:rPr>
        <w:t>Une approche de lutte contre la pauvreté fondée sur les droits devrait par ailleurs tenir compte de l’approche intersectionnelle des discriminations et des risques plus grands de pauvreté qui peuvent marquer davantage certains groupes de la population. Le Comité des droits économiques, sociaux et culturels le notait dans le cadre de ses dernières Observations finales concernant le Canada :</w:t>
      </w:r>
    </w:p>
    <w:p w14:paraId="6ECF7B03" w14:textId="77777777" w:rsidR="00463481" w:rsidRPr="00463481" w:rsidRDefault="00463481" w:rsidP="00463481">
      <w:pPr>
        <w:spacing w:line="240" w:lineRule="auto"/>
        <w:ind w:left="709" w:right="861"/>
        <w:jc w:val="left"/>
        <w:rPr>
          <w:rFonts w:cs="Arial"/>
          <w:sz w:val="20"/>
          <w:szCs w:val="22"/>
        </w:rPr>
      </w:pPr>
      <w:r w:rsidRPr="00463481">
        <w:rPr>
          <w:rFonts w:cs="Arial"/>
          <w:sz w:val="20"/>
          <w:szCs w:val="22"/>
        </w:rPr>
        <w:t>« Compte tenu du niveau élevé de développement de l’État partie, le Comité est préoccupé par le nombre important de personnes vivant dans la pauvreté. Il note aussi avec inquiétude que les peuples autochtones, les personnes handicapées, les mères célibataires et les groupes minoritaires ont toujours des taux plus élevés de pauvreté, et s’inquiète de l’efficacité limitée des mesures prises pour remédier au problème […]. »</w:t>
      </w:r>
      <w:r w:rsidRPr="00463481">
        <w:rPr>
          <w:rFonts w:cs="Arial"/>
          <w:sz w:val="20"/>
          <w:szCs w:val="20"/>
          <w:vertAlign w:val="superscript"/>
        </w:rPr>
        <w:footnoteReference w:id="70"/>
      </w:r>
    </w:p>
    <w:p w14:paraId="5DAA3845" w14:textId="77777777" w:rsidR="00463481" w:rsidRPr="00615873" w:rsidRDefault="00463481" w:rsidP="00B64639">
      <w:pPr>
        <w:pStyle w:val="Paragraphe"/>
        <w:rPr>
          <w:rFonts w:eastAsia="Calibri" w:cs="Arial"/>
          <w:lang w:val="fr-CA" w:eastAsia="x-none"/>
        </w:rPr>
      </w:pPr>
      <w:r w:rsidRPr="00615873">
        <w:rPr>
          <w:rFonts w:eastAsia="Calibri" w:cs="Arial"/>
          <w:lang w:val="fr-CA" w:eastAsia="x-none"/>
        </w:rPr>
        <w:t>C’est également pourquoi la Commission « n’a cessé de souligner l’importance d’aborder le phénomène de la pauvreté dans une perspective systémique qui, seule, permet de comprendre l’engrenage de la pauvreté et de la discrimination vécue par les personnes en situation de pauvreté »</w:t>
      </w:r>
      <w:r w:rsidRPr="00615873">
        <w:rPr>
          <w:rFonts w:eastAsia="Calibri" w:cs="Arial"/>
          <w:vertAlign w:val="superscript"/>
          <w:lang w:eastAsia="en-US"/>
        </w:rPr>
        <w:footnoteReference w:id="71"/>
      </w:r>
      <w:r w:rsidRPr="00615873">
        <w:rPr>
          <w:rFonts w:eastAsia="Calibri" w:cs="Arial"/>
          <w:lang w:val="fr-CA" w:eastAsia="x-none"/>
        </w:rPr>
        <w:t>.</w:t>
      </w:r>
    </w:p>
    <w:p w14:paraId="64F2F8D6" w14:textId="77777777" w:rsidR="00463481" w:rsidRPr="00463481" w:rsidRDefault="00463481" w:rsidP="00ED1FF1">
      <w:pPr>
        <w:pStyle w:val="Titre3"/>
        <w:tabs>
          <w:tab w:val="clear" w:pos="1440"/>
          <w:tab w:val="num" w:pos="709"/>
        </w:tabs>
        <w:ind w:left="709" w:hanging="709"/>
      </w:pPr>
      <w:bookmarkStart w:id="29" w:name="_Toc138945288"/>
      <w:r w:rsidRPr="00463481">
        <w:t>Le profilage social : une discrimination interdite visant plus particulièrement les personnes en situation de pauvreté et d’itinérance</w:t>
      </w:r>
      <w:bookmarkEnd w:id="29"/>
    </w:p>
    <w:p w14:paraId="521C1253" w14:textId="77777777" w:rsidR="00463481" w:rsidRPr="00615873" w:rsidRDefault="00463481" w:rsidP="00B64639">
      <w:pPr>
        <w:pStyle w:val="Paragraphe"/>
        <w:rPr>
          <w:rFonts w:eastAsiaTheme="minorHAnsi" w:cs="Arial"/>
          <w:lang w:val="fr-CA" w:eastAsia="en-US"/>
        </w:rPr>
      </w:pPr>
      <w:r w:rsidRPr="00615873">
        <w:rPr>
          <w:rFonts w:eastAsiaTheme="minorHAnsi" w:cs="Arial"/>
          <w:lang w:val="fr-CA" w:eastAsia="en-US"/>
        </w:rPr>
        <w:t>L’expertise de la Commission en matière de profilage social est également porteuse d’enseignements importants afin de mettre fin à l’exclusion sociale des personnes en situation de pauvreté et d’itinérance.</w:t>
      </w:r>
    </w:p>
    <w:p w14:paraId="553315EF" w14:textId="77777777" w:rsidR="00463481" w:rsidRPr="00EF7348" w:rsidRDefault="00463481" w:rsidP="00B64639">
      <w:pPr>
        <w:pStyle w:val="Paragraphe"/>
        <w:rPr>
          <w:rFonts w:eastAsiaTheme="minorHAnsi" w:cs="Arial"/>
          <w:lang w:val="fr-CA" w:eastAsia="en-US"/>
        </w:rPr>
      </w:pPr>
      <w:r w:rsidRPr="00EF7348">
        <w:rPr>
          <w:rFonts w:eastAsiaTheme="minorHAnsi" w:cs="Arial"/>
          <w:lang w:val="fr-CA" w:eastAsia="en-US"/>
        </w:rPr>
        <w:t xml:space="preserve">Le profilage social est le résultat de pratiques discriminatoires à l’origine de la judiciarisation des personnes en situation d’itinérance. Il importe donc de mettre en lumière les facteurs structurels qui contribuent à celle-ci. En fait, « la source première de la judiciarisation des personnes en </w:t>
      </w:r>
      <w:r w:rsidRPr="00EF7348">
        <w:rPr>
          <w:rFonts w:eastAsiaTheme="minorHAnsi" w:cs="Arial"/>
          <w:lang w:val="fr-CA" w:eastAsia="en-US"/>
        </w:rPr>
        <w:lastRenderedPageBreak/>
        <w:t>situation d’itinérance réside dans les dispositions réglementaires et législatives relatives à l’utilisation du domaine public et dans la manière dont ces instruments juridiques sont appliqués par les forces policières »</w:t>
      </w:r>
      <w:bookmarkStart w:id="30" w:name="_Ref138776964"/>
      <w:r w:rsidRPr="00615873">
        <w:rPr>
          <w:rFonts w:eastAsiaTheme="minorHAnsi" w:cs="Arial"/>
          <w:vertAlign w:val="superscript"/>
          <w:lang w:eastAsia="en-US"/>
        </w:rPr>
        <w:footnoteReference w:id="72"/>
      </w:r>
      <w:bookmarkEnd w:id="30"/>
      <w:r w:rsidRPr="00EF7348">
        <w:rPr>
          <w:rFonts w:eastAsiaTheme="minorHAnsi" w:cs="Arial"/>
          <w:lang w:val="fr-CA" w:eastAsia="en-US"/>
        </w:rPr>
        <w:t>.</w:t>
      </w:r>
    </w:p>
    <w:p w14:paraId="7CCEDD5D" w14:textId="77777777" w:rsidR="00463481" w:rsidRPr="00EF7348" w:rsidRDefault="00463481" w:rsidP="00C712BA">
      <w:pPr>
        <w:pStyle w:val="Paragraphe"/>
        <w:rPr>
          <w:rFonts w:eastAsiaTheme="minorHAnsi" w:cs="Arial"/>
          <w:lang w:val="fr-CA" w:eastAsia="en-US"/>
        </w:rPr>
      </w:pPr>
      <w:r w:rsidRPr="00ED1FF1">
        <w:rPr>
          <w:rFonts w:eastAsiaTheme="minorHAnsi" w:cs="Arial"/>
          <w:lang w:val="fr-CA" w:eastAsia="en-US"/>
        </w:rPr>
        <w:t xml:space="preserve">Concrètement, cette discrimination systémique se traduit en premier lieu dans la disproportion importante de contraventions remises par des policiers et policières aux personnes en situation d’itinérance, ce qui les entraîne ensuite dans une spirale de judiciarisation. </w:t>
      </w:r>
      <w:r w:rsidRPr="00EF7348">
        <w:rPr>
          <w:rFonts w:eastAsiaTheme="minorHAnsi" w:cs="Arial"/>
          <w:lang w:val="fr-CA" w:eastAsia="en-US"/>
        </w:rPr>
        <w:t>Des travaux de recherche ont d’ailleurs permis de démontrer l’ampleur de cette disproportion dans plusieurs villes du Québec</w:t>
      </w:r>
      <w:bookmarkStart w:id="31" w:name="_Ref138853255"/>
      <w:r w:rsidRPr="00615873">
        <w:rPr>
          <w:rFonts w:eastAsiaTheme="minorHAnsi" w:cs="Arial"/>
          <w:vertAlign w:val="superscript"/>
          <w:lang w:eastAsia="en-US"/>
        </w:rPr>
        <w:footnoteReference w:id="73"/>
      </w:r>
      <w:bookmarkEnd w:id="31"/>
      <w:r w:rsidRPr="00EF7348">
        <w:rPr>
          <w:rFonts w:eastAsiaTheme="minorHAnsi" w:cs="Arial"/>
          <w:lang w:val="fr-CA" w:eastAsia="en-US"/>
        </w:rPr>
        <w:t>. Il est également bien documenté que le profilage social affecte particulièrement certaines populations en situation d’itinérance, notamment les personnes autochtones</w:t>
      </w:r>
      <w:bookmarkStart w:id="32" w:name="_Ref138777112"/>
      <w:r w:rsidRPr="00615873">
        <w:rPr>
          <w:rFonts w:eastAsiaTheme="minorHAnsi" w:cs="Arial"/>
          <w:vertAlign w:val="superscript"/>
          <w:lang w:eastAsia="en-US"/>
        </w:rPr>
        <w:footnoteReference w:id="74"/>
      </w:r>
      <w:bookmarkEnd w:id="32"/>
      <w:r w:rsidRPr="00EF7348">
        <w:rPr>
          <w:rFonts w:eastAsiaTheme="minorHAnsi" w:cs="Arial"/>
          <w:lang w:val="fr-CA" w:eastAsia="en-US"/>
        </w:rPr>
        <w:t>. Une attention spécifique doit aussi être portée au profilage social dont sont victimes les jeunes en situation d’itinérance, notamment les jeunes qui se retrouvent dans une telle situation après avoir quitté un placement en milieu substitut</w:t>
      </w:r>
      <w:r w:rsidRPr="00615873">
        <w:rPr>
          <w:rFonts w:eastAsiaTheme="minorHAnsi" w:cs="Arial"/>
          <w:vertAlign w:val="superscript"/>
          <w:lang w:eastAsia="en-US"/>
        </w:rPr>
        <w:footnoteReference w:id="75"/>
      </w:r>
      <w:r w:rsidRPr="00EF7348">
        <w:rPr>
          <w:rFonts w:eastAsiaTheme="minorHAnsi" w:cs="Arial"/>
          <w:lang w:val="fr-CA" w:eastAsia="en-US"/>
        </w:rPr>
        <w:t>.</w:t>
      </w:r>
    </w:p>
    <w:p w14:paraId="0ED62A8E" w14:textId="77777777" w:rsidR="00463481" w:rsidRPr="00EF7348" w:rsidRDefault="00463481" w:rsidP="00C712BA">
      <w:pPr>
        <w:pStyle w:val="Paragraphe"/>
        <w:rPr>
          <w:rFonts w:eastAsiaTheme="minorHAnsi" w:cs="Arial"/>
          <w:szCs w:val="22"/>
          <w:lang w:val="fr-CA" w:eastAsia="en-US"/>
        </w:rPr>
      </w:pPr>
      <w:r w:rsidRPr="00615873">
        <w:rPr>
          <w:rFonts w:eastAsiaTheme="minorHAnsi" w:cs="Arial"/>
          <w:szCs w:val="22"/>
          <w:lang w:val="fr-CA" w:eastAsia="en-US"/>
        </w:rPr>
        <w:t xml:space="preserve">Au fil de ses travaux, la Commission a formulé plusieurs recommandations en la matière. </w:t>
      </w:r>
      <w:r w:rsidRPr="00EF7348">
        <w:rPr>
          <w:rFonts w:eastAsiaTheme="minorHAnsi" w:cs="Arial"/>
          <w:szCs w:val="22"/>
          <w:lang w:val="fr-CA" w:eastAsia="en-US"/>
        </w:rPr>
        <w:t xml:space="preserve">Ces recommandations visent d’abord la révision du cadre réglementaire et normatif relatif à l’utilisation du domaine public ainsi que son application par les forces policières. Le Comité des </w:t>
      </w:r>
      <w:r w:rsidRPr="00EF7348">
        <w:rPr>
          <w:rFonts w:eastAsiaTheme="minorHAnsi" w:cs="Arial"/>
          <w:szCs w:val="22"/>
          <w:lang w:val="fr-CA" w:eastAsia="en-US"/>
        </w:rPr>
        <w:lastRenderedPageBreak/>
        <w:t>droits économiques, sociaux et culturels de l’ONU formule d’ailleurs une recommandation semblable dans le cadre de ses dernières Observations finales concernant le sixième rapport périodique du Canada :</w:t>
      </w:r>
    </w:p>
    <w:p w14:paraId="193D12B9" w14:textId="77777777" w:rsidR="00463481" w:rsidRPr="00463481" w:rsidRDefault="00463481" w:rsidP="00463481">
      <w:pPr>
        <w:spacing w:line="240" w:lineRule="auto"/>
        <w:ind w:left="709" w:right="476"/>
        <w:jc w:val="left"/>
        <w:rPr>
          <w:rFonts w:cs="Arial"/>
          <w:sz w:val="20"/>
          <w:szCs w:val="20"/>
        </w:rPr>
      </w:pPr>
      <w:r w:rsidRPr="00463481">
        <w:rPr>
          <w:rFonts w:cs="Arial"/>
          <w:sz w:val="20"/>
          <w:szCs w:val="22"/>
        </w:rPr>
        <w:t>« Le Comité recommande à l’État partie d’adopter une stratégie nationale sur le sans-abrisme afin d’examiner les causes de la hausse du sans-abrisme et de recueillir des données sur la portée de ce phénomène, ventilées par lieu géographique, appartenance ethnique, sexe et conditions sociales, et de lutter contre le sans-abrisme. Il lui recommande aussi de prendre des mesures efficaces pour garantir que l’ensemble du pays dispose de refuges d’urgence adéquats et d’abroger les réglementations provinciales qui pénalisent les sans-abris lorsqu’ils trouvent les solutions nécessaires à leur survie et à leur bien-être</w:t>
      </w:r>
      <w:r w:rsidRPr="00463481">
        <w:rPr>
          <w:rFonts w:cs="Arial"/>
          <w:sz w:val="20"/>
          <w:szCs w:val="20"/>
        </w:rPr>
        <w:t>. »</w:t>
      </w:r>
      <w:r w:rsidRPr="00463481">
        <w:rPr>
          <w:rFonts w:cs="Arial"/>
          <w:sz w:val="20"/>
          <w:szCs w:val="20"/>
          <w:vertAlign w:val="superscript"/>
        </w:rPr>
        <w:footnoteReference w:id="76"/>
      </w:r>
    </w:p>
    <w:p w14:paraId="4EE1C052" w14:textId="77777777" w:rsidR="00463481" w:rsidRPr="00615873" w:rsidRDefault="00463481" w:rsidP="00C712BA">
      <w:pPr>
        <w:pStyle w:val="Paragraphe"/>
        <w:rPr>
          <w:rFonts w:cs="Arial"/>
          <w:lang w:val="fr-CA"/>
        </w:rPr>
      </w:pPr>
      <w:r w:rsidRPr="00615873">
        <w:rPr>
          <w:rFonts w:cs="Arial"/>
          <w:szCs w:val="22"/>
          <w:lang w:val="fr-CA"/>
        </w:rPr>
        <w:t>Des recommandations de la Commission visent aussi une meilleure reconnaissance et mise en œuvre des droits économiques et sociaux garantis par la Charte et doivent toujours être mises en œuvre</w:t>
      </w:r>
      <w:r w:rsidRPr="00615873">
        <w:rPr>
          <w:rFonts w:cs="Arial"/>
          <w:szCs w:val="22"/>
          <w:vertAlign w:val="superscript"/>
        </w:rPr>
        <w:footnoteReference w:id="77"/>
      </w:r>
      <w:r w:rsidRPr="00615873">
        <w:rPr>
          <w:rFonts w:cs="Arial"/>
          <w:szCs w:val="22"/>
          <w:lang w:val="fr-CA"/>
        </w:rPr>
        <w:t>.</w:t>
      </w:r>
    </w:p>
    <w:p w14:paraId="0BC86303" w14:textId="77777777" w:rsidR="00463481" w:rsidRPr="00615873" w:rsidRDefault="00463481" w:rsidP="00C712BA">
      <w:pPr>
        <w:pStyle w:val="Paragraphe"/>
        <w:rPr>
          <w:rFonts w:eastAsiaTheme="minorHAnsi" w:cs="Arial"/>
          <w:lang w:val="fr-CA" w:eastAsia="en-US"/>
        </w:rPr>
      </w:pPr>
      <w:r w:rsidRPr="00615873">
        <w:rPr>
          <w:rFonts w:eastAsiaTheme="minorHAnsi" w:cs="Arial"/>
          <w:lang w:val="fr-CA" w:eastAsia="en-US"/>
        </w:rPr>
        <w:t>Parmi les recommandations que la Commission souhaite réitérer à ce sujet, citons notamment les suivantes :</w:t>
      </w:r>
    </w:p>
    <w:p w14:paraId="72B1E18F" w14:textId="77777777" w:rsidR="00463481" w:rsidRPr="00EF7348" w:rsidRDefault="00463481" w:rsidP="00222B6E">
      <w:pPr>
        <w:pStyle w:val="Paragraphe"/>
        <w:numPr>
          <w:ilvl w:val="0"/>
          <w:numId w:val="18"/>
        </w:numPr>
        <w:rPr>
          <w:rFonts w:eastAsiaTheme="minorHAnsi" w:cs="Arial"/>
          <w:lang w:val="fr-CA" w:eastAsia="en-US"/>
        </w:rPr>
      </w:pPr>
      <w:proofErr w:type="gramStart"/>
      <w:r w:rsidRPr="00EF7348">
        <w:rPr>
          <w:rFonts w:eastAsiaTheme="minorHAnsi" w:cs="Arial"/>
          <w:lang w:val="fr-CA" w:eastAsia="en-US"/>
        </w:rPr>
        <w:t>la</w:t>
      </w:r>
      <w:proofErr w:type="gramEnd"/>
      <w:r w:rsidRPr="00EF7348">
        <w:rPr>
          <w:rFonts w:eastAsiaTheme="minorHAnsi" w:cs="Arial"/>
          <w:lang w:val="fr-CA" w:eastAsia="en-US"/>
        </w:rPr>
        <w:t xml:space="preserve"> révision de toutes les dispositions réglementaires ou législatives qui sanctionnent des comportements qui découlent de l’occupation de l’espace public, notamment celles qui ciblent les incivilités, afin de détecter et d’éliminer les effets discriminatoires qui en découlent eu égard aux personnes en situation d’itinérance, aux personnes racisées, particulièrement les jeunes racisés, et aux personnes autochtones ;</w:t>
      </w:r>
    </w:p>
    <w:p w14:paraId="2D2719FF" w14:textId="77777777" w:rsidR="00463481" w:rsidRPr="00EF7348" w:rsidRDefault="00463481" w:rsidP="00222B6E">
      <w:pPr>
        <w:pStyle w:val="Paragraphe"/>
        <w:numPr>
          <w:ilvl w:val="0"/>
          <w:numId w:val="18"/>
        </w:numPr>
        <w:rPr>
          <w:rFonts w:eastAsiaTheme="minorHAnsi" w:cs="Arial"/>
          <w:lang w:val="fr-CA" w:eastAsia="en-US"/>
        </w:rPr>
      </w:pPr>
      <w:proofErr w:type="gramStart"/>
      <w:r w:rsidRPr="00EF7348">
        <w:rPr>
          <w:rFonts w:eastAsiaTheme="minorHAnsi" w:cs="Arial"/>
          <w:lang w:val="fr-CA" w:eastAsia="en-US"/>
        </w:rPr>
        <w:t>l’adoption</w:t>
      </w:r>
      <w:proofErr w:type="gramEnd"/>
      <w:r w:rsidRPr="00EF7348">
        <w:rPr>
          <w:rFonts w:eastAsiaTheme="minorHAnsi" w:cs="Arial"/>
          <w:lang w:val="fr-CA" w:eastAsia="en-US"/>
        </w:rPr>
        <w:t xml:space="preserve"> d’une politique de radiation des constats d’infraction donnés à des personnes en situation d’itinérance en vertu des dispositions législatives et réglementaires qui seraient jugées contraires à la Charte à la suite de l’examen visé à la recommandation précédente ; </w:t>
      </w:r>
    </w:p>
    <w:p w14:paraId="501D069B" w14:textId="77777777" w:rsidR="00463481" w:rsidRPr="00EF7348" w:rsidRDefault="00463481" w:rsidP="00222B6E">
      <w:pPr>
        <w:pStyle w:val="Paragraphe"/>
        <w:numPr>
          <w:ilvl w:val="0"/>
          <w:numId w:val="18"/>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dans une approche fondée sur la prévention, le gouvernement et les villes, dans leurs champs de compétences respectifs, financent adéquatement les services de </w:t>
      </w:r>
      <w:r w:rsidRPr="00EF7348">
        <w:rPr>
          <w:rFonts w:eastAsiaTheme="minorHAnsi" w:cs="Arial"/>
          <w:lang w:val="fr-CA" w:eastAsia="en-US"/>
        </w:rPr>
        <w:lastRenderedPageBreak/>
        <w:t>santé, sociaux et communautaires de proximité nécessaires en vue d’abandonner les approches fondées sur la gestion pénale des problèmes sociaux ;</w:t>
      </w:r>
    </w:p>
    <w:p w14:paraId="04934047" w14:textId="77777777" w:rsidR="00463481" w:rsidRPr="00EF7348" w:rsidRDefault="00463481" w:rsidP="00222B6E">
      <w:pPr>
        <w:pStyle w:val="Paragraphe"/>
        <w:numPr>
          <w:ilvl w:val="0"/>
          <w:numId w:val="18"/>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l’État privilégie entre autres une approche préventive et proactive relativement au phénomène de l’itinérance, notamment en faisant bénéficier d’un logement suffisant et adéquat les personnes en situation d’itinérance ou à risque de le devenir, si tel est leur souhait ;</w:t>
      </w:r>
    </w:p>
    <w:p w14:paraId="2015A0B6" w14:textId="77777777" w:rsidR="00463481" w:rsidRPr="00EF7348" w:rsidRDefault="00463481" w:rsidP="00222B6E">
      <w:pPr>
        <w:pStyle w:val="Paragraphe"/>
        <w:numPr>
          <w:ilvl w:val="0"/>
          <w:numId w:val="18"/>
        </w:numPr>
        <w:rPr>
          <w:rFonts w:eastAsiaTheme="minorHAnsi" w:cs="Arial"/>
          <w:lang w:val="fr-CA" w:eastAsia="en-US"/>
        </w:rPr>
      </w:pPr>
      <w:proofErr w:type="gramStart"/>
      <w:r w:rsidRPr="00EF7348">
        <w:rPr>
          <w:rFonts w:eastAsiaTheme="minorHAnsi" w:cs="Arial"/>
          <w:lang w:val="fr-CA" w:eastAsia="en-US"/>
        </w:rPr>
        <w:t>que</w:t>
      </w:r>
      <w:proofErr w:type="gramEnd"/>
      <w:r w:rsidRPr="00EF7348">
        <w:rPr>
          <w:rFonts w:eastAsiaTheme="minorHAnsi" w:cs="Arial"/>
          <w:lang w:val="fr-CA" w:eastAsia="en-US"/>
        </w:rPr>
        <w:t xml:space="preserve"> l’ensemble des autorités concernées portent une attention particulière à la mise en œuvre effective des droits économiques et sociaux, incluant ceux des personnes marginalisées risquant d’être victimes de profilage discriminatoire en fonction des motifs « race », couleur, origine ethnique ou nationale, mais aussi d’autres motifs interdits, tels que la condition sociale et/ou la situation de handicap.</w:t>
      </w:r>
    </w:p>
    <w:p w14:paraId="1CBACB24" w14:textId="77777777" w:rsidR="00AD6D69" w:rsidRPr="00EF7348" w:rsidRDefault="00AD6D69" w:rsidP="00AD6D69">
      <w:pPr>
        <w:pStyle w:val="Corpsdetexte"/>
        <w:rPr>
          <w:rFonts w:eastAsiaTheme="minorHAnsi"/>
          <w:lang w:eastAsia="en-US"/>
        </w:rPr>
      </w:pPr>
    </w:p>
    <w:p w14:paraId="73996145" w14:textId="77777777" w:rsidR="00463481" w:rsidRPr="00463481" w:rsidRDefault="00463481" w:rsidP="00AD6D69">
      <w:pPr>
        <w:pStyle w:val="Titre2"/>
        <w:tabs>
          <w:tab w:val="clear" w:pos="936"/>
          <w:tab w:val="left" w:pos="720"/>
        </w:tabs>
        <w:ind w:left="720" w:hanging="720"/>
      </w:pPr>
      <w:bookmarkStart w:id="33" w:name="_Toc138945289"/>
      <w:r w:rsidRPr="00463481">
        <w:t>La nécessité de mesures visant plus particulièrement les Premières Nations et Inuit</w:t>
      </w:r>
      <w:bookmarkEnd w:id="33"/>
    </w:p>
    <w:p w14:paraId="481E7178" w14:textId="77777777" w:rsidR="00463481" w:rsidRPr="00615873" w:rsidRDefault="00463481" w:rsidP="00C712BA">
      <w:pPr>
        <w:pStyle w:val="Paragraphe"/>
        <w:rPr>
          <w:rFonts w:eastAsiaTheme="minorHAnsi" w:cs="Arial"/>
          <w:lang w:val="fr-CA" w:eastAsia="en-US"/>
        </w:rPr>
      </w:pPr>
      <w:r w:rsidRPr="00AD6D69">
        <w:rPr>
          <w:rFonts w:eastAsiaTheme="minorHAnsi" w:cs="Arial"/>
          <w:lang w:val="fr-CA" w:eastAsia="en-US"/>
        </w:rPr>
        <w:t xml:space="preserve">La Commission a maintes fois appelé à une véritable reconnaissance du racisme systémique et du colonialisme dont sont victimes les membres des Premières Nations et Inuit ainsi que des conséquences négatives graves qu’ils emportent sur l’exercice de l’ensemble des droits que leur garanti la Charte, incluant leurs droits économiques et sociaux. </w:t>
      </w:r>
      <w:r w:rsidRPr="00EF7348">
        <w:rPr>
          <w:rFonts w:eastAsiaTheme="minorHAnsi" w:cs="Arial"/>
          <w:lang w:val="fr-CA" w:eastAsia="en-US"/>
        </w:rPr>
        <w:t xml:space="preserve">Il importe, à cet égard, de prendre en considération le contexte sociohistorique des peuples autochtones dans lequel s’inscrivent les relations qui existent aujourd’hui entre les personnes qui en sont membres et le gouvernement du Québec. </w:t>
      </w:r>
      <w:r w:rsidRPr="00615873">
        <w:rPr>
          <w:rFonts w:eastAsiaTheme="minorHAnsi" w:cs="Arial"/>
          <w:lang w:val="fr-CA" w:eastAsia="en-US"/>
        </w:rPr>
        <w:t>Il faut en outre tenir compte des impacts que la colonisation a plus particulièrement eus sur les femmes autochtones.</w:t>
      </w:r>
    </w:p>
    <w:p w14:paraId="71792B89" w14:textId="77777777" w:rsidR="00463481" w:rsidRPr="00615873" w:rsidRDefault="00463481" w:rsidP="00C712BA">
      <w:pPr>
        <w:pStyle w:val="Paragraphe"/>
        <w:rPr>
          <w:rFonts w:eastAsiaTheme="minorHAnsi" w:cs="Arial"/>
          <w:szCs w:val="22"/>
          <w:lang w:val="fr-CA" w:eastAsia="en-US"/>
        </w:rPr>
      </w:pPr>
      <w:r w:rsidRPr="00615873">
        <w:rPr>
          <w:rFonts w:eastAsiaTheme="minorHAnsi" w:cs="Arial"/>
          <w:szCs w:val="22"/>
          <w:lang w:val="fr-CA" w:eastAsia="en-US"/>
        </w:rPr>
        <w:t>À cet égard, la Commission réitère et partage l’analyse et les propos du Commissaire Viens, qui présida la Commission d’enquête sur les relations entre les Autochtones et certains services publics :</w:t>
      </w:r>
    </w:p>
    <w:p w14:paraId="11FE53A0" w14:textId="77777777" w:rsidR="00463481" w:rsidRPr="00463481" w:rsidRDefault="00463481" w:rsidP="00463481">
      <w:pPr>
        <w:spacing w:line="240" w:lineRule="auto"/>
        <w:ind w:left="709" w:right="476"/>
        <w:jc w:val="left"/>
        <w:rPr>
          <w:rFonts w:cs="Arial"/>
          <w:sz w:val="20"/>
          <w:szCs w:val="22"/>
        </w:rPr>
      </w:pPr>
      <w:r w:rsidRPr="00463481">
        <w:rPr>
          <w:rFonts w:cs="Arial"/>
          <w:sz w:val="20"/>
          <w:szCs w:val="22"/>
        </w:rPr>
        <w:t xml:space="preserve">« Si les problèmes ne sont pas toujours érigés en système, une certitude se dégage en effet des travaux de la Commission (Viens) : les structures et les processus en place font montre d’une absence de sensibilité évidente aux réalités sociales, géographiques et culturelles des peuples autochtones. Résultat : en dépit de certains efforts d’adaptation et d’une volonté manifeste de favoriser l’égalité des chances, de nombreuses lois, politiques, normes ou pratiques institutionnelles en place sont source de discrimination et d’iniquité au point d’entacher sérieusement la qualité des services offerts aux Premières Nations et </w:t>
      </w:r>
      <w:proofErr w:type="gramStart"/>
      <w:r w:rsidRPr="00463481">
        <w:rPr>
          <w:rFonts w:cs="Arial"/>
          <w:sz w:val="20"/>
          <w:szCs w:val="22"/>
        </w:rPr>
        <w:t>aux Inuit</w:t>
      </w:r>
      <w:proofErr w:type="gramEnd"/>
      <w:r w:rsidRPr="00463481">
        <w:rPr>
          <w:rFonts w:cs="Arial"/>
          <w:sz w:val="20"/>
          <w:szCs w:val="22"/>
        </w:rPr>
        <w:t xml:space="preserve">. </w:t>
      </w:r>
      <w:r w:rsidRPr="00463481">
        <w:rPr>
          <w:rFonts w:cs="Arial"/>
          <w:sz w:val="20"/>
          <w:szCs w:val="22"/>
        </w:rPr>
        <w:lastRenderedPageBreak/>
        <w:t>Dans certains cas, ce manque de sensibilité se solde même par l’absence pure et simple de service, laissant des populations entières face à elles-mêmes et sans possibilité d’agir pour remédier à la situation. Plus encore que leurs droits, c’est la dignité de milliers de gens qui est ainsi spoliée, parce qu’ils sont maintenus dans des conditions de vie déplorables, en marge de leurs propres référents culturels. Dans une société développée comme la nôtre, ce constat est tout simplement inacceptable. »</w:t>
      </w:r>
      <w:r w:rsidRPr="00463481">
        <w:rPr>
          <w:rFonts w:cs="Arial"/>
          <w:sz w:val="20"/>
          <w:szCs w:val="22"/>
          <w:vertAlign w:val="superscript"/>
        </w:rPr>
        <w:footnoteReference w:id="78"/>
      </w:r>
    </w:p>
    <w:p w14:paraId="397710FD" w14:textId="77777777" w:rsidR="00463481" w:rsidRPr="00615873" w:rsidRDefault="00463481" w:rsidP="00C712BA">
      <w:pPr>
        <w:pStyle w:val="Paragraphe"/>
        <w:rPr>
          <w:rFonts w:eastAsiaTheme="minorHAnsi" w:cs="Arial"/>
          <w:lang w:val="fr-CA" w:eastAsia="en-US"/>
        </w:rPr>
      </w:pPr>
      <w:r w:rsidRPr="00615873">
        <w:rPr>
          <w:rFonts w:eastAsiaTheme="minorHAnsi" w:cs="Arial"/>
          <w:lang w:val="fr-CA" w:eastAsia="en-US"/>
        </w:rPr>
        <w:t xml:space="preserve">Les travaux récemment entrepris par la Commission en lien avec ses orientations concernant les personnes et les enjeux autochtones confirment la persistance des inégalités socio-économiques dont sont encore victimes les membres des Premières Nations et </w:t>
      </w:r>
      <w:proofErr w:type="gramStart"/>
      <w:r w:rsidRPr="00615873">
        <w:rPr>
          <w:rFonts w:eastAsiaTheme="minorHAnsi" w:cs="Arial"/>
          <w:lang w:val="fr-CA" w:eastAsia="en-US"/>
        </w:rPr>
        <w:t>les Inuit</w:t>
      </w:r>
      <w:proofErr w:type="gramEnd"/>
      <w:r w:rsidRPr="00615873">
        <w:rPr>
          <w:rFonts w:eastAsiaTheme="minorHAnsi" w:cs="Arial"/>
          <w:lang w:val="fr-CA" w:eastAsia="en-US"/>
        </w:rPr>
        <w:t xml:space="preserve">. </w:t>
      </w:r>
    </w:p>
    <w:p w14:paraId="7B7BD70C" w14:textId="77777777" w:rsidR="00463481" w:rsidRPr="00615873" w:rsidRDefault="00463481" w:rsidP="00C712BA">
      <w:pPr>
        <w:pStyle w:val="Paragraphe"/>
        <w:rPr>
          <w:rFonts w:eastAsiaTheme="minorHAnsi" w:cs="Arial"/>
          <w:lang w:val="fr-CA" w:eastAsia="en-US"/>
        </w:rPr>
      </w:pPr>
      <w:r w:rsidRPr="00615873">
        <w:rPr>
          <w:rFonts w:eastAsiaTheme="minorHAnsi" w:cs="Arial"/>
          <w:lang w:val="fr-CA" w:eastAsia="en-US"/>
        </w:rPr>
        <w:t>Comme la Commission l’a déjà mentionné, il faut à cet égard que les appels à l’action et appels à la justice qui ont découlé des travaux de la Commission Viens, de l’Enquête nationale sur les femmes et les filles autochtones disparues et assassinées puis de la Commission de vérité et réconciliation obtiennent, sans plus délais, les réponses appropriées de la part des autorités concernées.</w:t>
      </w:r>
    </w:p>
    <w:p w14:paraId="6BFAFA0E" w14:textId="77777777" w:rsidR="00463481" w:rsidRPr="00EF7348" w:rsidRDefault="00463481" w:rsidP="00C712BA">
      <w:pPr>
        <w:pStyle w:val="Paragraphe"/>
        <w:rPr>
          <w:rFonts w:eastAsiaTheme="minorHAnsi" w:cs="Arial"/>
          <w:lang w:val="fr-CA" w:eastAsia="en-US"/>
        </w:rPr>
      </w:pPr>
      <w:r w:rsidRPr="00615873">
        <w:rPr>
          <w:rFonts w:eastAsiaTheme="minorHAnsi" w:cs="Arial"/>
          <w:lang w:val="fr-CA" w:eastAsia="en-US"/>
        </w:rPr>
        <w:t>De façon plus particulière, les multiples obstacles que rencontrent les enfants et parents autochtones dans l’accès aux services ont été au centre de nombreux travaux et enquêtes réalisés par la Commission en matière de protection de la jeunesse, et ce, depuis des décennies</w:t>
      </w:r>
      <w:r w:rsidRPr="00615873">
        <w:rPr>
          <w:rFonts w:eastAsiaTheme="minorHAnsi" w:cs="Arial"/>
          <w:vertAlign w:val="superscript"/>
          <w:lang w:eastAsia="en-US"/>
        </w:rPr>
        <w:footnoteReference w:id="79"/>
      </w:r>
      <w:r w:rsidRPr="00615873">
        <w:rPr>
          <w:rFonts w:eastAsiaTheme="minorHAnsi" w:cs="Arial"/>
          <w:lang w:val="fr-CA" w:eastAsia="en-US"/>
        </w:rPr>
        <w:t xml:space="preserve">. </w:t>
      </w:r>
      <w:r w:rsidRPr="00EF7348">
        <w:rPr>
          <w:rFonts w:eastAsiaTheme="minorHAnsi" w:cs="Arial"/>
          <w:lang w:val="fr-CA" w:eastAsia="en-US"/>
        </w:rPr>
        <w:t>La Commission suit également avec beaucoup d’inquiétude la situation des communautés du Nunavik notamment en regard aux enjeux criants qui s’y posent en matière de santé et de services sociaux, de logement, d’éducation et de plusieurs autres services de base</w:t>
      </w:r>
      <w:r w:rsidRPr="00615873">
        <w:rPr>
          <w:rFonts w:eastAsiaTheme="minorHAnsi" w:cs="Arial"/>
          <w:vertAlign w:val="superscript"/>
          <w:lang w:eastAsia="en-US"/>
        </w:rPr>
        <w:footnoteReference w:id="80"/>
      </w:r>
      <w:r w:rsidRPr="00EF7348">
        <w:rPr>
          <w:rFonts w:eastAsiaTheme="minorHAnsi" w:cs="Arial"/>
          <w:lang w:val="fr-CA" w:eastAsia="en-US"/>
        </w:rPr>
        <w:t>. Elle souhaite à ce propos attirer votre attention sur les rapports d’enquête et de suivis ainsi que différentes communications qu’elle a réalisés au fil des ans</w:t>
      </w:r>
      <w:r w:rsidRPr="00615873">
        <w:rPr>
          <w:rFonts w:eastAsiaTheme="minorHAnsi" w:cs="Arial"/>
          <w:vertAlign w:val="superscript"/>
          <w:lang w:eastAsia="en-US"/>
        </w:rPr>
        <w:footnoteReference w:id="81"/>
      </w:r>
      <w:r w:rsidRPr="00EF7348">
        <w:rPr>
          <w:rFonts w:eastAsiaTheme="minorHAnsi" w:cs="Arial"/>
          <w:lang w:val="fr-CA" w:eastAsia="en-US"/>
        </w:rPr>
        <w:t xml:space="preserve">. Elle est aussi à rédiger </w:t>
      </w:r>
      <w:r w:rsidRPr="00EF7348">
        <w:rPr>
          <w:rFonts w:eastAsiaTheme="minorHAnsi" w:cs="Arial"/>
          <w:lang w:val="fr-CA" w:eastAsia="en-US"/>
        </w:rPr>
        <w:lastRenderedPageBreak/>
        <w:t>le nouveau bilan de ses recommandations sur les services de protection de la jeunesse dans la baie d’Ungava et la baie d’Hudson.</w:t>
      </w:r>
    </w:p>
    <w:p w14:paraId="3DB1F5CD" w14:textId="77777777" w:rsidR="00AD6D69" w:rsidRPr="00EF7348" w:rsidRDefault="00AD6D69" w:rsidP="00AD6D69">
      <w:pPr>
        <w:pStyle w:val="Corpsdetexte"/>
        <w:rPr>
          <w:rFonts w:eastAsiaTheme="minorHAnsi"/>
          <w:lang w:eastAsia="en-US"/>
        </w:rPr>
      </w:pPr>
    </w:p>
    <w:p w14:paraId="64A154DE" w14:textId="77777777" w:rsidR="003B0FF8" w:rsidRPr="003B0FF8" w:rsidRDefault="003B0FF8" w:rsidP="00AD6D69">
      <w:pPr>
        <w:pStyle w:val="Titre1"/>
        <w:rPr>
          <w:rFonts w:cs="Arial"/>
        </w:rPr>
      </w:pPr>
      <w:bookmarkStart w:id="34" w:name="_Toc138945290"/>
      <w:r w:rsidRPr="003B0FF8">
        <w:rPr>
          <w:rFonts w:cs="Arial"/>
        </w:rPr>
        <w:t>La nécessité de mesures structurantes pour lutter contre la pauvreté</w:t>
      </w:r>
      <w:bookmarkEnd w:id="34"/>
    </w:p>
    <w:p w14:paraId="209900DF" w14:textId="77777777" w:rsidR="00463481" w:rsidRPr="003B0FF8" w:rsidRDefault="00463481" w:rsidP="00C712BA">
      <w:pPr>
        <w:pStyle w:val="Paragraphe"/>
        <w:rPr>
          <w:rFonts w:eastAsiaTheme="minorHAnsi" w:cs="Arial"/>
          <w:lang w:val="fr-CA" w:eastAsia="en-US"/>
        </w:rPr>
      </w:pPr>
      <w:r w:rsidRPr="003B0FF8">
        <w:rPr>
          <w:rFonts w:eastAsiaTheme="minorHAnsi" w:cs="Arial"/>
          <w:lang w:val="fr-CA" w:eastAsia="en-US"/>
        </w:rPr>
        <w:t>Il ressort de ce qui précède qu’un plan d’action luttant contre la pauvreté et l’exclusion sociale fondée sur les droits doit tenir compte de toute la complexité de ce phénomène.</w:t>
      </w:r>
    </w:p>
    <w:p w14:paraId="6304D598" w14:textId="77777777" w:rsidR="00463481" w:rsidRPr="00AD6D69" w:rsidRDefault="00463481" w:rsidP="00C712BA">
      <w:pPr>
        <w:pStyle w:val="Paragraphe"/>
        <w:rPr>
          <w:rFonts w:eastAsiaTheme="minorHAnsi" w:cs="Arial"/>
          <w:lang w:val="fr-CA" w:eastAsia="en-US"/>
        </w:rPr>
      </w:pPr>
      <w:r w:rsidRPr="00AD6D69">
        <w:rPr>
          <w:rFonts w:eastAsiaTheme="minorHAnsi" w:cs="Arial"/>
          <w:lang w:val="fr-CA" w:eastAsia="en-US"/>
        </w:rPr>
        <w:t xml:space="preserve">Une approche fondée sur les droits doit en outre reposer, non pas sur une vision de la pauvreté et de ses conséquences qui soit culpabilisante envers les personnes en situation de pauvreté, mais sur une compréhension adéquate </w:t>
      </w:r>
    </w:p>
    <w:p w14:paraId="4B831517" w14:textId="77777777" w:rsidR="00463481" w:rsidRPr="00EF7348" w:rsidRDefault="00463481" w:rsidP="00C712BA">
      <w:pPr>
        <w:pStyle w:val="Paragraphe"/>
        <w:rPr>
          <w:rFonts w:eastAsiaTheme="minorHAnsi" w:cs="Arial"/>
          <w:lang w:val="fr-CA" w:eastAsia="en-US"/>
        </w:rPr>
      </w:pPr>
      <w:proofErr w:type="gramStart"/>
      <w:r w:rsidRPr="00EF7348">
        <w:rPr>
          <w:rFonts w:eastAsiaTheme="minorHAnsi" w:cs="Arial"/>
          <w:lang w:val="fr-CA" w:eastAsia="en-US"/>
        </w:rPr>
        <w:t>de</w:t>
      </w:r>
      <w:proofErr w:type="gramEnd"/>
      <w:r w:rsidRPr="00EF7348">
        <w:rPr>
          <w:rFonts w:eastAsiaTheme="minorHAnsi" w:cs="Arial"/>
          <w:lang w:val="fr-CA" w:eastAsia="en-US"/>
        </w:rPr>
        <w:t xml:space="preserve"> ses causes et de son caractère systémique. Les clés de solution dépassent les questions de volonté ou de responsabilité individuelle des personnes et des familles en situation de pauvreté.</w:t>
      </w:r>
    </w:p>
    <w:p w14:paraId="16444DE2" w14:textId="77777777" w:rsidR="00463481" w:rsidRPr="00615873" w:rsidRDefault="00463481" w:rsidP="00C712BA">
      <w:pPr>
        <w:pStyle w:val="Paragraphe"/>
        <w:rPr>
          <w:rFonts w:eastAsiaTheme="minorHAnsi" w:cs="Arial"/>
          <w:lang w:val="fr-CA" w:eastAsia="en-US"/>
        </w:rPr>
      </w:pPr>
      <w:r w:rsidRPr="00615873">
        <w:rPr>
          <w:rFonts w:eastAsiaTheme="minorHAnsi" w:cs="Arial"/>
          <w:lang w:val="fr-CA" w:eastAsia="en-US"/>
        </w:rPr>
        <w:t>C’est pourquoi la Commission tient à réitérer la nécessité de développer une stratégie gouvernementale concertée et structurante de lutte contre la pauvreté qui :</w:t>
      </w:r>
    </w:p>
    <w:p w14:paraId="4115958A"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permet</w:t>
      </w:r>
      <w:proofErr w:type="gramEnd"/>
      <w:r w:rsidRPr="00EF7348">
        <w:rPr>
          <w:rFonts w:eastAsiaTheme="minorHAnsi" w:cs="Arial"/>
          <w:lang w:val="fr-CA" w:eastAsia="en-US"/>
        </w:rPr>
        <w:t xml:space="preserve"> la mise en œuvre effective de l’ensemble des droits et libertés de la personne garantis par la Charte à toute personne, incluant les enfants et leur famille ;</w:t>
      </w:r>
    </w:p>
    <w:p w14:paraId="7416AD04"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repose</w:t>
      </w:r>
      <w:proofErr w:type="gramEnd"/>
      <w:r w:rsidRPr="00EF7348">
        <w:rPr>
          <w:rFonts w:eastAsiaTheme="minorHAnsi" w:cs="Arial"/>
          <w:lang w:val="fr-CA" w:eastAsia="en-US"/>
        </w:rPr>
        <w:t xml:space="preserve"> explicitement sur une compréhension adéquate de l’approche fondée sur les droits ainsi que de l’interdépendance de ceux-ci ;</w:t>
      </w:r>
    </w:p>
    <w:p w14:paraId="24F86326"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repose</w:t>
      </w:r>
      <w:proofErr w:type="gramEnd"/>
      <w:r w:rsidRPr="00EF7348">
        <w:rPr>
          <w:rFonts w:eastAsiaTheme="minorHAnsi" w:cs="Arial"/>
          <w:lang w:val="fr-CA" w:eastAsia="en-US"/>
        </w:rPr>
        <w:t xml:space="preserve"> sur une approche universelle des droits de la personne, incluant les droits des enfants ;</w:t>
      </w:r>
    </w:p>
    <w:p w14:paraId="68006379"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tient</w:t>
      </w:r>
      <w:proofErr w:type="gramEnd"/>
      <w:r w:rsidRPr="00EF7348">
        <w:rPr>
          <w:rFonts w:eastAsiaTheme="minorHAnsi" w:cs="Arial"/>
          <w:lang w:val="fr-CA" w:eastAsia="en-US"/>
        </w:rPr>
        <w:t xml:space="preserve"> compte des facteurs de risque de pauvreté particuliers à certaines populations, notamment eu égard à la « race », la couleur, l’origine ethnique ou nationale, le sexe, l’état civil, l’âge, le handicap ;</w:t>
      </w:r>
    </w:p>
    <w:p w14:paraId="71F4FB69"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lastRenderedPageBreak/>
        <w:t>établit</w:t>
      </w:r>
      <w:proofErr w:type="gramEnd"/>
      <w:r w:rsidRPr="00EF7348">
        <w:rPr>
          <w:rFonts w:eastAsiaTheme="minorHAnsi" w:cs="Arial"/>
          <w:lang w:val="fr-CA" w:eastAsia="en-US"/>
        </w:rPr>
        <w:t xml:space="preserve"> une vision de la lutte contre la pauvreté qui tient compte de la nature multidimensionnelle du phénomène et de son caractère systémique, en regard des revenus, mais aussi de l’exclusion sociale, des conditions de logement, d’accès aux services de santé, d’éducation, d’alimentation, d’emploi et d’insertion en emploi, etc. ;</w:t>
      </w:r>
    </w:p>
    <w:p w14:paraId="5E5DDEE8"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s’attaque</w:t>
      </w:r>
      <w:proofErr w:type="gramEnd"/>
      <w:r w:rsidRPr="00EF7348">
        <w:rPr>
          <w:rFonts w:eastAsiaTheme="minorHAnsi" w:cs="Arial"/>
          <w:lang w:val="fr-CA" w:eastAsia="en-US"/>
        </w:rPr>
        <w:t xml:space="preserve"> aux stéréotypes et aux préjugés ciblant les personnes en situation de pauvreté, incluant ceux qui entretiennent une vision axée sur la responsabilité individuelle et culpabilisante de la pauvreté, et met de l’avant le droit à l’égalité qui leur est garanti par la Charte ;</w:t>
      </w:r>
    </w:p>
    <w:p w14:paraId="523D5C8C"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permet</w:t>
      </w:r>
      <w:proofErr w:type="gramEnd"/>
      <w:r w:rsidRPr="00EF7348">
        <w:rPr>
          <w:rFonts w:eastAsiaTheme="minorHAnsi" w:cs="Arial"/>
          <w:lang w:val="fr-CA" w:eastAsia="en-US"/>
        </w:rPr>
        <w:t xml:space="preserve"> aux personnes et aux familles de disposer des ressources nécessaires pour assurer un niveau de vie décent, et ce, compte tenu des distinctions qu’il faut faire entre les seuils de couverture des besoins essentiels et les seuils de sortie de la pauvreté ;</w:t>
      </w:r>
    </w:p>
    <w:p w14:paraId="171440C7"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assure</w:t>
      </w:r>
      <w:proofErr w:type="gramEnd"/>
      <w:r w:rsidRPr="00EF7348">
        <w:rPr>
          <w:rFonts w:eastAsiaTheme="minorHAnsi" w:cs="Arial"/>
          <w:lang w:val="fr-CA" w:eastAsia="en-US"/>
        </w:rPr>
        <w:t xml:space="preserve"> la participation des personnes et des familles en situation de pauvreté dans la définition des mesures qui les concernent ; </w:t>
      </w:r>
    </w:p>
    <w:p w14:paraId="7F05C491"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inclut</w:t>
      </w:r>
      <w:proofErr w:type="gramEnd"/>
      <w:r w:rsidRPr="00EF7348">
        <w:rPr>
          <w:rFonts w:eastAsiaTheme="minorHAnsi" w:cs="Arial"/>
          <w:lang w:val="fr-CA" w:eastAsia="en-US"/>
        </w:rPr>
        <w:t xml:space="preserve"> une définition claire des cibles à atteindre, des échéanciers pour le faire ainsi que des indicateurs nécessaires ; </w:t>
      </w:r>
    </w:p>
    <w:p w14:paraId="1B52EA4F" w14:textId="77777777" w:rsidR="00463481" w:rsidRPr="00EF7348" w:rsidRDefault="00463481" w:rsidP="00222B6E">
      <w:pPr>
        <w:pStyle w:val="Paragraphe"/>
        <w:numPr>
          <w:ilvl w:val="0"/>
          <w:numId w:val="19"/>
        </w:numPr>
        <w:rPr>
          <w:rFonts w:eastAsiaTheme="minorHAnsi" w:cs="Arial"/>
          <w:lang w:val="fr-CA" w:eastAsia="en-US"/>
        </w:rPr>
      </w:pPr>
      <w:proofErr w:type="gramStart"/>
      <w:r w:rsidRPr="00EF7348">
        <w:rPr>
          <w:rFonts w:eastAsiaTheme="minorHAnsi" w:cs="Arial"/>
          <w:lang w:val="fr-CA" w:eastAsia="en-US"/>
        </w:rPr>
        <w:t>inclut</w:t>
      </w:r>
      <w:proofErr w:type="gramEnd"/>
      <w:r w:rsidRPr="00EF7348">
        <w:rPr>
          <w:rFonts w:eastAsiaTheme="minorHAnsi" w:cs="Arial"/>
          <w:lang w:val="fr-CA" w:eastAsia="en-US"/>
        </w:rPr>
        <w:t xml:space="preserve"> également des mesures de collectes de données respectueuses des droits et libertés de la personne, dont ceux des enfants, et de suivis des résultats obtenus et de reddition de compte.</w:t>
      </w:r>
    </w:p>
    <w:p w14:paraId="56F3A773" w14:textId="77777777" w:rsidR="00463481" w:rsidRPr="00EF7348" w:rsidRDefault="00463481" w:rsidP="00C712BA">
      <w:pPr>
        <w:pStyle w:val="Paragraphe"/>
        <w:rPr>
          <w:rFonts w:eastAsiaTheme="minorHAnsi" w:cs="Arial"/>
          <w:szCs w:val="22"/>
          <w:lang w:val="fr-CA" w:eastAsia="en-US"/>
        </w:rPr>
      </w:pPr>
    </w:p>
    <w:p w14:paraId="5C6BBCF2" w14:textId="77777777" w:rsidR="00463481" w:rsidRPr="00EF7348" w:rsidRDefault="00463481" w:rsidP="00C712BA">
      <w:pPr>
        <w:pStyle w:val="Paragraphe"/>
        <w:rPr>
          <w:rFonts w:eastAsiaTheme="minorHAnsi" w:cs="Arial"/>
          <w:szCs w:val="22"/>
          <w:lang w:val="fr-CA" w:eastAsia="en-US"/>
        </w:rPr>
      </w:pPr>
    </w:p>
    <w:p w14:paraId="05625DDC" w14:textId="29B7687C" w:rsidR="00BE0C62" w:rsidRPr="00615873" w:rsidRDefault="00BE0C62" w:rsidP="00C712BA">
      <w:pPr>
        <w:pStyle w:val="Paragraphe"/>
        <w:rPr>
          <w:rFonts w:eastAsia="Calibri" w:cs="Arial"/>
          <w:lang w:val="fr-CA"/>
        </w:rPr>
      </w:pPr>
    </w:p>
    <w:p w14:paraId="7C303349" w14:textId="602C7A58" w:rsidR="00BE0C62" w:rsidRPr="00615873" w:rsidRDefault="00BE0C62" w:rsidP="00325C66">
      <w:pPr>
        <w:pStyle w:val="Paragraphe"/>
        <w:spacing w:line="240" w:lineRule="auto"/>
        <w:rPr>
          <w:rFonts w:eastAsia="Calibri" w:cs="Arial"/>
          <w:lang w:val="fr-CA"/>
        </w:rPr>
      </w:pPr>
    </w:p>
    <w:p w14:paraId="255E6181" w14:textId="30CF5C0B" w:rsidR="00BE0C62" w:rsidRPr="00615873" w:rsidRDefault="00BE0C62" w:rsidP="00325C66">
      <w:pPr>
        <w:pStyle w:val="Paragraphe"/>
        <w:spacing w:line="240" w:lineRule="auto"/>
        <w:rPr>
          <w:rFonts w:eastAsia="Calibri" w:cs="Arial"/>
          <w:lang w:val="fr-CA"/>
        </w:rPr>
      </w:pPr>
    </w:p>
    <w:bookmarkEnd w:id="4"/>
    <w:p w14:paraId="2EDAA4E4" w14:textId="77777777" w:rsidR="005C41F9" w:rsidRPr="00615873" w:rsidRDefault="005C41F9">
      <w:pPr>
        <w:pStyle w:val="Paragraphe"/>
        <w:spacing w:line="240" w:lineRule="auto"/>
        <w:rPr>
          <w:rFonts w:eastAsia="Calibri" w:cs="Arial"/>
          <w:lang w:val="fr-CA"/>
        </w:rPr>
      </w:pPr>
    </w:p>
    <w:sectPr w:rsidR="005C41F9" w:rsidRPr="00615873" w:rsidSect="00163F5E">
      <w:headerReference w:type="even" r:id="rId22"/>
      <w:footerReference w:type="even" r:id="rId23"/>
      <w:footerReference w:type="first" r:id="rId24"/>
      <w:type w:val="oddPage"/>
      <w:pgSz w:w="12240" w:h="15840" w:code="1"/>
      <w:pgMar w:top="1872"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E112" w14:textId="77777777" w:rsidR="004235E7" w:rsidRDefault="004235E7">
      <w:r>
        <w:separator/>
      </w:r>
    </w:p>
  </w:endnote>
  <w:endnote w:type="continuationSeparator" w:id="0">
    <w:p w14:paraId="6787F1AA" w14:textId="77777777" w:rsidR="004235E7" w:rsidRDefault="004235E7">
      <w:r>
        <w:continuationSeparator/>
      </w:r>
    </w:p>
  </w:endnote>
  <w:endnote w:type="continuationNotice" w:id="1">
    <w:p w14:paraId="23CADD0B" w14:textId="77777777" w:rsidR="004235E7" w:rsidRDefault="00423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EDF8" w14:textId="782EC5EC" w:rsidR="00631A1F" w:rsidRPr="0054701E" w:rsidRDefault="00631A1F" w:rsidP="003F117D">
    <w:pPr>
      <w:pBdr>
        <w:top w:val="dotted" w:sz="4" w:space="1" w:color="auto"/>
      </w:pBdr>
      <w:rPr>
        <w:i/>
        <w:iCs/>
        <w:sz w:val="18"/>
        <w:szCs w:val="18"/>
      </w:rPr>
    </w:pPr>
    <w:r w:rsidRPr="0054701E">
      <w:rPr>
        <w:i/>
        <w:iCs/>
        <w:sz w:val="18"/>
        <w:szCs w:val="18"/>
      </w:rPr>
      <w:t xml:space="preserve">Page </w:t>
    </w:r>
    <w:sdt>
      <w:sdtPr>
        <w:rPr>
          <w:i/>
          <w:iCs/>
          <w:sz w:val="18"/>
          <w:szCs w:val="18"/>
        </w:rPr>
        <w:id w:val="365724431"/>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54701E">
          <w:rPr>
            <w:i/>
            <w:iCs/>
            <w:sz w:val="18"/>
            <w:szCs w:val="18"/>
            <w:lang w:val="fr-FR"/>
          </w:rPr>
          <w:t>2</w:t>
        </w:r>
        <w:r w:rsidRPr="0054701E">
          <w:rPr>
            <w:i/>
            <w:i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21A" w14:textId="75861D71"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sdt>
      <w:sdtPr>
        <w:rPr>
          <w:i/>
          <w:iCs/>
          <w:sz w:val="18"/>
          <w:szCs w:val="18"/>
        </w:rPr>
        <w:id w:val="-1780561256"/>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54701E">
          <w:rPr>
            <w:i/>
            <w:iCs/>
            <w:sz w:val="18"/>
            <w:szCs w:val="18"/>
            <w:lang w:val="fr-FR"/>
          </w:rPr>
          <w:t>2</w:t>
        </w:r>
        <w:r w:rsidRPr="0054701E">
          <w:rPr>
            <w:i/>
            <w:i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95EA" w14:textId="13269C63" w:rsidR="00631A1F" w:rsidRDefault="00631A1F" w:rsidP="00DD54DC">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8DE" w14:textId="7B104947" w:rsidR="00163F5E" w:rsidRDefault="00163F5E" w:rsidP="00DD54DC">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A08" w14:textId="658F1063" w:rsidR="00606A1E" w:rsidRPr="0054701E" w:rsidRDefault="00606A1E" w:rsidP="003F117D">
    <w:pPr>
      <w:pBdr>
        <w:top w:val="dotted" w:sz="4" w:space="1" w:color="auto"/>
      </w:pBdr>
      <w:rPr>
        <w:i/>
        <w:iCs/>
        <w:sz w:val="18"/>
        <w:szCs w:val="18"/>
      </w:rPr>
    </w:pPr>
    <w:r w:rsidRPr="0054701E">
      <w:rPr>
        <w:i/>
        <w:iCs/>
        <w:sz w:val="18"/>
        <w:szCs w:val="18"/>
      </w:rPr>
      <w:t xml:space="preserve">Page </w:t>
    </w:r>
    <w:sdt>
      <w:sdtPr>
        <w:rPr>
          <w:i/>
          <w:iCs/>
          <w:sz w:val="18"/>
          <w:szCs w:val="18"/>
        </w:rPr>
        <w:id w:val="315996378"/>
        <w:docPartObj>
          <w:docPartGallery w:val="Page Numbers (Bottom of Page)"/>
          <w:docPartUnique/>
        </w:docPartObj>
      </w:sdtPr>
      <w:sdtEndPr/>
      <w:sdtContent>
        <w:r>
          <w:rPr>
            <w:i/>
            <w:iCs/>
            <w:sz w:val="18"/>
            <w:szCs w:val="18"/>
          </w:rPr>
          <w:fldChar w:fldCharType="begin"/>
        </w:r>
        <w:r>
          <w:rPr>
            <w:i/>
            <w:iCs/>
            <w:sz w:val="18"/>
            <w:szCs w:val="18"/>
          </w:rPr>
          <w:instrText xml:space="preserve"> PAGE  \* roman  \* MERGEFORMAT </w:instrText>
        </w:r>
        <w:r>
          <w:rPr>
            <w:i/>
            <w:iCs/>
            <w:sz w:val="18"/>
            <w:szCs w:val="18"/>
          </w:rPr>
          <w:fldChar w:fldCharType="separate"/>
        </w:r>
        <w:r>
          <w:rPr>
            <w:i/>
            <w:iCs/>
            <w:noProof/>
            <w:sz w:val="18"/>
            <w:szCs w:val="18"/>
          </w:rPr>
          <w:t>i</w:t>
        </w:r>
        <w:r>
          <w:rPr>
            <w:i/>
            <w:iCs/>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69345"/>
      <w:docPartObj>
        <w:docPartGallery w:val="Page Numbers (Bottom of Page)"/>
        <w:docPartUnique/>
      </w:docPartObj>
    </w:sdtPr>
    <w:sdtEndPr>
      <w:rPr>
        <w:i/>
        <w:iCs/>
        <w:sz w:val="18"/>
        <w:szCs w:val="18"/>
      </w:rPr>
    </w:sdtEndPr>
    <w:sdtContent>
      <w:p w14:paraId="5ED519DD" w14:textId="0C119FB4"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roman  \* MERGEFORMAT </w:instrText>
        </w:r>
        <w:r>
          <w:rPr>
            <w:i/>
            <w:iCs/>
            <w:sz w:val="18"/>
            <w:szCs w:val="18"/>
          </w:rPr>
          <w:fldChar w:fldCharType="separate"/>
        </w:r>
        <w:r>
          <w:rPr>
            <w:i/>
            <w:iCs/>
            <w:noProof/>
            <w:sz w:val="18"/>
            <w:szCs w:val="18"/>
          </w:rPr>
          <w:t>i</w:t>
        </w:r>
        <w:r>
          <w:rPr>
            <w:i/>
            <w:iCs/>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7ACA" w14:textId="6CB38D8E" w:rsidR="00163F5E" w:rsidRPr="00163F5E" w:rsidRDefault="00163F5E" w:rsidP="00163F5E">
    <w:pPr>
      <w:pBdr>
        <w:top w:val="dotted" w:sz="4" w:space="1" w:color="auto"/>
      </w:pBdr>
      <w:rPr>
        <w:i/>
        <w:iCs/>
        <w:sz w:val="18"/>
        <w:szCs w:val="18"/>
      </w:rPr>
    </w:pPr>
    <w:r w:rsidRPr="00163F5E">
      <w:rPr>
        <w:i/>
        <w:iCs/>
        <w:sz w:val="18"/>
        <w:szCs w:val="18"/>
      </w:rPr>
      <w:t xml:space="preserve">Page </w:t>
    </w:r>
    <w:sdt>
      <w:sdtPr>
        <w:rPr>
          <w:i/>
          <w:iCs/>
          <w:sz w:val="18"/>
          <w:szCs w:val="18"/>
        </w:rPr>
        <w:id w:val="1810671062"/>
        <w:docPartObj>
          <w:docPartGallery w:val="Page Numbers (Bottom of Page)"/>
          <w:docPartUnique/>
        </w:docPartObj>
      </w:sdtPr>
      <w:sdtEndPr/>
      <w:sdtContent>
        <w:r w:rsidRPr="00163F5E">
          <w:rPr>
            <w:i/>
            <w:iCs/>
            <w:sz w:val="18"/>
            <w:szCs w:val="18"/>
          </w:rPr>
          <w:fldChar w:fldCharType="begin"/>
        </w:r>
        <w:r w:rsidRPr="00163F5E">
          <w:rPr>
            <w:i/>
            <w:iCs/>
            <w:sz w:val="18"/>
            <w:szCs w:val="18"/>
          </w:rPr>
          <w:instrText>PAGE   \* MERGEFORMAT</w:instrText>
        </w:r>
        <w:r w:rsidRPr="00163F5E">
          <w:rPr>
            <w:i/>
            <w:iCs/>
            <w:sz w:val="18"/>
            <w:szCs w:val="18"/>
          </w:rPr>
          <w:fldChar w:fldCharType="separate"/>
        </w:r>
        <w:r w:rsidRPr="00163F5E">
          <w:rPr>
            <w:i/>
            <w:iCs/>
            <w:sz w:val="18"/>
            <w:szCs w:val="18"/>
            <w:lang w:val="fr-FR"/>
          </w:rPr>
          <w:t>2</w:t>
        </w:r>
        <w:r w:rsidRPr="00163F5E">
          <w:rPr>
            <w:i/>
            <w:iCs/>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760"/>
      <w:docPartObj>
        <w:docPartGallery w:val="Page Numbers (Bottom of Page)"/>
        <w:docPartUnique/>
      </w:docPartObj>
    </w:sdtPr>
    <w:sdtEndPr>
      <w:rPr>
        <w:i/>
        <w:iCs/>
        <w:sz w:val="18"/>
        <w:szCs w:val="18"/>
      </w:rPr>
    </w:sdtEndPr>
    <w:sdtContent>
      <w:p w14:paraId="6532FB27" w14:textId="1939B5A6"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Arabic  \* MERGEFORMAT </w:instrText>
        </w:r>
        <w:r>
          <w:rPr>
            <w:i/>
            <w:iCs/>
            <w:sz w:val="18"/>
            <w:szCs w:val="18"/>
          </w:rPr>
          <w:fldChar w:fldCharType="separate"/>
        </w:r>
        <w:r>
          <w:rPr>
            <w:i/>
            <w:iCs/>
            <w:noProof/>
            <w:sz w:val="18"/>
            <w:szCs w:val="18"/>
          </w:rPr>
          <w:t>1</w:t>
        </w:r>
        <w:r>
          <w:rPr>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DEDA" w14:textId="77777777" w:rsidR="004235E7" w:rsidRDefault="004235E7">
      <w:r>
        <w:separator/>
      </w:r>
    </w:p>
  </w:footnote>
  <w:footnote w:type="continuationSeparator" w:id="0">
    <w:p w14:paraId="295B3176" w14:textId="77777777" w:rsidR="004235E7" w:rsidRPr="00063DB0" w:rsidRDefault="004235E7" w:rsidP="00063DB0">
      <w:r>
        <w:separator/>
      </w:r>
    </w:p>
  </w:footnote>
  <w:footnote w:type="continuationNotice" w:id="1">
    <w:p w14:paraId="54B7DAA5" w14:textId="77777777" w:rsidR="004235E7" w:rsidRPr="00A031D3" w:rsidRDefault="004235E7" w:rsidP="00A031D3">
      <w:pPr>
        <w:rPr>
          <w:sz w:val="8"/>
          <w:szCs w:val="8"/>
        </w:rPr>
      </w:pPr>
    </w:p>
  </w:footnote>
  <w:footnote w:id="2">
    <w:p w14:paraId="2C3C6569" w14:textId="642C7951" w:rsidR="00463481" w:rsidRPr="00AD6D69" w:rsidRDefault="00463481" w:rsidP="00AD6D69">
      <w:pPr>
        <w:pStyle w:val="Notedebasdepage"/>
        <w:spacing w:after="120"/>
        <w:jc w:val="left"/>
        <w:rPr>
          <w:rFonts w:cs="Arial"/>
          <w:sz w:val="18"/>
          <w:szCs w:val="18"/>
        </w:rPr>
      </w:pPr>
      <w:r w:rsidRPr="00AD6D69">
        <w:rPr>
          <w:rStyle w:val="Appelnotedebasdep"/>
          <w:rFonts w:cs="Arial"/>
          <w:sz w:val="18"/>
          <w:szCs w:val="18"/>
        </w:rPr>
        <w:footnoteRef/>
      </w:r>
      <w:r w:rsidRPr="00AD6D69">
        <w:rPr>
          <w:rFonts w:cs="Arial"/>
          <w:sz w:val="18"/>
          <w:szCs w:val="18"/>
        </w:rPr>
        <w:t xml:space="preserve"> </w:t>
      </w:r>
      <w:r w:rsidRPr="00AD6D69">
        <w:rPr>
          <w:rFonts w:cs="Arial"/>
          <w:sz w:val="18"/>
          <w:szCs w:val="18"/>
        </w:rPr>
        <w:tab/>
        <w:t>Ci-après «</w:t>
      </w:r>
      <w:r w:rsidR="00BA6E05">
        <w:rPr>
          <w:rFonts w:cs="Arial"/>
          <w:sz w:val="18"/>
          <w:szCs w:val="18"/>
        </w:rPr>
        <w:t> </w:t>
      </w:r>
      <w:r w:rsidRPr="00AD6D69">
        <w:rPr>
          <w:rFonts w:cs="Arial"/>
          <w:sz w:val="18"/>
          <w:szCs w:val="18"/>
        </w:rPr>
        <w:t>Commission</w:t>
      </w:r>
      <w:r w:rsidR="00BA6E05">
        <w:rPr>
          <w:rFonts w:cs="Arial"/>
          <w:sz w:val="18"/>
          <w:szCs w:val="18"/>
        </w:rPr>
        <w:t> </w:t>
      </w:r>
      <w:r w:rsidRPr="00AD6D69">
        <w:rPr>
          <w:rFonts w:cs="Arial"/>
          <w:sz w:val="18"/>
          <w:szCs w:val="18"/>
        </w:rPr>
        <w:t>».</w:t>
      </w:r>
    </w:p>
  </w:footnote>
  <w:footnote w:id="3">
    <w:p w14:paraId="240B2A4A" w14:textId="7CF1F49A" w:rsidR="00463481" w:rsidRPr="00AD6D69" w:rsidRDefault="00463481" w:rsidP="00AD6D69">
      <w:pPr>
        <w:pStyle w:val="Notedebasdepage"/>
        <w:spacing w:after="120"/>
        <w:jc w:val="left"/>
        <w:rPr>
          <w:rFonts w:cs="Arial"/>
          <w:sz w:val="18"/>
          <w:szCs w:val="18"/>
        </w:rPr>
      </w:pPr>
      <w:r w:rsidRPr="00AD6D69">
        <w:rPr>
          <w:rStyle w:val="Appelnotedebasdep"/>
          <w:rFonts w:cs="Arial"/>
          <w:sz w:val="18"/>
          <w:szCs w:val="18"/>
        </w:rPr>
        <w:footnoteRef/>
      </w:r>
      <w:r w:rsidRPr="00AD6D69">
        <w:rPr>
          <w:rFonts w:cs="Arial"/>
          <w:sz w:val="18"/>
          <w:szCs w:val="18"/>
        </w:rPr>
        <w:t xml:space="preserve"> </w:t>
      </w:r>
      <w:r w:rsidRPr="00AD6D69">
        <w:rPr>
          <w:rFonts w:cs="Arial"/>
          <w:sz w:val="18"/>
          <w:szCs w:val="18"/>
        </w:rPr>
        <w:tab/>
      </w:r>
      <w:r w:rsidRPr="00AD6D69">
        <w:rPr>
          <w:rFonts w:cs="Arial"/>
          <w:i/>
          <w:sz w:val="18"/>
          <w:szCs w:val="18"/>
        </w:rPr>
        <w:t>Charte des droits et libertés de la personne</w:t>
      </w:r>
      <w:r w:rsidRPr="00AD6D69">
        <w:rPr>
          <w:rFonts w:cs="Arial"/>
          <w:sz w:val="18"/>
          <w:szCs w:val="18"/>
        </w:rPr>
        <w:t xml:space="preserve">, RLRQ, c. C-12 </w:t>
      </w:r>
      <w:r w:rsidR="009A7028">
        <w:rPr>
          <w:rFonts w:cs="Arial"/>
          <w:sz w:val="18"/>
          <w:szCs w:val="18"/>
        </w:rPr>
        <w:t>(</w:t>
      </w:r>
      <w:r w:rsidRPr="00AD6D69">
        <w:rPr>
          <w:rFonts w:cs="Arial"/>
          <w:sz w:val="18"/>
          <w:szCs w:val="18"/>
        </w:rPr>
        <w:t>ci-après «</w:t>
      </w:r>
      <w:r w:rsidR="00BA6E05">
        <w:rPr>
          <w:rFonts w:cs="Arial"/>
          <w:sz w:val="18"/>
          <w:szCs w:val="18"/>
        </w:rPr>
        <w:t> </w:t>
      </w:r>
      <w:r w:rsidRPr="00AD6D69">
        <w:rPr>
          <w:rFonts w:cs="Arial"/>
          <w:sz w:val="18"/>
          <w:szCs w:val="18"/>
        </w:rPr>
        <w:t>Charte</w:t>
      </w:r>
      <w:r w:rsidR="00BA6E05">
        <w:rPr>
          <w:rFonts w:cs="Arial"/>
          <w:sz w:val="18"/>
          <w:szCs w:val="18"/>
        </w:rPr>
        <w:t> </w:t>
      </w:r>
      <w:r w:rsidRPr="00AD6D69">
        <w:rPr>
          <w:rFonts w:cs="Arial"/>
          <w:sz w:val="18"/>
          <w:szCs w:val="18"/>
        </w:rPr>
        <w:t>»</w:t>
      </w:r>
      <w:r w:rsidR="009A7028">
        <w:rPr>
          <w:rFonts w:cs="Arial"/>
          <w:sz w:val="18"/>
          <w:szCs w:val="18"/>
        </w:rPr>
        <w:t>)</w:t>
      </w:r>
      <w:r w:rsidRPr="00AD6D69">
        <w:rPr>
          <w:rFonts w:cs="Arial"/>
          <w:sz w:val="18"/>
          <w:szCs w:val="18"/>
        </w:rPr>
        <w:t>.</w:t>
      </w:r>
    </w:p>
  </w:footnote>
  <w:footnote w:id="4">
    <w:p w14:paraId="5B6214C0" w14:textId="77777777" w:rsidR="00463481" w:rsidRPr="00AD6D69" w:rsidRDefault="00463481" w:rsidP="00AD6D69">
      <w:pPr>
        <w:pStyle w:val="Notedebasdepage"/>
        <w:spacing w:after="120"/>
        <w:jc w:val="left"/>
        <w:rPr>
          <w:rFonts w:cs="Arial"/>
          <w:sz w:val="18"/>
          <w:szCs w:val="18"/>
        </w:rPr>
      </w:pPr>
      <w:r w:rsidRPr="00AD6D69">
        <w:rPr>
          <w:rStyle w:val="Appelnotedebasdep"/>
          <w:rFonts w:cs="Arial"/>
          <w:sz w:val="18"/>
          <w:szCs w:val="18"/>
        </w:rPr>
        <w:footnoteRef/>
      </w:r>
      <w:r w:rsidRPr="00AD6D69">
        <w:rPr>
          <w:rFonts w:cs="Arial"/>
          <w:sz w:val="18"/>
          <w:szCs w:val="18"/>
        </w:rPr>
        <w:t xml:space="preserve"> </w:t>
      </w:r>
      <w:r w:rsidRPr="00AD6D69">
        <w:rPr>
          <w:rFonts w:cs="Arial"/>
          <w:sz w:val="18"/>
          <w:szCs w:val="18"/>
        </w:rPr>
        <w:tab/>
      </w:r>
      <w:r w:rsidRPr="00AD6D69">
        <w:rPr>
          <w:rFonts w:cs="Arial"/>
          <w:i/>
          <w:sz w:val="18"/>
          <w:szCs w:val="18"/>
        </w:rPr>
        <w:t>Loi sur la protection de la jeunesse</w:t>
      </w:r>
      <w:r w:rsidRPr="00AD6D69">
        <w:rPr>
          <w:rFonts w:cs="Arial"/>
          <w:sz w:val="18"/>
          <w:szCs w:val="18"/>
        </w:rPr>
        <w:t>, RLRQ, c. P-34.1.</w:t>
      </w:r>
    </w:p>
  </w:footnote>
  <w:footnote w:id="5">
    <w:p w14:paraId="5CC2E89C" w14:textId="77777777" w:rsidR="00463481" w:rsidRPr="00AD6D69" w:rsidRDefault="00463481" w:rsidP="00AD6D69">
      <w:pPr>
        <w:pStyle w:val="Notedebasdepage"/>
        <w:spacing w:after="120"/>
        <w:jc w:val="left"/>
        <w:rPr>
          <w:rFonts w:cs="Arial"/>
          <w:sz w:val="18"/>
          <w:szCs w:val="18"/>
        </w:rPr>
      </w:pPr>
      <w:r w:rsidRPr="00AD6D69">
        <w:rPr>
          <w:rStyle w:val="Appelnotedebasdep"/>
          <w:rFonts w:cs="Arial"/>
          <w:sz w:val="18"/>
          <w:szCs w:val="18"/>
        </w:rPr>
        <w:footnoteRef/>
      </w:r>
      <w:r w:rsidRPr="00AD6D69">
        <w:rPr>
          <w:rFonts w:cs="Arial"/>
          <w:sz w:val="18"/>
          <w:szCs w:val="18"/>
        </w:rPr>
        <w:t xml:space="preserve"> </w:t>
      </w:r>
      <w:r w:rsidRPr="00AD6D69">
        <w:rPr>
          <w:rFonts w:cs="Arial"/>
          <w:sz w:val="18"/>
          <w:szCs w:val="18"/>
        </w:rPr>
        <w:tab/>
      </w:r>
      <w:r w:rsidRPr="00AD6D69">
        <w:rPr>
          <w:rFonts w:cs="Arial"/>
          <w:i/>
          <w:sz w:val="18"/>
          <w:szCs w:val="18"/>
        </w:rPr>
        <w:t>Loi sur l’accès à l’égalité en emploi dans des organismes publics</w:t>
      </w:r>
      <w:r w:rsidRPr="00AD6D69">
        <w:rPr>
          <w:rFonts w:cs="Arial"/>
          <w:sz w:val="18"/>
          <w:szCs w:val="18"/>
        </w:rPr>
        <w:t>, RLRQ, c. A-2.01.</w:t>
      </w:r>
    </w:p>
  </w:footnote>
  <w:footnote w:id="6">
    <w:p w14:paraId="3C6280DD"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Charte, art. 71.</w:t>
      </w:r>
    </w:p>
  </w:footnote>
  <w:footnote w:id="7">
    <w:p w14:paraId="29F6701C"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z w:val="18"/>
          <w:szCs w:val="18"/>
          <w:lang w:eastAsia="x-none"/>
          <w14:cntxtAlts/>
        </w:rPr>
        <w:t xml:space="preserve">Voir notamment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Mémoire sur le document de consultation intitulé « Solidarité et inclusion sociale vers un troisième plan d’action gouvernemental »</w:t>
      </w:r>
      <w:r w:rsidRPr="00AD6D69">
        <w:rPr>
          <w:rFonts w:cs="Arial"/>
          <w:sz w:val="18"/>
          <w:szCs w:val="18"/>
          <w:lang w:val="x-none" w:eastAsia="x-none"/>
          <w14:cntxtAlts/>
        </w:rPr>
        <w:t xml:space="preserve">, (Cat. 2.177.6), 2016, p. 4, [En ligne]. </w:t>
      </w:r>
      <w:hyperlink r:id="rId1" w:history="1">
        <w:r w:rsidRPr="00AD6D69">
          <w:rPr>
            <w:rStyle w:val="Lienhypertexte"/>
            <w:rFonts w:cs="Arial"/>
            <w:sz w:val="18"/>
            <w:szCs w:val="18"/>
            <w:lang w:val="x-none" w:eastAsia="x-none"/>
            <w14:cntxtAlts/>
          </w:rPr>
          <w:t>https://www.cdpdj.qc.ca/storage/app/media/publications/memoire_consultation_pauvrete.pdf</w:t>
        </w:r>
      </w:hyperlink>
      <w:r w:rsidRPr="00AD6D69">
        <w:rPr>
          <w:rStyle w:val="Lienhypertexte"/>
          <w:rFonts w:cs="Arial"/>
          <w:sz w:val="18"/>
          <w:szCs w:val="18"/>
          <w:lang w:val="x-none" w:eastAsia="x-none"/>
          <w14:cntxtAlts/>
        </w:rPr>
        <w:t> </w:t>
      </w:r>
      <w:r w:rsidRPr="00AD6D69">
        <w:rPr>
          <w:rFonts w:cs="Arial"/>
          <w:sz w:val="18"/>
          <w:szCs w:val="18"/>
          <w:lang w:val="x-none" w:eastAsia="x-none"/>
          <w14:cntxtAlts/>
        </w:rPr>
        <w:t xml:space="preserve">;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Mémoire à la Commission de l’économie et du travail de l’Assemblée nationale, Projet de loi n° 70, Loi visant à permettre une meilleure adéquation entre la formation et l’emploi ainsi qu’à favoriser l’intégration en emploi</w:t>
      </w:r>
      <w:r w:rsidRPr="00AD6D69">
        <w:rPr>
          <w:rFonts w:cs="Arial"/>
          <w:sz w:val="18"/>
          <w:szCs w:val="18"/>
          <w:lang w:val="x-none" w:eastAsia="x-none"/>
          <w14:cntxtAlts/>
        </w:rPr>
        <w:t xml:space="preserve">, (Cat. 2.412.124), 2016, p. 11, [En ligne]. </w:t>
      </w:r>
      <w:hyperlink r:id="rId2" w:history="1">
        <w:r w:rsidRPr="00AD6D69">
          <w:rPr>
            <w:rStyle w:val="Lienhypertexte"/>
            <w:rFonts w:cs="Arial"/>
            <w:sz w:val="18"/>
            <w:szCs w:val="18"/>
            <w:lang w:val="x-none" w:eastAsia="x-none"/>
            <w14:cntxtAlts/>
          </w:rPr>
          <w:t>https://www.cdpdj.qc.ca/storage/app/media/publications/memoire_PL_70_emploi_pauvrete.pdf</w:t>
        </w:r>
      </w:hyperlink>
    </w:p>
  </w:footnote>
  <w:footnote w:id="8">
    <w:p w14:paraId="6E37A322"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Charte, art. 54.</w:t>
      </w:r>
    </w:p>
  </w:footnote>
  <w:footnote w:id="9">
    <w:p w14:paraId="677A3BB2"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iCs/>
          <w:sz w:val="18"/>
          <w:szCs w:val="18"/>
          <w:lang w:val="x-none" w:eastAsia="x-none"/>
          <w14:cntxtAlts/>
        </w:rPr>
        <w:t>Québec (Commission des droits de la personne et des droits de la jeunesse)</w:t>
      </w:r>
      <w:r w:rsidRPr="00AD6D69">
        <w:rPr>
          <w:rFonts w:cs="Arial"/>
          <w:sz w:val="18"/>
          <w:szCs w:val="18"/>
          <w:lang w:val="x-none" w:eastAsia="x-none"/>
          <w14:cntxtAlts/>
        </w:rPr>
        <w:t xml:space="preserve"> c. </w:t>
      </w:r>
      <w:r w:rsidRPr="00AD6D69">
        <w:rPr>
          <w:rFonts w:cs="Arial"/>
          <w:i/>
          <w:iCs/>
          <w:sz w:val="18"/>
          <w:szCs w:val="18"/>
          <w:lang w:val="x-none" w:eastAsia="x-none"/>
          <w14:cntxtAlts/>
        </w:rPr>
        <w:t>Montréal (Ville) ; Québec (Commission des droits de la personne et des droits de la jeunesse)</w:t>
      </w:r>
      <w:r w:rsidRPr="00AD6D69">
        <w:rPr>
          <w:rFonts w:cs="Arial"/>
          <w:sz w:val="18"/>
          <w:szCs w:val="18"/>
          <w:lang w:val="x-none" w:eastAsia="x-none"/>
          <w14:cntxtAlts/>
        </w:rPr>
        <w:t xml:space="preserve"> c. </w:t>
      </w:r>
      <w:r w:rsidRPr="00AD6D69">
        <w:rPr>
          <w:rFonts w:cs="Arial"/>
          <w:i/>
          <w:iCs/>
          <w:sz w:val="18"/>
          <w:szCs w:val="18"/>
          <w:lang w:val="x-none" w:eastAsia="x-none"/>
          <w14:cntxtAlts/>
        </w:rPr>
        <w:t>Boisbriand (Ville)</w:t>
      </w:r>
      <w:r w:rsidRPr="00AD6D69">
        <w:rPr>
          <w:rFonts w:cs="Arial"/>
          <w:sz w:val="18"/>
          <w:szCs w:val="18"/>
          <w:lang w:val="x-none" w:eastAsia="x-none"/>
          <w14:cntxtAlts/>
        </w:rPr>
        <w:t>, 2000 CSC 27, par. 27.</w:t>
      </w:r>
    </w:p>
  </w:footnote>
  <w:footnote w:id="10">
    <w:p w14:paraId="57510EAE"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Charte, chapitre IV.</w:t>
      </w:r>
    </w:p>
  </w:footnote>
  <w:footnote w:id="11">
    <w:p w14:paraId="5BACFC15"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Déclaration universelle des droits de l’homme</w:t>
      </w:r>
      <w:r w:rsidRPr="00AD6D69">
        <w:rPr>
          <w:rFonts w:cs="Arial"/>
          <w:sz w:val="18"/>
          <w:szCs w:val="18"/>
          <w:lang w:val="x-none" w:eastAsia="x-none"/>
          <w14:cntxtAlts/>
        </w:rPr>
        <w:t>, Rés. 217 A (III), Doc. off. A.G. N.U., 3</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sess., suppl. n° 13, p. 17, Doc. N.U. a/810 (1948), art. 25</w:t>
      </w:r>
      <w:r w:rsidRPr="00AD6D69">
        <w:rPr>
          <w:rFonts w:cs="Arial"/>
          <w:sz w:val="18"/>
          <w:szCs w:val="18"/>
          <w:lang w:val="en-CA" w:eastAsia="x-none"/>
          <w14:cntxtAlts/>
        </w:rPr>
        <w:t>.</w:t>
      </w:r>
    </w:p>
  </w:footnote>
  <w:footnote w:id="12">
    <w:p w14:paraId="164F876D"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Pacte international relatif aux droits économiques, sociaux et culturels</w:t>
      </w:r>
      <w:r w:rsidRPr="00AD6D69">
        <w:rPr>
          <w:rFonts w:cs="Arial"/>
          <w:sz w:val="18"/>
          <w:szCs w:val="18"/>
          <w:lang w:val="x-none" w:eastAsia="x-none"/>
          <w14:cntxtAlts/>
        </w:rPr>
        <w:t>, 16 décembre 1966, [1976] R.T. Can., n° 46, art. 2 par. 2 (entré en vigueur au Canada le 19 août 1976), (ci-après « PIDESC »).</w:t>
      </w:r>
    </w:p>
  </w:footnote>
  <w:footnote w:id="13">
    <w:p w14:paraId="040B1341"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 xml:space="preserve">Organisation des </w:t>
      </w:r>
      <w:r w:rsidRPr="00AD6D69">
        <w:rPr>
          <w:rFonts w:cs="Arial"/>
          <w:smallCaps/>
          <w:sz w:val="18"/>
          <w:szCs w:val="18"/>
          <w:lang w:eastAsia="x-none"/>
          <w14:cntxtAlts/>
        </w:rPr>
        <w:t>N</w:t>
      </w:r>
      <w:r w:rsidRPr="00AD6D69">
        <w:rPr>
          <w:rFonts w:cs="Arial"/>
          <w:smallCaps/>
          <w:sz w:val="18"/>
          <w:szCs w:val="18"/>
          <w:lang w:val="x-none" w:eastAsia="x-none"/>
          <w14:cntxtAlts/>
        </w:rPr>
        <w:t xml:space="preserve">ations </w:t>
      </w:r>
      <w:r w:rsidRPr="00AD6D69">
        <w:rPr>
          <w:rFonts w:cs="Arial"/>
          <w:smallCaps/>
          <w:sz w:val="18"/>
          <w:szCs w:val="18"/>
          <w:lang w:eastAsia="x-none"/>
          <w14:cntxtAlts/>
        </w:rPr>
        <w:t>U</w:t>
      </w:r>
      <w:r w:rsidRPr="00AD6D69">
        <w:rPr>
          <w:rFonts w:cs="Arial"/>
          <w:smallCaps/>
          <w:sz w:val="18"/>
          <w:szCs w:val="18"/>
          <w:lang w:val="x-none" w:eastAsia="x-none"/>
          <w14:cntxtAlts/>
        </w:rPr>
        <w:t>nies (Haut-Commissariat aux droits de l’homme),</w:t>
      </w:r>
      <w:r w:rsidRPr="00AD6D69">
        <w:rPr>
          <w:rFonts w:cs="Arial"/>
          <w:sz w:val="18"/>
          <w:szCs w:val="18"/>
          <w:lang w:val="x-none" w:eastAsia="x-none"/>
          <w14:cntxtAlts/>
        </w:rPr>
        <w:t xml:space="preserve"> </w:t>
      </w:r>
      <w:r w:rsidRPr="00AD6D69">
        <w:rPr>
          <w:rFonts w:cs="Arial"/>
          <w:i/>
          <w:iCs/>
          <w:sz w:val="18"/>
          <w:szCs w:val="18"/>
          <w:lang w:val="x-none" w:eastAsia="x-none"/>
          <w14:cntxtAlts/>
        </w:rPr>
        <w:t>Droits économiques, sociaux et culturels. Manuel destiné aux institutions des droits de l’homme</w:t>
      </w:r>
      <w:r w:rsidRPr="00AD6D69">
        <w:rPr>
          <w:rFonts w:cs="Arial"/>
          <w:sz w:val="18"/>
          <w:szCs w:val="18"/>
          <w:lang w:val="x-none" w:eastAsia="x-none"/>
          <w14:cntxtAlts/>
        </w:rPr>
        <w:t xml:space="preserve">, Nations Unies, New York et Genève, 2004, p. 16, [En ligne]. </w:t>
      </w:r>
      <w:hyperlink r:id="rId3" w:history="1">
        <w:r w:rsidRPr="00AD6D69">
          <w:rPr>
            <w:rStyle w:val="Lienhypertexte"/>
            <w:rFonts w:cs="Arial"/>
            <w:sz w:val="18"/>
            <w:szCs w:val="18"/>
            <w:lang w:val="x-none" w:eastAsia="x-none"/>
            <w14:cntxtAlts/>
          </w:rPr>
          <w:t>http://www.ohchr.org/Documents/Publications/HR_P_PT_12_NHRI_fr.pdf</w:t>
        </w:r>
      </w:hyperlink>
      <w:r w:rsidRPr="00AD6D69">
        <w:rPr>
          <w:rFonts w:cs="Arial"/>
          <w:sz w:val="18"/>
          <w:szCs w:val="18"/>
          <w:lang w:eastAsia="x-none"/>
          <w14:cntxtAlts/>
        </w:rPr>
        <w:t xml:space="preserve">. </w:t>
      </w:r>
    </w:p>
    <w:p w14:paraId="37EE4FFF" w14:textId="77777777" w:rsidR="00463481" w:rsidRPr="00AD6D69" w:rsidRDefault="00463481" w:rsidP="00AD6D69">
      <w:pPr>
        <w:tabs>
          <w:tab w:val="left" w:pos="720"/>
        </w:tabs>
        <w:spacing w:after="120" w:line="240" w:lineRule="auto"/>
        <w:ind w:left="709" w:hanging="709"/>
        <w:jc w:val="left"/>
        <w:rPr>
          <w:rFonts w:cs="Arial"/>
          <w:sz w:val="18"/>
          <w:szCs w:val="18"/>
          <w:lang w:val="fr-FR"/>
        </w:rPr>
      </w:pPr>
      <w:r w:rsidRPr="00AD6D69">
        <w:rPr>
          <w:rStyle w:val="Lienhypertexte"/>
          <w:rFonts w:cs="Arial"/>
          <w:sz w:val="18"/>
          <w:szCs w:val="18"/>
          <w:u w:val="none"/>
          <w:lang w:val="fr-FR" w:eastAsia="x-none"/>
          <w14:cntxtAlts/>
        </w:rPr>
        <w:tab/>
      </w:r>
      <w:r w:rsidRPr="00E05655">
        <w:rPr>
          <w:rStyle w:val="Lienhypertexte"/>
          <w:rFonts w:cs="Arial"/>
          <w:color w:val="auto"/>
          <w:sz w:val="18"/>
          <w:szCs w:val="18"/>
          <w:u w:val="none"/>
          <w:lang w:val="fr-FR" w:eastAsia="x-none"/>
          <w14:cntxtAlts/>
        </w:rPr>
        <w:t>À noter que le Québec s’est déclaré lié par le PIDESC </w:t>
      </w:r>
      <w:r w:rsidRPr="00AD1A7A">
        <w:rPr>
          <w:rStyle w:val="Lienhypertexte"/>
          <w:rFonts w:cs="Arial"/>
          <w:color w:val="auto"/>
          <w:sz w:val="18"/>
          <w:szCs w:val="18"/>
          <w:u w:val="none"/>
          <w:lang w:val="fr-FR" w:eastAsia="x-none"/>
          <w14:cntxtAlts/>
        </w:rPr>
        <w:t>:</w:t>
      </w:r>
      <w:r w:rsidRPr="00301129">
        <w:rPr>
          <w:rStyle w:val="Lienhypertexte"/>
          <w:rFonts w:cs="Arial"/>
          <w:color w:val="auto"/>
          <w:sz w:val="18"/>
          <w:szCs w:val="18"/>
          <w:u w:val="none"/>
          <w:lang w:val="fr-FR" w:eastAsia="x-none"/>
          <w14:cntxtAlts/>
        </w:rPr>
        <w:t xml:space="preserve"> </w:t>
      </w:r>
      <w:r w:rsidRPr="00AD6D69">
        <w:rPr>
          <w:rFonts w:cs="Arial"/>
          <w:i/>
          <w:iCs/>
          <w:sz w:val="18"/>
          <w:szCs w:val="18"/>
          <w:lang w:val="x-none" w:eastAsia="x-none"/>
          <w14:cntxtAlts/>
        </w:rPr>
        <w:t xml:space="preserve">Arrêté en conseil 1438-76 concernant le Pacte international relatif aux droits économiques, sociaux et culturels, </w:t>
      </w:r>
      <w:r w:rsidRPr="00AD6D69">
        <w:rPr>
          <w:rFonts w:cs="Arial"/>
          <w:sz w:val="18"/>
          <w:szCs w:val="18"/>
          <w:lang w:val="x-none" w:eastAsia="x-none"/>
          <w14:cntxtAlts/>
        </w:rPr>
        <w:t xml:space="preserve">(1984-1989) </w:t>
      </w:r>
      <w:r w:rsidRPr="00AD6D69">
        <w:rPr>
          <w:rFonts w:cs="Arial"/>
          <w:i/>
          <w:iCs/>
          <w:sz w:val="18"/>
          <w:szCs w:val="18"/>
          <w:lang w:val="x-none" w:eastAsia="x-none"/>
          <w14:cntxtAlts/>
        </w:rPr>
        <w:t>Recueil des ententes internationales du Québec </w:t>
      </w:r>
      <w:r w:rsidRPr="00AD6D69">
        <w:rPr>
          <w:rFonts w:cs="Arial"/>
          <w:sz w:val="18"/>
          <w:szCs w:val="18"/>
          <w:lang w:val="x-none" w:eastAsia="x-none"/>
          <w14:cntxtAlts/>
        </w:rPr>
        <w:t xml:space="preserve">809. D’autres conventions internationales dont le Québec est signataire renforcent d’ailleurs son engagement. Citons notamment : la </w:t>
      </w:r>
      <w:r w:rsidRPr="00AD6D69">
        <w:rPr>
          <w:rFonts w:cs="Arial"/>
          <w:i/>
          <w:iCs/>
          <w:sz w:val="18"/>
          <w:szCs w:val="18"/>
          <w:lang w:val="x-none" w:eastAsia="x-none"/>
          <w14:cntxtAlts/>
        </w:rPr>
        <w:t xml:space="preserve">Convention sur l’élimination de toutes les formes de discrimination raciale </w:t>
      </w:r>
      <w:r w:rsidRPr="00AD6D69">
        <w:rPr>
          <w:rFonts w:cs="Arial"/>
          <w:sz w:val="18"/>
          <w:szCs w:val="18"/>
          <w:lang w:val="x-none" w:eastAsia="x-none"/>
          <w14:cntxtAlts/>
        </w:rPr>
        <w:t xml:space="preserve">(1965) ; la </w:t>
      </w:r>
      <w:r w:rsidRPr="00AD6D69">
        <w:rPr>
          <w:rFonts w:cs="Arial"/>
          <w:i/>
          <w:iCs/>
          <w:sz w:val="18"/>
          <w:szCs w:val="18"/>
          <w:lang w:val="x-none" w:eastAsia="x-none"/>
          <w14:cntxtAlts/>
        </w:rPr>
        <w:t xml:space="preserve">Convention sur l’élimination de toutes les formes de discrimination à l’égard des femmes </w:t>
      </w:r>
      <w:r w:rsidRPr="00AD6D69">
        <w:rPr>
          <w:rFonts w:cs="Arial"/>
          <w:sz w:val="18"/>
          <w:szCs w:val="18"/>
          <w:lang w:val="x-none" w:eastAsia="x-none"/>
          <w14:cntxtAlts/>
        </w:rPr>
        <w:t xml:space="preserve">(1979) ; la </w:t>
      </w:r>
      <w:r w:rsidRPr="00AD6D69">
        <w:rPr>
          <w:rFonts w:cs="Arial"/>
          <w:i/>
          <w:iCs/>
          <w:sz w:val="18"/>
          <w:szCs w:val="18"/>
          <w:lang w:val="x-none" w:eastAsia="x-none"/>
          <w14:cntxtAlts/>
        </w:rPr>
        <w:t xml:space="preserve">Convention relative aux droits de l’enfant </w:t>
      </w:r>
      <w:r w:rsidRPr="00AD6D69">
        <w:rPr>
          <w:rFonts w:cs="Arial"/>
          <w:sz w:val="18"/>
          <w:szCs w:val="18"/>
          <w:lang w:val="x-none" w:eastAsia="x-none"/>
          <w14:cntxtAlts/>
        </w:rPr>
        <w:t xml:space="preserve">(1989) ; et la </w:t>
      </w:r>
      <w:r w:rsidRPr="00AD6D69">
        <w:rPr>
          <w:rFonts w:cs="Arial"/>
          <w:i/>
          <w:iCs/>
          <w:sz w:val="18"/>
          <w:szCs w:val="18"/>
          <w:lang w:val="x-none" w:eastAsia="x-none"/>
          <w14:cntxtAlts/>
        </w:rPr>
        <w:t xml:space="preserve">Convention relative aux droits des personnes handicapées </w:t>
      </w:r>
      <w:r w:rsidRPr="00AD6D69">
        <w:rPr>
          <w:rFonts w:cs="Arial"/>
          <w:sz w:val="18"/>
          <w:szCs w:val="18"/>
          <w:lang w:val="x-none" w:eastAsia="x-none"/>
          <w14:cntxtAlts/>
        </w:rPr>
        <w:t>(2009).</w:t>
      </w:r>
    </w:p>
  </w:footnote>
  <w:footnote w:id="14">
    <w:p w14:paraId="4C7FC9FE" w14:textId="513E478D"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Organisation des Nations Unies (Haut-commissariat aux droits de l’homme)</w:t>
      </w:r>
      <w:r w:rsidRPr="00AD6D69">
        <w:rPr>
          <w:rFonts w:cs="Arial"/>
          <w:sz w:val="18"/>
          <w:szCs w:val="18"/>
          <w:lang w:eastAsia="x-none"/>
          <w14:cntxtAlts/>
        </w:rPr>
        <w:t xml:space="preserve">, </w:t>
      </w:r>
      <w:r w:rsidRPr="00AD6D69">
        <w:rPr>
          <w:rFonts w:cs="Arial"/>
          <w:iCs/>
          <w:sz w:val="18"/>
          <w:szCs w:val="18"/>
          <w:lang w:eastAsia="x-none"/>
          <w14:cntxtAlts/>
        </w:rPr>
        <w:t xml:space="preserve">préc., note </w:t>
      </w:r>
      <w:r w:rsidRPr="00AD6D69">
        <w:rPr>
          <w:rFonts w:cs="Arial"/>
          <w:iCs/>
          <w:sz w:val="18"/>
          <w:szCs w:val="18"/>
          <w:lang w:eastAsia="x-none"/>
          <w14:cntxtAlts/>
        </w:rPr>
        <w:fldChar w:fldCharType="begin"/>
      </w:r>
      <w:r w:rsidRPr="00AD6D69">
        <w:rPr>
          <w:rFonts w:cs="Arial"/>
          <w:iCs/>
          <w:sz w:val="18"/>
          <w:szCs w:val="18"/>
          <w:lang w:eastAsia="x-none"/>
          <w14:cntxtAlts/>
        </w:rPr>
        <w:instrText xml:space="preserve"> NOTEREF _Ref138851644 \h  \* MERGEFORMAT </w:instrText>
      </w:r>
      <w:r w:rsidRPr="00AD6D69">
        <w:rPr>
          <w:rFonts w:cs="Arial"/>
          <w:iCs/>
          <w:sz w:val="18"/>
          <w:szCs w:val="18"/>
          <w:lang w:eastAsia="x-none"/>
          <w14:cntxtAlts/>
        </w:rPr>
      </w:r>
      <w:r w:rsidRPr="00AD6D69">
        <w:rPr>
          <w:rFonts w:cs="Arial"/>
          <w:iCs/>
          <w:sz w:val="18"/>
          <w:szCs w:val="18"/>
          <w:lang w:eastAsia="x-none"/>
          <w14:cntxtAlts/>
        </w:rPr>
        <w:fldChar w:fldCharType="separate"/>
      </w:r>
      <w:r w:rsidR="002A1D2F">
        <w:rPr>
          <w:rFonts w:cs="Arial"/>
          <w:iCs/>
          <w:sz w:val="18"/>
          <w:szCs w:val="18"/>
          <w:lang w:eastAsia="x-none"/>
          <w14:cntxtAlts/>
        </w:rPr>
        <w:t>12</w:t>
      </w:r>
      <w:r w:rsidRPr="00AD6D69">
        <w:rPr>
          <w:rFonts w:cs="Arial"/>
          <w:iCs/>
          <w:sz w:val="18"/>
          <w:szCs w:val="18"/>
          <w:lang w:eastAsia="x-none"/>
          <w14:cntxtAlts/>
        </w:rPr>
        <w:fldChar w:fldCharType="end"/>
      </w:r>
      <w:r w:rsidRPr="00AD6D69">
        <w:rPr>
          <w:rFonts w:cs="Arial"/>
          <w:i/>
          <w:sz w:val="18"/>
          <w:szCs w:val="18"/>
          <w:lang w:eastAsia="x-none"/>
          <w14:cntxtAlts/>
        </w:rPr>
        <w:t xml:space="preserve">, </w:t>
      </w:r>
      <w:r w:rsidRPr="00AD6D69">
        <w:rPr>
          <w:rFonts w:cs="Arial"/>
          <w:sz w:val="18"/>
          <w:szCs w:val="18"/>
          <w:lang w:eastAsia="x-none"/>
          <w14:cntxtAlts/>
        </w:rPr>
        <w:t xml:space="preserve">p. 29 et </w:t>
      </w:r>
      <w:r w:rsidRPr="00AD6D69">
        <w:rPr>
          <w:rFonts w:cs="Arial"/>
          <w:sz w:val="18"/>
          <w:szCs w:val="18"/>
          <w:lang w:val="x-none" w:eastAsia="x-none"/>
          <w14:cntxtAlts/>
        </w:rPr>
        <w:t>30</w:t>
      </w:r>
      <w:r w:rsidRPr="00AD6D69">
        <w:rPr>
          <w:rFonts w:cs="Arial"/>
          <w:sz w:val="18"/>
          <w:szCs w:val="18"/>
          <w:lang w:eastAsia="x-none"/>
          <w14:cntxtAlts/>
        </w:rPr>
        <w:t>.</w:t>
      </w:r>
    </w:p>
  </w:footnote>
  <w:footnote w:id="15">
    <w:p w14:paraId="5D7505BD"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Comité des droits économiques, sociaux et culturels</w:t>
      </w:r>
      <w:r w:rsidRPr="00AD6D69">
        <w:rPr>
          <w:rFonts w:cs="Arial"/>
          <w:sz w:val="18"/>
          <w:szCs w:val="18"/>
          <w:lang w:val="x-none" w:eastAsia="x-none"/>
          <w14:cntxtAlts/>
        </w:rPr>
        <w:t xml:space="preserve">, </w:t>
      </w:r>
      <w:r w:rsidRPr="00AD6D69">
        <w:rPr>
          <w:rFonts w:cs="Arial"/>
          <w:i/>
          <w:iCs/>
          <w:sz w:val="18"/>
          <w:szCs w:val="18"/>
          <w:lang w:val="x-none" w:eastAsia="x-none"/>
          <w14:cntxtAlts/>
        </w:rPr>
        <w:t>Questions de fond concernant la mise en œuvre du Pacte international relatif aux droits économiques, sociaux et culturels : La pauvreté et le pacte international relatif aux droits économiques, sociaux et culturels</w:t>
      </w:r>
      <w:r w:rsidRPr="00AD6D69">
        <w:rPr>
          <w:rFonts w:cs="Arial"/>
          <w:sz w:val="18"/>
          <w:szCs w:val="18"/>
          <w:lang w:val="x-none" w:eastAsia="x-none"/>
          <w14:cntxtAlts/>
        </w:rPr>
        <w:t>, Doc. N.U. E/C.12/2001/10 (9 mai 2001), par. 1</w:t>
      </w:r>
      <w:r w:rsidRPr="00AD6D69">
        <w:rPr>
          <w:rFonts w:cs="Arial"/>
          <w:sz w:val="18"/>
          <w:szCs w:val="18"/>
          <w:lang w:val="fr-FR" w:eastAsia="x-none"/>
          <w14:cntxtAlts/>
        </w:rPr>
        <w:t>.</w:t>
      </w:r>
    </w:p>
  </w:footnote>
  <w:footnote w:id="16">
    <w:p w14:paraId="6D6A1626"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iCs/>
          <w:sz w:val="18"/>
          <w:szCs w:val="18"/>
          <w:lang w:val="fr-FR" w:eastAsia="x-none"/>
          <w14:cntxtAlts/>
        </w:rPr>
        <w:t>Id</w:t>
      </w:r>
      <w:r w:rsidRPr="00AD6D69">
        <w:rPr>
          <w:rFonts w:cs="Arial"/>
          <w:sz w:val="18"/>
          <w:szCs w:val="18"/>
          <w:lang w:val="fr-FR" w:eastAsia="x-none"/>
          <w14:cntxtAlts/>
        </w:rPr>
        <w:t>.</w:t>
      </w:r>
    </w:p>
  </w:footnote>
  <w:footnote w:id="17">
    <w:p w14:paraId="19E09EA0"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Organisation des Nations Unies (Haut-Commissariat aux droits de l’homme),</w:t>
      </w:r>
      <w:r w:rsidRPr="00AD6D69">
        <w:rPr>
          <w:rFonts w:cs="Arial"/>
          <w:sz w:val="18"/>
          <w:szCs w:val="18"/>
          <w:lang w:val="x-none" w:eastAsia="x-none"/>
          <w14:cntxtAlts/>
        </w:rPr>
        <w:t xml:space="preserve"> </w:t>
      </w:r>
      <w:r w:rsidRPr="00AD6D69">
        <w:rPr>
          <w:rFonts w:cs="Arial"/>
          <w:i/>
          <w:iCs/>
          <w:sz w:val="18"/>
          <w:szCs w:val="18"/>
          <w:lang w:val="x-none" w:eastAsia="x-none"/>
          <w14:cntxtAlts/>
        </w:rPr>
        <w:t>Principles and Guidelines for a Human Rights Approach to Poverty Reduction Strategies</w:t>
      </w:r>
      <w:r w:rsidRPr="00AD6D69">
        <w:rPr>
          <w:rFonts w:cs="Arial"/>
          <w:sz w:val="18"/>
          <w:szCs w:val="18"/>
          <w:lang w:val="x-none" w:eastAsia="x-none"/>
          <w14:cntxtAlts/>
        </w:rPr>
        <w:t xml:space="preserve">, 2006, p. iii, [En ligne]. </w:t>
      </w:r>
      <w:hyperlink r:id="rId4" w:history="1">
        <w:r w:rsidRPr="00AD6D69">
          <w:rPr>
            <w:rStyle w:val="Lienhypertexte"/>
            <w:rFonts w:cs="Arial"/>
            <w:sz w:val="18"/>
            <w:szCs w:val="18"/>
            <w:lang w:val="x-none" w:eastAsia="x-none"/>
            <w14:cntxtAlts/>
          </w:rPr>
          <w:t>https://www.refworld.org/docid/46ceaef92.html</w:t>
        </w:r>
      </w:hyperlink>
    </w:p>
  </w:footnote>
  <w:footnote w:id="18">
    <w:p w14:paraId="59322C7A"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Centre d’étude sur la pauvreté et l’exclusion sociale</w:t>
      </w:r>
      <w:r w:rsidRPr="00AD6D69">
        <w:rPr>
          <w:rFonts w:cs="Arial"/>
          <w:sz w:val="18"/>
          <w:szCs w:val="18"/>
          <w:lang w:val="x-none" w:eastAsia="x-none"/>
          <w14:cntxtAlts/>
        </w:rPr>
        <w:t xml:space="preserve">, </w:t>
      </w:r>
      <w:r w:rsidRPr="00AD6D69">
        <w:rPr>
          <w:rFonts w:cs="Arial"/>
          <w:i/>
          <w:sz w:val="18"/>
          <w:szCs w:val="18"/>
          <w:lang w:val="x-none" w:eastAsia="x-none"/>
          <w14:cntxtAlts/>
        </w:rPr>
        <w:t>Avis sur la mesure de l’exclusion sociale associée à la pauvreté : des indicateurs à suivre…</w:t>
      </w:r>
      <w:r w:rsidRPr="00AD6D69">
        <w:rPr>
          <w:rFonts w:cs="Arial"/>
          <w:sz w:val="18"/>
          <w:szCs w:val="18"/>
          <w:lang w:val="x-none" w:eastAsia="x-none"/>
          <w14:cntxtAlts/>
        </w:rPr>
        <w:t xml:space="preserve">, 2015, p. 6, [En ligne]. </w:t>
      </w:r>
      <w:hyperlink r:id="rId5" w:history="1">
        <w:r w:rsidRPr="00AD6D69">
          <w:rPr>
            <w:rStyle w:val="Lienhypertexte"/>
            <w:rFonts w:cs="Arial"/>
            <w:sz w:val="18"/>
            <w:szCs w:val="18"/>
            <w:lang w:val="x-none" w:eastAsia="x-none"/>
            <w14:cntxtAlts/>
          </w:rPr>
          <w:t>http://www.mess.gouv.qc.ca/publications/pdf/CEPE_2015_Indicateurs_exclusion_sociale.pdf</w:t>
        </w:r>
      </w:hyperlink>
    </w:p>
  </w:footnote>
  <w:footnote w:id="19">
    <w:p w14:paraId="74E121AE" w14:textId="52408178" w:rsidR="00463481" w:rsidRPr="00AD6D69" w:rsidRDefault="00463481" w:rsidP="00AD6D69">
      <w:pPr>
        <w:pStyle w:val="Notedebasdepage"/>
        <w:spacing w:after="120" w:line="240" w:lineRule="auto"/>
        <w:ind w:left="709" w:hanging="709"/>
        <w:jc w:val="left"/>
        <w:rPr>
          <w:rFonts w:cs="Arial"/>
          <w:sz w:val="18"/>
          <w:szCs w:val="18"/>
          <w:lang w:val="fr-FR"/>
        </w:rPr>
      </w:pPr>
      <w:r w:rsidRPr="00AD6D69">
        <w:rPr>
          <w:rStyle w:val="Appelnotedebasdep"/>
          <w:rFonts w:cs="Arial"/>
          <w:sz w:val="18"/>
          <w:szCs w:val="18"/>
        </w:rPr>
        <w:footnoteRef/>
      </w:r>
      <w:r w:rsidRPr="00AD6D69">
        <w:rPr>
          <w:rFonts w:cs="Arial"/>
          <w:sz w:val="18"/>
          <w:szCs w:val="18"/>
        </w:rPr>
        <w:t xml:space="preserve"> </w:t>
      </w:r>
      <w:r w:rsidRPr="00AD6D69">
        <w:rPr>
          <w:rFonts w:cs="Arial"/>
          <w:sz w:val="18"/>
          <w:szCs w:val="18"/>
          <w:lang w:val="fr-FR"/>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fr-FR" w:eastAsia="x-none"/>
          <w14:cntxtAlts/>
        </w:rPr>
        <w:t>Mémoire à l’Office de consultation publique de Montréal dans le cadre de la consultation publique sur le racisme et la discrimination systémiques</w:t>
      </w:r>
      <w:r w:rsidRPr="00AD6D69">
        <w:rPr>
          <w:rFonts w:cs="Arial"/>
          <w:sz w:val="18"/>
          <w:szCs w:val="18"/>
          <w:lang w:val="fr-FR" w:eastAsia="x-none"/>
          <w14:cntxtAlts/>
        </w:rPr>
        <w:t xml:space="preserve">, (Cat. 2.120-1.35), 2019, [En ligne]. </w:t>
      </w:r>
      <w:hyperlink r:id="rId6" w:history="1">
        <w:r w:rsidR="006512FB" w:rsidRPr="00AD6D69">
          <w:rPr>
            <w:rStyle w:val="Lienhypertexte"/>
            <w:rFonts w:cs="Arial"/>
            <w:sz w:val="18"/>
            <w:szCs w:val="18"/>
            <w:lang w:val="fr-FR" w:eastAsia="x-none"/>
            <w14:cntxtAlts/>
          </w:rPr>
          <w:t>https://www.cdpdj.qc.ca/storage/app/media/publications/memoire_OCPM_racisme-systemique.pdf</w:t>
        </w:r>
      </w:hyperlink>
    </w:p>
  </w:footnote>
  <w:footnote w:id="20">
    <w:p w14:paraId="7BD5F67C"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iCs/>
          <w:sz w:val="18"/>
          <w:szCs w:val="18"/>
          <w:lang w:eastAsia="x-none"/>
          <w14:cntxtAlts/>
        </w:rPr>
        <w:t>Id.</w:t>
      </w:r>
      <w:r w:rsidRPr="00AD6D69">
        <w:rPr>
          <w:rFonts w:cs="Arial"/>
          <w:sz w:val="18"/>
          <w:szCs w:val="18"/>
          <w:lang w:val="x-none" w:eastAsia="x-none"/>
          <w14:cntxtAlts/>
        </w:rPr>
        <w:t>, par. 2.</w:t>
      </w:r>
    </w:p>
  </w:footnote>
  <w:footnote w:id="21">
    <w:p w14:paraId="5A5DF100"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iCs/>
          <w:sz w:val="18"/>
          <w:szCs w:val="18"/>
          <w:lang w:eastAsia="x-none"/>
          <w14:cntxtAlts/>
        </w:rPr>
        <w:t>Id.</w:t>
      </w:r>
    </w:p>
  </w:footnote>
  <w:footnote w:id="22">
    <w:p w14:paraId="60F373E0"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iCs/>
          <w:sz w:val="18"/>
          <w:szCs w:val="18"/>
          <w:lang w:eastAsia="x-none"/>
          <w14:cntxtAlts/>
        </w:rPr>
        <w:t>Id.</w:t>
      </w:r>
    </w:p>
  </w:footnote>
  <w:footnote w:id="23">
    <w:p w14:paraId="76B14146" w14:textId="3E94D9C5"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 xml:space="preserve">Voir notamment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Commentaires sur le Projet de règlement modifiant le Règlement sur l’aide aux personnes et aux familles</w:t>
      </w:r>
      <w:r w:rsidRPr="00AD6D69">
        <w:rPr>
          <w:rFonts w:cs="Arial"/>
          <w:sz w:val="18"/>
          <w:szCs w:val="18"/>
          <w:lang w:val="x-none" w:eastAsia="x-none"/>
          <w14:cntxtAlts/>
        </w:rPr>
        <w:t xml:space="preserve">, </w:t>
      </w:r>
      <w:r w:rsidRPr="00AD6D69">
        <w:rPr>
          <w:rFonts w:cs="Arial"/>
          <w:sz w:val="18"/>
          <w:szCs w:val="18"/>
          <w:lang w:val="fr-FR" w:eastAsia="x-none"/>
          <w14:cntxtAlts/>
        </w:rPr>
        <w:t>M</w:t>
      </w:r>
      <w:r w:rsidRPr="00AD6D69">
        <w:rPr>
          <w:rFonts w:cs="Arial"/>
          <w:sz w:val="18"/>
          <w:szCs w:val="18"/>
          <w:vertAlign w:val="superscript"/>
          <w:lang w:val="fr-FR" w:eastAsia="x-none"/>
          <w14:cntxtAlts/>
        </w:rPr>
        <w:t>e</w:t>
      </w:r>
      <w:r w:rsidRPr="00AD6D69">
        <w:rPr>
          <w:rFonts w:cs="Arial"/>
          <w:sz w:val="18"/>
          <w:szCs w:val="18"/>
          <w:lang w:val="fr-FR" w:eastAsia="x-none"/>
          <w14:cntxtAlts/>
        </w:rPr>
        <w:t xml:space="preserve"> Evelyne Pedneault, </w:t>
      </w:r>
      <w:r w:rsidRPr="00AD6D69">
        <w:rPr>
          <w:rFonts w:cs="Arial"/>
          <w:sz w:val="18"/>
          <w:szCs w:val="18"/>
          <w:lang w:val="x-none" w:eastAsia="x-none"/>
          <w14:cntxtAlts/>
        </w:rPr>
        <w:t xml:space="preserve">(Cat. 2.412.66.10), 2015, p. 3, [En ligne]. </w:t>
      </w:r>
      <w:hyperlink r:id="rId7" w:history="1">
        <w:r w:rsidRPr="00AD6D69">
          <w:rPr>
            <w:rStyle w:val="Lienhypertexte"/>
            <w:rFonts w:cs="Arial"/>
            <w:sz w:val="18"/>
            <w:szCs w:val="18"/>
            <w:lang w:val="x-none" w:eastAsia="x-none"/>
            <w14:cntxtAlts/>
          </w:rPr>
          <w:t>http://www.cdpdj.qc.ca/Publications/commentaires_aide-sociale.pdf</w:t>
        </w:r>
      </w:hyperlink>
      <w:r w:rsidRPr="00AD6D69">
        <w:rPr>
          <w:rFonts w:cs="Arial"/>
          <w:sz w:val="18"/>
          <w:szCs w:val="18"/>
          <w:lang w:val="x-none" w:eastAsia="x-none"/>
          <w14:cntxtAlts/>
        </w:rPr>
        <w:t xml:space="preserve">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w:t>
      </w:r>
      <w:r w:rsidRPr="00AD6D69">
        <w:rPr>
          <w:rFonts w:cs="Arial"/>
          <w:sz w:val="18"/>
          <w:szCs w:val="18"/>
          <w:lang w:val="fr-FR" w:eastAsia="x-none"/>
          <w14:cntxtAlts/>
        </w:rPr>
        <w:t xml:space="preserve"> </w:t>
      </w:r>
      <w:r w:rsidRPr="00AD6D69">
        <w:rPr>
          <w:rFonts w:cs="Arial"/>
          <w:i/>
          <w:sz w:val="18"/>
          <w:szCs w:val="18"/>
          <w:lang w:val="x-none" w:eastAsia="x-none"/>
          <w14:cntxtAlts/>
        </w:rPr>
        <w:t>Commentaires sur le Projet de règlement modifiant le Règlement sur l’aide aux personnes et aux familles</w:t>
      </w:r>
      <w:r w:rsidRPr="00AD6D69">
        <w:rPr>
          <w:rFonts w:cs="Arial"/>
          <w:sz w:val="18"/>
          <w:szCs w:val="18"/>
          <w:lang w:val="x-none" w:eastAsia="x-none"/>
          <w14:cntxtAlts/>
        </w:rPr>
        <w:t xml:space="preserve">, </w:t>
      </w:r>
      <w:r w:rsidRPr="00AD6D69">
        <w:rPr>
          <w:rFonts w:cs="Arial"/>
          <w:sz w:val="18"/>
          <w:szCs w:val="18"/>
          <w:lang w:val="fr-FR" w:eastAsia="x-none"/>
          <w14:cntxtAlts/>
        </w:rPr>
        <w:t>M</w:t>
      </w:r>
      <w:r w:rsidRPr="00AD6D69">
        <w:rPr>
          <w:rFonts w:cs="Arial"/>
          <w:sz w:val="18"/>
          <w:szCs w:val="18"/>
          <w:vertAlign w:val="superscript"/>
          <w:lang w:val="fr-FR" w:eastAsia="x-none"/>
          <w14:cntxtAlts/>
        </w:rPr>
        <w:t>e</w:t>
      </w:r>
      <w:r w:rsidRPr="00AD6D69">
        <w:rPr>
          <w:rFonts w:cs="Arial"/>
          <w:sz w:val="18"/>
          <w:szCs w:val="18"/>
          <w:lang w:val="fr-FR" w:eastAsia="x-none"/>
          <w14:cntxtAlts/>
        </w:rPr>
        <w:t xml:space="preserve"> Evelyne Pedneault, </w:t>
      </w:r>
      <w:r w:rsidRPr="00AD6D69">
        <w:rPr>
          <w:rFonts w:cs="Arial"/>
          <w:sz w:val="18"/>
          <w:szCs w:val="18"/>
          <w:lang w:val="x-none" w:eastAsia="x-none"/>
          <w14:cntxtAlts/>
        </w:rPr>
        <w:t>(Cat. 2.412.66.9), 2013</w:t>
      </w:r>
      <w:r w:rsidR="00B3183E">
        <w:rPr>
          <w:rFonts w:cs="Arial"/>
          <w:sz w:val="18"/>
          <w:szCs w:val="18"/>
          <w:lang w:eastAsia="x-none"/>
          <w14:cntxtAlts/>
        </w:rPr>
        <w:t>,</w:t>
      </w:r>
      <w:r w:rsidRPr="00AD6D69">
        <w:rPr>
          <w:rFonts w:cs="Arial"/>
          <w:sz w:val="18"/>
          <w:szCs w:val="18"/>
          <w:lang w:val="x-none" w:eastAsia="x-none"/>
          <w14:cntxtAlts/>
        </w:rPr>
        <w:t xml:space="preserve"> p. 5, [En ligne]. </w:t>
      </w:r>
      <w:hyperlink r:id="rId8" w:history="1">
        <w:r w:rsidRPr="00AD6D69">
          <w:rPr>
            <w:rStyle w:val="Lienhypertexte"/>
            <w:rFonts w:cs="Arial"/>
            <w:sz w:val="18"/>
            <w:szCs w:val="18"/>
            <w:lang w:val="x-none" w:eastAsia="x-none"/>
            <w14:cntxtAlts/>
          </w:rPr>
          <w:t>http://www.cdpdj.qc.ca/Publications/commentaires_reglement-aide-personnes-famille.pdf</w:t>
        </w:r>
      </w:hyperlink>
      <w:r w:rsidRPr="00AD6D69">
        <w:rPr>
          <w:rFonts w:cs="Arial"/>
          <w:sz w:val="18"/>
          <w:szCs w:val="18"/>
          <w:lang w:val="x-none" w:eastAsia="x-none"/>
          <w14:cntxtAlts/>
        </w:rPr>
        <w:t xml:space="preserve">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Mémoire sur le Projet de loi n° 186, Loi sur le soutien du revenu et favorisant l’emploi et la solidarité sociale</w:t>
      </w:r>
      <w:r w:rsidRPr="00AD6D69">
        <w:rPr>
          <w:rFonts w:cs="Arial"/>
          <w:sz w:val="18"/>
          <w:szCs w:val="18"/>
          <w:lang w:val="x-none" w:eastAsia="x-none"/>
          <w14:cntxtAlts/>
        </w:rPr>
        <w:t xml:space="preserve">, (Cat. 2.412.66.7), 1998, p. 6, [En ligne]. </w:t>
      </w:r>
      <w:hyperlink r:id="rId9" w:history="1">
        <w:r w:rsidRPr="00AD6D69">
          <w:rPr>
            <w:rStyle w:val="Lienhypertexte"/>
            <w:rFonts w:cs="Arial"/>
            <w:sz w:val="18"/>
            <w:szCs w:val="18"/>
            <w:lang w:val="x-none" w:eastAsia="x-none"/>
            <w14:cntxtAlts/>
          </w:rPr>
          <w:t>http://www.cdpdj.qc.ca/Publications/memoire_pl186.pdf</w:t>
        </w:r>
      </w:hyperlink>
      <w:r w:rsidRPr="00AD6D69">
        <w:rPr>
          <w:rFonts w:cs="Arial"/>
          <w:sz w:val="18"/>
          <w:szCs w:val="18"/>
          <w:lang w:val="x-none" w:eastAsia="x-none"/>
          <w14:cntxtAlts/>
        </w:rPr>
        <w:t xml:space="preserve">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w:t>
      </w:r>
      <w:r w:rsidRPr="00AD6D69">
        <w:rPr>
          <w:rFonts w:cs="Arial"/>
          <w:sz w:val="18"/>
          <w:szCs w:val="18"/>
          <w:lang w:val="x-none" w:eastAsia="x-none"/>
          <w14:cntxtAlts/>
        </w:rPr>
        <w:t xml:space="preserve">, </w:t>
      </w:r>
      <w:r w:rsidRPr="00AD6D69">
        <w:rPr>
          <w:rFonts w:cs="Arial"/>
          <w:i/>
          <w:sz w:val="18"/>
          <w:szCs w:val="18"/>
          <w:lang w:val="x-none" w:eastAsia="x-none"/>
          <w14:cntxtAlts/>
        </w:rPr>
        <w:t>Commentaires de la Commission des droits de la personne sur le Projet de loi sur la sécurité du revenu</w:t>
      </w:r>
      <w:r w:rsidRPr="00AD6D69">
        <w:rPr>
          <w:rFonts w:cs="Arial"/>
          <w:sz w:val="18"/>
          <w:szCs w:val="18"/>
          <w:lang w:val="x-none" w:eastAsia="x-none"/>
          <w14:cntxtAlts/>
        </w:rPr>
        <w: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Hélène Tessier et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Pierre Bosset, (Cat. 2.412-66.1), 1988, p. 1.   </w:t>
      </w:r>
    </w:p>
  </w:footnote>
  <w:footnote w:id="24">
    <w:p w14:paraId="0921FFA9"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w:t>
      </w:r>
      <w:r w:rsidRPr="00AD6D69">
        <w:rPr>
          <w:rFonts w:cs="Arial"/>
          <w:sz w:val="18"/>
          <w:szCs w:val="18"/>
          <w:lang w:val="x-none" w:eastAsia="x-none"/>
          <w14:cntxtAlts/>
        </w:rPr>
        <w:t xml:space="preserve">, </w:t>
      </w:r>
      <w:r w:rsidRPr="00AD6D69">
        <w:rPr>
          <w:rFonts w:cs="Arial"/>
          <w:i/>
          <w:sz w:val="18"/>
          <w:szCs w:val="18"/>
          <w:lang w:val="x-none" w:eastAsia="x-none"/>
          <w14:cntxtAlts/>
        </w:rPr>
        <w:t>Commentaires de la Commission des droits de la personne sur le Projet de loi n° 118, Loi modifiant la Loi sur l’aide sociale</w:t>
      </w:r>
      <w:r w:rsidRPr="00AD6D69">
        <w:rPr>
          <w:rFonts w:cs="Arial"/>
          <w:sz w:val="18"/>
          <w:szCs w:val="18"/>
          <w:lang w:val="x-none" w:eastAsia="x-none"/>
          <w14:cntxtAlts/>
        </w:rPr>
        <w:t xml:space="preserve">, (Cat. 2.412-23), 1978, p. 2. </w:t>
      </w:r>
    </w:p>
  </w:footnote>
  <w:footnote w:id="25">
    <w:p w14:paraId="7859B927"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 xml:space="preserve">Hélène </w:t>
      </w:r>
      <w:r w:rsidRPr="00AD6D69">
        <w:rPr>
          <w:rFonts w:cs="Arial"/>
          <w:smallCaps/>
          <w:sz w:val="18"/>
          <w:szCs w:val="18"/>
          <w:lang w:val="fr-FR" w:eastAsia="x-none"/>
          <w14:cntxtAlts/>
        </w:rPr>
        <w:t>Tessier</w:t>
      </w:r>
      <w:r w:rsidRPr="00AD6D69">
        <w:rPr>
          <w:rFonts w:cs="Arial"/>
          <w:sz w:val="18"/>
          <w:szCs w:val="18"/>
          <w:lang w:val="x-none" w:eastAsia="x-none"/>
          <w14:cntxtAlts/>
        </w:rPr>
        <w:t>, « La lutte contre la pauvreté : question de droits de la personne et une mesure de prévention contre une violence systémique à l’égard des enfants », (1996) 37 </w:t>
      </w:r>
      <w:r w:rsidRPr="00AD6D69">
        <w:rPr>
          <w:rFonts w:cs="Arial"/>
          <w:i/>
          <w:iCs/>
          <w:sz w:val="18"/>
          <w:szCs w:val="18"/>
          <w:lang w:val="x-none" w:eastAsia="x-none"/>
          <w14:cntxtAlts/>
        </w:rPr>
        <w:t>C. de D.</w:t>
      </w:r>
      <w:r w:rsidRPr="00AD6D69">
        <w:rPr>
          <w:rFonts w:cs="Arial"/>
          <w:sz w:val="18"/>
          <w:szCs w:val="18"/>
          <w:lang w:val="x-none" w:eastAsia="x-none"/>
          <w14:cntxtAlts/>
        </w:rPr>
        <w:t> 475, 499.</w:t>
      </w:r>
    </w:p>
  </w:footnote>
  <w:footnote w:id="26">
    <w:p w14:paraId="2521074E"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Voir notamment </w:t>
      </w:r>
      <w:r w:rsidRPr="00AD6D69">
        <w:rPr>
          <w:rFonts w:cs="Arial"/>
          <w:sz w:val="18"/>
          <w:szCs w:val="18"/>
          <w:lang w:val="fr-FR" w:eastAsia="x-none"/>
          <w14:cntxtAlts/>
        </w:rPr>
        <w:t xml:space="preserve">: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w:t>
      </w:r>
      <w:r w:rsidRPr="00AD6D69">
        <w:rPr>
          <w:rFonts w:cs="Arial"/>
          <w:sz w:val="18"/>
          <w:szCs w:val="18"/>
          <w:lang w:val="fr-FR" w:eastAsia="x-none"/>
          <w14:cntxtAlts/>
        </w:rPr>
        <w:t xml:space="preserve"> </w:t>
      </w:r>
      <w:r w:rsidRPr="00AD6D69">
        <w:rPr>
          <w:rFonts w:cs="Arial"/>
          <w:i/>
          <w:iCs/>
          <w:sz w:val="18"/>
          <w:szCs w:val="18"/>
          <w:lang w:val="fr-FR" w:eastAsia="x-none"/>
          <w14:cntxtAlts/>
        </w:rPr>
        <w:t>Mémoire à la Commission spéciale sur les droits des enfants et la protection de la jeunesse</w:t>
      </w:r>
      <w:r w:rsidRPr="00AD6D69">
        <w:rPr>
          <w:rFonts w:cs="Arial"/>
          <w:sz w:val="18"/>
          <w:szCs w:val="18"/>
          <w:lang w:val="fr-FR" w:eastAsia="x-none"/>
          <w14:cntxtAlts/>
        </w:rPr>
        <w:t>, (Cat. 2.211.5), 2020, p. </w:t>
      </w:r>
      <w:r w:rsidRPr="00AD6D69">
        <w:rPr>
          <w:rFonts w:cs="Arial"/>
          <w:sz w:val="18"/>
          <w:szCs w:val="18"/>
          <w:lang w:val="x-none" w:eastAsia="x-none"/>
          <w14:cntxtAlts/>
        </w:rPr>
        <w:t>111</w:t>
      </w:r>
      <w:r w:rsidRPr="00AD6D69">
        <w:rPr>
          <w:rFonts w:cs="Arial"/>
          <w:sz w:val="18"/>
          <w:szCs w:val="18"/>
          <w:lang w:val="fr-FR" w:eastAsia="x-none"/>
          <w14:cntxtAlts/>
        </w:rPr>
        <w:t>, [En ligne]</w:t>
      </w:r>
      <w:r w:rsidRPr="00AD6D69">
        <w:rPr>
          <w:rFonts w:cs="Arial"/>
          <w:sz w:val="18"/>
          <w:szCs w:val="18"/>
          <w:lang w:val="x-none" w:eastAsia="x-none"/>
          <w14:cntxtAlts/>
        </w:rPr>
        <w:t xml:space="preserve">. </w:t>
      </w:r>
      <w:hyperlink r:id="rId10" w:history="1">
        <w:r w:rsidRPr="00AD6D69">
          <w:rPr>
            <w:rStyle w:val="Lienhypertexte"/>
            <w:rFonts w:cs="Arial"/>
            <w:sz w:val="18"/>
            <w:szCs w:val="18"/>
            <w:lang w:val="x-none" w:eastAsia="x-none"/>
            <w14:cntxtAlts/>
          </w:rPr>
          <w:t>https://www.cdpdj.qc.ca/storage/app/media/publications/memoire_commission-laurent.pdf</w:t>
        </w:r>
      </w:hyperlink>
      <w:r w:rsidRPr="00AD6D69">
        <w:rPr>
          <w:rFonts w:cs="Arial"/>
          <w:sz w:val="18"/>
          <w:szCs w:val="18"/>
          <w:lang w:eastAsia="x-none"/>
          <w14:cntxtAlts/>
        </w:rPr>
        <w:t xml:space="preserve"> </w:t>
      </w:r>
    </w:p>
  </w:footnote>
  <w:footnote w:id="27">
    <w:p w14:paraId="7F21F1CE"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w:t>
      </w:r>
      <w:r w:rsidRPr="00AD6D69">
        <w:rPr>
          <w:rFonts w:cs="Arial"/>
          <w:sz w:val="18"/>
          <w:szCs w:val="18"/>
          <w:lang w:val="x-none" w:eastAsia="x-none"/>
          <w14:cntxtAlts/>
        </w:rPr>
        <w:t xml:space="preserve">, </w:t>
      </w:r>
      <w:r w:rsidRPr="00AD6D69">
        <w:rPr>
          <w:rFonts w:cs="Arial"/>
          <w:i/>
          <w:sz w:val="18"/>
          <w:szCs w:val="18"/>
          <w:lang w:val="x-none" w:eastAsia="x-none"/>
          <w14:cntxtAlts/>
        </w:rPr>
        <w:t>Le système actuel d’aide sociale eu égard aux droits fondamentaux de la personne. Préoccupations de la Commission</w:t>
      </w:r>
      <w:r w:rsidRPr="00AD6D69">
        <w:rPr>
          <w:rFonts w:cs="Arial"/>
          <w:sz w:val="18"/>
          <w:szCs w:val="18"/>
          <w:lang w:val="x-none" w:eastAsia="x-none"/>
          <w14:cntxtAlts/>
        </w:rPr>
        <w: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Pierre Bosset, (Cat. 2.120-8.5), 1988, p. 3.  </w:t>
      </w:r>
    </w:p>
  </w:footnote>
  <w:footnote w:id="28">
    <w:p w14:paraId="54466E0F" w14:textId="77777777" w:rsidR="00463481" w:rsidRPr="00AD6D69" w:rsidRDefault="00463481" w:rsidP="00AD6D69">
      <w:pPr>
        <w:spacing w:after="120" w:line="240" w:lineRule="auto"/>
        <w:ind w:left="709" w:hanging="709"/>
        <w:jc w:val="left"/>
        <w:rPr>
          <w:rFonts w:cs="Arial"/>
          <w:sz w:val="18"/>
          <w:szCs w:val="18"/>
        </w:rPr>
      </w:pPr>
      <w:r w:rsidRPr="00AD6D69">
        <w:rPr>
          <w:rStyle w:val="Appelnotedebasdep"/>
          <w:rFonts w:cs="Arial"/>
          <w:sz w:val="18"/>
          <w:szCs w:val="18"/>
        </w:rPr>
        <w:footnoteRef/>
      </w:r>
      <w:r w:rsidRPr="00AD6D69">
        <w:rPr>
          <w:rFonts w:cs="Arial"/>
          <w:sz w:val="18"/>
          <w:szCs w:val="18"/>
        </w:rPr>
        <w:t xml:space="preserve"> </w:t>
      </w:r>
      <w:r w:rsidRPr="00AD6D69">
        <w:rPr>
          <w:rFonts w:cs="Arial"/>
          <w:sz w:val="18"/>
          <w:szCs w:val="18"/>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w:t>
      </w:r>
      <w:r w:rsidRPr="00AD6D69">
        <w:rPr>
          <w:rFonts w:cs="Arial"/>
          <w:sz w:val="18"/>
          <w:szCs w:val="18"/>
          <w:lang w:val="x-none" w:eastAsia="x-none"/>
          <w14:cntxtAlts/>
        </w:rPr>
        <w:t xml:space="preserve">, </w:t>
      </w:r>
      <w:r w:rsidRPr="00AD6D69">
        <w:rPr>
          <w:rFonts w:cs="Arial"/>
          <w:i/>
          <w:sz w:val="18"/>
          <w:szCs w:val="18"/>
          <w:lang w:val="x-none" w:eastAsia="x-none"/>
          <w14:cntxtAlts/>
        </w:rPr>
        <w:t>Commentaires sur le Projet de règlement sur la sécurité du revenu</w:t>
      </w:r>
      <w:r w:rsidRPr="00AD6D69">
        <w:rPr>
          <w:rFonts w:cs="Arial"/>
          <w:sz w:val="18"/>
          <w:szCs w:val="18"/>
          <w:lang w:val="x-none" w:eastAsia="x-none"/>
          <w14:cntxtAlts/>
        </w:rPr>
        <w: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Hélène Tessier, (Cat. 2.412-66.3), 1989, p. 19</w:t>
      </w:r>
    </w:p>
  </w:footnote>
  <w:footnote w:id="29">
    <w:p w14:paraId="2CF929F7"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mallCaps/>
          <w:sz w:val="18"/>
          <w:szCs w:val="18"/>
          <w:lang w:val="fr-FR"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2016-1</w:t>
      </w:r>
      <w:r w:rsidRPr="00AD6D69">
        <w:rPr>
          <w:rFonts w:cs="Arial"/>
          <w:sz w:val="18"/>
          <w:szCs w:val="18"/>
          <w:lang w:val="x-none" w:eastAsia="x-none"/>
          <w14:cntxtAlts/>
        </w:rPr>
        <w:t xml:space="preserve">), préc., note 6, p. 36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(2013), préc., note 21, p. 21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(1988), préc.</w:t>
      </w:r>
      <w:r w:rsidRPr="00AD6D69">
        <w:rPr>
          <w:rFonts w:cs="Arial"/>
          <w:sz w:val="18"/>
          <w:szCs w:val="18"/>
          <w:lang w:val="fr-FR" w:eastAsia="x-none"/>
          <w14:cntxtAlts/>
        </w:rPr>
        <w:t>,</w:t>
      </w:r>
      <w:r w:rsidRPr="00AD6D69">
        <w:rPr>
          <w:rFonts w:cs="Arial"/>
          <w:sz w:val="18"/>
          <w:szCs w:val="18"/>
          <w:lang w:val="x-none" w:eastAsia="x-none"/>
          <w14:cntxtAlts/>
        </w:rPr>
        <w:t xml:space="preserve"> note 21, p. 4. </w:t>
      </w:r>
    </w:p>
  </w:footnote>
  <w:footnote w:id="30">
    <w:p w14:paraId="6DCBAD83"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Id.</w:t>
      </w:r>
    </w:p>
  </w:footnote>
  <w:footnote w:id="31">
    <w:p w14:paraId="39CC710D"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Loi sur l’accès à l’égalité en emploi dans des organismes publics - Rapport triennal 2016-2019</w:t>
      </w:r>
      <w:r w:rsidRPr="00AD6D69">
        <w:rPr>
          <w:rFonts w:cs="Arial"/>
          <w:sz w:val="18"/>
          <w:szCs w:val="18"/>
          <w:lang w:val="x-none" w:eastAsia="x-none"/>
          <w14:cntxtAlts/>
        </w:rPr>
        <w:t>, 2020, p. 12</w:t>
      </w:r>
      <w:r w:rsidRPr="00AD6D69">
        <w:rPr>
          <w:rFonts w:cs="Arial"/>
          <w:sz w:val="18"/>
          <w:szCs w:val="18"/>
          <w:lang w:eastAsia="x-none"/>
          <w14:cntxtAlts/>
        </w:rPr>
        <w:t xml:space="preserve"> et </w:t>
      </w:r>
      <w:r w:rsidRPr="00AD6D69">
        <w:rPr>
          <w:rFonts w:cs="Arial"/>
          <w:sz w:val="18"/>
          <w:szCs w:val="18"/>
          <w:lang w:val="x-none" w:eastAsia="x-none"/>
          <w14:cntxtAlts/>
        </w:rPr>
        <w:t xml:space="preserve">13, [En ligne]. </w:t>
      </w:r>
      <w:hyperlink r:id="rId11" w:history="1">
        <w:r w:rsidRPr="00AD6D69">
          <w:rPr>
            <w:rStyle w:val="Lienhypertexte"/>
            <w:rFonts w:cs="Arial"/>
            <w:sz w:val="18"/>
            <w:szCs w:val="18"/>
            <w:lang w:val="x-none" w:eastAsia="x-none"/>
            <w14:cntxtAlts/>
          </w:rPr>
          <w:t>https://cdpdj.qc.ca/storage/app/media/publications/Rapport_triennal_PAE_2016_2019.pdf</w:t>
        </w:r>
      </w:hyperlink>
      <w:r w:rsidRPr="00AD6D69">
        <w:rPr>
          <w:rFonts w:cs="Arial"/>
          <w:sz w:val="18"/>
          <w:szCs w:val="18"/>
          <w:lang w:val="x-none" w:eastAsia="x-none"/>
          <w14:cntxtAlts/>
        </w:rPr>
        <w:t xml:space="preserve"> </w:t>
      </w:r>
    </w:p>
  </w:footnote>
  <w:footnote w:id="32">
    <w:p w14:paraId="7319E04D"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fr-FR" w:eastAsia="x-none"/>
          <w14:cntxtAlts/>
        </w:rPr>
        <w:t xml:space="preserve">Comité consultatif de lutte contre la pauvreté et l’exclusion sociale, </w:t>
      </w:r>
      <w:r w:rsidRPr="00AD6D69">
        <w:rPr>
          <w:rFonts w:cs="Arial"/>
          <w:i/>
          <w:sz w:val="18"/>
          <w:szCs w:val="18"/>
          <w:lang w:val="x-none" w:eastAsia="x-none"/>
          <w14:cntxtAlts/>
        </w:rPr>
        <w:t>L’emploi pour lutter contre la pauvreté : les défis à relever. L’aide à l’emploi : pour une intégration durable</w:t>
      </w:r>
      <w:r w:rsidRPr="00AD6D69">
        <w:rPr>
          <w:rFonts w:cs="Arial"/>
          <w:sz w:val="18"/>
          <w:szCs w:val="18"/>
          <w:lang w:val="x-none" w:eastAsia="x-none"/>
          <w14:cntxtAlts/>
        </w:rPr>
        <w:t xml:space="preserve">, Québec, 2015, p. 12, [En ligne]. </w:t>
      </w:r>
      <w:hyperlink r:id="rId12" w:anchor="liste" w:history="1">
        <w:r w:rsidRPr="00AD6D69">
          <w:rPr>
            <w:rStyle w:val="Lienhypertexte"/>
            <w:rFonts w:cs="Arial"/>
            <w:sz w:val="18"/>
            <w:szCs w:val="18"/>
            <w:lang w:val="x-none" w:eastAsia="x-none"/>
            <w14:cntxtAlts/>
          </w:rPr>
          <w:t>http://www.cclp.gouv.qc.ca/publications/index.asp?categorie=1500301#liste</w:t>
        </w:r>
      </w:hyperlink>
      <w:r w:rsidRPr="00AD6D69">
        <w:rPr>
          <w:rFonts w:cs="Arial"/>
          <w:sz w:val="18"/>
          <w:szCs w:val="18"/>
          <w:lang w:val="x-none" w:eastAsia="x-none"/>
          <w14:cntxtAlts/>
        </w:rPr>
        <w:t xml:space="preserve"> </w:t>
      </w:r>
    </w:p>
  </w:footnote>
  <w:footnote w:id="33">
    <w:p w14:paraId="42BEEF58"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Id.</w:t>
      </w:r>
    </w:p>
  </w:footnote>
  <w:footnote w:id="34">
    <w:p w14:paraId="31F0E919" w14:textId="421C216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fr-FR" w:eastAsia="x-none"/>
          <w14:cntxtAlts/>
        </w:rPr>
        <w:t xml:space="preserve"> </w:t>
      </w:r>
      <w:r w:rsidRPr="00AD6D69">
        <w:rPr>
          <w:rFonts w:cs="Arial"/>
          <w:sz w:val="18"/>
          <w:szCs w:val="18"/>
          <w:lang w:val="fr-FR"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sz w:val="18"/>
          <w:szCs w:val="18"/>
          <w:lang w:val="fr-FR" w:eastAsia="x-none"/>
          <w14:cntxtAlts/>
        </w:rPr>
        <w:t xml:space="preserve">préc., note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_Ref138769321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25</w:t>
      </w:r>
      <w:r w:rsidRPr="00AD6D69">
        <w:rPr>
          <w:rFonts w:cs="Arial"/>
          <w:sz w:val="18"/>
          <w:szCs w:val="18"/>
          <w:lang w:val="fr-FR" w:eastAsia="x-none"/>
          <w14:cntxtAlts/>
        </w:rPr>
        <w:fldChar w:fldCharType="end"/>
      </w:r>
      <w:r w:rsidRPr="00AD6D69">
        <w:rPr>
          <w:rFonts w:cs="Arial"/>
          <w:sz w:val="18"/>
          <w:szCs w:val="18"/>
          <w:lang w:val="fr-FR" w:eastAsia="x-none"/>
          <w14:cntxtAlts/>
        </w:rPr>
        <w:t>, p. 97 </w:t>
      </w:r>
      <w:r w:rsidRPr="00AD6D69">
        <w:rPr>
          <w:rFonts w:cs="Arial"/>
          <w:sz w:val="18"/>
          <w:szCs w:val="18"/>
          <w:lang w:val="x-none" w:eastAsia="x-none"/>
          <w14:cntxtAlts/>
        </w:rPr>
        <w:t xml:space="preserve">;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Mémoire à la Commission de la culture et de l’éducation de l’Assemblée nationale – Projet de loi n° 5, Loi modifiant la Loi sur l’instruction publique et d’autres dispositions à l’égard des services de l’éducation préscolaire destinés aux élèves âgés de 4 ans</w:t>
      </w:r>
      <w:r w:rsidRPr="00AD6D69">
        <w:rPr>
          <w:rFonts w:cs="Arial"/>
          <w:sz w:val="18"/>
          <w:szCs w:val="18"/>
          <w:lang w:val="x-none" w:eastAsia="x-none"/>
          <w14:cntxtAlts/>
        </w:rPr>
        <w:t xml:space="preserve">, (Cat. 2.412.131), 2019, </w:t>
      </w:r>
      <w:r w:rsidRPr="00AD6D69">
        <w:rPr>
          <w:rFonts w:cs="Arial"/>
          <w:sz w:val="18"/>
          <w:szCs w:val="18"/>
          <w:lang w:val="fr-FR" w:eastAsia="x-none"/>
          <w14:cntxtAlts/>
        </w:rPr>
        <w:t>p</w:t>
      </w:r>
      <w:r w:rsidRPr="00AD6D69">
        <w:rPr>
          <w:rFonts w:cs="Arial"/>
          <w:sz w:val="18"/>
          <w:szCs w:val="18"/>
          <w:lang w:val="x-none" w:eastAsia="x-none"/>
          <w14:cntxtAlts/>
        </w:rPr>
        <w:t xml:space="preserve">. 12-15, [En ligne]. </w:t>
      </w:r>
      <w:hyperlink r:id="rId13" w:history="1">
        <w:r w:rsidRPr="00AD6D69">
          <w:rPr>
            <w:rStyle w:val="Lienhypertexte"/>
            <w:rFonts w:cs="Arial"/>
            <w:sz w:val="18"/>
            <w:szCs w:val="18"/>
            <w:lang w:val="x-none" w:eastAsia="x-none"/>
            <w14:cntxtAlts/>
          </w:rPr>
          <w:t>https://www.cdpdj.qc.ca/storage/app/media/publications/memoire_PL5_maternelle-4ans.pdf</w:t>
        </w:r>
      </w:hyperlink>
      <w:r w:rsidRPr="00AD6D69">
        <w:rPr>
          <w:rFonts w:cs="Arial"/>
          <w:sz w:val="18"/>
          <w:szCs w:val="18"/>
          <w:lang w:val="x-none" w:eastAsia="x-none"/>
          <w14:cntxtAlts/>
        </w:rPr>
        <w:t xml:space="preserve">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Mémoire sur le document de consultation intitulé « Pour une Politique de la réussite éducative »</w:t>
      </w:r>
      <w:r w:rsidRPr="00AD6D69">
        <w:rPr>
          <w:rFonts w:cs="Arial"/>
          <w:sz w:val="18"/>
          <w:szCs w:val="18"/>
          <w:lang w:val="x-none" w:eastAsia="x-none"/>
          <w14:cntxtAlts/>
        </w:rPr>
        <w:t xml:space="preserve">, (Cat. 2.122.34.1), 2016, p. 1-2, [En ligne]. </w:t>
      </w:r>
      <w:hyperlink r:id="rId14" w:history="1">
        <w:r w:rsidRPr="00AD6D69">
          <w:rPr>
            <w:rStyle w:val="Lienhypertexte"/>
            <w:rFonts w:cs="Arial"/>
            <w:sz w:val="18"/>
            <w:szCs w:val="18"/>
            <w:lang w:val="x-none" w:eastAsia="x-none"/>
            <w14:cntxtAlts/>
          </w:rPr>
          <w:t>https://www.cdpdj.qc.ca/storage/app/media/publications/memoire_reussite_educative.pdf</w:t>
        </w:r>
      </w:hyperlink>
      <w:r w:rsidRPr="00AD6D69">
        <w:rPr>
          <w:rFonts w:cs="Arial"/>
          <w:sz w:val="18"/>
          <w:szCs w:val="18"/>
          <w:lang w:val="x-none" w:eastAsia="x-none"/>
          <w14:cntxtAlts/>
        </w:rPr>
        <w:t xml:space="preserve"> </w:t>
      </w:r>
    </w:p>
  </w:footnote>
  <w:footnote w:id="35">
    <w:p w14:paraId="022B2DAA" w14:textId="77777777" w:rsidR="00463481" w:rsidRPr="00AD6D69" w:rsidRDefault="00463481" w:rsidP="00AD6D69">
      <w:pPr>
        <w:tabs>
          <w:tab w:val="left" w:pos="720"/>
        </w:tabs>
        <w:spacing w:after="120" w:line="240" w:lineRule="auto"/>
        <w:ind w:left="709" w:hanging="709"/>
        <w:jc w:val="left"/>
        <w:rPr>
          <w:rFonts w:cs="Arial"/>
          <w:i/>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Id.</w:t>
      </w:r>
      <w:r w:rsidRPr="00AD6D69">
        <w:rPr>
          <w:rFonts w:cs="Arial"/>
          <w:sz w:val="18"/>
          <w:szCs w:val="18"/>
          <w:lang w:val="x-none" w:eastAsia="x-none"/>
          <w14:cntxtAlts/>
        </w:rPr>
        <w:t xml:space="preserve"> Voir aussi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Mémoire à la Commission de la culture et de l’éducation sur le Projet loi n° 86, Loi modifiant l’organisation et la gouvernance des commissions scolaires en vue de rapprocher l’école des lieux de décision et d’assurer la présence des parents au sein de l’instance décisionnelle de la commission scolaire</w:t>
      </w:r>
      <w:r w:rsidRPr="00AD6D69">
        <w:rPr>
          <w:rFonts w:cs="Arial"/>
          <w:sz w:val="18"/>
          <w:szCs w:val="18"/>
          <w:lang w:val="x-none" w:eastAsia="x-none"/>
          <w14:cntxtAlts/>
        </w:rPr>
        <w:t xml:space="preserve">, (Cat. 2.412.84.4), 2016, p. 8-10, [En ligne]. </w:t>
      </w:r>
      <w:hyperlink r:id="rId15" w:anchor=":~:text=M%C3%A9moire%20%C3%A0%20la%20Commission%20de%20la%20culture%20et,sein%20de%20l%E2%80%99instance%20d%C3%A9cisionnelle%20de%20la%20commission%20scolaire" w:history="1">
        <w:r w:rsidRPr="00AD6D69">
          <w:rPr>
            <w:rStyle w:val="Lienhypertexte"/>
            <w:rFonts w:cs="Arial"/>
            <w:sz w:val="18"/>
            <w:szCs w:val="18"/>
            <w:lang w:val="x-none" w:eastAsia="x-none"/>
            <w14:cntxtAlts/>
          </w:rPr>
          <w:t>https://cdpdj.qc.ca/storage/app/media/publications/memoire_PL_86_gouvernance_com_scolaires.pdf#:~:text=M%C3%A9moire%20%C3%A0%20la%20Commission%20de%20la%20culture%20et,sein%20de%20l%E2%80%99instance%20d%C3%A9cisionnelle%20de%20la%20commission%20scolaire</w:t>
        </w:r>
      </w:hyperlink>
      <w:r w:rsidRPr="00AD6D69">
        <w:rPr>
          <w:rFonts w:cs="Arial"/>
          <w:sz w:val="18"/>
          <w:szCs w:val="18"/>
          <w:lang w:val="x-none" w:eastAsia="x-none"/>
          <w14:cntxtAlts/>
        </w:rPr>
        <w:t xml:space="preserve"> </w:t>
      </w:r>
    </w:p>
  </w:footnote>
  <w:footnote w:id="36">
    <w:p w14:paraId="4D839478"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 xml:space="preserve">Id. </w:t>
      </w:r>
    </w:p>
  </w:footnote>
  <w:footnote w:id="37">
    <w:p w14:paraId="4BE3A4E6"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Commentaires sur le projet de loi n° 12, Loi visant à préciser la portée du droit à la gratuité scolaire et à permettre l’encadrement de certaines contributions financières pouvant être exigées</w:t>
      </w:r>
      <w:r w:rsidRPr="00AD6D69">
        <w:rPr>
          <w:rFonts w:cs="Arial"/>
          <w:sz w:val="18"/>
          <w:szCs w:val="18"/>
          <w:lang w:val="x-none" w:eastAsia="x-none"/>
          <w14:cntxtAlts/>
        </w:rPr>
        <w:t>,</w:t>
      </w:r>
      <w:r w:rsidRPr="00AD6D69">
        <w:rPr>
          <w:rFonts w:cs="Arial"/>
          <w:sz w:val="18"/>
          <w:szCs w:val="18"/>
          <w:lang w:val="fr-FR" w:eastAsia="x-none"/>
          <w14:cntxtAlts/>
        </w:rPr>
        <w:t xml:space="preserve"> Daniel Ducharme et M</w:t>
      </w:r>
      <w:r w:rsidRPr="00AD6D69">
        <w:rPr>
          <w:rFonts w:cs="Arial"/>
          <w:sz w:val="18"/>
          <w:szCs w:val="18"/>
          <w:vertAlign w:val="superscript"/>
          <w:lang w:val="fr-FR" w:eastAsia="x-none"/>
          <w14:cntxtAlts/>
        </w:rPr>
        <w:t>e</w:t>
      </w:r>
      <w:r w:rsidRPr="00AD6D69">
        <w:rPr>
          <w:rFonts w:cs="Arial"/>
          <w:sz w:val="18"/>
          <w:szCs w:val="18"/>
          <w:lang w:val="fr-FR" w:eastAsia="x-none"/>
          <w14:cntxtAlts/>
        </w:rPr>
        <w:t xml:space="preserve"> Karina Montminy</w:t>
      </w:r>
      <w:r w:rsidRPr="00AD6D69">
        <w:rPr>
          <w:rFonts w:cs="Arial"/>
          <w:sz w:val="18"/>
          <w:szCs w:val="18"/>
          <w:lang w:val="x-none" w:eastAsia="x-none"/>
          <w14:cntxtAlts/>
        </w:rPr>
        <w:t xml:space="preserve"> (Cat. 2.412.127), 2019, p. 5, [En ligne]. </w:t>
      </w:r>
      <w:hyperlink r:id="rId16" w:history="1">
        <w:r w:rsidRPr="00AD6D69">
          <w:rPr>
            <w:rStyle w:val="Lienhypertexte"/>
            <w:rFonts w:cs="Arial"/>
            <w:sz w:val="18"/>
            <w:szCs w:val="18"/>
            <w:lang w:val="x-none" w:eastAsia="x-none"/>
            <w14:cntxtAlts/>
          </w:rPr>
          <w:t>https://cdpdj.qc.ca/storage/app/media/publications/commentaires_PL12_frais-scolaires.pdf</w:t>
        </w:r>
      </w:hyperlink>
    </w:p>
  </w:footnote>
  <w:footnote w:id="38">
    <w:p w14:paraId="7739EC36"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Id</w:t>
      </w:r>
      <w:r w:rsidRPr="00AD6D69">
        <w:rPr>
          <w:rFonts w:cs="Arial"/>
          <w:sz w:val="18"/>
          <w:szCs w:val="18"/>
          <w:lang w:val="x-none" w:eastAsia="x-none"/>
          <w14:cntxtAlts/>
        </w:rPr>
        <w:t>.</w:t>
      </w:r>
    </w:p>
  </w:footnote>
  <w:footnote w:id="39">
    <w:p w14:paraId="0427B999" w14:textId="72C0027B"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Cs/>
          <w:sz w:val="18"/>
          <w:szCs w:val="18"/>
          <w:lang w:val="fr-FR" w:eastAsia="x-none"/>
          <w14:cntxtAlts/>
        </w:rPr>
        <w:t xml:space="preserve">préc., note </w:t>
      </w:r>
      <w:r w:rsidRPr="00AD6D69">
        <w:rPr>
          <w:rFonts w:cs="Arial"/>
          <w:iCs/>
          <w:sz w:val="18"/>
          <w:szCs w:val="18"/>
          <w:lang w:val="fr-FR" w:eastAsia="x-none"/>
          <w14:cntxtAlts/>
        </w:rPr>
        <w:fldChar w:fldCharType="begin"/>
      </w:r>
      <w:r w:rsidRPr="00AD6D69">
        <w:rPr>
          <w:rFonts w:cs="Arial"/>
          <w:iCs/>
          <w:sz w:val="18"/>
          <w:szCs w:val="18"/>
          <w:lang w:val="fr-FR" w:eastAsia="x-none"/>
          <w14:cntxtAlts/>
        </w:rPr>
        <w:instrText xml:space="preserve"> NOTEREF _Ref138770945 \h </w:instrText>
      </w:r>
      <w:r w:rsidR="002647EA" w:rsidRPr="00AD6D69">
        <w:rPr>
          <w:rFonts w:cs="Arial"/>
          <w:iCs/>
          <w:sz w:val="18"/>
          <w:szCs w:val="18"/>
          <w:lang w:val="fr-FR" w:eastAsia="x-none"/>
          <w14:cntxtAlts/>
        </w:rPr>
        <w:instrText xml:space="preserve"> \* MERGEFORMAT </w:instrText>
      </w:r>
      <w:r w:rsidRPr="00AD6D69">
        <w:rPr>
          <w:rFonts w:cs="Arial"/>
          <w:iCs/>
          <w:sz w:val="18"/>
          <w:szCs w:val="18"/>
          <w:lang w:val="fr-FR" w:eastAsia="x-none"/>
          <w14:cntxtAlts/>
        </w:rPr>
      </w:r>
      <w:r w:rsidRPr="00AD6D69">
        <w:rPr>
          <w:rFonts w:cs="Arial"/>
          <w:iCs/>
          <w:sz w:val="18"/>
          <w:szCs w:val="18"/>
          <w:lang w:val="fr-FR" w:eastAsia="x-none"/>
          <w14:cntxtAlts/>
        </w:rPr>
        <w:fldChar w:fldCharType="separate"/>
      </w:r>
      <w:r w:rsidR="002A1D2F">
        <w:rPr>
          <w:rFonts w:cs="Arial"/>
          <w:iCs/>
          <w:sz w:val="18"/>
          <w:szCs w:val="18"/>
          <w:lang w:val="fr-FR" w:eastAsia="x-none"/>
          <w14:cntxtAlts/>
        </w:rPr>
        <w:t>36</w:t>
      </w:r>
      <w:r w:rsidRPr="00AD6D69">
        <w:rPr>
          <w:rFonts w:cs="Arial"/>
          <w:iCs/>
          <w:sz w:val="18"/>
          <w:szCs w:val="18"/>
          <w:lang w:val="fr-FR" w:eastAsia="x-none"/>
          <w14:cntxtAlts/>
        </w:rPr>
        <w:fldChar w:fldCharType="end"/>
      </w:r>
      <w:r w:rsidRPr="00AD6D69">
        <w:rPr>
          <w:rFonts w:cs="Arial"/>
          <w:sz w:val="18"/>
          <w:szCs w:val="18"/>
          <w:lang w:val="x-none" w:eastAsia="x-none"/>
          <w14:cntxtAlts/>
        </w:rPr>
        <w:t>, p. 5 </w:t>
      </w:r>
      <w:r w:rsidRPr="00AD6D69">
        <w:rPr>
          <w:rFonts w:cs="Arial"/>
          <w:sz w:val="18"/>
          <w:szCs w:val="18"/>
          <w:lang w:val="fr-FR" w:eastAsia="x-none"/>
          <w14:cntxtAlts/>
        </w:rPr>
        <w:t xml:space="preserve">;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Mémoire à la Commission de la culture et de l’éducation de l’Assemblée nationale – Projet de loi n° 40, Loi modifiant principalement la Loi sur l’instruction publique relativement à l’organisation et à la gouvernance scolaires</w:t>
      </w:r>
      <w:r w:rsidRPr="00AD6D69">
        <w:rPr>
          <w:rFonts w:cs="Arial"/>
          <w:sz w:val="18"/>
          <w:szCs w:val="18"/>
          <w:lang w:val="x-none" w:eastAsia="x-none"/>
          <w14:cntxtAlts/>
        </w:rPr>
        <w:t xml:space="preserve">, (Cat. 2.412.84.5), 2019, p. 28-31, [En ligne]. </w:t>
      </w:r>
      <w:hyperlink r:id="rId17" w:history="1">
        <w:r w:rsidRPr="00AD6D69">
          <w:rPr>
            <w:rStyle w:val="Lienhypertexte"/>
            <w:rFonts w:cs="Arial"/>
            <w:sz w:val="18"/>
            <w:szCs w:val="18"/>
            <w:lang w:val="x-none" w:eastAsia="x-none"/>
            <w14:cntxtAlts/>
          </w:rPr>
          <w:t>https://www.cdpdj.qc.ca/storage/app/media/publications/memoire_PL40_instruction-publique.pdf</w:t>
        </w:r>
      </w:hyperlink>
      <w:r w:rsidRPr="00AD6D69">
        <w:rPr>
          <w:rFonts w:cs="Arial"/>
          <w:sz w:val="18"/>
          <w:szCs w:val="18"/>
          <w:lang w:val="x-none" w:eastAsia="x-none"/>
          <w14:cntxtAlts/>
        </w:rPr>
        <w:t xml:space="preserve">;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Le respect des droits des élèves HDAA dans le réseau scolaire québécois : une étude systémique</w:t>
      </w:r>
      <w:r w:rsidRPr="00AD6D69">
        <w:rPr>
          <w:rFonts w:cs="Arial"/>
          <w:sz w:val="18"/>
          <w:szCs w:val="18"/>
          <w:lang w:val="x-none" w:eastAsia="x-none"/>
          <w14:cntxtAlts/>
        </w:rPr>
        <w:t>, Daniel Ducharme et Johanne Magloire, avec la collab. de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Karina Montminy, (Cat. 2.120-12.61.1), 2018, p. 2, [En ligne]. </w:t>
      </w:r>
      <w:hyperlink r:id="rId18" w:history="1">
        <w:r w:rsidRPr="00AD6D69">
          <w:rPr>
            <w:rStyle w:val="Lienhypertexte"/>
            <w:rFonts w:cs="Arial"/>
            <w:sz w:val="18"/>
            <w:szCs w:val="18"/>
            <w:lang w:val="x-none" w:eastAsia="x-none"/>
            <w14:cntxtAlts/>
          </w:rPr>
          <w:t>https://www.cdpdj.qc.ca/storage/app/media/publications/etude_inclusion_EHDAA.pdf</w:t>
        </w:r>
      </w:hyperlink>
      <w:r w:rsidRPr="00AD6D69">
        <w:rPr>
          <w:rFonts w:cs="Arial"/>
          <w:sz w:val="18"/>
          <w:szCs w:val="18"/>
          <w:lang w:val="x-none" w:eastAsia="x-none"/>
          <w14:cntxtAlts/>
        </w:rPr>
        <w:t xml:space="preserve">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Bilan de la mise en œuvre des recommandations du Rapport de la consultation de la Commission des droits de la personne et des droits de la jeunesse sur le profilage racial et ses conséquences</w:t>
      </w:r>
      <w:r w:rsidRPr="00AD6D69">
        <w:rPr>
          <w:rFonts w:cs="Arial"/>
          <w:sz w:val="18"/>
          <w:szCs w:val="18"/>
          <w:lang w:val="x-none" w:eastAsia="x-none"/>
          <w14:cntxtAlts/>
        </w:rPr>
        <w: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Evelyne Pedneault et Amina Triki-Yamani, 2020, p. 174, [En ligne]. </w:t>
      </w:r>
      <w:hyperlink r:id="rId19" w:history="1">
        <w:r w:rsidRPr="00AD6D69">
          <w:rPr>
            <w:rStyle w:val="Lienhypertexte"/>
            <w:rFonts w:cs="Arial"/>
            <w:sz w:val="18"/>
            <w:szCs w:val="18"/>
            <w:lang w:val="x-none" w:eastAsia="x-none"/>
            <w14:cntxtAlts/>
          </w:rPr>
          <w:t>https://www.cdpdj.qc.ca/storage/app/media/publications/bilan-profilage-racial.pdf</w:t>
        </w:r>
      </w:hyperlink>
      <w:r w:rsidRPr="00AD6D69">
        <w:rPr>
          <w:rFonts w:cs="Arial"/>
          <w:sz w:val="18"/>
          <w:szCs w:val="18"/>
          <w:lang w:val="x-none" w:eastAsia="x-none"/>
          <w14:cntxtAlts/>
        </w:rPr>
        <w:t xml:space="preserve"> </w:t>
      </w:r>
    </w:p>
  </w:footnote>
  <w:footnote w:id="40">
    <w:p w14:paraId="0307DE4E" w14:textId="77777777" w:rsidR="00463481" w:rsidRPr="00AD6D69" w:rsidRDefault="00463481" w:rsidP="00AD6D69">
      <w:pPr>
        <w:tabs>
          <w:tab w:val="left" w:pos="720"/>
        </w:tabs>
        <w:spacing w:after="120" w:line="240" w:lineRule="auto"/>
        <w:ind w:left="709" w:hanging="709"/>
        <w:jc w:val="left"/>
        <w:rPr>
          <w:rFonts w:cs="Arial"/>
          <w:i/>
          <w:sz w:val="18"/>
          <w:szCs w:val="18"/>
          <w:lang w:val="x-none" w:eastAsia="x-none"/>
          <w14:cntxtAlts/>
        </w:rPr>
      </w:pPr>
      <w:r w:rsidRPr="00AD6D69">
        <w:rPr>
          <w:rStyle w:val="Appelnotedebasdep"/>
          <w:rFonts w:cs="Arial"/>
          <w:i/>
          <w:sz w:val="18"/>
          <w:szCs w:val="18"/>
          <w:lang w:val="x-none" w:eastAsia="x-none"/>
          <w14:cntxtAlts/>
        </w:rPr>
        <w:footnoteRef/>
      </w:r>
      <w:r w:rsidRPr="00AD6D69">
        <w:rPr>
          <w:rFonts w:cs="Arial"/>
          <w:i/>
          <w:sz w:val="18"/>
          <w:szCs w:val="18"/>
          <w:lang w:val="x-none" w:eastAsia="x-none"/>
          <w14:cntxtAlts/>
        </w:rPr>
        <w:t xml:space="preserve"> </w:t>
      </w:r>
      <w:r w:rsidRPr="00AD6D69">
        <w:rPr>
          <w:rFonts w:cs="Arial"/>
          <w:i/>
          <w:iCs/>
          <w:sz w:val="18"/>
          <w:szCs w:val="18"/>
          <w:lang w:val="x-none" w:eastAsia="x-none"/>
          <w14:cntxtAlts/>
        </w:rPr>
        <w:tab/>
      </w:r>
      <w:r w:rsidRPr="00AD6D69">
        <w:rPr>
          <w:rFonts w:cs="Arial"/>
          <w:i/>
          <w:sz w:val="18"/>
          <w:szCs w:val="18"/>
          <w:lang w:val="x-none" w:eastAsia="x-none"/>
          <w14:cntxtAlts/>
        </w:rPr>
        <w:t>Id.</w:t>
      </w:r>
    </w:p>
  </w:footnote>
  <w:footnote w:id="41">
    <w:p w14:paraId="5FE800E5"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préc., note </w:t>
      </w:r>
      <w:r w:rsidRPr="00AD6D69">
        <w:rPr>
          <w:rFonts w:cs="Arial"/>
          <w:sz w:val="18"/>
          <w:szCs w:val="18"/>
          <w:lang w:eastAsia="x-none"/>
          <w14:cntxtAlts/>
        </w:rPr>
        <w:t>35</w:t>
      </w:r>
      <w:r w:rsidRPr="00AD6D69">
        <w:rPr>
          <w:rFonts w:cs="Arial"/>
          <w:sz w:val="18"/>
          <w:szCs w:val="18"/>
          <w:lang w:val="x-none" w:eastAsia="x-none"/>
          <w14:cntxtAlts/>
        </w:rPr>
        <w:t xml:space="preserve">, p. 8-13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z w:val="18"/>
          <w:szCs w:val="18"/>
          <w:lang w:val="x-none" w:eastAsia="x-none"/>
          <w14:cntxtAlts/>
        </w:rPr>
        <w:t xml:space="preserve"> (2018), préc., note </w:t>
      </w:r>
      <w:r w:rsidRPr="00AD6D69">
        <w:rPr>
          <w:rFonts w:cs="Arial"/>
          <w:sz w:val="18"/>
          <w:szCs w:val="18"/>
          <w:lang w:eastAsia="x-none"/>
          <w14:cntxtAlts/>
        </w:rPr>
        <w:t>37</w:t>
      </w:r>
      <w:r w:rsidRPr="00AD6D69">
        <w:rPr>
          <w:rFonts w:cs="Arial"/>
          <w:sz w:val="18"/>
          <w:szCs w:val="18"/>
          <w:lang w:val="x-none" w:eastAsia="x-none"/>
          <w14:cntxtAlts/>
        </w:rPr>
        <w:t>, p. 59-61.</w:t>
      </w:r>
    </w:p>
  </w:footnote>
  <w:footnote w:id="42">
    <w:p w14:paraId="627731A0"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 xml:space="preserve">Canisius </w:t>
      </w:r>
      <w:r w:rsidRPr="00AD6D69">
        <w:rPr>
          <w:rFonts w:cs="Arial"/>
          <w:smallCaps/>
          <w:sz w:val="18"/>
          <w:szCs w:val="18"/>
          <w:lang w:val="fr-FR" w:eastAsia="x-none"/>
          <w14:cntxtAlts/>
        </w:rPr>
        <w:t>Kamanzi</w:t>
      </w:r>
      <w:r w:rsidRPr="00AD6D69">
        <w:rPr>
          <w:rFonts w:cs="Arial"/>
          <w:sz w:val="18"/>
          <w:szCs w:val="18"/>
          <w:lang w:val="x-none" w:eastAsia="x-none"/>
          <w14:cntxtAlts/>
        </w:rPr>
        <w:t xml:space="preserve"> et Christian </w:t>
      </w:r>
      <w:r w:rsidRPr="00AD6D69">
        <w:rPr>
          <w:rFonts w:cs="Arial"/>
          <w:smallCaps/>
          <w:sz w:val="18"/>
          <w:szCs w:val="18"/>
          <w:lang w:val="fr-FR" w:eastAsia="x-none"/>
          <w14:cntxtAlts/>
        </w:rPr>
        <w:t>Maroy</w:t>
      </w:r>
      <w:r w:rsidRPr="00AD6D69">
        <w:rPr>
          <w:rFonts w:cs="Arial"/>
          <w:sz w:val="18"/>
          <w:szCs w:val="18"/>
          <w:lang w:val="x-none" w:eastAsia="x-none"/>
          <w14:cntxtAlts/>
        </w:rPr>
        <w:t xml:space="preserve">, « La stratification des établissements secondaires au Québec : quels effets sur les chances d’accès à l’enseignement universitaire ? », dans Kanisius </w:t>
      </w:r>
      <w:r w:rsidRPr="00AD6D69">
        <w:rPr>
          <w:rFonts w:cs="Arial"/>
          <w:smallCaps/>
          <w:sz w:val="18"/>
          <w:szCs w:val="18"/>
          <w:lang w:val="fr-FR" w:eastAsia="x-none"/>
          <w14:cntxtAlts/>
        </w:rPr>
        <w:t>Kamanzi</w:t>
      </w:r>
      <w:r w:rsidRPr="00AD6D69">
        <w:rPr>
          <w:rFonts w:cs="Arial"/>
          <w:sz w:val="18"/>
          <w:szCs w:val="18"/>
          <w:lang w:val="x-none" w:eastAsia="x-none"/>
          <w14:cntxtAlts/>
        </w:rPr>
        <w:t xml:space="preserve">, Gaële </w:t>
      </w:r>
      <w:r w:rsidRPr="00AD6D69">
        <w:rPr>
          <w:rFonts w:cs="Arial"/>
          <w:smallCaps/>
          <w:sz w:val="18"/>
          <w:szCs w:val="18"/>
          <w:lang w:val="fr-FR" w:eastAsia="x-none"/>
          <w14:cntxtAlts/>
        </w:rPr>
        <w:t>Goastellec</w:t>
      </w:r>
      <w:r w:rsidRPr="00AD6D69">
        <w:rPr>
          <w:rFonts w:cs="Arial"/>
          <w:sz w:val="18"/>
          <w:szCs w:val="18"/>
          <w:lang w:val="x-none" w:eastAsia="x-none"/>
          <w14:cntxtAlts/>
        </w:rPr>
        <w:t xml:space="preserve"> et France </w:t>
      </w:r>
      <w:r w:rsidRPr="00AD6D69">
        <w:rPr>
          <w:rFonts w:cs="Arial"/>
          <w:smallCaps/>
          <w:sz w:val="18"/>
          <w:szCs w:val="18"/>
          <w:lang w:val="fr-FR" w:eastAsia="x-none"/>
          <w14:cntxtAlts/>
        </w:rPr>
        <w:t>Picard</w:t>
      </w:r>
      <w:r w:rsidRPr="00AD6D69">
        <w:rPr>
          <w:rFonts w:cs="Arial"/>
          <w:sz w:val="18"/>
          <w:szCs w:val="18"/>
          <w:lang w:val="x-none" w:eastAsia="x-none"/>
          <w14:cntxtAlts/>
        </w:rPr>
        <w:t xml:space="preserve"> (dir.), </w:t>
      </w:r>
      <w:r w:rsidRPr="00AD6D69">
        <w:rPr>
          <w:rFonts w:cs="Arial"/>
          <w:i/>
          <w:sz w:val="18"/>
          <w:szCs w:val="18"/>
          <w:lang w:val="x-none" w:eastAsia="x-none"/>
          <w14:cntxtAlts/>
        </w:rPr>
        <w:t>L’envers du décor. Massification de l’enseignement supérieur et justice sociale</w:t>
      </w:r>
      <w:r w:rsidRPr="00AD6D69">
        <w:rPr>
          <w:rFonts w:cs="Arial"/>
          <w:sz w:val="18"/>
          <w:szCs w:val="18"/>
          <w:lang w:val="fr-FR" w:eastAsia="x-none"/>
          <w14:cntxtAlts/>
        </w:rPr>
        <w:t>,</w:t>
      </w:r>
      <w:r w:rsidRPr="00AD6D69">
        <w:rPr>
          <w:rFonts w:cs="Arial"/>
          <w:sz w:val="18"/>
          <w:szCs w:val="18"/>
          <w:lang w:val="x-none" w:eastAsia="x-none"/>
          <w14:cntxtAlts/>
        </w:rPr>
        <w:t xml:space="preserve"> Québec</w:t>
      </w:r>
      <w:r w:rsidRPr="00AD6D69">
        <w:rPr>
          <w:rFonts w:cs="Arial"/>
          <w:sz w:val="18"/>
          <w:szCs w:val="18"/>
          <w:lang w:val="fr-FR" w:eastAsia="x-none"/>
          <w14:cntxtAlts/>
        </w:rPr>
        <w:t xml:space="preserve">, </w:t>
      </w:r>
      <w:r w:rsidRPr="00AD6D69">
        <w:rPr>
          <w:rFonts w:cs="Arial"/>
          <w:sz w:val="18"/>
          <w:szCs w:val="18"/>
          <w:lang w:val="x-none" w:eastAsia="x-none"/>
          <w14:cntxtAlts/>
        </w:rPr>
        <w:t>Presses de l’Université du Québec, p. 62-83.</w:t>
      </w:r>
    </w:p>
  </w:footnote>
  <w:footnote w:id="43">
    <w:p w14:paraId="11B7AF34"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Ci-après « Commission Laurent ».</w:t>
      </w:r>
    </w:p>
  </w:footnote>
  <w:footnote w:id="44">
    <w:p w14:paraId="4EC91CD4" w14:textId="7848FCDC"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 xml:space="preserve">Commission des droits de la personne et des droits de la jeunesse, </w:t>
      </w:r>
      <w:r w:rsidRPr="00AD6D69">
        <w:rPr>
          <w:rFonts w:cs="Arial"/>
          <w:sz w:val="18"/>
          <w:szCs w:val="18"/>
          <w:lang w:val="fr-FR" w:eastAsia="x-none"/>
          <w14:cntxtAlts/>
        </w:rPr>
        <w:t xml:space="preserve">préc., </w:t>
      </w:r>
      <w:proofErr w:type="gramStart"/>
      <w:r w:rsidRPr="00AD6D69">
        <w:rPr>
          <w:rFonts w:cs="Arial"/>
          <w:sz w:val="18"/>
          <w:szCs w:val="18"/>
          <w:lang w:val="fr-FR" w:eastAsia="x-none"/>
          <w14:cntxtAlts/>
        </w:rPr>
        <w:t>note</w:t>
      </w:r>
      <w:proofErr w:type="gramEnd"/>
      <w:r w:rsidRPr="00AD6D69">
        <w:rPr>
          <w:rFonts w:cs="Arial"/>
          <w:sz w:val="18"/>
          <w:szCs w:val="18"/>
          <w:lang w:val="fr-FR" w:eastAsia="x-none"/>
          <w14:cntxtAlts/>
        </w:rPr>
        <w:t xml:space="preserv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_Ref138769321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25</w:t>
      </w:r>
      <w:r w:rsidRPr="00AD6D69">
        <w:rPr>
          <w:rFonts w:cs="Arial"/>
          <w:sz w:val="18"/>
          <w:szCs w:val="18"/>
          <w:lang w:val="fr-FR" w:eastAsia="x-none"/>
          <w14:cntxtAlts/>
        </w:rPr>
        <w:fldChar w:fldCharType="end"/>
      </w:r>
      <w:r w:rsidRPr="00AD6D69">
        <w:rPr>
          <w:rFonts w:cs="Arial"/>
          <w:sz w:val="18"/>
          <w:szCs w:val="18"/>
          <w:lang w:val="x-none" w:eastAsia="x-none"/>
          <w14:cntxtAlts/>
        </w:rPr>
        <w:t>, p. 117</w:t>
      </w:r>
      <w:r w:rsidRPr="00AD6D69">
        <w:rPr>
          <w:rFonts w:cs="Arial"/>
          <w:sz w:val="18"/>
          <w:szCs w:val="18"/>
          <w:lang w:val="fr-FR" w:eastAsia="x-none"/>
          <w14:cntxtAlts/>
        </w:rPr>
        <w:t xml:space="preserve">. </w:t>
      </w:r>
    </w:p>
  </w:footnote>
  <w:footnote w:id="45">
    <w:p w14:paraId="1463E109"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Mémoire à la Commission de la santé et des services sociaux de l’Assemblée nationale, Projet de loi n° 15, Loi visant à rendre le système de santé et de services sociaux plus efficace</w:t>
      </w:r>
      <w:r w:rsidRPr="00AD6D69">
        <w:rPr>
          <w:rFonts w:cs="Arial"/>
          <w:sz w:val="18"/>
          <w:szCs w:val="18"/>
          <w:lang w:val="x-none" w:eastAsia="x-none"/>
          <w14:cntxtAlts/>
        </w:rPr>
        <w:t>, (Cat.</w:t>
      </w:r>
      <w:r w:rsidRPr="00AD6D69">
        <w:rPr>
          <w:rFonts w:cs="Arial"/>
          <w:sz w:val="18"/>
          <w:szCs w:val="18"/>
          <w:lang w:val="fr-FR" w:eastAsia="x-none"/>
          <w14:cntxtAlts/>
        </w:rPr>
        <w:t xml:space="preserve"> </w:t>
      </w:r>
      <w:r w:rsidRPr="00AD6D69">
        <w:rPr>
          <w:rFonts w:cs="Arial"/>
          <w:sz w:val="18"/>
          <w:szCs w:val="18"/>
          <w:lang w:val="x-none" w:eastAsia="x-none"/>
          <w14:cntxtAlts/>
        </w:rPr>
        <w:t xml:space="preserve">2.412.67.11), p. 14, [En ligne]. </w:t>
      </w:r>
      <w:hyperlink r:id="rId20" w:history="1">
        <w:r w:rsidRPr="00AD6D69">
          <w:rPr>
            <w:rStyle w:val="Lienhypertexte"/>
            <w:rFonts w:cs="Arial"/>
            <w:sz w:val="18"/>
            <w:szCs w:val="18"/>
            <w:lang w:val="x-none" w:eastAsia="x-none"/>
            <w14:cntxtAlts/>
          </w:rPr>
          <w:t>https://www.cdpdj.qc.ca/storage/app/media/publications/memoire_PL_15_sante_services_sociaux.pdf</w:t>
        </w:r>
      </w:hyperlink>
      <w:r w:rsidRPr="00AD6D69">
        <w:rPr>
          <w:rFonts w:cs="Arial"/>
          <w:sz w:val="18"/>
          <w:szCs w:val="18"/>
          <w:lang w:val="fr-FR" w:eastAsia="x-none"/>
          <w14:cntxtAlts/>
        </w:rPr>
        <w:t xml:space="preserve"> </w:t>
      </w:r>
    </w:p>
  </w:footnote>
  <w:footnote w:id="46">
    <w:p w14:paraId="56BCDEF3"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fr-FR" w:eastAsia="x-none"/>
          <w14:cntxtAlts/>
        </w:rPr>
        <w:t>Institut national de santé publique du Québec</w:t>
      </w:r>
      <w:r w:rsidRPr="00AD6D69">
        <w:rPr>
          <w:rFonts w:cs="Arial"/>
          <w:sz w:val="18"/>
          <w:szCs w:val="18"/>
          <w:lang w:val="x-none" w:eastAsia="x-none"/>
          <w14:cntxtAlts/>
        </w:rPr>
        <w:t xml:space="preserve">, </w:t>
      </w:r>
      <w:r w:rsidRPr="00AD6D69">
        <w:rPr>
          <w:rFonts w:cs="Arial"/>
          <w:i/>
          <w:sz w:val="18"/>
          <w:szCs w:val="18"/>
          <w:lang w:val="x-none" w:eastAsia="x-none"/>
          <w14:cntxtAlts/>
        </w:rPr>
        <w:t>Doter le Québec d’une stratégie nationale pour améliorer la qualité de vie des personnes aînées : vers des milieux de vie inclusifs, sains et sécuritaires</w:t>
      </w:r>
      <w:r w:rsidRPr="00AD6D69">
        <w:rPr>
          <w:rFonts w:cs="Arial"/>
          <w:sz w:val="18"/>
          <w:szCs w:val="18"/>
          <w:lang w:val="x-none" w:eastAsia="x-none"/>
          <w14:cntxtAlts/>
        </w:rPr>
        <w:t xml:space="preserve">, Mémoire déposé au Secrétariat aux aînés du ministère de la Santé et des Services sociaux, avril 2023, p. 6 et 7 citant Marie-France </w:t>
      </w:r>
      <w:r w:rsidRPr="00AD6D69">
        <w:rPr>
          <w:rFonts w:cs="Arial"/>
          <w:smallCaps/>
          <w:sz w:val="18"/>
          <w:szCs w:val="18"/>
          <w:lang w:val="fr-FR" w:eastAsia="x-none"/>
          <w14:cntxtAlts/>
        </w:rPr>
        <w:t>Raynault</w:t>
      </w:r>
      <w:r w:rsidRPr="00AD6D69">
        <w:rPr>
          <w:rFonts w:cs="Arial"/>
          <w:sz w:val="18"/>
          <w:szCs w:val="18"/>
          <w:lang w:val="x-none" w:eastAsia="x-none"/>
          <w14:cntxtAlts/>
        </w:rPr>
        <w:t xml:space="preserve">, François </w:t>
      </w:r>
      <w:r w:rsidRPr="00AD6D69">
        <w:rPr>
          <w:rFonts w:cs="Arial"/>
          <w:smallCaps/>
          <w:sz w:val="18"/>
          <w:szCs w:val="18"/>
          <w:lang w:val="fr-FR" w:eastAsia="x-none"/>
          <w14:cntxtAlts/>
        </w:rPr>
        <w:t>Thérien</w:t>
      </w:r>
      <w:r w:rsidRPr="00AD6D69">
        <w:rPr>
          <w:rFonts w:cs="Arial"/>
          <w:sz w:val="18"/>
          <w:szCs w:val="18"/>
          <w:lang w:val="x-none" w:eastAsia="x-none"/>
          <w14:cntxtAlts/>
        </w:rPr>
        <w:t xml:space="preserve">, Richard </w:t>
      </w:r>
      <w:r w:rsidRPr="00AD6D69">
        <w:rPr>
          <w:rFonts w:cs="Arial"/>
          <w:smallCaps/>
          <w:sz w:val="18"/>
          <w:szCs w:val="18"/>
          <w:lang w:val="fr-FR" w:eastAsia="x-none"/>
          <w14:cntxtAlts/>
        </w:rPr>
        <w:t>Massé</w:t>
      </w:r>
      <w:r w:rsidRPr="00AD6D69">
        <w:rPr>
          <w:rFonts w:cs="Arial"/>
          <w:sz w:val="18"/>
          <w:szCs w:val="18"/>
          <w:lang w:val="x-none" w:eastAsia="x-none"/>
          <w14:cntxtAlts/>
        </w:rPr>
        <w:t xml:space="preserve"> et Simon </w:t>
      </w:r>
      <w:r w:rsidRPr="00AD6D69">
        <w:rPr>
          <w:rFonts w:cs="Arial"/>
          <w:smallCaps/>
          <w:sz w:val="18"/>
          <w:szCs w:val="18"/>
          <w:lang w:val="fr-FR" w:eastAsia="x-none"/>
          <w14:cntxtAlts/>
        </w:rPr>
        <w:t>Tessier</w:t>
      </w:r>
      <w:r w:rsidRPr="00AD6D69">
        <w:rPr>
          <w:rFonts w:cs="Arial"/>
          <w:sz w:val="18"/>
          <w:szCs w:val="18"/>
          <w:lang w:val="x-none" w:eastAsia="x-none"/>
          <w14:cntxtAlts/>
        </w:rPr>
        <w:t xml:space="preserve">, </w:t>
      </w:r>
      <w:r w:rsidRPr="00AD6D69">
        <w:rPr>
          <w:rFonts w:cs="Arial"/>
          <w:i/>
          <w:sz w:val="18"/>
          <w:szCs w:val="18"/>
          <w:lang w:val="x-none" w:eastAsia="x-none"/>
          <w14:cntxtAlts/>
        </w:rPr>
        <w:t>Pour des logements salubres et abordables : rapport du directeur de santé publique de Montréal 2015</w:t>
      </w:r>
      <w:r w:rsidRPr="00AD6D69">
        <w:rPr>
          <w:rFonts w:cs="Arial"/>
          <w:sz w:val="18"/>
          <w:szCs w:val="18"/>
          <w:lang w:val="x-none" w:eastAsia="x-none"/>
          <w14:cntxtAlts/>
        </w:rPr>
        <w:t xml:space="preserve">, Direction régionale de santé publique, CIUSSS du Centre-Sud-de-l’Île-de-Montréal ; Elmer </w:t>
      </w:r>
      <w:r w:rsidRPr="00AD6D69">
        <w:rPr>
          <w:rFonts w:cs="Arial"/>
          <w:smallCaps/>
          <w:sz w:val="18"/>
          <w:szCs w:val="18"/>
          <w:lang w:val="fr-FR" w:eastAsia="x-none"/>
          <w14:cntxtAlts/>
        </w:rPr>
        <w:t>Van Der Vlugt</w:t>
      </w:r>
      <w:r w:rsidRPr="00AD6D69">
        <w:rPr>
          <w:rFonts w:cs="Arial"/>
          <w:sz w:val="18"/>
          <w:szCs w:val="18"/>
          <w:lang w:val="x-none" w:eastAsia="x-none"/>
          <w14:cntxtAlts/>
        </w:rPr>
        <w:t xml:space="preserve"> et Vincent </w:t>
      </w:r>
      <w:r w:rsidRPr="00AD6D69">
        <w:rPr>
          <w:rFonts w:cs="Arial"/>
          <w:smallCaps/>
          <w:sz w:val="18"/>
          <w:szCs w:val="18"/>
          <w:lang w:val="fr-FR" w:eastAsia="x-none"/>
          <w14:cntxtAlts/>
        </w:rPr>
        <w:t>Audet-Nadeau</w:t>
      </w:r>
      <w:r w:rsidRPr="00AD6D69">
        <w:rPr>
          <w:rFonts w:cs="Arial"/>
          <w:sz w:val="18"/>
          <w:szCs w:val="18"/>
          <w:lang w:val="x-none" w:eastAsia="x-none"/>
          <w14:cntxtAlts/>
        </w:rPr>
        <w:t xml:space="preserve">, </w:t>
      </w:r>
      <w:r w:rsidRPr="00AD6D69">
        <w:rPr>
          <w:rFonts w:cs="Arial"/>
          <w:i/>
          <w:sz w:val="18"/>
          <w:szCs w:val="18"/>
          <w:lang w:val="x-none" w:eastAsia="x-none"/>
          <w14:cntxtAlts/>
        </w:rPr>
        <w:t>Bien vieillir au Québec : portrait des inégalités entre générations et entre personnes aînées</w:t>
      </w:r>
      <w:r w:rsidRPr="00AD6D69">
        <w:rPr>
          <w:rFonts w:cs="Arial"/>
          <w:sz w:val="18"/>
          <w:szCs w:val="18"/>
          <w:lang w:val="x-none" w:eastAsia="x-none"/>
          <w14:cntxtAlts/>
        </w:rPr>
        <w:t>, Observatoire québécois des inégalités, 2020.</w:t>
      </w:r>
    </w:p>
  </w:footnote>
  <w:footnote w:id="47">
    <w:p w14:paraId="26C1F176"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 xml:space="preserve">Didier </w:t>
      </w:r>
      <w:r w:rsidRPr="00AD6D69">
        <w:rPr>
          <w:rFonts w:cs="Arial"/>
          <w:smallCaps/>
          <w:sz w:val="18"/>
          <w:szCs w:val="18"/>
          <w:lang w:val="fr-FR" w:eastAsia="x-none"/>
          <w14:cntxtAlts/>
        </w:rPr>
        <w:t>Fassin</w:t>
      </w:r>
      <w:r w:rsidRPr="00AD6D69">
        <w:rPr>
          <w:rFonts w:cs="Arial"/>
          <w:sz w:val="18"/>
          <w:szCs w:val="18"/>
          <w:lang w:val="x-none" w:eastAsia="x-none"/>
          <w14:cntxtAlts/>
        </w:rPr>
        <w:t xml:space="preserve">, Hélène </w:t>
      </w:r>
      <w:r w:rsidRPr="00AD6D69">
        <w:rPr>
          <w:rFonts w:cs="Arial"/>
          <w:smallCaps/>
          <w:sz w:val="18"/>
          <w:szCs w:val="18"/>
          <w:lang w:val="fr-FR" w:eastAsia="x-none"/>
          <w14:cntxtAlts/>
        </w:rPr>
        <w:t>Grandjean</w:t>
      </w:r>
      <w:r w:rsidRPr="00AD6D69">
        <w:rPr>
          <w:rFonts w:cs="Arial"/>
          <w:sz w:val="18"/>
          <w:szCs w:val="18"/>
          <w:lang w:val="x-none" w:eastAsia="x-none"/>
          <w14:cntxtAlts/>
        </w:rPr>
        <w:t xml:space="preserve">, Monique </w:t>
      </w:r>
      <w:r w:rsidRPr="00AD6D69">
        <w:rPr>
          <w:rFonts w:cs="Arial"/>
          <w:smallCaps/>
          <w:sz w:val="18"/>
          <w:szCs w:val="18"/>
          <w:lang w:val="fr-FR" w:eastAsia="x-none"/>
          <w14:cntxtAlts/>
        </w:rPr>
        <w:t>Kaminsky</w:t>
      </w:r>
      <w:r w:rsidRPr="00AD6D69">
        <w:rPr>
          <w:rFonts w:cs="Arial"/>
          <w:sz w:val="18"/>
          <w:szCs w:val="18"/>
          <w:lang w:val="x-none" w:eastAsia="x-none"/>
          <w14:cntxtAlts/>
        </w:rPr>
        <w:t xml:space="preserve">, Tierry </w:t>
      </w:r>
      <w:r w:rsidRPr="00AD6D69">
        <w:rPr>
          <w:rFonts w:cs="Arial"/>
          <w:smallCaps/>
          <w:sz w:val="18"/>
          <w:szCs w:val="18"/>
          <w:lang w:val="fr-FR" w:eastAsia="x-none"/>
          <w14:cntxtAlts/>
        </w:rPr>
        <w:t>Lang</w:t>
      </w:r>
      <w:r w:rsidRPr="00AD6D69">
        <w:rPr>
          <w:rFonts w:cs="Arial"/>
          <w:sz w:val="18"/>
          <w:szCs w:val="18"/>
          <w:lang w:val="x-none" w:eastAsia="x-none"/>
          <w14:cntxtAlts/>
        </w:rPr>
        <w:t xml:space="preserve"> et Annette </w:t>
      </w:r>
      <w:r w:rsidRPr="00AD6D69">
        <w:rPr>
          <w:rFonts w:cs="Arial"/>
          <w:smallCaps/>
          <w:sz w:val="18"/>
          <w:szCs w:val="18"/>
          <w:lang w:val="fr-FR" w:eastAsia="x-none"/>
          <w14:cntxtAlts/>
        </w:rPr>
        <w:t>Leclerc</w:t>
      </w:r>
      <w:r w:rsidRPr="00AD6D69">
        <w:rPr>
          <w:rFonts w:cs="Arial"/>
          <w:sz w:val="18"/>
          <w:szCs w:val="18"/>
          <w:lang w:val="x-none" w:eastAsia="x-none"/>
          <w14:cntxtAlts/>
        </w:rPr>
        <w:t xml:space="preserve">, « Connaître et comprendre les inégalités sociales de santé », dans Annette </w:t>
      </w:r>
      <w:r w:rsidRPr="00AD6D69">
        <w:rPr>
          <w:rFonts w:cs="Arial"/>
          <w:smallCaps/>
          <w:sz w:val="18"/>
          <w:szCs w:val="18"/>
          <w:lang w:val="fr-FR" w:eastAsia="x-none"/>
          <w14:cntxtAlts/>
        </w:rPr>
        <w:t>Leclerc</w:t>
      </w:r>
      <w:r w:rsidRPr="00AD6D69">
        <w:rPr>
          <w:rFonts w:cs="Arial"/>
          <w:i/>
          <w:sz w:val="18"/>
          <w:szCs w:val="18"/>
          <w:lang w:val="x-none" w:eastAsia="x-none"/>
          <w14:cntxtAlts/>
        </w:rPr>
        <w:t xml:space="preserve"> et al</w:t>
      </w:r>
      <w:r w:rsidRPr="00AD6D69">
        <w:rPr>
          <w:rFonts w:cs="Arial"/>
          <w:sz w:val="18"/>
          <w:szCs w:val="18"/>
          <w:lang w:val="x-none" w:eastAsia="x-none"/>
          <w14:cntxtAlts/>
        </w:rPr>
        <w:t xml:space="preserve">. (dir.), </w:t>
      </w:r>
      <w:r w:rsidRPr="00AD6D69">
        <w:rPr>
          <w:rFonts w:cs="Arial"/>
          <w:i/>
          <w:sz w:val="18"/>
          <w:szCs w:val="18"/>
          <w:lang w:val="x-none" w:eastAsia="x-none"/>
          <w14:cntxtAlts/>
        </w:rPr>
        <w:t>Les inégalités sociales de santé</w:t>
      </w:r>
      <w:r w:rsidRPr="00AD6D69">
        <w:rPr>
          <w:rFonts w:cs="Arial"/>
          <w:sz w:val="18"/>
          <w:szCs w:val="18"/>
          <w:lang w:val="x-none" w:eastAsia="x-none"/>
          <w14:cntxtAlts/>
        </w:rPr>
        <w:t>, Paris, La Découverte/INSERM, coll. « Recherches », 2000, p. 13.</w:t>
      </w:r>
    </w:p>
  </w:footnote>
  <w:footnote w:id="48">
    <w:p w14:paraId="795905E5"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fr-FR" w:eastAsia="x-none"/>
          <w14:cntxtAlts/>
        </w:rPr>
        <w:t>Organisation mondiale de la Santé</w:t>
      </w:r>
      <w:r w:rsidRPr="00AD6D69">
        <w:rPr>
          <w:rFonts w:cs="Arial"/>
          <w:sz w:val="18"/>
          <w:szCs w:val="18"/>
          <w:lang w:val="x-none" w:eastAsia="x-none"/>
          <w14:cntxtAlts/>
        </w:rPr>
        <w:t xml:space="preserve">, </w:t>
      </w:r>
      <w:r w:rsidRPr="00AD6D69">
        <w:rPr>
          <w:rFonts w:cs="Arial"/>
          <w:i/>
          <w:sz w:val="18"/>
          <w:szCs w:val="18"/>
          <w:lang w:val="x-none" w:eastAsia="x-none"/>
          <w14:cntxtAlts/>
        </w:rPr>
        <w:t>Combler le fossé en une génération : Instaurer l’équité en santé en agissant sur les déterminants sociaux de la santé </w:t>
      </w:r>
      <w:r w:rsidRPr="00AD6D69">
        <w:rPr>
          <w:rFonts w:cs="Arial"/>
          <w:i/>
          <w:sz w:val="18"/>
          <w:szCs w:val="18"/>
          <w:lang w:eastAsia="x-none"/>
          <w14:cntxtAlts/>
        </w:rPr>
        <w:t>: r</w:t>
      </w:r>
      <w:r w:rsidRPr="00AD6D69">
        <w:rPr>
          <w:rFonts w:cs="Arial"/>
          <w:i/>
          <w:sz w:val="18"/>
          <w:szCs w:val="18"/>
          <w:lang w:val="x-none" w:eastAsia="x-none"/>
          <w14:cntxtAlts/>
        </w:rPr>
        <w:t>apport final de la Commission des Déterminants Sociaux de la Santé</w:t>
      </w:r>
      <w:r w:rsidRPr="00AD6D69">
        <w:rPr>
          <w:rFonts w:cs="Arial"/>
          <w:sz w:val="18"/>
          <w:szCs w:val="18"/>
          <w:lang w:val="x-none" w:eastAsia="x-none"/>
          <w14:cntxtAlts/>
        </w:rPr>
        <w:t xml:space="preserve">, 2012, p. 26, [En ligne]. </w:t>
      </w:r>
      <w:hyperlink r:id="rId21" w:anchor=":~:text=Combler%20le%20fosse%CC%81%20en%20une%20ge%CC%81ne%CC%81ration%20%3A%20instaurer,la%20Sante%CC%81.%20Organisation%20mondiale%20de%20la%20Sante%CC%81.%20https%3A%2F%2Fapps.who.int%2Firis%2Fhandle%2F10665%2F44083" w:history="1">
        <w:r w:rsidRPr="00AD6D69">
          <w:rPr>
            <w:rStyle w:val="Lienhypertexte"/>
            <w:rFonts w:cs="Arial"/>
            <w:sz w:val="18"/>
            <w:szCs w:val="18"/>
            <w:lang w:val="x-none" w:eastAsia="x-none"/>
            <w14:cntxtAlts/>
          </w:rPr>
          <w:t>https://apps.who.int/iris/handle/10665/44083#:~:text=Combler%20le%20fosse%CC%81%20en%20une%20ge%CC%81ne%CC%81ration%20%3A%20instaurer,la%20Sante%CC%81.%20Organisation%20mondiale%20de%20la%20Sante%CC%81.%20https%3A%2F%2Fapps.who.int%2Firis%2Fhandle%2F10665%2F44083</w:t>
        </w:r>
      </w:hyperlink>
      <w:r w:rsidRPr="00AD6D69">
        <w:rPr>
          <w:rFonts w:cs="Arial"/>
          <w:sz w:val="18"/>
          <w:szCs w:val="18"/>
          <w:lang w:val="x-none" w:eastAsia="x-none"/>
          <w14:cntxtAlts/>
        </w:rPr>
        <w:t xml:space="preserve"> (ci-après « OMS »).</w:t>
      </w:r>
    </w:p>
  </w:footnote>
  <w:footnote w:id="49">
    <w:p w14:paraId="67440DB6" w14:textId="77777777" w:rsidR="00463481" w:rsidRPr="00AD6D69" w:rsidRDefault="00463481" w:rsidP="00AD6D69">
      <w:pPr>
        <w:tabs>
          <w:tab w:val="left" w:pos="720"/>
        </w:tabs>
        <w:spacing w:after="120" w:line="240" w:lineRule="auto"/>
        <w:ind w:left="709" w:hanging="709"/>
        <w:jc w:val="left"/>
        <w:rPr>
          <w:rFonts w:cs="Arial"/>
          <w:sz w:val="18"/>
          <w:szCs w:val="18"/>
          <w:lang w:val="en-CA" w:eastAsia="x-none"/>
          <w14:cntxtAlts/>
        </w:rPr>
      </w:pPr>
      <w:r w:rsidRPr="00AD6D69">
        <w:rPr>
          <w:rStyle w:val="Appelnotedebasdep"/>
          <w:rFonts w:cs="Arial"/>
          <w:sz w:val="18"/>
          <w:szCs w:val="18"/>
          <w:lang w:val="x-none" w:eastAsia="x-none"/>
          <w14:cntxtAlts/>
        </w:rPr>
        <w:footnoteRef/>
      </w:r>
      <w:r w:rsidRPr="00AD6D69">
        <w:rPr>
          <w:rFonts w:cs="Arial"/>
          <w:sz w:val="18"/>
          <w:szCs w:val="18"/>
          <w:lang w:val="en-CA" w:eastAsia="x-none"/>
          <w14:cntxtAlts/>
        </w:rPr>
        <w:t xml:space="preserve"> </w:t>
      </w:r>
      <w:r w:rsidRPr="00AD6D69">
        <w:rPr>
          <w:rFonts w:cs="Arial"/>
          <w:sz w:val="18"/>
          <w:szCs w:val="18"/>
          <w:lang w:val="en-CA" w:eastAsia="x-none"/>
          <w14:cntxtAlts/>
        </w:rPr>
        <w:tab/>
      </w:r>
      <w:r w:rsidRPr="00AD6D69">
        <w:rPr>
          <w:rFonts w:cs="Arial"/>
          <w:i/>
          <w:sz w:val="18"/>
          <w:szCs w:val="18"/>
          <w:lang w:val="en-CA" w:eastAsia="x-none"/>
          <w14:cntxtAlts/>
        </w:rPr>
        <w:t>Id.</w:t>
      </w:r>
      <w:r w:rsidRPr="00AD6D69">
        <w:rPr>
          <w:rFonts w:cs="Arial"/>
          <w:sz w:val="18"/>
          <w:szCs w:val="18"/>
          <w:lang w:val="en-CA" w:eastAsia="x-none"/>
          <w14:cntxtAlts/>
        </w:rPr>
        <w:t>, p. 3</w:t>
      </w:r>
    </w:p>
  </w:footnote>
  <w:footnote w:id="50">
    <w:p w14:paraId="38CEF222" w14:textId="77777777" w:rsidR="00463481" w:rsidRPr="00AD6D69" w:rsidRDefault="00463481" w:rsidP="00AD6D69">
      <w:pPr>
        <w:tabs>
          <w:tab w:val="left" w:pos="720"/>
        </w:tabs>
        <w:spacing w:after="120" w:line="240" w:lineRule="auto"/>
        <w:ind w:left="709" w:hanging="709"/>
        <w:jc w:val="left"/>
        <w:rPr>
          <w:rFonts w:cs="Arial"/>
          <w:sz w:val="18"/>
          <w:szCs w:val="18"/>
          <w:lang w:val="en-CA" w:eastAsia="x-none"/>
          <w14:cntxtAlts/>
        </w:rPr>
      </w:pPr>
      <w:r w:rsidRPr="00AD6D69">
        <w:rPr>
          <w:rStyle w:val="Appelnotedebasdep"/>
          <w:rFonts w:cs="Arial"/>
          <w:sz w:val="18"/>
          <w:szCs w:val="18"/>
          <w:lang w:val="x-none" w:eastAsia="x-none"/>
          <w14:cntxtAlts/>
        </w:rPr>
        <w:footnoteRef/>
      </w:r>
      <w:r w:rsidRPr="00AD6D69">
        <w:rPr>
          <w:rFonts w:cs="Arial"/>
          <w:sz w:val="18"/>
          <w:szCs w:val="18"/>
          <w:lang w:val="en-CA" w:eastAsia="x-none"/>
          <w14:cntxtAlts/>
        </w:rPr>
        <w:t xml:space="preserve"> </w:t>
      </w:r>
      <w:r w:rsidRPr="00AD6D69">
        <w:rPr>
          <w:rFonts w:cs="Arial"/>
          <w:sz w:val="18"/>
          <w:szCs w:val="18"/>
          <w:lang w:val="en-CA" w:eastAsia="x-none"/>
          <w14:cntxtAlts/>
        </w:rPr>
        <w:tab/>
        <w:t xml:space="preserve">Michael </w:t>
      </w:r>
      <w:r w:rsidRPr="00AD6D69">
        <w:rPr>
          <w:rFonts w:cs="Arial"/>
          <w:smallCaps/>
          <w:sz w:val="18"/>
          <w:szCs w:val="18"/>
          <w:lang w:val="en-CA" w:eastAsia="x-none"/>
          <w14:cntxtAlts/>
        </w:rPr>
        <w:t>Marmot</w:t>
      </w:r>
      <w:r w:rsidRPr="00AD6D69">
        <w:rPr>
          <w:rFonts w:cs="Arial"/>
          <w:sz w:val="18"/>
          <w:szCs w:val="18"/>
          <w:lang w:val="x-none" w:eastAsia="x-none"/>
          <w14:cntxtAlts/>
        </w:rPr>
        <w:t xml:space="preserve">, </w:t>
      </w:r>
      <w:r w:rsidRPr="00AD6D69">
        <w:rPr>
          <w:rFonts w:cs="Arial"/>
          <w:i/>
          <w:iCs/>
          <w:sz w:val="18"/>
          <w:szCs w:val="18"/>
          <w:lang w:val="x-none" w:eastAsia="x-none"/>
          <w14:cntxtAlts/>
        </w:rPr>
        <w:t>The Status Syndrome: How Social Standing Affects Our Health and Longevity</w:t>
      </w:r>
      <w:r w:rsidRPr="00AD6D69">
        <w:rPr>
          <w:rFonts w:cs="Arial"/>
          <w:sz w:val="18"/>
          <w:szCs w:val="18"/>
          <w:lang w:val="x-none" w:eastAsia="x-none"/>
          <w14:cntxtAlts/>
        </w:rPr>
        <w:t xml:space="preserve">, New York: Owl Books, 2004; Richard </w:t>
      </w:r>
      <w:r w:rsidRPr="00AD6D69">
        <w:rPr>
          <w:rFonts w:cs="Arial"/>
          <w:smallCaps/>
          <w:sz w:val="18"/>
          <w:szCs w:val="18"/>
          <w:lang w:val="en-CA" w:eastAsia="x-none"/>
          <w14:cntxtAlts/>
        </w:rPr>
        <w:t>Wilkinson</w:t>
      </w:r>
      <w:r w:rsidRPr="00AD6D69">
        <w:rPr>
          <w:rFonts w:cs="Arial"/>
          <w:sz w:val="18"/>
          <w:szCs w:val="18"/>
          <w:lang w:val="x-none" w:eastAsia="x-none"/>
          <w14:cntxtAlts/>
        </w:rPr>
        <w:t xml:space="preserve"> et Kate </w:t>
      </w:r>
      <w:r w:rsidRPr="00AD6D69">
        <w:rPr>
          <w:rFonts w:cs="Arial"/>
          <w:smallCaps/>
          <w:sz w:val="18"/>
          <w:szCs w:val="18"/>
          <w:lang w:val="en-CA" w:eastAsia="x-none"/>
          <w14:cntxtAlts/>
        </w:rPr>
        <w:t>Pickett</w:t>
      </w:r>
      <w:r w:rsidRPr="00AD6D69">
        <w:rPr>
          <w:rFonts w:cs="Arial"/>
          <w:sz w:val="18"/>
          <w:szCs w:val="18"/>
          <w:lang w:val="x-none" w:eastAsia="x-none"/>
          <w14:cntxtAlts/>
        </w:rPr>
        <w:t xml:space="preserve">, </w:t>
      </w:r>
      <w:r w:rsidRPr="00AD6D69">
        <w:rPr>
          <w:rFonts w:cs="Arial"/>
          <w:i/>
          <w:iCs/>
          <w:sz w:val="18"/>
          <w:szCs w:val="18"/>
          <w:lang w:val="x-none" w:eastAsia="x-none"/>
          <w14:cntxtAlts/>
        </w:rPr>
        <w:t>The Spirit Level: Why Greater Equality Makes Societies Stronger</w:t>
      </w:r>
      <w:r w:rsidRPr="00AD6D69">
        <w:rPr>
          <w:rFonts w:cs="Arial"/>
          <w:sz w:val="18"/>
          <w:szCs w:val="18"/>
          <w:lang w:val="x-none" w:eastAsia="x-none"/>
          <w14:cntxtAlts/>
        </w:rPr>
        <w:t xml:space="preserve">, New York, Bloomsbury Press, 2009.  </w:t>
      </w:r>
    </w:p>
  </w:footnote>
  <w:footnote w:id="51">
    <w:p w14:paraId="762BD538" w14:textId="25E8A632"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mallCaps/>
          <w:sz w:val="18"/>
          <w:szCs w:val="18"/>
          <w:lang w:val="fr-FR"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2016-1</w:t>
      </w:r>
      <w:r w:rsidRPr="00AD6D69">
        <w:rPr>
          <w:rFonts w:cs="Arial"/>
          <w:sz w:val="18"/>
          <w:szCs w:val="18"/>
          <w:lang w:val="x-none" w:eastAsia="x-none"/>
          <w14:cntxtAlts/>
        </w:rPr>
        <w:t>), préc., note 6, p. </w:t>
      </w:r>
      <w:r w:rsidRPr="00AD6D69">
        <w:rPr>
          <w:rFonts w:cs="Arial"/>
          <w:sz w:val="18"/>
          <w:szCs w:val="18"/>
          <w:lang w:val="x-none" w:eastAsia="x-none"/>
          <w14:cntxtAlts/>
        </w:rPr>
        <w:t>33 </w:t>
      </w:r>
      <w:r w:rsidRPr="00AD6D69">
        <w:rPr>
          <w:rFonts w:cs="Arial"/>
          <w:sz w:val="18"/>
          <w:szCs w:val="18"/>
          <w:lang w:val="fr-FR" w:eastAsia="x-none"/>
          <w14:cntxtAlts/>
        </w:rPr>
        <w:t xml:space="preserve">; </w:t>
      </w:r>
      <w:r w:rsidRPr="00AD6D69">
        <w:rPr>
          <w:rFonts w:cs="Arial"/>
          <w:smallCaps/>
          <w:sz w:val="18"/>
          <w:szCs w:val="18"/>
          <w:lang w:val="x-none" w:eastAsia="x-none"/>
          <w14:cntxtAlts/>
        </w:rPr>
        <w:t>Commission des droits de la personne et des droits de la jeunesse</w:t>
      </w:r>
      <w:r w:rsidRPr="00AD6D69">
        <w:rPr>
          <w:rFonts w:cs="Arial"/>
          <w:smallCaps/>
          <w:sz w:val="18"/>
          <w:szCs w:val="18"/>
          <w:lang w:val="fr-FR" w:eastAsia="x-none"/>
          <w14:cntxtAlts/>
        </w:rPr>
        <w:t xml:space="preserve">, </w:t>
      </w:r>
      <w:r w:rsidRPr="00AD6D69">
        <w:rPr>
          <w:rFonts w:cs="Arial"/>
          <w:sz w:val="18"/>
          <w:szCs w:val="18"/>
          <w:lang w:val="fr-FR" w:eastAsia="x-none"/>
          <w14:cntxtAlts/>
        </w:rPr>
        <w:t xml:space="preserve">préc., </w:t>
      </w:r>
      <w:proofErr w:type="gramStart"/>
      <w:r w:rsidRPr="00AD6D69">
        <w:rPr>
          <w:rFonts w:cs="Arial"/>
          <w:sz w:val="18"/>
          <w:szCs w:val="18"/>
          <w:lang w:val="fr-FR" w:eastAsia="x-none"/>
          <w14:cntxtAlts/>
        </w:rPr>
        <w:t>note</w:t>
      </w:r>
      <w:proofErr w:type="gramEnd"/>
      <w:r w:rsidRPr="00AD6D69">
        <w:rPr>
          <w:rFonts w:cs="Arial"/>
          <w:sz w:val="18"/>
          <w:szCs w:val="18"/>
          <w:lang w:val="fr-FR" w:eastAsia="x-none"/>
          <w14:cntxtAlts/>
        </w:rPr>
        <w:t xml:space="preserv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_Ref138769321 \h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25</w:t>
      </w:r>
      <w:r w:rsidRPr="00AD6D69">
        <w:rPr>
          <w:rFonts w:cs="Arial"/>
          <w:sz w:val="18"/>
          <w:szCs w:val="18"/>
          <w:lang w:val="fr-FR" w:eastAsia="x-none"/>
          <w14:cntxtAlts/>
        </w:rPr>
        <w:fldChar w:fldCharType="end"/>
      </w:r>
      <w:r w:rsidRPr="00AD6D69">
        <w:rPr>
          <w:rFonts w:cs="Arial"/>
          <w:sz w:val="18"/>
          <w:szCs w:val="18"/>
          <w:lang w:val="fr-FR" w:eastAsia="x-none"/>
          <w14:cntxtAlts/>
        </w:rPr>
        <w:t>, p. 87.</w:t>
      </w:r>
    </w:p>
  </w:footnote>
  <w:footnote w:id="52">
    <w:p w14:paraId="0A9FC181"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mallCaps/>
          <w:sz w:val="18"/>
          <w:szCs w:val="18"/>
          <w:lang w:val="fr-FR"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2016-1</w:t>
      </w:r>
      <w:r w:rsidRPr="00AD6D69">
        <w:rPr>
          <w:rFonts w:cs="Arial"/>
          <w:sz w:val="18"/>
          <w:szCs w:val="18"/>
          <w:lang w:val="x-none" w:eastAsia="x-none"/>
          <w14:cntxtAlts/>
        </w:rPr>
        <w:t>), préc., note 6, p. 33.</w:t>
      </w:r>
    </w:p>
  </w:footnote>
  <w:footnote w:id="53">
    <w:p w14:paraId="2DCF2497"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Id.</w:t>
      </w:r>
      <w:r w:rsidRPr="00AD6D69">
        <w:rPr>
          <w:rFonts w:cs="Arial"/>
          <w:sz w:val="18"/>
          <w:szCs w:val="18"/>
          <w:lang w:val="x-none" w:eastAsia="x-none"/>
          <w14:cntxtAlts/>
        </w:rPr>
        <w:t>, p. 34</w:t>
      </w:r>
    </w:p>
  </w:footnote>
  <w:footnote w:id="54">
    <w:p w14:paraId="7EBB8D91"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eastAsia="x-none"/>
          <w14:cntxtAlts/>
        </w:rPr>
        <w:t>Mémoire à la Commission des affaires sociales de l’Assemblée nationale sur le document de consultation « Garantir l’accès : un défi d’équité, d’efficience et de qualité »</w:t>
      </w:r>
      <w:r w:rsidRPr="00AD6D69">
        <w:rPr>
          <w:rFonts w:cs="Arial"/>
          <w:sz w:val="18"/>
          <w:szCs w:val="18"/>
          <w:lang w:val="x-none" w:eastAsia="x-none"/>
          <w14:cntxtAlts/>
        </w:rPr>
        <w:t>,</w:t>
      </w:r>
      <w:r w:rsidRPr="00AD6D69">
        <w:rPr>
          <w:rFonts w:cs="Arial"/>
          <w:sz w:val="18"/>
          <w:szCs w:val="18"/>
          <w:lang w:eastAsia="x-none"/>
          <w14:cntxtAlts/>
        </w:rPr>
        <w:t xml:space="preserve"> (Cat. 2.412.102), 2006,</w:t>
      </w:r>
      <w:r w:rsidRPr="00AD6D69">
        <w:rPr>
          <w:rFonts w:cs="Arial"/>
          <w:sz w:val="18"/>
          <w:szCs w:val="18"/>
          <w:lang w:val="x-none" w:eastAsia="x-none"/>
          <w14:cntxtAlts/>
        </w:rPr>
        <w:t xml:space="preserve"> p. 9.</w:t>
      </w:r>
    </w:p>
  </w:footnote>
  <w:footnote w:id="55">
    <w:p w14:paraId="7C32F646"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Selon la Société canadienne d’hypothèque et de logement, « </w:t>
      </w:r>
      <w:r w:rsidRPr="00AD6D69">
        <w:rPr>
          <w:rFonts w:cs="Arial"/>
          <w:sz w:val="18"/>
          <w:szCs w:val="18"/>
          <w:lang w:val="fr-FR" w:eastAsia="x-none"/>
          <w14:cntxtAlts/>
        </w:rPr>
        <w:t>u</w:t>
      </w:r>
      <w:r w:rsidRPr="00AD6D69">
        <w:rPr>
          <w:rFonts w:cs="Arial"/>
          <w:sz w:val="18"/>
          <w:szCs w:val="18"/>
          <w:lang w:val="x-none" w:eastAsia="x-none"/>
          <w14:cntxtAlts/>
        </w:rPr>
        <w:t xml:space="preserve">n ménage éprouve des besoins impérieux en matière de logement si son logement n’est pas conforme à au moins une des normes (qualité convenable, taille convenable et prix abordable) et si 30 % ou plus de son revenu total avant impôt était nécessaire pour payer le loyer médian (services publics compris) d’autres logements du marché local répondant aux trois normes. » Voir : </w:t>
      </w:r>
      <w:r w:rsidRPr="00AD6D69">
        <w:rPr>
          <w:rFonts w:cs="Arial"/>
          <w:smallCaps/>
          <w:sz w:val="18"/>
          <w:szCs w:val="18"/>
          <w:lang w:val="fr-FR" w:eastAsia="x-none"/>
          <w14:cntxtAlts/>
        </w:rPr>
        <w:t>Société canadienne d’hypothèque et de logement</w:t>
      </w:r>
      <w:r w:rsidRPr="00AD6D69">
        <w:rPr>
          <w:rFonts w:cs="Arial"/>
          <w:sz w:val="18"/>
          <w:szCs w:val="18"/>
          <w:lang w:val="fr-FR" w:eastAsia="x-none"/>
          <w14:cntxtAlts/>
        </w:rPr>
        <w:t xml:space="preserve">, </w:t>
      </w:r>
      <w:r w:rsidRPr="00AD6D69">
        <w:rPr>
          <w:rFonts w:cs="Arial"/>
          <w:i/>
          <w:iCs/>
          <w:sz w:val="18"/>
          <w:szCs w:val="18"/>
          <w:lang w:val="fr-FR" w:eastAsia="x-none"/>
          <w14:cntxtAlts/>
        </w:rPr>
        <w:t>Stratégie nationale sur le logement — Glossaire des termes courants</w:t>
      </w:r>
      <w:r w:rsidRPr="00AD6D69">
        <w:rPr>
          <w:rFonts w:cs="Arial"/>
          <w:sz w:val="18"/>
          <w:szCs w:val="18"/>
          <w:lang w:val="x-none" w:eastAsia="x-none"/>
          <w14:cntxtAlts/>
        </w:rPr>
        <w:t xml:space="preserve">, [En ligne]. </w:t>
      </w:r>
      <w:hyperlink r:id="rId22" w:history="1">
        <w:r w:rsidRPr="00AD6D69">
          <w:rPr>
            <w:rStyle w:val="Lienhypertexte"/>
            <w:rFonts w:cs="Arial"/>
            <w:sz w:val="18"/>
            <w:szCs w:val="18"/>
            <w:lang w:val="x-none" w:eastAsia="x-none"/>
            <w14:cntxtAlts/>
          </w:rPr>
          <w:t>https://www.cmhc-schl.gc.ca/fr/strategie-nationale-sur-le-logement/questce-que-la-strategie/strategie-nationale-sur-le-logement--glossaire-des-termes-courants</w:t>
        </w:r>
      </w:hyperlink>
      <w:r w:rsidRPr="00AD6D69">
        <w:rPr>
          <w:rFonts w:cs="Arial"/>
          <w:sz w:val="18"/>
          <w:szCs w:val="18"/>
          <w:lang w:val="fr-FR" w:eastAsia="x-none"/>
          <w14:cntxtAlts/>
        </w:rPr>
        <w:t xml:space="preserve"> </w:t>
      </w:r>
    </w:p>
  </w:footnote>
  <w:footnote w:id="56">
    <w:p w14:paraId="4A1ECC59" w14:textId="77777777" w:rsidR="00463481" w:rsidRPr="00AD6D69" w:rsidRDefault="00463481" w:rsidP="00AD6D69">
      <w:pPr>
        <w:tabs>
          <w:tab w:val="left" w:pos="720"/>
        </w:tabs>
        <w:spacing w:after="120" w:line="240" w:lineRule="auto"/>
        <w:ind w:left="709" w:hanging="709"/>
        <w:jc w:val="left"/>
        <w:rPr>
          <w:rFonts w:cs="Arial"/>
          <w:i/>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t xml:space="preserve">Voir notamment : Philippe-André </w:t>
      </w:r>
      <w:r w:rsidRPr="00AD6D69">
        <w:rPr>
          <w:rFonts w:cs="Arial"/>
          <w:smallCaps/>
          <w:sz w:val="18"/>
          <w:szCs w:val="18"/>
          <w:lang w:val="fr-FR" w:eastAsia="x-none"/>
          <w14:cntxtAlts/>
        </w:rPr>
        <w:t>Tessier</w:t>
      </w:r>
      <w:r w:rsidRPr="00AD6D69">
        <w:rPr>
          <w:rFonts w:cs="Arial"/>
          <w:sz w:val="18"/>
          <w:szCs w:val="18"/>
          <w:lang w:val="fr-FR" w:eastAsia="x-none"/>
          <w14:cntxtAlts/>
        </w:rPr>
        <w:t xml:space="preserve">, Myrlande </w:t>
      </w:r>
      <w:r w:rsidRPr="00AD6D69">
        <w:rPr>
          <w:rFonts w:cs="Arial"/>
          <w:smallCaps/>
          <w:sz w:val="18"/>
          <w:szCs w:val="18"/>
          <w:lang w:val="fr-FR" w:eastAsia="x-none"/>
          <w14:cntxtAlts/>
        </w:rPr>
        <w:t>Pierre</w:t>
      </w:r>
      <w:r w:rsidRPr="00AD6D69">
        <w:rPr>
          <w:rFonts w:cs="Arial"/>
          <w:sz w:val="18"/>
          <w:szCs w:val="18"/>
          <w:lang w:val="fr-FR" w:eastAsia="x-none"/>
          <w14:cntxtAlts/>
        </w:rPr>
        <w:t xml:space="preserve"> et Suzanne </w:t>
      </w:r>
      <w:r w:rsidRPr="00AD6D69">
        <w:rPr>
          <w:rFonts w:cs="Arial"/>
          <w:smallCaps/>
          <w:sz w:val="18"/>
          <w:szCs w:val="18"/>
          <w:lang w:val="fr-FR" w:eastAsia="x-none"/>
          <w14:cntxtAlts/>
        </w:rPr>
        <w:t>Arpin</w:t>
      </w:r>
      <w:r w:rsidRPr="00AD6D69">
        <w:rPr>
          <w:rFonts w:cs="Arial"/>
          <w:sz w:val="18"/>
          <w:szCs w:val="18"/>
          <w:lang w:val="fr-FR" w:eastAsia="x-none"/>
          <w14:cntxtAlts/>
        </w:rPr>
        <w:t xml:space="preserve">, </w:t>
      </w:r>
      <w:r w:rsidRPr="00AD6D69">
        <w:rPr>
          <w:rFonts w:cs="Arial"/>
          <w:i/>
          <w:iCs/>
          <w:sz w:val="18"/>
          <w:szCs w:val="18"/>
          <w:lang w:val="fr-FR" w:eastAsia="x-none"/>
          <w14:cntxtAlts/>
        </w:rPr>
        <w:t>Le droit au logement est protégé par la Charte des droits et libertés de la personne</w:t>
      </w:r>
      <w:r w:rsidRPr="00AD6D69">
        <w:rPr>
          <w:rFonts w:cs="Arial"/>
          <w:sz w:val="18"/>
          <w:szCs w:val="18"/>
          <w:lang w:val="fr-FR" w:eastAsia="x-none"/>
          <w14:cntxtAlts/>
        </w:rPr>
        <w:t>, 1</w:t>
      </w:r>
      <w:r w:rsidRPr="00AD6D69">
        <w:rPr>
          <w:rFonts w:cs="Arial"/>
          <w:sz w:val="18"/>
          <w:szCs w:val="18"/>
          <w:vertAlign w:val="superscript"/>
          <w:lang w:val="fr-FR" w:eastAsia="x-none"/>
          <w14:cntxtAlts/>
        </w:rPr>
        <w:t>er</w:t>
      </w:r>
      <w:r w:rsidRPr="00AD6D69">
        <w:rPr>
          <w:rFonts w:cs="Arial"/>
          <w:sz w:val="18"/>
          <w:szCs w:val="18"/>
          <w:lang w:val="fr-FR" w:eastAsia="x-none"/>
          <w14:cntxtAlts/>
        </w:rPr>
        <w:t xml:space="preserve"> mai 2021, [En ligne]. </w:t>
      </w:r>
      <w:hyperlink r:id="rId23" w:history="1">
        <w:r w:rsidRPr="00AD6D69">
          <w:rPr>
            <w:rStyle w:val="Lienhypertexte"/>
            <w:rFonts w:cs="Arial"/>
            <w:sz w:val="18"/>
            <w:szCs w:val="18"/>
            <w:lang w:val="x-none" w:eastAsia="x-none"/>
            <w14:cntxtAlts/>
          </w:rPr>
          <w:t>https://www.cdpdj.qc.ca/fr/actualites/lettre-droit-au-logement</w:t>
        </w:r>
      </w:hyperlink>
      <w:r w:rsidRPr="00AD6D69">
        <w:rPr>
          <w:rFonts w:cs="Arial"/>
          <w:sz w:val="18"/>
          <w:szCs w:val="18"/>
          <w:lang w:val="fr-FR" w:eastAsia="x-none"/>
          <w14:cntxtAlts/>
        </w:rPr>
        <w:t xml:space="preserve"> </w:t>
      </w:r>
    </w:p>
  </w:footnote>
  <w:footnote w:id="57">
    <w:p w14:paraId="1A9241FC" w14:textId="56C1E5A5"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fr-FR" w:eastAsia="x-none"/>
          <w14:cntxtAlts/>
        </w:rPr>
        <w:t xml:space="preserve">, préc., </w:t>
      </w:r>
      <w:proofErr w:type="gramStart"/>
      <w:r w:rsidRPr="00AD6D69">
        <w:rPr>
          <w:rFonts w:cs="Arial"/>
          <w:sz w:val="18"/>
          <w:szCs w:val="18"/>
          <w:lang w:val="fr-FR" w:eastAsia="x-none"/>
          <w14:cntxtAlts/>
        </w:rPr>
        <w:t>note</w:t>
      </w:r>
      <w:proofErr w:type="gramEnd"/>
      <w:r w:rsidRPr="00AD6D69">
        <w:rPr>
          <w:rFonts w:cs="Arial"/>
          <w:sz w:val="18"/>
          <w:szCs w:val="18"/>
          <w:lang w:val="fr-FR" w:eastAsia="x-none"/>
          <w14:cntxtAlts/>
        </w:rPr>
        <w:t xml:space="preserv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_Ref138769321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25</w:t>
      </w:r>
      <w:r w:rsidRPr="00AD6D69">
        <w:rPr>
          <w:rFonts w:cs="Arial"/>
          <w:sz w:val="18"/>
          <w:szCs w:val="18"/>
          <w:lang w:val="fr-FR" w:eastAsia="x-none"/>
          <w14:cntxtAlts/>
        </w:rPr>
        <w:fldChar w:fldCharType="end"/>
      </w:r>
      <w:r w:rsidRPr="00AD6D69">
        <w:rPr>
          <w:rFonts w:cs="Arial"/>
          <w:sz w:val="18"/>
          <w:szCs w:val="18"/>
          <w:lang w:val="fr-FR" w:eastAsia="x-none"/>
          <w14:cntxtAlts/>
        </w:rPr>
        <w:t xml:space="preserve">, </w:t>
      </w:r>
      <w:r w:rsidRPr="00AD6D69">
        <w:rPr>
          <w:rFonts w:cs="Arial"/>
          <w:sz w:val="18"/>
          <w:szCs w:val="18"/>
          <w:lang w:val="x-none" w:eastAsia="x-none"/>
          <w14:cntxtAlts/>
        </w:rPr>
        <w:t>p. 113.</w:t>
      </w:r>
    </w:p>
  </w:footnote>
  <w:footnote w:id="58">
    <w:p w14:paraId="77FA173E"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Mémoire à la Commission de l’aménagement du territoire de l’Assemblée nationale – Les interventions dans le domaine du logement : une pierre angulaire de la lutte contre la pauvreté et l’exclusion (Mandat d’initiative)</w:t>
      </w:r>
      <w:r w:rsidRPr="00AD6D69">
        <w:rPr>
          <w:rFonts w:cs="Arial"/>
          <w:sz w:val="18"/>
          <w:szCs w:val="18"/>
          <w:lang w:val="x-none" w:eastAsia="x-none"/>
          <w14:cntxtAlts/>
        </w:rPr>
        <w:t>, (Cat. 2.177.2), 2002</w:t>
      </w:r>
      <w:r w:rsidRPr="00AD6D69">
        <w:rPr>
          <w:rFonts w:cs="Arial"/>
          <w:sz w:val="18"/>
          <w:szCs w:val="18"/>
          <w:lang w:val="fr-FR" w:eastAsia="x-none"/>
          <w14:cntxtAlts/>
        </w:rPr>
        <w:t>, [En ligne]</w:t>
      </w:r>
      <w:r w:rsidRPr="00AD6D69">
        <w:rPr>
          <w:rFonts w:cs="Arial"/>
          <w:sz w:val="18"/>
          <w:szCs w:val="18"/>
          <w:lang w:val="x-none" w:eastAsia="x-none"/>
          <w14:cntxtAlts/>
        </w:rPr>
        <w:t>.</w:t>
      </w:r>
      <w:r w:rsidRPr="00AD6D69">
        <w:rPr>
          <w:rFonts w:cs="Arial"/>
          <w:sz w:val="18"/>
          <w:szCs w:val="18"/>
          <w:lang w:val="fr-FR" w:eastAsia="x-none"/>
          <w14:cntxtAlts/>
        </w:rPr>
        <w:t xml:space="preserve"> </w:t>
      </w:r>
      <w:hyperlink r:id="rId24" w:history="1">
        <w:r w:rsidRPr="00AD6D69">
          <w:rPr>
            <w:rStyle w:val="Lienhypertexte"/>
            <w:rFonts w:cs="Arial"/>
            <w:sz w:val="18"/>
            <w:szCs w:val="18"/>
            <w:lang w:val="fr-FR" w:eastAsia="x-none"/>
            <w14:cntxtAlts/>
          </w:rPr>
          <w:t>https://www.cdpdj.qc.ca/storage/app/media/publications/logement_social_memoire.pdf</w:t>
        </w:r>
      </w:hyperlink>
      <w:r w:rsidRPr="00AD6D69">
        <w:rPr>
          <w:rFonts w:cs="Arial"/>
          <w:sz w:val="18"/>
          <w:szCs w:val="18"/>
          <w:lang w:val="fr-FR" w:eastAsia="x-none"/>
          <w14:cntxtAlts/>
        </w:rPr>
        <w:t xml:space="preserve"> </w:t>
      </w:r>
    </w:p>
  </w:footnote>
  <w:footnote w:id="59">
    <w:p w14:paraId="505A964A"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Déclaration de la Commission des droits de la personne et des droits de la jeunesse sur la lutte contre la pauvreté et l’exclusion social</w:t>
      </w:r>
      <w:r w:rsidRPr="00AD6D69">
        <w:rPr>
          <w:rFonts w:cs="Arial"/>
          <w:i/>
          <w:iCs/>
          <w:sz w:val="18"/>
          <w:szCs w:val="18"/>
          <w:lang w:eastAsia="x-none"/>
          <w14:cntxtAlts/>
        </w:rPr>
        <w:t>e —</w:t>
      </w:r>
      <w:r w:rsidRPr="00AD6D69">
        <w:rPr>
          <w:rFonts w:cs="Arial"/>
          <w:i/>
          <w:iCs/>
          <w:sz w:val="18"/>
          <w:szCs w:val="18"/>
          <w:lang w:val="x-none" w:eastAsia="x-none"/>
          <w14:cntxtAlts/>
        </w:rPr>
        <w:t xml:space="preserve"> Assurer pleinement l’exercice de tous les droits humains : un enjeu fondamental pour lutter contre la pauvreté et l’exclusion sociale</w:t>
      </w:r>
      <w:r w:rsidRPr="00AD6D69">
        <w:rPr>
          <w:rFonts w:cs="Arial"/>
          <w:sz w:val="18"/>
          <w:szCs w:val="18"/>
          <w:lang w:val="x-none" w:eastAsia="x-none"/>
          <w14:cntxtAlts/>
        </w:rPr>
        <w:t>, (Cat. 2.600.226), 2010, p. 7</w:t>
      </w:r>
      <w:r w:rsidRPr="00AD6D69">
        <w:rPr>
          <w:rFonts w:cs="Arial"/>
          <w:sz w:val="18"/>
          <w:szCs w:val="18"/>
          <w:lang w:val="fr-FR" w:eastAsia="x-none"/>
          <w14:cntxtAlts/>
        </w:rPr>
        <w:t xml:space="preserve">, [En ligne]. </w:t>
      </w:r>
      <w:hyperlink r:id="rId25" w:history="1">
        <w:r w:rsidRPr="00AD6D69">
          <w:rPr>
            <w:rStyle w:val="Lienhypertexte"/>
            <w:rFonts w:cs="Arial"/>
            <w:sz w:val="18"/>
            <w:szCs w:val="18"/>
            <w:lang w:val="fr-FR" w:eastAsia="x-none"/>
            <w14:cntxtAlts/>
          </w:rPr>
          <w:t>https://www.cdpdj.qc.ca/storage/app/media/publications/pauvrete_declaration_2010.pdf</w:t>
        </w:r>
      </w:hyperlink>
      <w:r w:rsidRPr="00AD6D69">
        <w:rPr>
          <w:rFonts w:cs="Arial"/>
          <w:sz w:val="18"/>
          <w:szCs w:val="18"/>
          <w:lang w:val="fr-FR" w:eastAsia="x-none"/>
          <w14:cntxtAlts/>
        </w:rPr>
        <w:t xml:space="preserve"> </w:t>
      </w:r>
    </w:p>
  </w:footnote>
  <w:footnote w:id="60">
    <w:p w14:paraId="3E447CF5"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Ci-après « CEPE ».</w:t>
      </w:r>
    </w:p>
  </w:footnote>
  <w:footnote w:id="61">
    <w:p w14:paraId="647AA84E"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Centre d’étude sur la pauvreté et l’exclusion</w:t>
      </w:r>
      <w:r w:rsidRPr="00AD6D69">
        <w:rPr>
          <w:rFonts w:cs="Arial"/>
          <w:sz w:val="18"/>
          <w:szCs w:val="18"/>
          <w:lang w:val="x-none" w:eastAsia="x-none"/>
          <w14:cntxtAlts/>
        </w:rPr>
        <w:t xml:space="preserve">, </w:t>
      </w:r>
      <w:r w:rsidRPr="00AD6D69">
        <w:rPr>
          <w:rFonts w:cs="Arial"/>
          <w:i/>
          <w:iCs/>
          <w:sz w:val="18"/>
          <w:szCs w:val="18"/>
          <w:lang w:val="x-none" w:eastAsia="x-none"/>
          <w14:cntxtAlts/>
        </w:rPr>
        <w:t>Les préjugés : un obstacle majeur à la lutte contre la pauvreté</w:t>
      </w:r>
      <w:r w:rsidRPr="00AD6D69">
        <w:rPr>
          <w:rFonts w:cs="Arial"/>
          <w:sz w:val="18"/>
          <w:szCs w:val="18"/>
          <w:lang w:val="x-none" w:eastAsia="x-none"/>
          <w14:cntxtAlts/>
        </w:rPr>
        <w:t xml:space="preserve">, Gouvernement du Québec, 2021, p. 5, [En ligne]. </w:t>
      </w:r>
      <w:hyperlink r:id="rId26" w:history="1">
        <w:r w:rsidRPr="00AD6D69">
          <w:rPr>
            <w:rStyle w:val="Lienhypertexte"/>
            <w:rFonts w:cs="Arial"/>
            <w:sz w:val="18"/>
            <w:szCs w:val="18"/>
            <w:lang w:val="x-none" w:eastAsia="x-none"/>
            <w14:cntxtAlts/>
          </w:rPr>
          <w:t>https://cdn-contenu.quebec.ca/cdn-contenu/adm/min/travail-emploi-solidarite-sociale/cepe/publications/RA_avis_prejuges_CEPE.pdf?164374657</w:t>
        </w:r>
      </w:hyperlink>
      <w:r w:rsidRPr="00AD6D69">
        <w:rPr>
          <w:rFonts w:cs="Arial"/>
          <w:sz w:val="18"/>
          <w:szCs w:val="18"/>
          <w:lang w:val="x-none" w:eastAsia="x-none"/>
          <w14:cntxtAlts/>
        </w:rPr>
        <w:t xml:space="preserve"> </w:t>
      </w:r>
    </w:p>
  </w:footnote>
  <w:footnote w:id="62">
    <w:p w14:paraId="5097A85A"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eastAsia="x-none"/>
          <w14:cntxtAlts/>
        </w:rPr>
        <w:t xml:space="preserve"> </w:t>
      </w:r>
      <w:r w:rsidRPr="00AD6D69">
        <w:rPr>
          <w:rFonts w:cs="Arial"/>
          <w:sz w:val="18"/>
          <w:szCs w:val="18"/>
          <w:lang w:eastAsia="x-none"/>
          <w14:cntxtAlts/>
        </w:rPr>
        <w:tab/>
      </w:r>
      <w:r w:rsidRPr="00AD6D69">
        <w:rPr>
          <w:rFonts w:cs="Arial"/>
          <w:i/>
          <w:iCs/>
          <w:sz w:val="18"/>
          <w:szCs w:val="18"/>
          <w:lang w:eastAsia="x-none"/>
          <w14:cntxtAlts/>
        </w:rPr>
        <w:t>Id.</w:t>
      </w:r>
      <w:r w:rsidRPr="00AD6D69">
        <w:rPr>
          <w:rFonts w:cs="Arial"/>
          <w:sz w:val="18"/>
          <w:szCs w:val="18"/>
          <w:lang w:eastAsia="x-none"/>
          <w14:cntxtAlts/>
        </w:rPr>
        <w:t>, p. 13 et 14.</w:t>
      </w:r>
    </w:p>
  </w:footnote>
  <w:footnote w:id="63">
    <w:p w14:paraId="652273BD"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eastAsia="x-none"/>
          <w14:cntxtAlts/>
        </w:rPr>
        <w:t xml:space="preserve"> </w:t>
      </w:r>
      <w:r w:rsidRPr="00AD6D69">
        <w:rPr>
          <w:rFonts w:cs="Arial"/>
          <w:sz w:val="18"/>
          <w:szCs w:val="18"/>
          <w:lang w:eastAsia="x-none"/>
          <w14:cntxtAlts/>
        </w:rPr>
        <w:tab/>
        <w:t xml:space="preserve">Normand </w:t>
      </w:r>
      <w:r w:rsidRPr="00AD6D69">
        <w:rPr>
          <w:rFonts w:cs="Arial"/>
          <w:smallCaps/>
          <w:sz w:val="18"/>
          <w:szCs w:val="18"/>
          <w:lang w:eastAsia="x-none"/>
          <w14:cntxtAlts/>
        </w:rPr>
        <w:t>Landry</w:t>
      </w:r>
      <w:r w:rsidRPr="00AD6D69">
        <w:rPr>
          <w:rFonts w:cs="Arial"/>
          <w:sz w:val="18"/>
          <w:szCs w:val="18"/>
          <w:lang w:eastAsia="x-none"/>
          <w14:cntxtAlts/>
        </w:rPr>
        <w:t xml:space="preserve">, Alexandre </w:t>
      </w:r>
      <w:r w:rsidRPr="00AD6D69">
        <w:rPr>
          <w:rFonts w:cs="Arial"/>
          <w:smallCaps/>
          <w:sz w:val="18"/>
          <w:szCs w:val="18"/>
          <w:lang w:eastAsia="x-none"/>
          <w14:cntxtAlts/>
        </w:rPr>
        <w:t>Blanchet</w:t>
      </w:r>
      <w:r w:rsidRPr="00AD6D69">
        <w:rPr>
          <w:rFonts w:cs="Arial"/>
          <w:sz w:val="18"/>
          <w:szCs w:val="18"/>
          <w:lang w:eastAsia="x-none"/>
          <w14:cntxtAlts/>
        </w:rPr>
        <w:t>, Sy</w:t>
      </w:r>
      <w:r w:rsidRPr="00AD6D69">
        <w:rPr>
          <w:rFonts w:cs="Arial"/>
          <w:sz w:val="18"/>
          <w:szCs w:val="18"/>
          <w:lang w:val="x-none" w:eastAsia="x-none"/>
          <w14:cntxtAlts/>
        </w:rPr>
        <w:t xml:space="preserve">lvain </w:t>
      </w:r>
      <w:r w:rsidRPr="00AD6D69">
        <w:rPr>
          <w:rFonts w:cs="Arial"/>
          <w:smallCaps/>
          <w:sz w:val="18"/>
          <w:szCs w:val="18"/>
          <w:lang w:val="x-none" w:eastAsia="x-none"/>
          <w14:cntxtAlts/>
        </w:rPr>
        <w:t>Rocheleau</w:t>
      </w:r>
      <w:r w:rsidRPr="00AD6D69">
        <w:rPr>
          <w:rFonts w:cs="Arial"/>
          <w:sz w:val="18"/>
          <w:szCs w:val="18"/>
          <w:lang w:val="x-none" w:eastAsia="x-none"/>
          <w14:cntxtAlts/>
        </w:rPr>
        <w:t xml:space="preserve">, Anne-Marie </w:t>
      </w:r>
      <w:r w:rsidRPr="00AD6D69">
        <w:rPr>
          <w:rFonts w:cs="Arial"/>
          <w:smallCaps/>
          <w:sz w:val="18"/>
          <w:szCs w:val="18"/>
          <w:lang w:val="x-none" w:eastAsia="x-none"/>
          <w14:cntxtAlts/>
        </w:rPr>
        <w:t>Gagné</w:t>
      </w:r>
      <w:r w:rsidRPr="00AD6D69">
        <w:rPr>
          <w:rFonts w:cs="Arial"/>
          <w:sz w:val="18"/>
          <w:szCs w:val="18"/>
          <w:lang w:val="x-none" w:eastAsia="x-none"/>
          <w14:cntxtAlts/>
        </w:rPr>
        <w:t xml:space="preserve">, Pascale </w:t>
      </w:r>
      <w:r w:rsidRPr="00AD6D69">
        <w:rPr>
          <w:rFonts w:cs="Arial"/>
          <w:smallCaps/>
          <w:sz w:val="18"/>
          <w:szCs w:val="18"/>
          <w:lang w:val="x-none" w:eastAsia="x-none"/>
          <w14:cntxtAlts/>
        </w:rPr>
        <w:t>Caidor</w:t>
      </w:r>
      <w:r w:rsidRPr="00AD6D69">
        <w:rPr>
          <w:rFonts w:cs="Arial"/>
          <w:sz w:val="18"/>
          <w:szCs w:val="18"/>
          <w:lang w:val="x-none" w:eastAsia="x-none"/>
          <w14:cntxtAlts/>
        </w:rPr>
        <w:t xml:space="preserve"> et Chri</w:t>
      </w:r>
      <w:r w:rsidRPr="00AD6D69">
        <w:rPr>
          <w:rFonts w:cs="Arial"/>
          <w:sz w:val="18"/>
          <w:szCs w:val="18"/>
          <w:lang w:eastAsia="x-none"/>
          <w14:cntxtAlts/>
        </w:rPr>
        <w:t>s</w:t>
      </w:r>
      <w:r w:rsidRPr="00AD6D69">
        <w:rPr>
          <w:rFonts w:cs="Arial"/>
          <w:sz w:val="18"/>
          <w:szCs w:val="18"/>
          <w:lang w:val="x-none" w:eastAsia="x-none"/>
          <w14:cntxtAlts/>
        </w:rPr>
        <w:t xml:space="preserve">tiane </w:t>
      </w:r>
      <w:r w:rsidRPr="00AD6D69">
        <w:rPr>
          <w:rFonts w:cs="Arial"/>
          <w:smallCaps/>
          <w:sz w:val="18"/>
          <w:szCs w:val="18"/>
          <w:lang w:val="x-none" w:eastAsia="x-none"/>
          <w14:cntxtAlts/>
        </w:rPr>
        <w:t>Caneva</w:t>
      </w:r>
      <w:r w:rsidRPr="00AD6D69">
        <w:rPr>
          <w:rFonts w:cs="Arial"/>
          <w:i/>
          <w:iCs/>
          <w:sz w:val="18"/>
          <w:szCs w:val="18"/>
          <w:lang w:val="x-none"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 </w:t>
      </w:r>
      <w:r w:rsidRPr="00AD6D69">
        <w:rPr>
          <w:rFonts w:cs="Arial"/>
          <w:sz w:val="18"/>
          <w:szCs w:val="18"/>
          <w:lang w:val="x-none" w:eastAsia="x-none"/>
          <w14:cntxtAlts/>
        </w:rPr>
        <w:t>Représentations médiatiques et opinion publique de l’assistance sociale au Québec</w:t>
      </w:r>
      <w:r w:rsidRPr="00AD6D69">
        <w:rPr>
          <w:rFonts w:cs="Arial"/>
          <w:sz w:val="18"/>
          <w:szCs w:val="18"/>
          <w:lang w:eastAsia="x-none"/>
          <w14:cntxtAlts/>
        </w:rPr>
        <w:t> </w:t>
      </w:r>
      <w:r w:rsidRPr="00AD6D69">
        <w:rPr>
          <w:rFonts w:cs="Arial"/>
          <w:sz w:val="18"/>
          <w:szCs w:val="18"/>
          <w:lang w:val="x-none" w:eastAsia="x-none"/>
          <w14:cntxtAlts/>
        </w:rPr>
        <w:t xml:space="preserve">», (2021) </w:t>
      </w:r>
      <w:r w:rsidRPr="00AD6D69">
        <w:rPr>
          <w:rFonts w:cs="Arial"/>
          <w:sz w:val="18"/>
          <w:szCs w:val="18"/>
          <w:lang w:eastAsia="x-none"/>
          <w14:cntxtAlts/>
        </w:rPr>
        <w:t xml:space="preserve">32(1) </w:t>
      </w:r>
      <w:r w:rsidRPr="00AD6D69">
        <w:rPr>
          <w:rFonts w:cs="Arial"/>
          <w:i/>
          <w:iCs/>
          <w:sz w:val="18"/>
          <w:szCs w:val="18"/>
          <w:lang w:val="x-none" w:eastAsia="x-none"/>
          <w14:cntxtAlts/>
        </w:rPr>
        <w:t>Nouvelles pratiques sociales</w:t>
      </w:r>
      <w:r w:rsidRPr="00AD6D69">
        <w:rPr>
          <w:rFonts w:cs="Arial"/>
          <w:sz w:val="18"/>
          <w:szCs w:val="18"/>
          <w:lang w:val="x-none" w:eastAsia="x-none"/>
          <w14:cntxtAlts/>
        </w:rPr>
        <w:t> 84-112.</w:t>
      </w:r>
      <w:r w:rsidRPr="00AD6D69">
        <w:rPr>
          <w:rFonts w:cs="Arial"/>
          <w:sz w:val="18"/>
          <w:szCs w:val="18"/>
          <w:lang w:eastAsia="x-none"/>
          <w14:cntxtAlts/>
        </w:rPr>
        <w:t xml:space="preserve"> </w:t>
      </w:r>
    </w:p>
  </w:footnote>
  <w:footnote w:id="64">
    <w:p w14:paraId="75BEFAD7" w14:textId="77777777" w:rsidR="00463481" w:rsidRPr="00AD6D69" w:rsidRDefault="00463481" w:rsidP="00AD6D69">
      <w:pPr>
        <w:tabs>
          <w:tab w:val="left" w:pos="720"/>
        </w:tabs>
        <w:spacing w:after="120" w:line="240" w:lineRule="auto"/>
        <w:ind w:left="709" w:hanging="709"/>
        <w:jc w:val="left"/>
        <w:rPr>
          <w:rFonts w:cs="Arial"/>
          <w:sz w:val="18"/>
          <w:szCs w:val="18"/>
          <w:lang w:eastAsia="x-none"/>
          <w14:cntxtAlts/>
        </w:rPr>
      </w:pPr>
      <w:r w:rsidRPr="00AD6D69">
        <w:rPr>
          <w:rStyle w:val="Appelnotedebasdep"/>
          <w:rFonts w:cs="Arial"/>
          <w:sz w:val="18"/>
          <w:szCs w:val="18"/>
          <w:lang w:val="x-none" w:eastAsia="x-none"/>
          <w14:cntxtAlts/>
        </w:rPr>
        <w:footnoteRef/>
      </w:r>
      <w:r w:rsidRPr="00AD6D69">
        <w:rPr>
          <w:rFonts w:cs="Arial"/>
          <w:sz w:val="18"/>
          <w:szCs w:val="18"/>
          <w:lang w:eastAsia="x-none"/>
          <w14:cntxtAlts/>
        </w:rPr>
        <w:t xml:space="preserve"> </w:t>
      </w:r>
      <w:r w:rsidRPr="00AD6D69">
        <w:rPr>
          <w:rFonts w:cs="Arial"/>
          <w:sz w:val="18"/>
          <w:szCs w:val="18"/>
          <w:lang w:eastAsia="x-none"/>
          <w14:cntxtAlts/>
        </w:rPr>
        <w:tab/>
        <w:t xml:space="preserve">Pierre </w:t>
      </w:r>
      <w:r w:rsidRPr="00AD6D69">
        <w:rPr>
          <w:rFonts w:cs="Arial"/>
          <w:smallCaps/>
          <w:sz w:val="18"/>
          <w:szCs w:val="18"/>
          <w:lang w:eastAsia="x-none"/>
          <w14:cntxtAlts/>
        </w:rPr>
        <w:t>Noreau</w:t>
      </w:r>
      <w:r w:rsidRPr="00AD6D69">
        <w:rPr>
          <w:rFonts w:cs="Arial"/>
          <w:sz w:val="18"/>
          <w:szCs w:val="18"/>
          <w:lang w:eastAsia="x-none"/>
          <w14:cntxtAlts/>
        </w:rPr>
        <w:t xml:space="preserve">, Emmanuelle </w:t>
      </w:r>
      <w:r w:rsidRPr="00AD6D69">
        <w:rPr>
          <w:rFonts w:cs="Arial"/>
          <w:smallCaps/>
          <w:sz w:val="18"/>
          <w:szCs w:val="18"/>
          <w:lang w:eastAsia="x-none"/>
          <w14:cntxtAlts/>
        </w:rPr>
        <w:t>Bernheim</w:t>
      </w:r>
      <w:r w:rsidRPr="00AD6D69">
        <w:rPr>
          <w:rFonts w:cs="Arial"/>
          <w:sz w:val="18"/>
          <w:szCs w:val="18"/>
          <w:lang w:eastAsia="x-none"/>
          <w14:cntxtAlts/>
        </w:rPr>
        <w:t xml:space="preserve">, Pierre-Alain </w:t>
      </w:r>
      <w:r w:rsidRPr="00AD6D69">
        <w:rPr>
          <w:rFonts w:cs="Arial"/>
          <w:smallCaps/>
          <w:sz w:val="18"/>
          <w:szCs w:val="18"/>
          <w:lang w:eastAsia="x-none"/>
          <w14:cntxtAlts/>
        </w:rPr>
        <w:t>Cotnoir</w:t>
      </w:r>
      <w:r w:rsidRPr="00AD6D69">
        <w:rPr>
          <w:rFonts w:cs="Arial"/>
          <w:sz w:val="18"/>
          <w:szCs w:val="18"/>
          <w:lang w:eastAsia="x-none"/>
          <w14:cntxtAlts/>
        </w:rPr>
        <w:t xml:space="preserve">, Pascale </w:t>
      </w:r>
      <w:r w:rsidRPr="00AD6D69">
        <w:rPr>
          <w:rFonts w:cs="Arial"/>
          <w:smallCaps/>
          <w:sz w:val="18"/>
          <w:szCs w:val="18"/>
          <w:lang w:eastAsia="x-none"/>
          <w14:cntxtAlts/>
        </w:rPr>
        <w:t>Dufour</w:t>
      </w:r>
      <w:r w:rsidRPr="00AD6D69">
        <w:rPr>
          <w:rFonts w:cs="Arial"/>
          <w:sz w:val="18"/>
          <w:szCs w:val="18"/>
          <w:lang w:eastAsia="x-none"/>
          <w14:cntxtAlts/>
        </w:rPr>
        <w:t xml:space="preserve">, Jean-Heman </w:t>
      </w:r>
      <w:r w:rsidRPr="00AD6D69">
        <w:rPr>
          <w:rFonts w:cs="Arial"/>
          <w:smallCaps/>
          <w:sz w:val="18"/>
          <w:szCs w:val="18"/>
          <w:lang w:eastAsia="x-none"/>
          <w14:cntxtAlts/>
        </w:rPr>
        <w:t>Guay</w:t>
      </w:r>
      <w:r w:rsidRPr="00AD6D69">
        <w:rPr>
          <w:rFonts w:cs="Arial"/>
          <w:sz w:val="18"/>
          <w:szCs w:val="18"/>
          <w:lang w:eastAsia="x-none"/>
          <w14:cntxtAlts/>
        </w:rPr>
        <w:t xml:space="preserve"> et Shauna </w:t>
      </w:r>
      <w:r w:rsidRPr="00AD6D69">
        <w:rPr>
          <w:rFonts w:cs="Arial"/>
          <w:smallCaps/>
          <w:sz w:val="18"/>
          <w:szCs w:val="18"/>
          <w:lang w:eastAsia="x-none"/>
          <w14:cntxtAlts/>
        </w:rPr>
        <w:t>Van Praagh</w:t>
      </w:r>
      <w:r w:rsidRPr="00AD6D69">
        <w:rPr>
          <w:rFonts w:cs="Arial"/>
          <w:sz w:val="18"/>
          <w:szCs w:val="18"/>
          <w:lang w:eastAsia="x-none"/>
          <w14:cntxtAlts/>
        </w:rPr>
        <w:t xml:space="preserve">, </w:t>
      </w:r>
      <w:r w:rsidRPr="00AD6D69">
        <w:rPr>
          <w:rFonts w:cs="Arial"/>
          <w:i/>
          <w:iCs/>
          <w:sz w:val="18"/>
          <w:szCs w:val="18"/>
          <w:lang w:eastAsia="x-none"/>
          <w14:cntxtAlts/>
        </w:rPr>
        <w:t xml:space="preserve">Droits de la personne et diversité, </w:t>
      </w:r>
      <w:r w:rsidRPr="00AD6D69">
        <w:rPr>
          <w:rFonts w:cs="Arial"/>
          <w:sz w:val="18"/>
          <w:szCs w:val="18"/>
          <w:lang w:eastAsia="x-none"/>
          <w14:cntxtAlts/>
        </w:rPr>
        <w:t xml:space="preserve">Rapport de recherche remis à la Commission des droits de la personne et des droits de la jeunesse, 2015, p. 107 et 108, [En ligne]. </w:t>
      </w:r>
      <w:hyperlink r:id="rId27" w:history="1">
        <w:r w:rsidRPr="00AD6D69">
          <w:rPr>
            <w:rStyle w:val="Lienhypertexte"/>
            <w:rFonts w:cs="Arial"/>
            <w:sz w:val="18"/>
            <w:szCs w:val="18"/>
            <w:lang w:eastAsia="x-none"/>
            <w14:cntxtAlts/>
          </w:rPr>
          <w:t>https://www.crdp.umontreal.ca/files/sites/101/2016/01/Rapport_Final_Diversite_Droits_Commission_2016.pdf</w:t>
        </w:r>
      </w:hyperlink>
      <w:r w:rsidRPr="00AD6D69">
        <w:rPr>
          <w:rFonts w:cs="Arial"/>
          <w:sz w:val="18"/>
          <w:szCs w:val="18"/>
          <w:lang w:eastAsia="x-none"/>
          <w14:cntxtAlts/>
        </w:rPr>
        <w:t xml:space="preserve"> </w:t>
      </w:r>
    </w:p>
  </w:footnote>
  <w:footnote w:id="65">
    <w:p w14:paraId="3AA9FA80"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i/>
          <w:sz w:val="18"/>
          <w:szCs w:val="18"/>
          <w:lang w:val="x-none" w:eastAsia="x-none"/>
          <w14:cntxtAlts/>
        </w:rPr>
        <w:t>Id</w:t>
      </w:r>
      <w:r w:rsidRPr="00AD6D69">
        <w:rPr>
          <w:rFonts w:cs="Arial"/>
          <w:sz w:val="18"/>
          <w:szCs w:val="18"/>
          <w:lang w:val="x-none" w:eastAsia="x-none"/>
          <w14:cntxtAlts/>
        </w:rPr>
        <w:t>., p. 68.</w:t>
      </w:r>
    </w:p>
  </w:footnote>
  <w:footnote w:id="66">
    <w:p w14:paraId="25FBC5A9"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 xml:space="preserve">L’expression est tirée de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Profilage racial et discrimination systémique des jeunes racisés, Rapport de la consultation sur le profilage racial et ses conséquences</w:t>
      </w:r>
      <w:r w:rsidRPr="00AD6D69">
        <w:rPr>
          <w:rFonts w:cs="Arial"/>
          <w:sz w:val="18"/>
          <w:szCs w:val="18"/>
          <w:lang w:val="x-none" w:eastAsia="x-none"/>
          <w14:cntxtAlts/>
        </w:rPr>
        <w:t>, Paul Eid, Johanne Magloire et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Michèle Turenne, 2011, p. 15, [En ligne]. </w:t>
      </w:r>
      <w:hyperlink r:id="rId28" w:history="1">
        <w:r w:rsidRPr="00AD6D69">
          <w:rPr>
            <w:rStyle w:val="Lienhypertexte"/>
            <w:rFonts w:cs="Arial"/>
            <w:sz w:val="18"/>
            <w:szCs w:val="18"/>
            <w:lang w:val="x-none" w:eastAsia="x-none"/>
            <w14:cntxtAlts/>
          </w:rPr>
          <w:t>http://www.cdpdj.qc.ca/Publications/Profilage_rapport_FR.pdf</w:t>
        </w:r>
      </w:hyperlink>
    </w:p>
  </w:footnote>
  <w:footnote w:id="67">
    <w:p w14:paraId="46DAB0F9" w14:textId="2EC5323B"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z w:val="18"/>
          <w:szCs w:val="18"/>
          <w:lang w:val="x-none" w:eastAsia="x-none"/>
          <w14:cntxtAlts/>
        </w:rPr>
        <w:t xml:space="preserve">Voir entre autres : </w:t>
      </w:r>
      <w:r w:rsidRPr="00AD6D69">
        <w:rPr>
          <w:rFonts w:cs="Arial"/>
          <w:smallCaps/>
          <w:sz w:val="18"/>
          <w:szCs w:val="18"/>
          <w:lang w:val="x-none" w:eastAsia="x-none"/>
          <w14:cntxtAlts/>
        </w:rPr>
        <w:t>Commission des droits de la personne et des droits de la jeunesse</w:t>
      </w:r>
      <w:r w:rsidRPr="00AD6D69">
        <w:rPr>
          <w:rFonts w:cs="Arial"/>
          <w:smallCaps/>
          <w:sz w:val="18"/>
          <w:szCs w:val="18"/>
          <w:lang w:val="fr-FR"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2016-1</w:t>
      </w:r>
      <w:r w:rsidRPr="00AD6D69">
        <w:rPr>
          <w:rFonts w:cs="Arial"/>
          <w:sz w:val="18"/>
          <w:szCs w:val="18"/>
          <w:lang w:val="x-none" w:eastAsia="x-none"/>
          <w14:cntxtAlts/>
        </w:rPr>
        <w:t xml:space="preserve">), </w:t>
      </w:r>
      <w:r w:rsidRPr="00AD6D69">
        <w:rPr>
          <w:rFonts w:cs="Arial"/>
          <w:sz w:val="18"/>
          <w:szCs w:val="18"/>
          <w:lang w:val="fr-FR" w:eastAsia="x-none"/>
          <w14:cntxtAlts/>
        </w:rPr>
        <w:t xml:space="preserve">préc., </w:t>
      </w:r>
      <w:proofErr w:type="gramStart"/>
      <w:r w:rsidRPr="00AD6D69">
        <w:rPr>
          <w:rFonts w:cs="Arial"/>
          <w:sz w:val="18"/>
          <w:szCs w:val="18"/>
          <w:lang w:val="fr-FR" w:eastAsia="x-none"/>
          <w14:cntxtAlts/>
        </w:rPr>
        <w:t>note</w:t>
      </w:r>
      <w:proofErr w:type="gramEnd"/>
      <w:r w:rsidRPr="00AD6D69">
        <w:rPr>
          <w:rFonts w:cs="Arial"/>
          <w:sz w:val="18"/>
          <w:szCs w:val="18"/>
          <w:lang w:val="fr-FR" w:eastAsia="x-none"/>
          <w14:cntxtAlts/>
        </w:rPr>
        <w:t xml:space="preserv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_Ref102588657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6</w:t>
      </w:r>
      <w:r w:rsidRPr="00AD6D69">
        <w:rPr>
          <w:rFonts w:cs="Arial"/>
          <w:sz w:val="18"/>
          <w:szCs w:val="18"/>
          <w:lang w:val="fr-FR" w:eastAsia="x-none"/>
          <w14:cntxtAlts/>
        </w:rPr>
        <w:fldChar w:fldCharType="end"/>
      </w:r>
      <w:r w:rsidRPr="00AD6D69">
        <w:rPr>
          <w:rFonts w:cs="Arial"/>
          <w:sz w:val="18"/>
          <w:szCs w:val="18"/>
          <w:lang w:val="x-none" w:eastAsia="x-none"/>
          <w14:cntxtAlts/>
        </w:rPr>
        <w:t>, p. 1</w:t>
      </w:r>
      <w:r w:rsidRPr="00AD6D69">
        <w:rPr>
          <w:rFonts w:cs="Arial"/>
          <w:sz w:val="18"/>
          <w:szCs w:val="18"/>
          <w:lang w:val="fr-FR" w:eastAsia="x-none"/>
          <w14:cntxtAlts/>
        </w:rPr>
        <w:t>.</w:t>
      </w:r>
    </w:p>
  </w:footnote>
  <w:footnote w:id="68">
    <w:p w14:paraId="4EC40C5C"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L’intervention d’instances religieuses en matière de droit familial</w:t>
      </w:r>
      <w:r w:rsidRPr="00AD6D69">
        <w:rPr>
          <w:rFonts w:cs="Arial"/>
          <w:sz w:val="18"/>
          <w:szCs w:val="18"/>
          <w:lang w:val="x-none" w:eastAsia="x-none"/>
          <w14:cntxtAlts/>
        </w:rPr>
        <w:t>, Paul Eid et M</w:t>
      </w:r>
      <w:r w:rsidRPr="00AD6D69">
        <w:rPr>
          <w:rFonts w:cs="Arial"/>
          <w:sz w:val="18"/>
          <w:szCs w:val="18"/>
          <w:vertAlign w:val="superscript"/>
          <w:lang w:val="x-none" w:eastAsia="x-none"/>
          <w14:cntxtAlts/>
        </w:rPr>
        <w:t>e</w:t>
      </w:r>
      <w:r w:rsidRPr="00AD6D69">
        <w:rPr>
          <w:rFonts w:cs="Arial"/>
          <w:sz w:val="18"/>
          <w:szCs w:val="18"/>
          <w:lang w:val="x-none" w:eastAsia="x-none"/>
          <w14:cntxtAlts/>
        </w:rPr>
        <w:t xml:space="preserve"> Karina Montminy, (Cat. 2.113-2.9), 2006, p. 33</w:t>
      </w:r>
    </w:p>
  </w:footnote>
  <w:footnote w:id="69">
    <w:p w14:paraId="521AFF56" w14:textId="434B28A6"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t xml:space="preserve">Voir notamment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mallCaps/>
          <w:sz w:val="18"/>
          <w:szCs w:val="18"/>
          <w:lang w:val="fr-FR"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2016-1</w:t>
      </w:r>
      <w:r w:rsidRPr="00AD6D69">
        <w:rPr>
          <w:rFonts w:cs="Arial"/>
          <w:sz w:val="18"/>
          <w:szCs w:val="18"/>
          <w:lang w:val="x-none" w:eastAsia="x-none"/>
          <w14:cntxtAlts/>
        </w:rPr>
        <w:t>), préc., note 6, p. 58 ; P</w:t>
      </w:r>
      <w:r w:rsidRPr="00AD6D69">
        <w:rPr>
          <w:rFonts w:cs="Arial"/>
          <w:sz w:val="18"/>
          <w:szCs w:val="18"/>
          <w:lang w:val="fr-FR" w:eastAsia="x-none"/>
          <w14:cntxtAlts/>
        </w:rPr>
        <w:t>.</w:t>
      </w:r>
      <w:r w:rsidRPr="00AD6D69">
        <w:rPr>
          <w:rFonts w:cs="Arial"/>
          <w:sz w:val="18"/>
          <w:szCs w:val="18"/>
          <w:lang w:val="x-none" w:eastAsia="x-none"/>
          <w14:cntxtAlts/>
        </w:rPr>
        <w:t xml:space="preserve"> </w:t>
      </w:r>
      <w:r w:rsidRPr="00AD6D69">
        <w:rPr>
          <w:rFonts w:cs="Arial"/>
          <w:smallCaps/>
          <w:sz w:val="18"/>
          <w:szCs w:val="18"/>
          <w:lang w:val="x-none" w:eastAsia="x-none"/>
          <w14:cntxtAlts/>
        </w:rPr>
        <w:t>Noreau</w:t>
      </w:r>
      <w:r w:rsidRPr="00AD6D69">
        <w:rPr>
          <w:rFonts w:cs="Arial"/>
          <w:sz w:val="18"/>
          <w:szCs w:val="18"/>
          <w:lang w:val="fr-FR" w:eastAsia="x-none"/>
          <w14:cntxtAlts/>
        </w:rPr>
        <w:t xml:space="preserve"> et </w:t>
      </w:r>
      <w:r w:rsidRPr="00AD6D69">
        <w:rPr>
          <w:rFonts w:cs="Arial"/>
          <w:i/>
          <w:iCs/>
          <w:sz w:val="18"/>
          <w:szCs w:val="18"/>
          <w:lang w:val="fr-FR" w:eastAsia="x-none"/>
          <w14:cntxtAlts/>
        </w:rPr>
        <w:t>al</w:t>
      </w:r>
      <w:r w:rsidRPr="00AD6D69">
        <w:rPr>
          <w:rFonts w:cs="Arial"/>
          <w:sz w:val="18"/>
          <w:szCs w:val="18"/>
          <w:lang w:val="fr-FR" w:eastAsia="x-none"/>
          <w14:cntxtAlts/>
        </w:rPr>
        <w:t xml:space="preserve">., </w:t>
      </w:r>
      <w:proofErr w:type="gramStart"/>
      <w:r w:rsidRPr="00AD6D69">
        <w:rPr>
          <w:rFonts w:cs="Arial"/>
          <w:sz w:val="18"/>
          <w:szCs w:val="18"/>
          <w:lang w:val="fr-FR" w:eastAsia="x-none"/>
          <w14:cntxtAlts/>
        </w:rPr>
        <w:t>préc</w:t>
      </w:r>
      <w:proofErr w:type="gramEnd"/>
      <w:r w:rsidRPr="00AD6D69">
        <w:rPr>
          <w:rFonts w:cs="Arial"/>
          <w:sz w:val="18"/>
          <w:szCs w:val="18"/>
          <w:lang w:val="fr-FR" w:eastAsia="x-none"/>
          <w14:cntxtAlts/>
        </w:rPr>
        <w:t xml:space="preserve">., note </w:t>
      </w:r>
      <w:r w:rsidRPr="00AD6D69">
        <w:rPr>
          <w:rFonts w:cs="Arial"/>
          <w:sz w:val="18"/>
          <w:szCs w:val="18"/>
          <w:lang w:val="x-none" w:eastAsia="x-none"/>
          <w14:cntxtAlts/>
        </w:rPr>
        <w:fldChar w:fldCharType="begin"/>
      </w:r>
      <w:r w:rsidRPr="00AD6D69">
        <w:rPr>
          <w:rFonts w:cs="Arial"/>
          <w:sz w:val="18"/>
          <w:szCs w:val="18"/>
          <w:lang w:val="fr-FR" w:eastAsia="x-none"/>
          <w14:cntxtAlts/>
        </w:rPr>
        <w:instrText xml:space="preserve"> NOTEREF _Ref138776211 \h </w:instrText>
      </w:r>
      <w:r w:rsidR="002647EA" w:rsidRPr="00AD6D69">
        <w:rPr>
          <w:rFonts w:cs="Arial"/>
          <w:sz w:val="18"/>
          <w:szCs w:val="18"/>
          <w:lang w:val="x-none" w:eastAsia="x-none"/>
          <w14:cntxtAlts/>
        </w:rPr>
        <w:instrText xml:space="preserve"> \* MERGEFORMAT </w:instrText>
      </w:r>
      <w:r w:rsidRPr="00AD6D69">
        <w:rPr>
          <w:rFonts w:cs="Arial"/>
          <w:sz w:val="18"/>
          <w:szCs w:val="18"/>
          <w:lang w:val="x-none" w:eastAsia="x-none"/>
          <w14:cntxtAlts/>
        </w:rPr>
      </w:r>
      <w:r w:rsidRPr="00AD6D69">
        <w:rPr>
          <w:rFonts w:cs="Arial"/>
          <w:sz w:val="18"/>
          <w:szCs w:val="18"/>
          <w:lang w:val="x-none" w:eastAsia="x-none"/>
          <w14:cntxtAlts/>
        </w:rPr>
        <w:fldChar w:fldCharType="separate"/>
      </w:r>
      <w:r w:rsidR="002A1D2F">
        <w:rPr>
          <w:rFonts w:cs="Arial"/>
          <w:sz w:val="18"/>
          <w:szCs w:val="18"/>
          <w:lang w:val="fr-FR" w:eastAsia="x-none"/>
          <w14:cntxtAlts/>
        </w:rPr>
        <w:t>63</w:t>
      </w:r>
      <w:r w:rsidRPr="00AD6D69">
        <w:rPr>
          <w:rFonts w:cs="Arial"/>
          <w:sz w:val="18"/>
          <w:szCs w:val="18"/>
          <w:lang w:val="x-none" w:eastAsia="x-none"/>
          <w14:cntxtAlts/>
        </w:rPr>
        <w:fldChar w:fldCharType="end"/>
      </w:r>
      <w:r w:rsidRPr="00AD6D69">
        <w:rPr>
          <w:rFonts w:cs="Arial"/>
          <w:sz w:val="18"/>
          <w:szCs w:val="18"/>
          <w:lang w:val="x-none" w:eastAsia="x-none"/>
          <w14:cntxtAlts/>
        </w:rPr>
        <w:t xml:space="preserve"> ; </w:t>
      </w:r>
      <w:r w:rsidRPr="00AD6D69">
        <w:rPr>
          <w:rFonts w:cs="Arial"/>
          <w:smallCaps/>
          <w:sz w:val="18"/>
          <w:szCs w:val="18"/>
          <w:lang w:eastAsia="x-none"/>
          <w14:cntxtAlts/>
        </w:rPr>
        <w:t>Commission</w:t>
      </w:r>
      <w:r w:rsidRPr="00AD6D69">
        <w:rPr>
          <w:rFonts w:cs="Arial"/>
          <w:smallCaps/>
          <w:sz w:val="18"/>
          <w:szCs w:val="18"/>
          <w:lang w:val="x-none" w:eastAsia="x-none"/>
          <w14:cntxtAlts/>
        </w:rPr>
        <w:t xml:space="preserve"> des droits de la personne et des droits de la jeunesse</w:t>
      </w:r>
      <w:r w:rsidRPr="00AD6D69">
        <w:rPr>
          <w:rFonts w:cs="Arial"/>
          <w:smallCaps/>
          <w:sz w:val="18"/>
          <w:szCs w:val="18"/>
          <w:lang w:val="fr-FR" w:eastAsia="x-none"/>
          <w14:cntxtAlts/>
        </w:rPr>
        <w:t xml:space="preserve">, </w:t>
      </w:r>
      <w:r w:rsidRPr="00AD6D69">
        <w:rPr>
          <w:rFonts w:cs="Arial"/>
          <w:i/>
          <w:iCs/>
          <w:sz w:val="18"/>
          <w:szCs w:val="18"/>
          <w:lang w:val="fr-FR" w:eastAsia="x-none"/>
          <w14:cntxtAlts/>
        </w:rPr>
        <w:t>Mémoire à la Commission des affaires sociales de l’Assemblée nationale, projet de loi n° 112, Loi visant à lutter contre la pauvreté et l’exclusion sociale</w:t>
      </w:r>
      <w:r w:rsidRPr="00AD6D69">
        <w:rPr>
          <w:rFonts w:cs="Arial"/>
          <w:sz w:val="18"/>
          <w:szCs w:val="18"/>
          <w:lang w:val="fr-FR" w:eastAsia="x-none"/>
          <w14:cntxtAlts/>
        </w:rPr>
        <w:t>,</w:t>
      </w:r>
      <w:r w:rsidRPr="00AD6D69">
        <w:rPr>
          <w:rFonts w:cs="Arial"/>
          <w:sz w:val="18"/>
          <w:szCs w:val="18"/>
          <w:lang w:val="x-none" w:eastAsia="x-none"/>
          <w14:cntxtAlts/>
        </w:rPr>
        <w:t xml:space="preserve"> (Cat. 2.412.97), </w:t>
      </w:r>
      <w:r w:rsidRPr="00AD6D69">
        <w:rPr>
          <w:rFonts w:cs="Arial"/>
          <w:sz w:val="18"/>
          <w:szCs w:val="18"/>
          <w:lang w:val="fr-FR" w:eastAsia="x-none"/>
          <w14:cntxtAlts/>
        </w:rPr>
        <w:t>2002</w:t>
      </w:r>
      <w:r w:rsidRPr="00AD6D69">
        <w:rPr>
          <w:rFonts w:cs="Arial"/>
          <w:sz w:val="18"/>
          <w:szCs w:val="18"/>
          <w:lang w:val="x-none" w:eastAsia="x-none"/>
          <w14:cntxtAlts/>
        </w:rPr>
        <w:t>, p. 13</w:t>
      </w:r>
    </w:p>
  </w:footnote>
  <w:footnote w:id="70">
    <w:p w14:paraId="70C25EE1" w14:textId="77777777"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mallCaps/>
          <w:sz w:val="18"/>
          <w:szCs w:val="18"/>
          <w:lang w:val="fr-FR" w:eastAsia="x-none"/>
          <w14:cntxtAlts/>
        </w:rPr>
        <w:t>Comité des droits économiques, sociaux et culturels</w:t>
      </w:r>
      <w:r w:rsidRPr="00AD6D69">
        <w:rPr>
          <w:rFonts w:cs="Arial"/>
          <w:sz w:val="18"/>
          <w:szCs w:val="18"/>
          <w:lang w:val="x-none" w:eastAsia="x-none"/>
          <w14:cntxtAlts/>
        </w:rPr>
        <w:t xml:space="preserve">, </w:t>
      </w:r>
      <w:r w:rsidRPr="00AD6D69">
        <w:rPr>
          <w:rFonts w:cs="Arial"/>
          <w:i/>
          <w:sz w:val="18"/>
          <w:szCs w:val="18"/>
          <w:lang w:val="x-none" w:eastAsia="x-none"/>
          <w14:cntxtAlts/>
        </w:rPr>
        <w:t>Observations finales concernant le sixième rapport périodique du Canada</w:t>
      </w:r>
      <w:r w:rsidRPr="00AD6D69">
        <w:rPr>
          <w:rFonts w:cs="Arial"/>
          <w:sz w:val="18"/>
          <w:szCs w:val="18"/>
          <w:lang w:val="x-none" w:eastAsia="x-none"/>
          <w14:cntxtAlts/>
        </w:rPr>
        <w:t>, Doc. N.U. E/C.12/CAN/CO/6 (2016), par. 30.</w:t>
      </w:r>
    </w:p>
  </w:footnote>
  <w:footnote w:id="71">
    <w:p w14:paraId="6BBED95E" w14:textId="3DD32142" w:rsidR="00463481" w:rsidRPr="00AD6D69" w:rsidRDefault="00463481" w:rsidP="00AD6D69">
      <w:pPr>
        <w:tabs>
          <w:tab w:val="left" w:pos="720"/>
        </w:tabs>
        <w:spacing w:after="120" w:line="240" w:lineRule="auto"/>
        <w:ind w:left="709" w:hanging="709"/>
        <w:jc w:val="left"/>
        <w:rPr>
          <w:rFonts w:cs="Arial"/>
          <w:sz w:val="18"/>
          <w:szCs w:val="18"/>
          <w:lang w:val="x-none"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x-none" w:eastAsia="x-none"/>
          <w14:cntxtAlts/>
        </w:rPr>
        <w:tab/>
      </w:r>
      <w:r w:rsidRPr="00AD6D69">
        <w:rPr>
          <w:rFonts w:cs="Arial"/>
          <w:sz w:val="18"/>
          <w:szCs w:val="18"/>
          <w:lang w:val="x-none" w:eastAsia="x-none"/>
          <w14:cntxtAlts/>
        </w:rPr>
        <w:t xml:space="preserve">Voir notamment :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fr-FR" w:eastAsia="x-none"/>
          <w14:cntxtAlts/>
        </w:rPr>
        <w:t xml:space="preserve">, </w:t>
      </w:r>
      <w:r w:rsidRPr="00AD6D69">
        <w:rPr>
          <w:rFonts w:cs="Arial"/>
          <w:sz w:val="18"/>
          <w:szCs w:val="18"/>
          <w:lang w:val="x-none" w:eastAsia="x-none"/>
          <w14:cntxtAlts/>
        </w:rPr>
        <w:t>(</w:t>
      </w:r>
      <w:r w:rsidRPr="00AD6D69">
        <w:rPr>
          <w:rFonts w:cs="Arial"/>
          <w:sz w:val="18"/>
          <w:szCs w:val="18"/>
          <w:lang w:eastAsia="x-none"/>
          <w14:cntxtAlts/>
        </w:rPr>
        <w:t>2002</w:t>
      </w:r>
      <w:r w:rsidRPr="00AD6D69">
        <w:rPr>
          <w:rFonts w:cs="Arial"/>
          <w:sz w:val="18"/>
          <w:szCs w:val="18"/>
          <w:lang w:val="x-none" w:eastAsia="x-none"/>
          <w14:cntxtAlts/>
        </w:rPr>
        <w:t xml:space="preserve">), préc., note </w:t>
      </w:r>
      <w:r w:rsidRPr="00AD6D69">
        <w:rPr>
          <w:rFonts w:cs="Arial"/>
          <w:sz w:val="18"/>
          <w:szCs w:val="18"/>
          <w:lang w:val="x-none" w:eastAsia="x-none"/>
          <w14:cntxtAlts/>
        </w:rPr>
        <w:fldChar w:fldCharType="begin"/>
      </w:r>
      <w:r w:rsidRPr="00AD6D69">
        <w:rPr>
          <w:rFonts w:cs="Arial"/>
          <w:sz w:val="18"/>
          <w:szCs w:val="18"/>
          <w:lang w:val="x-none" w:eastAsia="x-none"/>
          <w14:cntxtAlts/>
        </w:rPr>
        <w:instrText xml:space="preserve"> NOTEREF _Ref138776481 \h </w:instrText>
      </w:r>
      <w:r w:rsidR="002647EA" w:rsidRPr="00AD6D69">
        <w:rPr>
          <w:rFonts w:cs="Arial"/>
          <w:sz w:val="18"/>
          <w:szCs w:val="18"/>
          <w:lang w:val="x-none" w:eastAsia="x-none"/>
          <w14:cntxtAlts/>
        </w:rPr>
        <w:instrText xml:space="preserve"> \* MERGEFORMAT </w:instrText>
      </w:r>
      <w:r w:rsidRPr="00AD6D69">
        <w:rPr>
          <w:rFonts w:cs="Arial"/>
          <w:sz w:val="18"/>
          <w:szCs w:val="18"/>
          <w:lang w:val="x-none" w:eastAsia="x-none"/>
          <w14:cntxtAlts/>
        </w:rPr>
      </w:r>
      <w:r w:rsidRPr="00AD6D69">
        <w:rPr>
          <w:rFonts w:cs="Arial"/>
          <w:sz w:val="18"/>
          <w:szCs w:val="18"/>
          <w:lang w:val="x-none" w:eastAsia="x-none"/>
          <w14:cntxtAlts/>
        </w:rPr>
        <w:fldChar w:fldCharType="separate"/>
      </w:r>
      <w:r w:rsidR="002A1D2F">
        <w:rPr>
          <w:rFonts w:cs="Arial"/>
          <w:sz w:val="18"/>
          <w:szCs w:val="18"/>
          <w:lang w:val="x-none" w:eastAsia="x-none"/>
          <w14:cntxtAlts/>
        </w:rPr>
        <w:t>68</w:t>
      </w:r>
      <w:r w:rsidRPr="00AD6D69">
        <w:rPr>
          <w:rFonts w:cs="Arial"/>
          <w:sz w:val="18"/>
          <w:szCs w:val="18"/>
          <w:lang w:val="x-none" w:eastAsia="x-none"/>
          <w14:cntxtAlts/>
        </w:rPr>
        <w:fldChar w:fldCharType="end"/>
      </w:r>
      <w:r w:rsidRPr="00AD6D69">
        <w:rPr>
          <w:rFonts w:cs="Arial"/>
          <w:sz w:val="18"/>
          <w:szCs w:val="18"/>
          <w:lang w:val="x-none" w:eastAsia="x-none"/>
          <w14:cntxtAlts/>
        </w:rPr>
        <w:t>, p. 13.</w:t>
      </w:r>
    </w:p>
  </w:footnote>
  <w:footnote w:id="72">
    <w:p w14:paraId="13A5E044"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t xml:space="preserve">Voir notamment :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Mémoire à la Commission des institutions de l’Assemblée nationale sur le Projet de loi n° 32, Loi visant principalement à favoriser l’efficacité de la justice pénale et à établir les modalités d’intervention de la Cour du Québec dans un pourvoi en appel</w:t>
      </w:r>
      <w:r w:rsidRPr="00AD6D69">
        <w:rPr>
          <w:rFonts w:cs="Arial"/>
          <w:sz w:val="18"/>
          <w:szCs w:val="18"/>
          <w:lang w:val="x-none" w:eastAsia="x-none"/>
          <w14:cntxtAlts/>
        </w:rPr>
        <w:t xml:space="preserve">, (Cat. 2.412.125.1), 2019, [En ligne]. </w:t>
      </w:r>
      <w:hyperlink r:id="rId29" w:history="1">
        <w:r w:rsidRPr="00AD6D69">
          <w:rPr>
            <w:rStyle w:val="Lienhypertexte"/>
            <w:rFonts w:cs="Arial"/>
            <w:sz w:val="18"/>
            <w:szCs w:val="18"/>
            <w:lang w:val="x-none" w:eastAsia="x-none"/>
            <w14:cntxtAlts/>
          </w:rPr>
          <w:t>https://www.cdpdj.qc.ca/storage/app/media/publications/memoire_PL_32_justice-penale.pdf</w:t>
        </w:r>
      </w:hyperlink>
      <w:r w:rsidRPr="00AD6D69">
        <w:rPr>
          <w:rFonts w:cs="Arial"/>
          <w:sz w:val="18"/>
          <w:szCs w:val="18"/>
          <w:lang w:val="x-none" w:eastAsia="x-none"/>
          <w14:cntxtAlts/>
        </w:rPr>
        <w:t xml:space="preserve">; </w:t>
      </w:r>
    </w:p>
  </w:footnote>
  <w:footnote w:id="73">
    <w:p w14:paraId="5D994095"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t xml:space="preserve">Voir notamment : </w:t>
      </w:r>
      <w:r w:rsidRPr="00AD6D69">
        <w:rPr>
          <w:rFonts w:cs="Arial"/>
          <w:sz w:val="18"/>
          <w:szCs w:val="18"/>
          <w:lang w:val="x-none" w:eastAsia="x-none"/>
          <w14:cntxtAlts/>
        </w:rPr>
        <w:t xml:space="preserve">Céline </w:t>
      </w:r>
      <w:r w:rsidRPr="00AD6D69">
        <w:rPr>
          <w:rFonts w:cs="Arial"/>
          <w:smallCaps/>
          <w:sz w:val="18"/>
          <w:szCs w:val="18"/>
          <w:lang w:val="fr-FR" w:eastAsia="x-none"/>
          <w14:cntxtAlts/>
        </w:rPr>
        <w:t>Bellot</w:t>
      </w:r>
      <w:r w:rsidRPr="00AD6D69">
        <w:rPr>
          <w:rFonts w:cs="Arial"/>
          <w:sz w:val="18"/>
          <w:szCs w:val="18"/>
          <w:lang w:val="fr-FR" w:eastAsia="x-none"/>
          <w14:cntxtAlts/>
        </w:rPr>
        <w:t xml:space="preserve"> et</w:t>
      </w:r>
      <w:r w:rsidRPr="00AD6D69">
        <w:rPr>
          <w:rFonts w:cs="Arial"/>
          <w:i/>
          <w:iCs/>
          <w:sz w:val="18"/>
          <w:szCs w:val="18"/>
          <w:lang w:val="fr-FR" w:eastAsia="x-none"/>
          <w14:cntxtAlts/>
        </w:rPr>
        <w:t xml:space="preserve"> al</w:t>
      </w:r>
      <w:r w:rsidRPr="00AD6D69">
        <w:rPr>
          <w:rFonts w:cs="Arial"/>
          <w:sz w:val="18"/>
          <w:szCs w:val="18"/>
          <w:lang w:val="fr-FR" w:eastAsia="x-none"/>
          <w14:cntxtAlts/>
        </w:rPr>
        <w:t xml:space="preserve">., </w:t>
      </w:r>
      <w:r w:rsidRPr="00AD6D69">
        <w:rPr>
          <w:rFonts w:cs="Arial"/>
          <w:i/>
          <w:iCs/>
          <w:sz w:val="18"/>
          <w:szCs w:val="18"/>
          <w:lang w:val="fr-FR" w:eastAsia="x-none"/>
          <w14:cntxtAlts/>
        </w:rPr>
        <w:t>Judiciarisation de l’itinérance à Montréal : des données alarmantes témoignent d’un profilage social accru (2012-2019)</w:t>
      </w:r>
      <w:r w:rsidRPr="00AD6D69">
        <w:rPr>
          <w:rFonts w:cs="Arial"/>
          <w:sz w:val="18"/>
          <w:szCs w:val="18"/>
          <w:lang w:val="fr-FR" w:eastAsia="x-none"/>
          <w14:cntxtAlts/>
        </w:rPr>
        <w:t xml:space="preserve">, 2021 ; </w:t>
      </w:r>
      <w:r w:rsidRPr="00AD6D69">
        <w:rPr>
          <w:rFonts w:cs="Arial"/>
          <w:sz w:val="18"/>
          <w:szCs w:val="18"/>
          <w:lang w:val="x-none" w:eastAsia="x-none"/>
          <w14:cntxtAlts/>
        </w:rPr>
        <w:t xml:space="preserve">Marie-Ève </w:t>
      </w:r>
      <w:r w:rsidRPr="00AD6D69">
        <w:rPr>
          <w:rFonts w:cs="Arial"/>
          <w:smallCaps/>
          <w:sz w:val="18"/>
          <w:szCs w:val="18"/>
          <w:lang w:val="fr-FR" w:eastAsia="x-none"/>
          <w14:cntxtAlts/>
        </w:rPr>
        <w:t>Sylvestre</w:t>
      </w:r>
      <w:r w:rsidRPr="00AD6D69">
        <w:rPr>
          <w:rFonts w:cs="Arial"/>
          <w:sz w:val="18"/>
          <w:szCs w:val="18"/>
          <w:lang w:val="x-none" w:eastAsia="x-none"/>
          <w14:cntxtAlts/>
        </w:rPr>
        <w:t xml:space="preserve">, </w:t>
      </w:r>
      <w:r w:rsidRPr="00AD6D69">
        <w:rPr>
          <w:rFonts w:cs="Arial"/>
          <w:i/>
          <w:sz w:val="18"/>
          <w:szCs w:val="18"/>
          <w:lang w:val="x-none" w:eastAsia="x-none"/>
          <w14:cntxtAlts/>
        </w:rPr>
        <w:t>Mémoire présenté à la Commission des institutions dans le cadre de consultations particulières sur le projet de loi n° 32 : Loi visant principalement à favoriser l’efficacité de la justice pénale et à établir les modalités d’intervention de la Cour du Québec dans un pourvoi en appel</w:t>
      </w:r>
      <w:r w:rsidRPr="00AD6D69">
        <w:rPr>
          <w:rFonts w:cs="Arial"/>
          <w:sz w:val="18"/>
          <w:szCs w:val="18"/>
          <w:lang w:val="x-none" w:eastAsia="x-none"/>
          <w14:cntxtAlts/>
        </w:rPr>
        <w:t xml:space="preserve">, 30 octobre 2019 ; Céline </w:t>
      </w:r>
      <w:r w:rsidRPr="00AD6D69">
        <w:rPr>
          <w:rFonts w:cs="Arial"/>
          <w:smallCaps/>
          <w:sz w:val="18"/>
          <w:szCs w:val="18"/>
          <w:lang w:val="fr-FR" w:eastAsia="x-none"/>
          <w14:cntxtAlts/>
        </w:rPr>
        <w:t>Bellot</w:t>
      </w:r>
      <w:r w:rsidRPr="00AD6D69">
        <w:rPr>
          <w:rFonts w:cs="Arial"/>
          <w:sz w:val="18"/>
          <w:szCs w:val="18"/>
          <w:lang w:val="x-none" w:eastAsia="x-none"/>
          <w14:cntxtAlts/>
        </w:rPr>
        <w:t xml:space="preserve"> et Marie-Ève </w:t>
      </w:r>
      <w:r w:rsidRPr="00AD6D69">
        <w:rPr>
          <w:rFonts w:cs="Arial"/>
          <w:smallCaps/>
          <w:sz w:val="18"/>
          <w:szCs w:val="18"/>
          <w:lang w:val="fr-FR" w:eastAsia="x-none"/>
          <w14:cntxtAlts/>
        </w:rPr>
        <w:t>Sylvestre</w:t>
      </w:r>
      <w:r w:rsidRPr="00AD6D69">
        <w:rPr>
          <w:rFonts w:cs="Arial"/>
          <w:sz w:val="18"/>
          <w:szCs w:val="18"/>
          <w:lang w:val="x-none" w:eastAsia="x-none"/>
          <w14:cntxtAlts/>
        </w:rPr>
        <w:t>, « La judiciarisation de l’itinérance à Montréal : les dérives sécuritaires de la gestion pénale de la pauvreté », (2017) 47 </w:t>
      </w:r>
      <w:r w:rsidRPr="00AD6D69">
        <w:rPr>
          <w:rFonts w:cs="Arial"/>
          <w:i/>
          <w:sz w:val="18"/>
          <w:szCs w:val="18"/>
          <w:lang w:val="x-none" w:eastAsia="x-none"/>
          <w14:cntxtAlts/>
        </w:rPr>
        <w:t>R.G.D</w:t>
      </w:r>
      <w:r w:rsidRPr="00AD6D69">
        <w:rPr>
          <w:rFonts w:cs="Arial"/>
          <w:sz w:val="18"/>
          <w:szCs w:val="18"/>
          <w:lang w:val="x-none" w:eastAsia="x-none"/>
          <w14:cntxtAlts/>
        </w:rPr>
        <w:t xml:space="preserve">. 11 et 14 ; Céline </w:t>
      </w:r>
      <w:r w:rsidRPr="00AD6D69">
        <w:rPr>
          <w:rFonts w:cs="Arial"/>
          <w:smallCaps/>
          <w:sz w:val="18"/>
          <w:szCs w:val="18"/>
          <w:lang w:val="fr-FR" w:eastAsia="x-none"/>
          <w14:cntxtAlts/>
        </w:rPr>
        <w:t>Bellot</w:t>
      </w:r>
      <w:r w:rsidRPr="00AD6D69">
        <w:rPr>
          <w:rFonts w:cs="Arial"/>
          <w:sz w:val="18"/>
          <w:szCs w:val="18"/>
          <w:lang w:val="x-none" w:eastAsia="x-none"/>
          <w14:cntxtAlts/>
        </w:rPr>
        <w:t xml:space="preserve"> et Marie-Ève </w:t>
      </w:r>
      <w:r w:rsidRPr="00AD6D69">
        <w:rPr>
          <w:rFonts w:cs="Arial"/>
          <w:smallCaps/>
          <w:sz w:val="18"/>
          <w:szCs w:val="18"/>
          <w:lang w:val="fr-FR" w:eastAsia="x-none"/>
          <w14:cntxtAlts/>
        </w:rPr>
        <w:t>Sylvestre</w:t>
      </w:r>
      <w:r w:rsidRPr="00AD6D69">
        <w:rPr>
          <w:rFonts w:cs="Arial"/>
          <w:sz w:val="18"/>
          <w:szCs w:val="18"/>
          <w:lang w:val="x-none" w:eastAsia="x-none"/>
          <w14:cntxtAlts/>
        </w:rPr>
        <w:t>,</w:t>
      </w:r>
      <w:r w:rsidRPr="00AD6D69">
        <w:rPr>
          <w:rFonts w:cs="Arial"/>
          <w:sz w:val="18"/>
          <w:szCs w:val="18"/>
          <w:lang w:val="fr-FR" w:eastAsia="x-none"/>
          <w14:cntxtAlts/>
        </w:rPr>
        <w:t xml:space="preserve"> </w:t>
      </w:r>
      <w:r w:rsidRPr="00AD6D69">
        <w:rPr>
          <w:rFonts w:cs="Arial"/>
          <w:i/>
          <w:iCs/>
          <w:sz w:val="18"/>
          <w:szCs w:val="18"/>
          <w:lang w:val="fr-FR" w:eastAsia="x-none"/>
          <w14:cntxtAlts/>
        </w:rPr>
        <w:t>La judiciarisation de l’itinérance à Val d’Or</w:t>
      </w:r>
      <w:r w:rsidRPr="00AD6D69">
        <w:rPr>
          <w:rFonts w:cs="Arial"/>
          <w:sz w:val="18"/>
          <w:szCs w:val="18"/>
          <w:lang w:val="fr-FR" w:eastAsia="x-none"/>
          <w14:cntxtAlts/>
        </w:rPr>
        <w:t>, 2016 ;</w:t>
      </w:r>
      <w:r w:rsidRPr="00AD6D69">
        <w:rPr>
          <w:rFonts w:cs="Arial"/>
          <w:i/>
          <w:sz w:val="18"/>
          <w:szCs w:val="18"/>
          <w:lang w:val="fr-FR" w:eastAsia="x-none"/>
          <w14:cntxtAlts/>
        </w:rPr>
        <w:t xml:space="preserve"> </w:t>
      </w:r>
      <w:r w:rsidRPr="00AD6D69">
        <w:rPr>
          <w:rFonts w:cs="Arial"/>
          <w:sz w:val="18"/>
          <w:szCs w:val="18"/>
          <w:lang w:val="x-none" w:eastAsia="x-none"/>
          <w14:cntxtAlts/>
        </w:rPr>
        <w:t xml:space="preserve">Dominique </w:t>
      </w:r>
      <w:r w:rsidRPr="00AD6D69">
        <w:rPr>
          <w:rFonts w:cs="Arial"/>
          <w:smallCaps/>
          <w:sz w:val="18"/>
          <w:szCs w:val="18"/>
          <w:lang w:val="fr-FR" w:eastAsia="x-none"/>
          <w14:cntxtAlts/>
        </w:rPr>
        <w:t>Bernier</w:t>
      </w:r>
      <w:r w:rsidRPr="00AD6D69">
        <w:rPr>
          <w:rFonts w:cs="Arial"/>
          <w:sz w:val="18"/>
          <w:szCs w:val="18"/>
          <w:lang w:val="x-none" w:eastAsia="x-none"/>
          <w14:cntxtAlts/>
        </w:rPr>
        <w:t xml:space="preserve"> et al., </w:t>
      </w:r>
      <w:r w:rsidRPr="00AD6D69">
        <w:rPr>
          <w:rFonts w:cs="Arial"/>
          <w:i/>
          <w:sz w:val="18"/>
          <w:szCs w:val="18"/>
          <w:lang w:val="x-none" w:eastAsia="x-none"/>
          <w14:cntxtAlts/>
        </w:rPr>
        <w:t>La judiciarisation des personnes en situation d’itinérance à Québec : point de vue des acteurs socio-judiciaires et analyse du phénomène</w:t>
      </w:r>
      <w:r w:rsidRPr="00AD6D69">
        <w:rPr>
          <w:rFonts w:cs="Arial"/>
          <w:sz w:val="18"/>
          <w:szCs w:val="18"/>
          <w:lang w:val="x-none" w:eastAsia="x-none"/>
          <w14:cntxtAlts/>
        </w:rPr>
        <w:t>, 2011.</w:t>
      </w:r>
    </w:p>
  </w:footnote>
  <w:footnote w:id="74">
    <w:p w14:paraId="5B4F7097" w14:textId="5AAA609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z w:val="18"/>
          <w:szCs w:val="18"/>
          <w:lang w:val="x-none" w:eastAsia="x-none"/>
          <w14:cntxtAlts/>
        </w:rPr>
        <w:t xml:space="preserve">Voir notamment : </w:t>
      </w:r>
      <w:r w:rsidRPr="00AD6D69">
        <w:rPr>
          <w:rFonts w:cs="Arial"/>
          <w:smallCaps/>
          <w:sz w:val="18"/>
          <w:szCs w:val="18"/>
          <w:lang w:val="fr-FR" w:eastAsia="x-none"/>
          <w14:cntxtAlts/>
        </w:rPr>
        <w:t>Commission d’enquête sur les relations entre les autochtones et certains services publics,</w:t>
      </w:r>
      <w:r w:rsidRPr="00AD6D69">
        <w:rPr>
          <w:rFonts w:cs="Arial"/>
          <w:sz w:val="18"/>
          <w:szCs w:val="18"/>
          <w:lang w:val="fr-FR" w:eastAsia="x-none"/>
          <w14:cntxtAlts/>
        </w:rPr>
        <w:t xml:space="preserve"> </w:t>
      </w:r>
      <w:r w:rsidRPr="00AD6D69">
        <w:rPr>
          <w:rFonts w:cs="Arial"/>
          <w:i/>
          <w:sz w:val="18"/>
          <w:szCs w:val="18"/>
          <w:lang w:val="x-none" w:eastAsia="x-none"/>
          <w14:cntxtAlts/>
        </w:rPr>
        <w:t>Commission d’enquête sur les relations entre les Autochtones et certains services publics : écoute, réconciliation et progrès</w:t>
      </w:r>
      <w:r w:rsidRPr="00AD6D69">
        <w:rPr>
          <w:rFonts w:cs="Arial"/>
          <w:sz w:val="18"/>
          <w:szCs w:val="18"/>
          <w:lang w:val="x-none" w:eastAsia="x-none"/>
          <w14:cntxtAlts/>
        </w:rPr>
        <w:t xml:space="preserve">, Rapport final, 2019, [En ligne]. </w:t>
      </w:r>
      <w:hyperlink r:id="rId30" w:history="1">
        <w:r w:rsidRPr="00AD6D69">
          <w:rPr>
            <w:rStyle w:val="Lienhypertexte"/>
            <w:rFonts w:cs="Arial"/>
            <w:sz w:val="18"/>
            <w:szCs w:val="18"/>
            <w:lang w:val="x-none" w:eastAsia="x-none"/>
            <w14:cntxtAlts/>
          </w:rPr>
          <w:t>https://www.cerp.gouv.qc.ca/fileadmin/Fichiers_clients/Rapport/Rapport_final.pdf</w:t>
        </w:r>
      </w:hyperlink>
      <w:r w:rsidRPr="00AD6D69">
        <w:rPr>
          <w:rFonts w:cs="Arial"/>
          <w:sz w:val="18"/>
          <w:szCs w:val="18"/>
          <w:lang w:val="fr-FR" w:eastAsia="x-none"/>
          <w14:cntxtAlts/>
        </w:rPr>
        <w:t xml:space="preserve"> </w:t>
      </w:r>
      <w:r w:rsidRPr="00AD6D69">
        <w:rPr>
          <w:rFonts w:cs="Arial"/>
          <w:sz w:val="18"/>
          <w:szCs w:val="18"/>
          <w:lang w:val="x-none" w:eastAsia="x-none"/>
          <w14:cntxtAlts/>
        </w:rPr>
        <w:t xml:space="preserve">(ci-après « Commission Viens »); Céline </w:t>
      </w:r>
      <w:r w:rsidRPr="00AD6D69">
        <w:rPr>
          <w:rFonts w:cs="Arial"/>
          <w:smallCaps/>
          <w:sz w:val="18"/>
          <w:szCs w:val="18"/>
          <w:lang w:val="fr-FR" w:eastAsia="x-none"/>
          <w14:cntxtAlts/>
        </w:rPr>
        <w:t>Bellot</w:t>
      </w:r>
      <w:r w:rsidRPr="00AD6D69">
        <w:rPr>
          <w:rFonts w:cs="Arial"/>
          <w:sz w:val="18"/>
          <w:szCs w:val="18"/>
          <w:lang w:val="x-none" w:eastAsia="x-none"/>
          <w14:cntxtAlts/>
        </w:rPr>
        <w:t xml:space="preserve"> et Marie-Ève </w:t>
      </w:r>
      <w:r w:rsidRPr="00AD6D69">
        <w:rPr>
          <w:rFonts w:cs="Arial"/>
          <w:smallCaps/>
          <w:sz w:val="18"/>
          <w:szCs w:val="18"/>
          <w:lang w:val="fr-FR" w:eastAsia="x-none"/>
          <w14:cntxtAlts/>
        </w:rPr>
        <w:t>Sylvestre</w:t>
      </w:r>
      <w:r w:rsidRPr="00AD6D69">
        <w:rPr>
          <w:rFonts w:cs="Arial"/>
          <w:sz w:val="18"/>
          <w:szCs w:val="18"/>
          <w:lang w:val="x-none" w:eastAsia="x-none"/>
          <w14:cntxtAlts/>
        </w:rPr>
        <w:t>,</w:t>
      </w:r>
      <w:r w:rsidRPr="00AD6D69">
        <w:rPr>
          <w:rFonts w:cs="Arial"/>
          <w:sz w:val="18"/>
          <w:szCs w:val="18"/>
          <w:lang w:val="fr-FR" w:eastAsia="x-none"/>
          <w14:cntxtAlts/>
        </w:rPr>
        <w:t xml:space="preserve"> (2016), préc., </w:t>
      </w:r>
      <w:proofErr w:type="gramStart"/>
      <w:r w:rsidRPr="00AD6D69">
        <w:rPr>
          <w:rFonts w:cs="Arial"/>
          <w:sz w:val="18"/>
          <w:szCs w:val="18"/>
          <w:lang w:val="fr-FR" w:eastAsia="x-none"/>
          <w14:cntxtAlts/>
        </w:rPr>
        <w:t>note</w:t>
      </w:r>
      <w:proofErr w:type="gramEnd"/>
      <w:r w:rsidRPr="00AD6D69">
        <w:rPr>
          <w:rFonts w:cs="Arial"/>
          <w:sz w:val="18"/>
          <w:szCs w:val="18"/>
          <w:lang w:val="fr-FR" w:eastAsia="x-none"/>
          <w14:cntxtAlts/>
        </w:rPr>
        <w:t xml:space="preserv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_Ref138853255 \h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72</w:t>
      </w:r>
      <w:r w:rsidRPr="00AD6D69">
        <w:rPr>
          <w:rFonts w:cs="Arial"/>
          <w:sz w:val="18"/>
          <w:szCs w:val="18"/>
          <w:lang w:val="fr-FR" w:eastAsia="x-none"/>
          <w14:cntxtAlts/>
        </w:rPr>
        <w:fldChar w:fldCharType="end"/>
      </w:r>
      <w:r w:rsidRPr="00AD6D69">
        <w:rPr>
          <w:rFonts w:cs="Arial"/>
          <w:sz w:val="18"/>
          <w:szCs w:val="18"/>
          <w:lang w:val="fr-FR" w:eastAsia="x-none"/>
          <w14:cntxtAlts/>
        </w:rPr>
        <w:t>.</w:t>
      </w:r>
    </w:p>
  </w:footnote>
  <w:footnote w:id="75">
    <w:p w14:paraId="119F303E"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z w:val="18"/>
          <w:szCs w:val="18"/>
          <w:lang w:val="x-none" w:eastAsia="x-none"/>
          <w14:cntxtAlts/>
        </w:rPr>
        <w:t xml:space="preserve">Martin </w:t>
      </w:r>
      <w:r w:rsidRPr="00AD6D69">
        <w:rPr>
          <w:rFonts w:cs="Arial"/>
          <w:smallCaps/>
          <w:sz w:val="18"/>
          <w:szCs w:val="18"/>
          <w:lang w:val="fr-FR" w:eastAsia="x-none"/>
          <w14:cntxtAlts/>
        </w:rPr>
        <w:t>Goyette</w:t>
      </w:r>
      <w:r w:rsidRPr="00AD6D69">
        <w:rPr>
          <w:rFonts w:cs="Arial"/>
          <w:sz w:val="18"/>
          <w:szCs w:val="18"/>
          <w:lang w:val="x-none" w:eastAsia="x-none"/>
          <w14:cntxtAlts/>
        </w:rPr>
        <w:t xml:space="preserve">, Céline </w:t>
      </w:r>
      <w:r w:rsidRPr="00AD6D69">
        <w:rPr>
          <w:rFonts w:cs="Arial"/>
          <w:smallCaps/>
          <w:sz w:val="18"/>
          <w:szCs w:val="18"/>
          <w:lang w:val="fr-FR" w:eastAsia="x-none"/>
          <w14:cntxtAlts/>
        </w:rPr>
        <w:t>Bellot</w:t>
      </w:r>
      <w:r w:rsidRPr="00AD6D69">
        <w:rPr>
          <w:rFonts w:cs="Arial"/>
          <w:sz w:val="18"/>
          <w:szCs w:val="18"/>
          <w:lang w:val="x-none" w:eastAsia="x-none"/>
          <w14:cntxtAlts/>
        </w:rPr>
        <w:t xml:space="preserve">, Alexandre </w:t>
      </w:r>
      <w:r w:rsidRPr="00AD6D69">
        <w:rPr>
          <w:rFonts w:cs="Arial"/>
          <w:smallCaps/>
          <w:sz w:val="18"/>
          <w:szCs w:val="18"/>
          <w:lang w:val="fr-FR" w:eastAsia="x-none"/>
          <w14:cntxtAlts/>
        </w:rPr>
        <w:t>Blanchet</w:t>
      </w:r>
      <w:r w:rsidRPr="00AD6D69">
        <w:rPr>
          <w:rFonts w:cs="Arial"/>
          <w:sz w:val="18"/>
          <w:szCs w:val="18"/>
          <w:lang w:val="x-none" w:eastAsia="x-none"/>
          <w14:cntxtAlts/>
        </w:rPr>
        <w:t xml:space="preserve"> et Rafael </w:t>
      </w:r>
      <w:r w:rsidRPr="00AD6D69">
        <w:rPr>
          <w:rFonts w:cs="Arial"/>
          <w:smallCaps/>
          <w:sz w:val="18"/>
          <w:szCs w:val="18"/>
          <w:lang w:val="fr-FR" w:eastAsia="x-none"/>
          <w14:cntxtAlts/>
        </w:rPr>
        <w:t>Silva-Ramirez</w:t>
      </w:r>
      <w:r w:rsidRPr="00AD6D69">
        <w:rPr>
          <w:rFonts w:cs="Arial"/>
          <w:sz w:val="18"/>
          <w:szCs w:val="18"/>
          <w:lang w:val="x-none" w:eastAsia="x-none"/>
          <w14:cntxtAlts/>
        </w:rPr>
        <w:t xml:space="preserve">, </w:t>
      </w:r>
      <w:r w:rsidRPr="00AD6D69">
        <w:rPr>
          <w:rFonts w:cs="Arial"/>
          <w:i/>
          <w:sz w:val="18"/>
          <w:szCs w:val="18"/>
          <w:lang w:val="x-none" w:eastAsia="x-none"/>
          <w14:cntxtAlts/>
        </w:rPr>
        <w:t>Stabilité résidentielle, instabilité résidentielle et itinérance des jeunes quittant un placement substitut pour la transition à la vie adulte, Étude longitudinale sur le devenir des jeunes placés</w:t>
      </w:r>
      <w:r w:rsidRPr="00AD6D69">
        <w:rPr>
          <w:rFonts w:cs="Arial"/>
          <w:sz w:val="18"/>
          <w:szCs w:val="18"/>
          <w:lang w:val="x-none" w:eastAsia="x-none"/>
          <w14:cntxtAlts/>
        </w:rPr>
        <w:t xml:space="preserve">, 2019, [En ligne]. </w:t>
      </w:r>
      <w:hyperlink r:id="rId31" w:history="1">
        <w:r w:rsidRPr="00AD6D69">
          <w:rPr>
            <w:rStyle w:val="Lienhypertexte"/>
            <w:rFonts w:cs="Arial"/>
            <w:sz w:val="18"/>
            <w:szCs w:val="18"/>
            <w:lang w:val="x-none" w:eastAsia="x-none"/>
            <w14:cntxtAlts/>
          </w:rPr>
          <w:t>http://edjep.ca/wpcontent/uploads/2019/11/Consultez-le-rapport-en-cliquant-ici.pdf</w:t>
        </w:r>
      </w:hyperlink>
      <w:r w:rsidRPr="00AD6D69">
        <w:rPr>
          <w:rFonts w:cs="Arial"/>
          <w:sz w:val="18"/>
          <w:szCs w:val="18"/>
          <w:lang w:val="fr-FR" w:eastAsia="x-none"/>
          <w14:cntxtAlts/>
        </w:rPr>
        <w:t xml:space="preserve">; </w:t>
      </w:r>
      <w:r w:rsidRPr="00AD6D69">
        <w:rPr>
          <w:rFonts w:cs="Arial"/>
          <w:sz w:val="18"/>
          <w:szCs w:val="18"/>
          <w:lang w:val="x-none" w:eastAsia="x-none"/>
          <w14:cntxtAlts/>
        </w:rPr>
        <w:t xml:space="preserve">Céline </w:t>
      </w:r>
      <w:r w:rsidRPr="00AD6D69">
        <w:rPr>
          <w:rFonts w:cs="Arial"/>
          <w:smallCaps/>
          <w:sz w:val="18"/>
          <w:szCs w:val="18"/>
          <w:lang w:val="fr-FR" w:eastAsia="x-none"/>
          <w14:cntxtAlts/>
        </w:rPr>
        <w:t>Bellot</w:t>
      </w:r>
      <w:r w:rsidRPr="00AD6D69">
        <w:rPr>
          <w:rFonts w:cs="Arial"/>
          <w:sz w:val="18"/>
          <w:szCs w:val="18"/>
          <w:lang w:val="x-none" w:eastAsia="x-none"/>
          <w14:cntxtAlts/>
        </w:rPr>
        <w:t xml:space="preserve"> et Marie-Ève </w:t>
      </w:r>
      <w:r w:rsidRPr="00AD6D69">
        <w:rPr>
          <w:rFonts w:cs="Arial"/>
          <w:smallCaps/>
          <w:sz w:val="18"/>
          <w:szCs w:val="18"/>
          <w:lang w:val="fr-FR" w:eastAsia="x-none"/>
          <w14:cntxtAlts/>
        </w:rPr>
        <w:t>Sylvestre</w:t>
      </w:r>
      <w:r w:rsidRPr="00AD6D69">
        <w:rPr>
          <w:rFonts w:cs="Arial"/>
          <w:sz w:val="18"/>
          <w:szCs w:val="18"/>
          <w:lang w:val="x-none" w:eastAsia="x-none"/>
          <w14:cntxtAlts/>
        </w:rPr>
        <w:t xml:space="preserve">, « De la judiciarisation au profilage : le cas de la répression des jeunes en situation de rue à Montréal », dans Fabien </w:t>
      </w:r>
      <w:r w:rsidRPr="00AD6D69">
        <w:rPr>
          <w:rFonts w:cs="Arial"/>
          <w:smallCaps/>
          <w:sz w:val="18"/>
          <w:szCs w:val="18"/>
          <w:lang w:val="fr-FR" w:eastAsia="x-none"/>
          <w14:cntxtAlts/>
        </w:rPr>
        <w:t>Desage</w:t>
      </w:r>
      <w:r w:rsidRPr="00AD6D69">
        <w:rPr>
          <w:rFonts w:cs="Arial"/>
          <w:sz w:val="18"/>
          <w:szCs w:val="18"/>
          <w:lang w:val="x-none" w:eastAsia="x-none"/>
          <w14:cntxtAlts/>
        </w:rPr>
        <w:t xml:space="preserve">, Nicolas </w:t>
      </w:r>
      <w:r w:rsidRPr="00AD6D69">
        <w:rPr>
          <w:rFonts w:cs="Arial"/>
          <w:smallCaps/>
          <w:sz w:val="18"/>
          <w:szCs w:val="18"/>
          <w:lang w:val="fr-FR" w:eastAsia="x-none"/>
          <w14:cntxtAlts/>
        </w:rPr>
        <w:t>Sallée</w:t>
      </w:r>
      <w:r w:rsidRPr="00AD6D69">
        <w:rPr>
          <w:rFonts w:cs="Arial"/>
          <w:sz w:val="18"/>
          <w:szCs w:val="18"/>
          <w:lang w:val="x-none" w:eastAsia="x-none"/>
          <w14:cntxtAlts/>
        </w:rPr>
        <w:t xml:space="preserve"> et Dominique </w:t>
      </w:r>
      <w:r w:rsidRPr="00AD6D69">
        <w:rPr>
          <w:rFonts w:cs="Arial"/>
          <w:smallCaps/>
          <w:sz w:val="18"/>
          <w:szCs w:val="18"/>
          <w:lang w:val="fr-FR" w:eastAsia="x-none"/>
          <w14:cntxtAlts/>
        </w:rPr>
        <w:t>Duprèz</w:t>
      </w:r>
      <w:r w:rsidRPr="00AD6D69">
        <w:rPr>
          <w:rFonts w:cs="Arial"/>
          <w:sz w:val="18"/>
          <w:szCs w:val="18"/>
          <w:lang w:val="x-none" w:eastAsia="x-none"/>
          <w14:cntxtAlts/>
        </w:rPr>
        <w:t xml:space="preserve"> (dir.), </w:t>
      </w:r>
      <w:r w:rsidRPr="00AD6D69">
        <w:rPr>
          <w:rFonts w:cs="Arial"/>
          <w:i/>
          <w:sz w:val="18"/>
          <w:szCs w:val="18"/>
          <w:lang w:val="x-none" w:eastAsia="x-none"/>
          <w14:cntxtAlts/>
        </w:rPr>
        <w:t>Les espaces du contrôle des jeunes. Savoirs</w:t>
      </w:r>
      <w:r w:rsidRPr="00AD6D69">
        <w:rPr>
          <w:rFonts w:cs="Arial"/>
          <w:sz w:val="18"/>
          <w:szCs w:val="18"/>
          <w:lang w:val="x-none" w:eastAsia="x-none"/>
          <w14:cntxtAlts/>
        </w:rPr>
        <w:t>, institutions, villes, Montréal, PUM, 2015, p. 145-157.</w:t>
      </w:r>
    </w:p>
  </w:footnote>
  <w:footnote w:id="76">
    <w:p w14:paraId="230A76C5" w14:textId="547B8872"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mallCaps/>
          <w:sz w:val="18"/>
          <w:szCs w:val="18"/>
          <w:lang w:val="fr-FR" w:eastAsia="x-none"/>
          <w14:cntxtAlts/>
        </w:rPr>
        <w:t>Comité des droits économiques, sociaux et culturels</w:t>
      </w:r>
      <w:r w:rsidRPr="00AD6D69">
        <w:rPr>
          <w:rFonts w:cs="Arial"/>
          <w:sz w:val="18"/>
          <w:szCs w:val="18"/>
          <w:lang w:val="x-none" w:eastAsia="x-none"/>
          <w14:cntxtAlts/>
        </w:rPr>
        <w:t xml:space="preserve">, </w:t>
      </w:r>
      <w:r w:rsidRPr="00AD6D69">
        <w:rPr>
          <w:rFonts w:cs="Arial"/>
          <w:sz w:val="18"/>
          <w:szCs w:val="18"/>
          <w:lang w:val="fr-FR" w:eastAsia="x-none"/>
          <w14:cntxtAlts/>
        </w:rPr>
        <w:t xml:space="preserve">préc., note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_Ref138776964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71</w:t>
      </w:r>
      <w:r w:rsidRPr="00AD6D69">
        <w:rPr>
          <w:rFonts w:cs="Arial"/>
          <w:sz w:val="18"/>
          <w:szCs w:val="18"/>
          <w:lang w:val="fr-FR" w:eastAsia="x-none"/>
          <w14:cntxtAlts/>
        </w:rPr>
        <w:fldChar w:fldCharType="end"/>
      </w:r>
      <w:r w:rsidRPr="00AD6D69">
        <w:rPr>
          <w:rFonts w:cs="Arial"/>
          <w:sz w:val="18"/>
          <w:szCs w:val="18"/>
          <w:lang w:val="x-none" w:eastAsia="x-none"/>
          <w14:cntxtAlts/>
        </w:rPr>
        <w:t>, par. 42..</w:t>
      </w:r>
    </w:p>
  </w:footnote>
  <w:footnote w:id="77">
    <w:p w14:paraId="637B188A"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La judiciarisation de personnes itinérantes à Montréal : un profilage social</w:t>
      </w:r>
      <w:r w:rsidRPr="00AD6D69">
        <w:rPr>
          <w:rFonts w:cs="Arial"/>
          <w:sz w:val="18"/>
          <w:szCs w:val="18"/>
          <w:lang w:val="x-none" w:eastAsia="x-none"/>
          <w14:cntxtAlts/>
        </w:rPr>
        <w:t xml:space="preserve">, </w:t>
      </w:r>
      <w:r w:rsidRPr="00AD6D69">
        <w:rPr>
          <w:rFonts w:cs="Arial"/>
          <w:sz w:val="18"/>
          <w:szCs w:val="18"/>
          <w:lang w:val="fr-FR" w:eastAsia="x-none"/>
          <w14:cntxtAlts/>
        </w:rPr>
        <w:t>M</w:t>
      </w:r>
      <w:r w:rsidRPr="00AD6D69">
        <w:rPr>
          <w:rFonts w:cs="Arial"/>
          <w:sz w:val="18"/>
          <w:szCs w:val="18"/>
          <w:vertAlign w:val="superscript"/>
          <w:lang w:val="fr-FR" w:eastAsia="x-none"/>
          <w14:cntxtAlts/>
        </w:rPr>
        <w:t>e</w:t>
      </w:r>
      <w:r w:rsidRPr="00AD6D69">
        <w:rPr>
          <w:rFonts w:cs="Arial"/>
          <w:sz w:val="18"/>
          <w:szCs w:val="18"/>
          <w:lang w:val="fr-FR" w:eastAsia="x-none"/>
          <w14:cntxtAlts/>
        </w:rPr>
        <w:t xml:space="preserve"> Christine Campbell et Paul Eid, </w:t>
      </w:r>
      <w:r w:rsidRPr="00AD6D69">
        <w:rPr>
          <w:rFonts w:cs="Arial"/>
          <w:sz w:val="18"/>
          <w:szCs w:val="18"/>
          <w:lang w:val="x-none" w:eastAsia="x-none"/>
          <w14:cntxtAlts/>
        </w:rPr>
        <w:t xml:space="preserve">(Cat. 2.120-8.61), 2009, [En ligne]. </w:t>
      </w:r>
      <w:hyperlink r:id="rId32" w:history="1">
        <w:r w:rsidRPr="00AD6D69">
          <w:rPr>
            <w:rStyle w:val="Lienhypertexte"/>
            <w:rFonts w:cs="Arial"/>
            <w:sz w:val="18"/>
            <w:szCs w:val="18"/>
            <w:lang w:val="x-none" w:eastAsia="x-none"/>
            <w14:cntxtAlts/>
          </w:rPr>
          <w:t>https://www.cdpdj.qc.ca/storage/app/media/publications/itinerance_avis.pdf</w:t>
        </w:r>
      </w:hyperlink>
    </w:p>
  </w:footnote>
  <w:footnote w:id="78">
    <w:p w14:paraId="04695016" w14:textId="69572D71"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mallCaps/>
          <w:sz w:val="18"/>
          <w:szCs w:val="18"/>
          <w:lang w:val="fr-FR" w:eastAsia="x-none"/>
          <w14:cntxtAlts/>
        </w:rPr>
        <w:t>Commission d’enquête sur les relations entre les autochtones et certains services publics,</w:t>
      </w:r>
      <w:r w:rsidRPr="00AD6D69">
        <w:rPr>
          <w:rFonts w:cs="Arial"/>
          <w:sz w:val="18"/>
          <w:szCs w:val="18"/>
          <w:lang w:val="fr-FR" w:eastAsia="x-none"/>
          <w14:cntxtAlts/>
        </w:rPr>
        <w:t xml:space="preserve"> préc., note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_Ref138777112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73</w:t>
      </w:r>
      <w:r w:rsidRPr="00AD6D69">
        <w:rPr>
          <w:rFonts w:cs="Arial"/>
          <w:sz w:val="18"/>
          <w:szCs w:val="18"/>
          <w:lang w:val="fr-FR" w:eastAsia="x-none"/>
          <w14:cntxtAlts/>
        </w:rPr>
        <w:fldChar w:fldCharType="end"/>
      </w:r>
      <w:r w:rsidRPr="00AD6D69">
        <w:rPr>
          <w:rFonts w:cs="Arial"/>
          <w:sz w:val="18"/>
          <w:szCs w:val="18"/>
          <w:lang w:val="x-none" w:eastAsia="x-none"/>
          <w14:cntxtAlts/>
        </w:rPr>
        <w:t>, p. </w:t>
      </w:r>
      <w:proofErr w:type="gramStart"/>
      <w:r w:rsidRPr="00AD6D69">
        <w:rPr>
          <w:rFonts w:cs="Arial"/>
          <w:sz w:val="18"/>
          <w:szCs w:val="18"/>
          <w:lang w:val="x-none" w:eastAsia="x-none"/>
          <w14:cntxtAlts/>
        </w:rPr>
        <w:t>215;</w:t>
      </w:r>
      <w:proofErr w:type="gramEnd"/>
      <w:r w:rsidRPr="00AD6D69">
        <w:rPr>
          <w:rFonts w:cs="Arial"/>
          <w:sz w:val="18"/>
          <w:szCs w:val="18"/>
          <w:lang w:val="x-none" w:eastAsia="x-none"/>
          <w14:cntxtAlts/>
        </w:rPr>
        <w:t xml:space="preserve"> citée dans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iCs/>
          <w:sz w:val="18"/>
          <w:szCs w:val="18"/>
          <w:lang w:val="x-none" w:eastAsia="x-none"/>
          <w14:cntxtAlts/>
        </w:rPr>
        <w:t>Orientations concernant les personnes et les enjeux autochtones dans les perspectives de la Charte des droits et libertés de la personne et de la Loi sur la protection de la jeunesse</w:t>
      </w:r>
      <w:r w:rsidRPr="00AD6D69">
        <w:rPr>
          <w:rFonts w:cs="Arial"/>
          <w:sz w:val="18"/>
          <w:szCs w:val="18"/>
          <w:lang w:val="x-none" w:eastAsia="x-none"/>
          <w14:cntxtAlts/>
        </w:rPr>
        <w:t xml:space="preserve">, 2021, p. 3, [En ligne]. </w:t>
      </w:r>
      <w:hyperlink r:id="rId33" w:history="1">
        <w:r w:rsidRPr="00AD6D69">
          <w:rPr>
            <w:rStyle w:val="Lienhypertexte"/>
            <w:rFonts w:cs="Arial"/>
            <w:sz w:val="18"/>
            <w:szCs w:val="18"/>
            <w:lang w:val="x-none" w:eastAsia="x-none"/>
            <w14:cntxtAlts/>
          </w:rPr>
          <w:t>https://www.cdpdj.qc.ca/storage/app/media/publications/Orientations_Autochtones.pdf</w:t>
        </w:r>
      </w:hyperlink>
    </w:p>
  </w:footnote>
  <w:footnote w:id="79">
    <w:p w14:paraId="57320953" w14:textId="0B4C951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t xml:space="preserve">Voir notamment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fr-FR" w:eastAsia="x-none"/>
          <w14:cntxtAlts/>
        </w:rPr>
        <w:t xml:space="preserve">, préc., note </w:t>
      </w:r>
      <w:r w:rsidRPr="00AD6D69">
        <w:rPr>
          <w:rFonts w:cs="Arial"/>
          <w:sz w:val="18"/>
          <w:szCs w:val="18"/>
          <w:lang w:val="fr-FR" w:eastAsia="x-none"/>
          <w14:cntxtAlts/>
        </w:rPr>
        <w:fldChar w:fldCharType="begin"/>
      </w:r>
      <w:r w:rsidRPr="00AD6D69">
        <w:rPr>
          <w:rFonts w:cs="Arial"/>
          <w:sz w:val="18"/>
          <w:szCs w:val="18"/>
          <w:lang w:val="fr-FR" w:eastAsia="x-none"/>
          <w14:cntxtAlts/>
        </w:rPr>
        <w:instrText xml:space="preserve"> NOTEREF _Ref138769321 \h </w:instrText>
      </w:r>
      <w:r w:rsidR="002647EA" w:rsidRPr="00AD6D69">
        <w:rPr>
          <w:rFonts w:cs="Arial"/>
          <w:sz w:val="18"/>
          <w:szCs w:val="18"/>
          <w:lang w:val="fr-FR" w:eastAsia="x-none"/>
          <w14:cntxtAlts/>
        </w:rPr>
        <w:instrText xml:space="preserve"> \* MERGEFORMAT </w:instrText>
      </w:r>
      <w:r w:rsidRPr="00AD6D69">
        <w:rPr>
          <w:rFonts w:cs="Arial"/>
          <w:sz w:val="18"/>
          <w:szCs w:val="18"/>
          <w:lang w:val="fr-FR" w:eastAsia="x-none"/>
          <w14:cntxtAlts/>
        </w:rPr>
      </w:r>
      <w:r w:rsidRPr="00AD6D69">
        <w:rPr>
          <w:rFonts w:cs="Arial"/>
          <w:sz w:val="18"/>
          <w:szCs w:val="18"/>
          <w:lang w:val="fr-FR" w:eastAsia="x-none"/>
          <w14:cntxtAlts/>
        </w:rPr>
        <w:fldChar w:fldCharType="separate"/>
      </w:r>
      <w:r w:rsidR="002A1D2F">
        <w:rPr>
          <w:rFonts w:cs="Arial"/>
          <w:sz w:val="18"/>
          <w:szCs w:val="18"/>
          <w:lang w:val="fr-FR" w:eastAsia="x-none"/>
          <w14:cntxtAlts/>
        </w:rPr>
        <w:t>25</w:t>
      </w:r>
      <w:r w:rsidRPr="00AD6D69">
        <w:rPr>
          <w:rFonts w:cs="Arial"/>
          <w:sz w:val="18"/>
          <w:szCs w:val="18"/>
          <w:lang w:val="fr-FR" w:eastAsia="x-none"/>
          <w14:cntxtAlts/>
        </w:rPr>
        <w:fldChar w:fldCharType="end"/>
      </w:r>
      <w:r w:rsidRPr="00AD6D69">
        <w:rPr>
          <w:rFonts w:cs="Arial"/>
          <w:sz w:val="18"/>
          <w:szCs w:val="18"/>
          <w:lang w:val="fr-FR" w:eastAsia="x-none"/>
          <w14:cntxtAlts/>
        </w:rPr>
        <w:t>, partie 2.4.</w:t>
      </w:r>
    </w:p>
  </w:footnote>
  <w:footnote w:id="80">
    <w:p w14:paraId="359C8ADF"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fr-FR" w:eastAsia="x-none"/>
          <w14:cntxtAlts/>
        </w:rPr>
        <w:t xml:space="preserve">, </w:t>
      </w:r>
      <w:r w:rsidRPr="00AD6D69">
        <w:rPr>
          <w:rFonts w:cs="Arial"/>
          <w:iCs/>
          <w:sz w:val="18"/>
          <w:szCs w:val="18"/>
        </w:rPr>
        <w:t>« </w:t>
      </w:r>
      <w:r w:rsidRPr="00AD6D69">
        <w:rPr>
          <w:rFonts w:cs="Arial"/>
          <w:iCs/>
          <w:sz w:val="18"/>
          <w:szCs w:val="18"/>
          <w:lang w:val="fr-FR" w:eastAsia="x-none"/>
          <w14:cntxtAlts/>
        </w:rPr>
        <w:t>La mobilisation et la collaboration de tous les acteurs doivent être au cœur de la réponse à la crise au Nunavik, insiste la CDPDJ</w:t>
      </w:r>
      <w:r w:rsidRPr="00AD6D69">
        <w:rPr>
          <w:rFonts w:cs="Arial"/>
          <w:iCs/>
          <w:sz w:val="18"/>
          <w:szCs w:val="18"/>
        </w:rPr>
        <w:t> »</w:t>
      </w:r>
      <w:r w:rsidRPr="00AD6D69">
        <w:rPr>
          <w:rFonts w:cs="Arial"/>
          <w:sz w:val="18"/>
          <w:szCs w:val="18"/>
          <w:lang w:val="fr-FR" w:eastAsia="x-none"/>
          <w14:cntxtAlts/>
        </w:rPr>
        <w:t xml:space="preserve">, Communiqué, 12 août 2022, [En ligne]. </w:t>
      </w:r>
      <w:hyperlink r:id="rId34" w:history="1">
        <w:r w:rsidRPr="00AD6D69">
          <w:rPr>
            <w:rStyle w:val="Lienhypertexte"/>
            <w:rFonts w:cs="Arial"/>
            <w:sz w:val="18"/>
            <w:szCs w:val="18"/>
            <w:lang w:val="x-none" w:eastAsia="x-none"/>
            <w14:cntxtAlts/>
          </w:rPr>
          <w:t>Mobilisation et collaboration: la réponse à la crise au Nunavik (cdpdj.qc.ca)</w:t>
        </w:r>
      </w:hyperlink>
    </w:p>
  </w:footnote>
  <w:footnote w:id="81">
    <w:p w14:paraId="51885F0F" w14:textId="77777777" w:rsidR="00463481" w:rsidRPr="00AD6D69" w:rsidRDefault="00463481" w:rsidP="00AD6D69">
      <w:pPr>
        <w:tabs>
          <w:tab w:val="left" w:pos="720"/>
        </w:tabs>
        <w:spacing w:after="120" w:line="240" w:lineRule="auto"/>
        <w:ind w:left="709" w:hanging="709"/>
        <w:jc w:val="left"/>
        <w:rPr>
          <w:rFonts w:cs="Arial"/>
          <w:sz w:val="18"/>
          <w:szCs w:val="18"/>
          <w:lang w:val="fr-FR" w:eastAsia="x-none"/>
          <w14:cntxtAlts/>
        </w:rPr>
      </w:pPr>
      <w:r w:rsidRPr="00AD6D69">
        <w:rPr>
          <w:rStyle w:val="Appelnotedebasdep"/>
          <w:rFonts w:cs="Arial"/>
          <w:sz w:val="18"/>
          <w:szCs w:val="18"/>
          <w:lang w:val="x-none" w:eastAsia="x-none"/>
          <w14:cntxtAlts/>
        </w:rPr>
        <w:footnoteRef/>
      </w:r>
      <w:r w:rsidRPr="00AD6D69">
        <w:rPr>
          <w:rFonts w:cs="Arial"/>
          <w:sz w:val="18"/>
          <w:szCs w:val="18"/>
          <w:lang w:val="x-none" w:eastAsia="x-none"/>
          <w14:cntxtAlts/>
        </w:rPr>
        <w:t xml:space="preserve"> </w:t>
      </w:r>
      <w:r w:rsidRPr="00AD6D69">
        <w:rPr>
          <w:rFonts w:cs="Arial"/>
          <w:sz w:val="18"/>
          <w:szCs w:val="18"/>
          <w:lang w:val="fr-FR" w:eastAsia="x-none"/>
          <w14:cntxtAlts/>
        </w:rPr>
        <w:tab/>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Lettre à la ministre de la Santé et des Services sociaux et au ministre délégué à la Santé et aux Services sociaux sur les services de protection de l’enfance et de la jeunesse au Nunavik</w:t>
      </w:r>
      <w:r w:rsidRPr="00AD6D69">
        <w:rPr>
          <w:rFonts w:cs="Arial"/>
          <w:sz w:val="18"/>
          <w:szCs w:val="18"/>
          <w:lang w:val="x-none" w:eastAsia="x-none"/>
          <w14:cntxtAlts/>
        </w:rPr>
        <w:t xml:space="preserve">, 18 mars 2019, [En ligne]. </w:t>
      </w:r>
      <w:hyperlink r:id="rId35" w:history="1">
        <w:r w:rsidRPr="00AD6D69">
          <w:rPr>
            <w:rStyle w:val="Lienhypertexte"/>
            <w:rFonts w:cs="Arial"/>
            <w:sz w:val="18"/>
            <w:szCs w:val="18"/>
            <w:lang w:val="x-none" w:eastAsia="x-none"/>
            <w14:cntxtAlts/>
          </w:rPr>
          <w:t>http://www.cdpdj.qc.ca/fr/medias/Pages/Communique.aspx?showitem=849</w:t>
        </w:r>
      </w:hyperlink>
      <w:r w:rsidRPr="00AD6D69">
        <w:rPr>
          <w:rFonts w:cs="Arial"/>
          <w:sz w:val="18"/>
          <w:szCs w:val="18"/>
          <w:lang w:val="fr-FR" w:eastAsia="x-none"/>
          <w14:cntxtAlts/>
        </w:rPr>
        <w:t xml:space="preserve"> </w:t>
      </w:r>
      <w:r w:rsidRPr="00AD6D69">
        <w:rPr>
          <w:rFonts w:cs="Arial"/>
          <w:sz w:val="18"/>
          <w:szCs w:val="18"/>
          <w:lang w:val="x-none" w:eastAsia="x-none"/>
          <w14:cntxtAlts/>
        </w:rPr>
        <w:t xml:space="preserve"> ;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Rapport de suivi des recommandations de l’enquête portant sur les services de protection de la jeunesse dans la baie d’Ungava et la baie d’Hudson</w:t>
      </w:r>
      <w:r w:rsidRPr="00AD6D69">
        <w:rPr>
          <w:rFonts w:cs="Arial"/>
          <w:sz w:val="18"/>
          <w:szCs w:val="18"/>
          <w:lang w:val="x-none" w:eastAsia="x-none"/>
          <w14:cntxtAlts/>
        </w:rPr>
        <w:t xml:space="preserve">, 2010, [En ligne]. </w:t>
      </w:r>
      <w:hyperlink r:id="rId36" w:history="1">
        <w:r w:rsidRPr="00AD6D69">
          <w:rPr>
            <w:rStyle w:val="Lienhypertexte"/>
            <w:rFonts w:cs="Arial"/>
            <w:sz w:val="18"/>
            <w:szCs w:val="18"/>
            <w:lang w:val="x-none" w:eastAsia="x-none"/>
            <w14:cntxtAlts/>
          </w:rPr>
          <w:t>http://www.cdpdj.qc.ca/Publications/Rapport_suivi_Nunavik_2010.pdf</w:t>
        </w:r>
      </w:hyperlink>
      <w:r w:rsidRPr="00AD6D69">
        <w:rPr>
          <w:rFonts w:cs="Arial"/>
          <w:sz w:val="18"/>
          <w:szCs w:val="18"/>
          <w:lang w:val="x-none" w:eastAsia="x-none"/>
          <w14:cntxtAlts/>
        </w:rPr>
        <w:t xml:space="preserve">; </w:t>
      </w:r>
      <w:r w:rsidRPr="00AD6D69">
        <w:rPr>
          <w:rFonts w:cs="Arial"/>
          <w:smallCaps/>
          <w:sz w:val="18"/>
          <w:szCs w:val="18"/>
          <w:lang w:val="x-none" w:eastAsia="x-none"/>
          <w14:cntxtAlts/>
        </w:rPr>
        <w:t>Commission des droits de la personne et des droits de la jeunesse</w:t>
      </w:r>
      <w:r w:rsidRPr="00AD6D69">
        <w:rPr>
          <w:rFonts w:cs="Arial"/>
          <w:sz w:val="18"/>
          <w:szCs w:val="18"/>
          <w:lang w:val="x-none" w:eastAsia="x-none"/>
          <w14:cntxtAlts/>
        </w:rPr>
        <w:t xml:space="preserve">, </w:t>
      </w:r>
      <w:r w:rsidRPr="00AD6D69">
        <w:rPr>
          <w:rFonts w:cs="Arial"/>
          <w:i/>
          <w:sz w:val="18"/>
          <w:szCs w:val="18"/>
          <w:lang w:val="x-none" w:eastAsia="x-none"/>
          <w14:cntxtAlts/>
        </w:rPr>
        <w:t>Enquête portant sur les services de protection de la jeunesse dans la baie d’Ungava et la baie d’Hudson Rapport, conclusions d’enquête et recommandations</w:t>
      </w:r>
      <w:r w:rsidRPr="00AD6D69">
        <w:rPr>
          <w:rFonts w:cs="Arial"/>
          <w:sz w:val="18"/>
          <w:szCs w:val="18"/>
          <w:lang w:val="x-none" w:eastAsia="x-none"/>
          <w14:cntxtAlts/>
        </w:rPr>
        <w:t>, 2007</w:t>
      </w:r>
      <w:r w:rsidRPr="00AD6D69">
        <w:rPr>
          <w:rFonts w:cs="Arial"/>
          <w:sz w:val="18"/>
          <w:szCs w:val="18"/>
          <w:lang w:val="fr-FR" w:eastAsia="x-none"/>
          <w14:cntxtAlt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BCA9" w14:textId="7E9623C8" w:rsidR="00631A1F" w:rsidRPr="00C86E79" w:rsidRDefault="001039F7" w:rsidP="004D5B7B">
    <w:pPr>
      <w:pBdr>
        <w:bottom w:val="single" w:sz="4" w:space="1" w:color="auto"/>
      </w:pBdr>
      <w:spacing w:line="240" w:lineRule="auto"/>
      <w:jc w:val="left"/>
      <w:rPr>
        <w:b/>
        <w:i/>
        <w:iCs/>
        <w:sz w:val="14"/>
        <w:szCs w:val="14"/>
      </w:rPr>
    </w:pPr>
    <w:r>
      <w:rPr>
        <w:rFonts w:cs="Arial"/>
        <w:b/>
        <w:i/>
        <w:iCs/>
        <w:sz w:val="14"/>
        <w:szCs w:val="14"/>
      </w:rPr>
      <w:t>Table des matières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5DB9" w14:textId="77777777" w:rsidR="00AD6D69" w:rsidRDefault="00AD6D69" w:rsidP="00AD6D69">
    <w:pPr>
      <w:pStyle w:val="En-tte"/>
      <w:pBdr>
        <w:bottom w:val="single" w:sz="4" w:space="1" w:color="auto"/>
      </w:pBdr>
      <w:spacing w:line="240" w:lineRule="auto"/>
      <w:jc w:val="right"/>
      <w:rPr>
        <w:b/>
        <w:i/>
        <w:sz w:val="14"/>
        <w:szCs w:val="14"/>
      </w:rPr>
    </w:pPr>
    <w:r w:rsidRPr="008B562B">
      <w:rPr>
        <w:b/>
        <w:i/>
        <w:sz w:val="14"/>
        <w:szCs w:val="14"/>
      </w:rPr>
      <w:t>Commentaires dans le cadre de la Consultation publique pour l’élaboration</w:t>
    </w:r>
  </w:p>
  <w:p w14:paraId="4AB8D038" w14:textId="6190E2AA" w:rsidR="004241CD" w:rsidRPr="00AD6D69" w:rsidRDefault="00AD6D69" w:rsidP="00AD6D69">
    <w:pPr>
      <w:pStyle w:val="En-tte"/>
      <w:pBdr>
        <w:bottom w:val="single" w:sz="4" w:space="1" w:color="auto"/>
      </w:pBdr>
      <w:spacing w:line="240" w:lineRule="auto"/>
      <w:jc w:val="right"/>
    </w:pPr>
    <w:proofErr w:type="gramStart"/>
    <w:r w:rsidRPr="008B562B">
      <w:rPr>
        <w:b/>
        <w:i/>
        <w:sz w:val="14"/>
        <w:szCs w:val="14"/>
      </w:rPr>
      <w:t>du</w:t>
    </w:r>
    <w:proofErr w:type="gramEnd"/>
    <w:r w:rsidRPr="008B562B">
      <w:rPr>
        <w:b/>
        <w:i/>
        <w:sz w:val="14"/>
        <w:szCs w:val="14"/>
      </w:rPr>
      <w:t xml:space="preserve"> quatrième plan d’action gouvernemental</w:t>
    </w:r>
    <w:r>
      <w:rPr>
        <w:b/>
        <w:i/>
        <w:sz w:val="14"/>
        <w:szCs w:val="14"/>
      </w:rPr>
      <w:t xml:space="preserve"> </w:t>
    </w:r>
    <w:r w:rsidRPr="008B562B">
      <w:rPr>
        <w:b/>
        <w:i/>
        <w:sz w:val="14"/>
        <w:szCs w:val="14"/>
      </w:rPr>
      <w:t>en matière de lutte contre la pauvreté et l’exclusion sociale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DC97" w14:textId="1196EF1D" w:rsidR="00631A1F" w:rsidRDefault="00631A1F">
    <w:pPr>
      <w:pStyle w:val="En-tte"/>
    </w:pPr>
    <w:r>
      <w:rPr>
        <w:noProof/>
      </w:rPr>
      <w:drawing>
        <wp:anchor distT="0" distB="0" distL="114300" distR="114300" simplePos="0" relativeHeight="251658240" behindDoc="0" locked="0" layoutInCell="1" allowOverlap="1" wp14:anchorId="665FDC50" wp14:editId="0693CC6C">
          <wp:simplePos x="0" y="0"/>
          <wp:positionH relativeFrom="column">
            <wp:posOffset>0</wp:posOffset>
          </wp:positionH>
          <wp:positionV relativeFrom="paragraph">
            <wp:posOffset>0</wp:posOffset>
          </wp:positionV>
          <wp:extent cx="2286000" cy="523875"/>
          <wp:effectExtent l="0" t="0" r="0" b="9525"/>
          <wp:wrapNone/>
          <wp:docPr id="1675339761" name="Image 1675339761" descr="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F59" w14:textId="24752F89" w:rsidR="00631A1F" w:rsidRDefault="00631A1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2404" w14:textId="77777777" w:rsidR="00AD6D69" w:rsidRDefault="00AD6D69" w:rsidP="00AD6D69">
    <w:pPr>
      <w:pStyle w:val="En-tte"/>
      <w:pBdr>
        <w:bottom w:val="single" w:sz="4" w:space="1" w:color="auto"/>
      </w:pBdr>
      <w:spacing w:line="240" w:lineRule="auto"/>
      <w:jc w:val="left"/>
      <w:rPr>
        <w:b/>
        <w:i/>
        <w:sz w:val="14"/>
        <w:szCs w:val="14"/>
      </w:rPr>
    </w:pPr>
    <w:r w:rsidRPr="008B562B">
      <w:rPr>
        <w:b/>
        <w:i/>
        <w:sz w:val="14"/>
        <w:szCs w:val="14"/>
      </w:rPr>
      <w:t>Commentaires dans le cadre de la Consultation publique pour l’élaboration</w:t>
    </w:r>
  </w:p>
  <w:p w14:paraId="42D446CF" w14:textId="72323972" w:rsidR="000A2630" w:rsidRPr="00AD6D69" w:rsidRDefault="00AD6D69" w:rsidP="00AD6D69">
    <w:pPr>
      <w:pStyle w:val="En-tte"/>
      <w:pBdr>
        <w:bottom w:val="single" w:sz="4" w:space="1" w:color="auto"/>
      </w:pBdr>
      <w:spacing w:line="240" w:lineRule="auto"/>
      <w:jc w:val="left"/>
    </w:pPr>
    <w:proofErr w:type="gramStart"/>
    <w:r w:rsidRPr="008B562B">
      <w:rPr>
        <w:b/>
        <w:i/>
        <w:sz w:val="14"/>
        <w:szCs w:val="14"/>
      </w:rPr>
      <w:t>du</w:t>
    </w:r>
    <w:proofErr w:type="gramEnd"/>
    <w:r w:rsidRPr="008B562B">
      <w:rPr>
        <w:b/>
        <w:i/>
        <w:sz w:val="14"/>
        <w:szCs w:val="14"/>
      </w:rPr>
      <w:t xml:space="preserve"> quatrième plan d’action gouvernemental</w:t>
    </w:r>
    <w:r>
      <w:rPr>
        <w:b/>
        <w:i/>
        <w:sz w:val="14"/>
        <w:szCs w:val="14"/>
      </w:rPr>
      <w:t xml:space="preserve"> </w:t>
    </w:r>
    <w:r w:rsidRPr="008B562B">
      <w:rPr>
        <w:b/>
        <w:i/>
        <w:sz w:val="14"/>
        <w:szCs w:val="14"/>
      </w:rPr>
      <w:t>en matière de lutte contre la pauvreté et l’exclusion sociale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E524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039D436B"/>
    <w:multiLevelType w:val="hybridMultilevel"/>
    <w:tmpl w:val="BFF489FE"/>
    <w:lvl w:ilvl="0" w:tplc="0C0C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5F4DB6"/>
    <w:multiLevelType w:val="hybridMultilevel"/>
    <w:tmpl w:val="08120D5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CE5E61"/>
    <w:multiLevelType w:val="hybridMultilevel"/>
    <w:tmpl w:val="F4A4F4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CC1EF3"/>
    <w:multiLevelType w:val="hybridMultilevel"/>
    <w:tmpl w:val="FFB217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681030"/>
    <w:multiLevelType w:val="multilevel"/>
    <w:tmpl w:val="7B4EF002"/>
    <w:lvl w:ilvl="0">
      <w:start w:val="1"/>
      <w:numFmt w:val="decimal"/>
      <w:pStyle w:val="Titre1"/>
      <w:lvlText w:val="%1"/>
      <w:lvlJc w:val="left"/>
      <w:pPr>
        <w:tabs>
          <w:tab w:val="num" w:pos="720"/>
        </w:tabs>
        <w:ind w:left="720" w:hanging="720"/>
      </w:pPr>
      <w:rPr>
        <w:color w:val="auto"/>
      </w:rPr>
    </w:lvl>
    <w:lvl w:ilvl="1">
      <w:start w:val="1"/>
      <w:numFmt w:val="decimal"/>
      <w:pStyle w:val="Titre2"/>
      <w:lvlText w:val="%1.%2"/>
      <w:lvlJc w:val="left"/>
      <w:pPr>
        <w:tabs>
          <w:tab w:val="num" w:pos="936"/>
        </w:tabs>
        <w:ind w:left="936" w:hanging="93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tabs>
          <w:tab w:val="num" w:pos="1440"/>
        </w:tabs>
        <w:ind w:left="1440" w:hanging="1440"/>
      </w:pPr>
      <w:rPr>
        <w:rFonts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15:restartNumberingAfterBreak="0">
    <w:nsid w:val="336F6BF9"/>
    <w:multiLevelType w:val="hybridMultilevel"/>
    <w:tmpl w:val="DB40BB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CE23E2"/>
    <w:multiLevelType w:val="hybridMultilevel"/>
    <w:tmpl w:val="BBE60E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5B6FC3"/>
    <w:multiLevelType w:val="hybridMultilevel"/>
    <w:tmpl w:val="B234276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F8C69C0"/>
    <w:multiLevelType w:val="hybridMultilevel"/>
    <w:tmpl w:val="D7E03460"/>
    <w:lvl w:ilvl="0" w:tplc="3FE80832">
      <w:start w:val="1"/>
      <w:numFmt w:val="upperLetter"/>
      <w:pStyle w:val="Titre4"/>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4734368"/>
    <w:multiLevelType w:val="hybridMultilevel"/>
    <w:tmpl w:val="6C686A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3053FF"/>
    <w:multiLevelType w:val="hybridMultilevel"/>
    <w:tmpl w:val="298AE9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C8078A"/>
    <w:multiLevelType w:val="hybridMultilevel"/>
    <w:tmpl w:val="DB6687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3004752">
    <w:abstractNumId w:val="5"/>
  </w:num>
  <w:num w:numId="2" w16cid:durableId="1972789029">
    <w:abstractNumId w:val="5"/>
  </w:num>
  <w:num w:numId="3" w16cid:durableId="172190259">
    <w:abstractNumId w:val="5"/>
  </w:num>
  <w:num w:numId="4" w16cid:durableId="6519971">
    <w:abstractNumId w:val="5"/>
  </w:num>
  <w:num w:numId="5" w16cid:durableId="499656669">
    <w:abstractNumId w:val="5"/>
  </w:num>
  <w:num w:numId="6" w16cid:durableId="1391463650">
    <w:abstractNumId w:val="5"/>
  </w:num>
  <w:num w:numId="7" w16cid:durableId="1731923016">
    <w:abstractNumId w:val="5"/>
  </w:num>
  <w:num w:numId="8" w16cid:durableId="559629798">
    <w:abstractNumId w:val="9"/>
  </w:num>
  <w:num w:numId="9" w16cid:durableId="584071034">
    <w:abstractNumId w:val="0"/>
  </w:num>
  <w:num w:numId="10" w16cid:durableId="508953578">
    <w:abstractNumId w:val="1"/>
  </w:num>
  <w:num w:numId="11" w16cid:durableId="400297951">
    <w:abstractNumId w:val="2"/>
  </w:num>
  <w:num w:numId="12" w16cid:durableId="1035428947">
    <w:abstractNumId w:val="3"/>
  </w:num>
  <w:num w:numId="13" w16cid:durableId="1951431524">
    <w:abstractNumId w:val="10"/>
  </w:num>
  <w:num w:numId="14" w16cid:durableId="2133015029">
    <w:abstractNumId w:val="4"/>
  </w:num>
  <w:num w:numId="15" w16cid:durableId="1945377484">
    <w:abstractNumId w:val="6"/>
  </w:num>
  <w:num w:numId="16" w16cid:durableId="615602141">
    <w:abstractNumId w:val="12"/>
  </w:num>
  <w:num w:numId="17" w16cid:durableId="480386162">
    <w:abstractNumId w:val="11"/>
  </w:num>
  <w:num w:numId="18" w16cid:durableId="1134181811">
    <w:abstractNumId w:val="8"/>
  </w:num>
  <w:num w:numId="19" w16cid:durableId="210052055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HFluVq2AvXhd3fUSKH+O37Dxi8kCRvXrKwqU82MZzeK9nHyft0EYR/JsCz/YBylLf0DLrbhowRERTzOoqX1cWw==" w:salt="kPLd93mJ597FfEZDlKyA0A=="/>
  <w:defaultTabStop w:val="706"/>
  <w:hyphenationZone w:val="432"/>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8"/>
    <w:rsid w:val="000003C1"/>
    <w:rsid w:val="00000430"/>
    <w:rsid w:val="000006F0"/>
    <w:rsid w:val="000010E9"/>
    <w:rsid w:val="0000122C"/>
    <w:rsid w:val="000014F8"/>
    <w:rsid w:val="0000150A"/>
    <w:rsid w:val="00001585"/>
    <w:rsid w:val="00001655"/>
    <w:rsid w:val="00001710"/>
    <w:rsid w:val="00001A5E"/>
    <w:rsid w:val="00001C42"/>
    <w:rsid w:val="00001DA0"/>
    <w:rsid w:val="00002028"/>
    <w:rsid w:val="000021C6"/>
    <w:rsid w:val="0000231C"/>
    <w:rsid w:val="000025B5"/>
    <w:rsid w:val="00003210"/>
    <w:rsid w:val="00003677"/>
    <w:rsid w:val="0000388D"/>
    <w:rsid w:val="000038D1"/>
    <w:rsid w:val="00003F88"/>
    <w:rsid w:val="00003FD9"/>
    <w:rsid w:val="000043CA"/>
    <w:rsid w:val="00004599"/>
    <w:rsid w:val="000047CC"/>
    <w:rsid w:val="0000507C"/>
    <w:rsid w:val="000051BD"/>
    <w:rsid w:val="000051DF"/>
    <w:rsid w:val="00005205"/>
    <w:rsid w:val="00005257"/>
    <w:rsid w:val="00006711"/>
    <w:rsid w:val="00006773"/>
    <w:rsid w:val="0000681A"/>
    <w:rsid w:val="00006E8C"/>
    <w:rsid w:val="00007300"/>
    <w:rsid w:val="00007431"/>
    <w:rsid w:val="00007E8E"/>
    <w:rsid w:val="00007FA4"/>
    <w:rsid w:val="000100E1"/>
    <w:rsid w:val="00010A79"/>
    <w:rsid w:val="00010CDF"/>
    <w:rsid w:val="00010E2C"/>
    <w:rsid w:val="00011A45"/>
    <w:rsid w:val="00011FDA"/>
    <w:rsid w:val="0001238A"/>
    <w:rsid w:val="0001242C"/>
    <w:rsid w:val="00012647"/>
    <w:rsid w:val="00012C23"/>
    <w:rsid w:val="00012F62"/>
    <w:rsid w:val="000136F3"/>
    <w:rsid w:val="00013CAC"/>
    <w:rsid w:val="00013EEF"/>
    <w:rsid w:val="00014447"/>
    <w:rsid w:val="000147AF"/>
    <w:rsid w:val="0001486E"/>
    <w:rsid w:val="0001506B"/>
    <w:rsid w:val="00015A26"/>
    <w:rsid w:val="00015AE2"/>
    <w:rsid w:val="00015CC6"/>
    <w:rsid w:val="00016369"/>
    <w:rsid w:val="00016675"/>
    <w:rsid w:val="00016738"/>
    <w:rsid w:val="00016F58"/>
    <w:rsid w:val="00016F88"/>
    <w:rsid w:val="000176AB"/>
    <w:rsid w:val="000178E8"/>
    <w:rsid w:val="00020201"/>
    <w:rsid w:val="000204D5"/>
    <w:rsid w:val="0002074B"/>
    <w:rsid w:val="00020830"/>
    <w:rsid w:val="00020CF5"/>
    <w:rsid w:val="000211EB"/>
    <w:rsid w:val="0002140B"/>
    <w:rsid w:val="000214FF"/>
    <w:rsid w:val="000215FC"/>
    <w:rsid w:val="0002186F"/>
    <w:rsid w:val="000218CE"/>
    <w:rsid w:val="00021922"/>
    <w:rsid w:val="00021B1F"/>
    <w:rsid w:val="00021B44"/>
    <w:rsid w:val="00021E75"/>
    <w:rsid w:val="00021F55"/>
    <w:rsid w:val="00021FDA"/>
    <w:rsid w:val="0002205A"/>
    <w:rsid w:val="00022072"/>
    <w:rsid w:val="00022301"/>
    <w:rsid w:val="0002234C"/>
    <w:rsid w:val="00022921"/>
    <w:rsid w:val="00022ACB"/>
    <w:rsid w:val="00022BD3"/>
    <w:rsid w:val="000231A6"/>
    <w:rsid w:val="000236C0"/>
    <w:rsid w:val="000237AA"/>
    <w:rsid w:val="00023827"/>
    <w:rsid w:val="00023A6F"/>
    <w:rsid w:val="00023C88"/>
    <w:rsid w:val="00023D39"/>
    <w:rsid w:val="00024201"/>
    <w:rsid w:val="00024D5E"/>
    <w:rsid w:val="00024E22"/>
    <w:rsid w:val="0002558D"/>
    <w:rsid w:val="00025776"/>
    <w:rsid w:val="0002585E"/>
    <w:rsid w:val="00025931"/>
    <w:rsid w:val="00025BFC"/>
    <w:rsid w:val="00025ECE"/>
    <w:rsid w:val="00026363"/>
    <w:rsid w:val="000266A7"/>
    <w:rsid w:val="00026BBB"/>
    <w:rsid w:val="00027240"/>
    <w:rsid w:val="00027690"/>
    <w:rsid w:val="00027767"/>
    <w:rsid w:val="000279D0"/>
    <w:rsid w:val="00027A1E"/>
    <w:rsid w:val="0003028B"/>
    <w:rsid w:val="0003036A"/>
    <w:rsid w:val="000303A4"/>
    <w:rsid w:val="00030448"/>
    <w:rsid w:val="00030684"/>
    <w:rsid w:val="0003083F"/>
    <w:rsid w:val="00030982"/>
    <w:rsid w:val="00030CF1"/>
    <w:rsid w:val="00030DEB"/>
    <w:rsid w:val="00031173"/>
    <w:rsid w:val="0003142D"/>
    <w:rsid w:val="00031AF1"/>
    <w:rsid w:val="00031C81"/>
    <w:rsid w:val="00031D32"/>
    <w:rsid w:val="00032056"/>
    <w:rsid w:val="000321C3"/>
    <w:rsid w:val="000324F4"/>
    <w:rsid w:val="00032539"/>
    <w:rsid w:val="000326F8"/>
    <w:rsid w:val="0003277D"/>
    <w:rsid w:val="000327DF"/>
    <w:rsid w:val="00032A87"/>
    <w:rsid w:val="00032B31"/>
    <w:rsid w:val="00033374"/>
    <w:rsid w:val="000333CC"/>
    <w:rsid w:val="0003411C"/>
    <w:rsid w:val="00034E55"/>
    <w:rsid w:val="000351A3"/>
    <w:rsid w:val="00035615"/>
    <w:rsid w:val="00035792"/>
    <w:rsid w:val="000364C9"/>
    <w:rsid w:val="00036638"/>
    <w:rsid w:val="000366A5"/>
    <w:rsid w:val="000369FD"/>
    <w:rsid w:val="00036D3A"/>
    <w:rsid w:val="00037347"/>
    <w:rsid w:val="000376CC"/>
    <w:rsid w:val="00037E91"/>
    <w:rsid w:val="0004026F"/>
    <w:rsid w:val="00040A70"/>
    <w:rsid w:val="00040C17"/>
    <w:rsid w:val="000412B9"/>
    <w:rsid w:val="000412C7"/>
    <w:rsid w:val="000414CA"/>
    <w:rsid w:val="000415E5"/>
    <w:rsid w:val="000416DA"/>
    <w:rsid w:val="000416DB"/>
    <w:rsid w:val="00041E4E"/>
    <w:rsid w:val="000420C5"/>
    <w:rsid w:val="0004225A"/>
    <w:rsid w:val="0004235B"/>
    <w:rsid w:val="000423B2"/>
    <w:rsid w:val="00042D1A"/>
    <w:rsid w:val="00042D4C"/>
    <w:rsid w:val="00042DF6"/>
    <w:rsid w:val="000433D2"/>
    <w:rsid w:val="00043402"/>
    <w:rsid w:val="0004352D"/>
    <w:rsid w:val="000435A9"/>
    <w:rsid w:val="00043695"/>
    <w:rsid w:val="00043CE2"/>
    <w:rsid w:val="00043D99"/>
    <w:rsid w:val="00043E32"/>
    <w:rsid w:val="00043E63"/>
    <w:rsid w:val="00043EDA"/>
    <w:rsid w:val="00044BC6"/>
    <w:rsid w:val="00044C4A"/>
    <w:rsid w:val="00045307"/>
    <w:rsid w:val="000453EA"/>
    <w:rsid w:val="00045559"/>
    <w:rsid w:val="000457F7"/>
    <w:rsid w:val="00045835"/>
    <w:rsid w:val="0004598F"/>
    <w:rsid w:val="00045A39"/>
    <w:rsid w:val="00045C93"/>
    <w:rsid w:val="00045D47"/>
    <w:rsid w:val="0004625A"/>
    <w:rsid w:val="000463E2"/>
    <w:rsid w:val="0004640C"/>
    <w:rsid w:val="00046538"/>
    <w:rsid w:val="00046767"/>
    <w:rsid w:val="000468A6"/>
    <w:rsid w:val="00046C96"/>
    <w:rsid w:val="00046D1B"/>
    <w:rsid w:val="00046ECB"/>
    <w:rsid w:val="00046FF9"/>
    <w:rsid w:val="00047711"/>
    <w:rsid w:val="000477AF"/>
    <w:rsid w:val="000479B3"/>
    <w:rsid w:val="000479E2"/>
    <w:rsid w:val="00047CEE"/>
    <w:rsid w:val="00047D22"/>
    <w:rsid w:val="00047D31"/>
    <w:rsid w:val="00047E1F"/>
    <w:rsid w:val="00047F1C"/>
    <w:rsid w:val="000502DB"/>
    <w:rsid w:val="00050B05"/>
    <w:rsid w:val="00050C38"/>
    <w:rsid w:val="00050E41"/>
    <w:rsid w:val="00050EEF"/>
    <w:rsid w:val="00050FDF"/>
    <w:rsid w:val="000517FF"/>
    <w:rsid w:val="00051B9C"/>
    <w:rsid w:val="00051D93"/>
    <w:rsid w:val="00051DA8"/>
    <w:rsid w:val="0005211A"/>
    <w:rsid w:val="0005218B"/>
    <w:rsid w:val="000526C6"/>
    <w:rsid w:val="00052EB2"/>
    <w:rsid w:val="00053079"/>
    <w:rsid w:val="00054522"/>
    <w:rsid w:val="0005492D"/>
    <w:rsid w:val="000551A7"/>
    <w:rsid w:val="000553DF"/>
    <w:rsid w:val="000554C4"/>
    <w:rsid w:val="000555AE"/>
    <w:rsid w:val="00055610"/>
    <w:rsid w:val="00055622"/>
    <w:rsid w:val="00055624"/>
    <w:rsid w:val="0005567D"/>
    <w:rsid w:val="00055C79"/>
    <w:rsid w:val="00055F22"/>
    <w:rsid w:val="00055FC8"/>
    <w:rsid w:val="0005605C"/>
    <w:rsid w:val="000560E1"/>
    <w:rsid w:val="000561EE"/>
    <w:rsid w:val="0005658B"/>
    <w:rsid w:val="00056D71"/>
    <w:rsid w:val="000570C6"/>
    <w:rsid w:val="00057376"/>
    <w:rsid w:val="0005780D"/>
    <w:rsid w:val="00057877"/>
    <w:rsid w:val="00057C70"/>
    <w:rsid w:val="000604A1"/>
    <w:rsid w:val="0006057A"/>
    <w:rsid w:val="000606BB"/>
    <w:rsid w:val="000607C2"/>
    <w:rsid w:val="00060A07"/>
    <w:rsid w:val="00060CD6"/>
    <w:rsid w:val="00060DDA"/>
    <w:rsid w:val="00061450"/>
    <w:rsid w:val="00061586"/>
    <w:rsid w:val="000617DA"/>
    <w:rsid w:val="00061845"/>
    <w:rsid w:val="000621AF"/>
    <w:rsid w:val="00062680"/>
    <w:rsid w:val="00062844"/>
    <w:rsid w:val="00063389"/>
    <w:rsid w:val="00063ACE"/>
    <w:rsid w:val="00063CBD"/>
    <w:rsid w:val="00063D6A"/>
    <w:rsid w:val="00063DB0"/>
    <w:rsid w:val="00063DFF"/>
    <w:rsid w:val="00064886"/>
    <w:rsid w:val="000648EF"/>
    <w:rsid w:val="00064B76"/>
    <w:rsid w:val="00064ED5"/>
    <w:rsid w:val="00064FED"/>
    <w:rsid w:val="000650A1"/>
    <w:rsid w:val="000652A8"/>
    <w:rsid w:val="00065582"/>
    <w:rsid w:val="00065800"/>
    <w:rsid w:val="0006589D"/>
    <w:rsid w:val="00065DC6"/>
    <w:rsid w:val="000669D8"/>
    <w:rsid w:val="00066A6A"/>
    <w:rsid w:val="00066A80"/>
    <w:rsid w:val="00066E2A"/>
    <w:rsid w:val="0006704F"/>
    <w:rsid w:val="000671F0"/>
    <w:rsid w:val="00067B00"/>
    <w:rsid w:val="0007006A"/>
    <w:rsid w:val="0007035B"/>
    <w:rsid w:val="00070812"/>
    <w:rsid w:val="00070AD0"/>
    <w:rsid w:val="00070D73"/>
    <w:rsid w:val="00071339"/>
    <w:rsid w:val="00071647"/>
    <w:rsid w:val="000723F0"/>
    <w:rsid w:val="00072582"/>
    <w:rsid w:val="0007262D"/>
    <w:rsid w:val="00072684"/>
    <w:rsid w:val="000728DD"/>
    <w:rsid w:val="00072C97"/>
    <w:rsid w:val="00073261"/>
    <w:rsid w:val="000733A5"/>
    <w:rsid w:val="00073909"/>
    <w:rsid w:val="00074142"/>
    <w:rsid w:val="00074504"/>
    <w:rsid w:val="000749B3"/>
    <w:rsid w:val="00074B28"/>
    <w:rsid w:val="00074B9B"/>
    <w:rsid w:val="00074BC8"/>
    <w:rsid w:val="000750F3"/>
    <w:rsid w:val="00075171"/>
    <w:rsid w:val="0007518A"/>
    <w:rsid w:val="00075729"/>
    <w:rsid w:val="00075B3E"/>
    <w:rsid w:val="00075E95"/>
    <w:rsid w:val="00076026"/>
    <w:rsid w:val="00076735"/>
    <w:rsid w:val="00076B57"/>
    <w:rsid w:val="00076CA1"/>
    <w:rsid w:val="0007737F"/>
    <w:rsid w:val="00077B73"/>
    <w:rsid w:val="000800A6"/>
    <w:rsid w:val="0008033D"/>
    <w:rsid w:val="00080614"/>
    <w:rsid w:val="000806D4"/>
    <w:rsid w:val="0008083D"/>
    <w:rsid w:val="00080963"/>
    <w:rsid w:val="000809AC"/>
    <w:rsid w:val="00080B88"/>
    <w:rsid w:val="00080BBA"/>
    <w:rsid w:val="00080EA9"/>
    <w:rsid w:val="0008122F"/>
    <w:rsid w:val="000812AC"/>
    <w:rsid w:val="00081390"/>
    <w:rsid w:val="000817CE"/>
    <w:rsid w:val="00081DF5"/>
    <w:rsid w:val="000823E1"/>
    <w:rsid w:val="0008272B"/>
    <w:rsid w:val="00082904"/>
    <w:rsid w:val="00082ACB"/>
    <w:rsid w:val="00082C3A"/>
    <w:rsid w:val="00082E28"/>
    <w:rsid w:val="00083345"/>
    <w:rsid w:val="00083694"/>
    <w:rsid w:val="000846A5"/>
    <w:rsid w:val="00084AA5"/>
    <w:rsid w:val="00085040"/>
    <w:rsid w:val="00085D49"/>
    <w:rsid w:val="00085DC8"/>
    <w:rsid w:val="00085EEB"/>
    <w:rsid w:val="000865A2"/>
    <w:rsid w:val="00086652"/>
    <w:rsid w:val="000867F6"/>
    <w:rsid w:val="00086831"/>
    <w:rsid w:val="00086B6B"/>
    <w:rsid w:val="00086B8C"/>
    <w:rsid w:val="00086E97"/>
    <w:rsid w:val="00087E15"/>
    <w:rsid w:val="0009027F"/>
    <w:rsid w:val="000904F3"/>
    <w:rsid w:val="00090AF7"/>
    <w:rsid w:val="00090BC9"/>
    <w:rsid w:val="00090D2C"/>
    <w:rsid w:val="0009184C"/>
    <w:rsid w:val="000919DD"/>
    <w:rsid w:val="00091DC9"/>
    <w:rsid w:val="00091FE7"/>
    <w:rsid w:val="0009205D"/>
    <w:rsid w:val="00092592"/>
    <w:rsid w:val="00092643"/>
    <w:rsid w:val="00092818"/>
    <w:rsid w:val="00092C93"/>
    <w:rsid w:val="00092E38"/>
    <w:rsid w:val="00092FC1"/>
    <w:rsid w:val="00093145"/>
    <w:rsid w:val="0009317D"/>
    <w:rsid w:val="000933F9"/>
    <w:rsid w:val="00093BD4"/>
    <w:rsid w:val="00093CBB"/>
    <w:rsid w:val="00093FEF"/>
    <w:rsid w:val="00094019"/>
    <w:rsid w:val="00094413"/>
    <w:rsid w:val="00094414"/>
    <w:rsid w:val="000949F9"/>
    <w:rsid w:val="00094AE8"/>
    <w:rsid w:val="00094C55"/>
    <w:rsid w:val="00094D13"/>
    <w:rsid w:val="00094FA6"/>
    <w:rsid w:val="00095081"/>
    <w:rsid w:val="0009514F"/>
    <w:rsid w:val="000951FF"/>
    <w:rsid w:val="00095400"/>
    <w:rsid w:val="00095D91"/>
    <w:rsid w:val="000960CE"/>
    <w:rsid w:val="00096716"/>
    <w:rsid w:val="0009742F"/>
    <w:rsid w:val="00097949"/>
    <w:rsid w:val="000A00C0"/>
    <w:rsid w:val="000A0315"/>
    <w:rsid w:val="000A04B2"/>
    <w:rsid w:val="000A063C"/>
    <w:rsid w:val="000A0BF8"/>
    <w:rsid w:val="000A125F"/>
    <w:rsid w:val="000A176F"/>
    <w:rsid w:val="000A17F8"/>
    <w:rsid w:val="000A221F"/>
    <w:rsid w:val="000A2324"/>
    <w:rsid w:val="000A245C"/>
    <w:rsid w:val="000A2630"/>
    <w:rsid w:val="000A26AC"/>
    <w:rsid w:val="000A26D1"/>
    <w:rsid w:val="000A29F1"/>
    <w:rsid w:val="000A2B8D"/>
    <w:rsid w:val="000A317A"/>
    <w:rsid w:val="000A3206"/>
    <w:rsid w:val="000A341D"/>
    <w:rsid w:val="000A3A65"/>
    <w:rsid w:val="000A3DCF"/>
    <w:rsid w:val="000A3FDF"/>
    <w:rsid w:val="000A4029"/>
    <w:rsid w:val="000A403C"/>
    <w:rsid w:val="000A42BE"/>
    <w:rsid w:val="000A44E5"/>
    <w:rsid w:val="000A4963"/>
    <w:rsid w:val="000A4B91"/>
    <w:rsid w:val="000A5836"/>
    <w:rsid w:val="000A62B6"/>
    <w:rsid w:val="000A673C"/>
    <w:rsid w:val="000A6792"/>
    <w:rsid w:val="000A679A"/>
    <w:rsid w:val="000A6844"/>
    <w:rsid w:val="000A6CA7"/>
    <w:rsid w:val="000A6E6B"/>
    <w:rsid w:val="000A72B3"/>
    <w:rsid w:val="000A7529"/>
    <w:rsid w:val="000A77DE"/>
    <w:rsid w:val="000A7CC1"/>
    <w:rsid w:val="000B00CE"/>
    <w:rsid w:val="000B049D"/>
    <w:rsid w:val="000B072D"/>
    <w:rsid w:val="000B0767"/>
    <w:rsid w:val="000B0D82"/>
    <w:rsid w:val="000B0FD8"/>
    <w:rsid w:val="000B113C"/>
    <w:rsid w:val="000B1260"/>
    <w:rsid w:val="000B1598"/>
    <w:rsid w:val="000B18BC"/>
    <w:rsid w:val="000B1D79"/>
    <w:rsid w:val="000B2177"/>
    <w:rsid w:val="000B2211"/>
    <w:rsid w:val="000B230A"/>
    <w:rsid w:val="000B2615"/>
    <w:rsid w:val="000B2988"/>
    <w:rsid w:val="000B29B7"/>
    <w:rsid w:val="000B2AE2"/>
    <w:rsid w:val="000B2E2C"/>
    <w:rsid w:val="000B31B5"/>
    <w:rsid w:val="000B35A1"/>
    <w:rsid w:val="000B395C"/>
    <w:rsid w:val="000B3C75"/>
    <w:rsid w:val="000B4026"/>
    <w:rsid w:val="000B41D5"/>
    <w:rsid w:val="000B430A"/>
    <w:rsid w:val="000B441B"/>
    <w:rsid w:val="000B450E"/>
    <w:rsid w:val="000B4DCC"/>
    <w:rsid w:val="000B53EE"/>
    <w:rsid w:val="000B593B"/>
    <w:rsid w:val="000B6847"/>
    <w:rsid w:val="000B69A7"/>
    <w:rsid w:val="000B6A90"/>
    <w:rsid w:val="000B712E"/>
    <w:rsid w:val="000B7187"/>
    <w:rsid w:val="000B7407"/>
    <w:rsid w:val="000B7519"/>
    <w:rsid w:val="000B7676"/>
    <w:rsid w:val="000B7AE1"/>
    <w:rsid w:val="000B7CA2"/>
    <w:rsid w:val="000C0770"/>
    <w:rsid w:val="000C08F1"/>
    <w:rsid w:val="000C0A83"/>
    <w:rsid w:val="000C0B93"/>
    <w:rsid w:val="000C0B9A"/>
    <w:rsid w:val="000C0F85"/>
    <w:rsid w:val="000C1369"/>
    <w:rsid w:val="000C17FB"/>
    <w:rsid w:val="000C1850"/>
    <w:rsid w:val="000C1B99"/>
    <w:rsid w:val="000C1E44"/>
    <w:rsid w:val="000C23C5"/>
    <w:rsid w:val="000C2480"/>
    <w:rsid w:val="000C26E5"/>
    <w:rsid w:val="000C270B"/>
    <w:rsid w:val="000C2926"/>
    <w:rsid w:val="000C2B0F"/>
    <w:rsid w:val="000C2D24"/>
    <w:rsid w:val="000C2E87"/>
    <w:rsid w:val="000C37FA"/>
    <w:rsid w:val="000C3A58"/>
    <w:rsid w:val="000C3D12"/>
    <w:rsid w:val="000C3D5D"/>
    <w:rsid w:val="000C3F0B"/>
    <w:rsid w:val="000C446F"/>
    <w:rsid w:val="000C46AB"/>
    <w:rsid w:val="000C4C20"/>
    <w:rsid w:val="000C5332"/>
    <w:rsid w:val="000C5432"/>
    <w:rsid w:val="000C5BD4"/>
    <w:rsid w:val="000C5F95"/>
    <w:rsid w:val="000C6190"/>
    <w:rsid w:val="000C6255"/>
    <w:rsid w:val="000C64B3"/>
    <w:rsid w:val="000C6801"/>
    <w:rsid w:val="000C6AA1"/>
    <w:rsid w:val="000C6B65"/>
    <w:rsid w:val="000C6C72"/>
    <w:rsid w:val="000C6CC3"/>
    <w:rsid w:val="000C6FF1"/>
    <w:rsid w:val="000C70F1"/>
    <w:rsid w:val="000C770B"/>
    <w:rsid w:val="000C776E"/>
    <w:rsid w:val="000C7C9B"/>
    <w:rsid w:val="000C7D1F"/>
    <w:rsid w:val="000D07F7"/>
    <w:rsid w:val="000D0954"/>
    <w:rsid w:val="000D0F37"/>
    <w:rsid w:val="000D12AE"/>
    <w:rsid w:val="000D14D7"/>
    <w:rsid w:val="000D16AF"/>
    <w:rsid w:val="000D23B3"/>
    <w:rsid w:val="000D273B"/>
    <w:rsid w:val="000D287F"/>
    <w:rsid w:val="000D2928"/>
    <w:rsid w:val="000D2A10"/>
    <w:rsid w:val="000D3227"/>
    <w:rsid w:val="000D37C5"/>
    <w:rsid w:val="000D385D"/>
    <w:rsid w:val="000D3A23"/>
    <w:rsid w:val="000D3D69"/>
    <w:rsid w:val="000D3FA8"/>
    <w:rsid w:val="000D40E0"/>
    <w:rsid w:val="000D42C1"/>
    <w:rsid w:val="000D475F"/>
    <w:rsid w:val="000D4BA8"/>
    <w:rsid w:val="000D4ECB"/>
    <w:rsid w:val="000D4F8F"/>
    <w:rsid w:val="000D5016"/>
    <w:rsid w:val="000D5265"/>
    <w:rsid w:val="000D543E"/>
    <w:rsid w:val="000D559F"/>
    <w:rsid w:val="000D5943"/>
    <w:rsid w:val="000D5A14"/>
    <w:rsid w:val="000D5CCC"/>
    <w:rsid w:val="000D6032"/>
    <w:rsid w:val="000D654F"/>
    <w:rsid w:val="000D66D8"/>
    <w:rsid w:val="000D6B36"/>
    <w:rsid w:val="000D6E3C"/>
    <w:rsid w:val="000D6F4E"/>
    <w:rsid w:val="000D7078"/>
    <w:rsid w:val="000D70C6"/>
    <w:rsid w:val="000D736C"/>
    <w:rsid w:val="000D75A7"/>
    <w:rsid w:val="000D79FD"/>
    <w:rsid w:val="000D7B74"/>
    <w:rsid w:val="000D7E67"/>
    <w:rsid w:val="000E0A76"/>
    <w:rsid w:val="000E16B7"/>
    <w:rsid w:val="000E18CC"/>
    <w:rsid w:val="000E1B71"/>
    <w:rsid w:val="000E1BBC"/>
    <w:rsid w:val="000E1EE4"/>
    <w:rsid w:val="000E1F37"/>
    <w:rsid w:val="000E1F6C"/>
    <w:rsid w:val="000E210B"/>
    <w:rsid w:val="000E2376"/>
    <w:rsid w:val="000E2602"/>
    <w:rsid w:val="000E3011"/>
    <w:rsid w:val="000E3465"/>
    <w:rsid w:val="000E3C8D"/>
    <w:rsid w:val="000E4101"/>
    <w:rsid w:val="000E475E"/>
    <w:rsid w:val="000E4897"/>
    <w:rsid w:val="000E5335"/>
    <w:rsid w:val="000E55AB"/>
    <w:rsid w:val="000E58CB"/>
    <w:rsid w:val="000E5B84"/>
    <w:rsid w:val="000E5D25"/>
    <w:rsid w:val="000E61BB"/>
    <w:rsid w:val="000E6314"/>
    <w:rsid w:val="000E69F6"/>
    <w:rsid w:val="000E6B2B"/>
    <w:rsid w:val="000E70F2"/>
    <w:rsid w:val="000E78A9"/>
    <w:rsid w:val="000F013C"/>
    <w:rsid w:val="000F0336"/>
    <w:rsid w:val="000F0346"/>
    <w:rsid w:val="000F0820"/>
    <w:rsid w:val="000F0B30"/>
    <w:rsid w:val="000F0F2E"/>
    <w:rsid w:val="000F12E1"/>
    <w:rsid w:val="000F1451"/>
    <w:rsid w:val="000F1594"/>
    <w:rsid w:val="000F180A"/>
    <w:rsid w:val="000F1A88"/>
    <w:rsid w:val="000F226A"/>
    <w:rsid w:val="000F2955"/>
    <w:rsid w:val="000F2CC9"/>
    <w:rsid w:val="000F2DF1"/>
    <w:rsid w:val="000F2F4A"/>
    <w:rsid w:val="000F30A6"/>
    <w:rsid w:val="000F3117"/>
    <w:rsid w:val="000F3501"/>
    <w:rsid w:val="000F37D2"/>
    <w:rsid w:val="000F37DC"/>
    <w:rsid w:val="000F3941"/>
    <w:rsid w:val="000F3994"/>
    <w:rsid w:val="000F3B23"/>
    <w:rsid w:val="000F3CD5"/>
    <w:rsid w:val="000F4559"/>
    <w:rsid w:val="000F482E"/>
    <w:rsid w:val="000F4A6E"/>
    <w:rsid w:val="000F4E78"/>
    <w:rsid w:val="000F4EBF"/>
    <w:rsid w:val="000F5309"/>
    <w:rsid w:val="000F5551"/>
    <w:rsid w:val="000F56C1"/>
    <w:rsid w:val="000F5853"/>
    <w:rsid w:val="000F5C33"/>
    <w:rsid w:val="000F5E99"/>
    <w:rsid w:val="000F5FC3"/>
    <w:rsid w:val="000F621D"/>
    <w:rsid w:val="000F68EB"/>
    <w:rsid w:val="000F6D59"/>
    <w:rsid w:val="000F777C"/>
    <w:rsid w:val="000F7AD7"/>
    <w:rsid w:val="000F7C00"/>
    <w:rsid w:val="001006CA"/>
    <w:rsid w:val="001007A7"/>
    <w:rsid w:val="001007D9"/>
    <w:rsid w:val="00100DA3"/>
    <w:rsid w:val="00101833"/>
    <w:rsid w:val="001018B7"/>
    <w:rsid w:val="00101C80"/>
    <w:rsid w:val="00101DDF"/>
    <w:rsid w:val="00102537"/>
    <w:rsid w:val="00102568"/>
    <w:rsid w:val="00103672"/>
    <w:rsid w:val="0010374A"/>
    <w:rsid w:val="001039F7"/>
    <w:rsid w:val="00103DD2"/>
    <w:rsid w:val="00103F5B"/>
    <w:rsid w:val="0010402A"/>
    <w:rsid w:val="00104162"/>
    <w:rsid w:val="00105843"/>
    <w:rsid w:val="001058B0"/>
    <w:rsid w:val="00105FE2"/>
    <w:rsid w:val="0010670B"/>
    <w:rsid w:val="001068CF"/>
    <w:rsid w:val="00106A12"/>
    <w:rsid w:val="00106F76"/>
    <w:rsid w:val="001070B9"/>
    <w:rsid w:val="00107588"/>
    <w:rsid w:val="00107E6A"/>
    <w:rsid w:val="00107F9A"/>
    <w:rsid w:val="001102AD"/>
    <w:rsid w:val="00110320"/>
    <w:rsid w:val="00110A50"/>
    <w:rsid w:val="00110B91"/>
    <w:rsid w:val="00110C02"/>
    <w:rsid w:val="00110ED2"/>
    <w:rsid w:val="001110E0"/>
    <w:rsid w:val="00111747"/>
    <w:rsid w:val="00111759"/>
    <w:rsid w:val="001125DA"/>
    <w:rsid w:val="0011264E"/>
    <w:rsid w:val="001127A7"/>
    <w:rsid w:val="00112B5B"/>
    <w:rsid w:val="0011404F"/>
    <w:rsid w:val="001140EC"/>
    <w:rsid w:val="001144A1"/>
    <w:rsid w:val="00114A3E"/>
    <w:rsid w:val="00114C57"/>
    <w:rsid w:val="00114CF3"/>
    <w:rsid w:val="00114D86"/>
    <w:rsid w:val="00114DFB"/>
    <w:rsid w:val="0011500F"/>
    <w:rsid w:val="001151A3"/>
    <w:rsid w:val="0011520B"/>
    <w:rsid w:val="001153E7"/>
    <w:rsid w:val="00115660"/>
    <w:rsid w:val="001159D0"/>
    <w:rsid w:val="00115B17"/>
    <w:rsid w:val="00115B40"/>
    <w:rsid w:val="00115BDD"/>
    <w:rsid w:val="001160E2"/>
    <w:rsid w:val="00116245"/>
    <w:rsid w:val="00116292"/>
    <w:rsid w:val="00116550"/>
    <w:rsid w:val="00116A96"/>
    <w:rsid w:val="00117671"/>
    <w:rsid w:val="001176F9"/>
    <w:rsid w:val="001178E1"/>
    <w:rsid w:val="00120BA2"/>
    <w:rsid w:val="00120C9C"/>
    <w:rsid w:val="00121024"/>
    <w:rsid w:val="001211E1"/>
    <w:rsid w:val="001212C7"/>
    <w:rsid w:val="001214A4"/>
    <w:rsid w:val="001216BE"/>
    <w:rsid w:val="0012204A"/>
    <w:rsid w:val="001220C5"/>
    <w:rsid w:val="001225D2"/>
    <w:rsid w:val="00122608"/>
    <w:rsid w:val="00122C03"/>
    <w:rsid w:val="0012313D"/>
    <w:rsid w:val="001233AC"/>
    <w:rsid w:val="001234A5"/>
    <w:rsid w:val="00123A95"/>
    <w:rsid w:val="00123B88"/>
    <w:rsid w:val="00123C21"/>
    <w:rsid w:val="00123ECE"/>
    <w:rsid w:val="00124656"/>
    <w:rsid w:val="00124B21"/>
    <w:rsid w:val="00124D0B"/>
    <w:rsid w:val="0012566F"/>
    <w:rsid w:val="00125D0E"/>
    <w:rsid w:val="001267A4"/>
    <w:rsid w:val="00126825"/>
    <w:rsid w:val="00126D4B"/>
    <w:rsid w:val="00126E75"/>
    <w:rsid w:val="00126EC4"/>
    <w:rsid w:val="001270D1"/>
    <w:rsid w:val="001273B7"/>
    <w:rsid w:val="00127850"/>
    <w:rsid w:val="001278E8"/>
    <w:rsid w:val="0013003A"/>
    <w:rsid w:val="001303FC"/>
    <w:rsid w:val="0013047D"/>
    <w:rsid w:val="0013055E"/>
    <w:rsid w:val="001306A4"/>
    <w:rsid w:val="00130703"/>
    <w:rsid w:val="00130711"/>
    <w:rsid w:val="00130B3D"/>
    <w:rsid w:val="00130D37"/>
    <w:rsid w:val="001311AE"/>
    <w:rsid w:val="001315F0"/>
    <w:rsid w:val="0013166B"/>
    <w:rsid w:val="001317D2"/>
    <w:rsid w:val="00131A3C"/>
    <w:rsid w:val="00131C39"/>
    <w:rsid w:val="00131E73"/>
    <w:rsid w:val="001323FE"/>
    <w:rsid w:val="0013267F"/>
    <w:rsid w:val="00132700"/>
    <w:rsid w:val="001329F2"/>
    <w:rsid w:val="00133600"/>
    <w:rsid w:val="0013393A"/>
    <w:rsid w:val="0013395F"/>
    <w:rsid w:val="00133AF4"/>
    <w:rsid w:val="00133BF9"/>
    <w:rsid w:val="00133F97"/>
    <w:rsid w:val="0013419A"/>
    <w:rsid w:val="00134C71"/>
    <w:rsid w:val="00134C82"/>
    <w:rsid w:val="00134D99"/>
    <w:rsid w:val="00134D9B"/>
    <w:rsid w:val="001352C0"/>
    <w:rsid w:val="0013574B"/>
    <w:rsid w:val="00135777"/>
    <w:rsid w:val="00135E41"/>
    <w:rsid w:val="001361E7"/>
    <w:rsid w:val="0013644E"/>
    <w:rsid w:val="00136961"/>
    <w:rsid w:val="00136B94"/>
    <w:rsid w:val="00136C6B"/>
    <w:rsid w:val="00136DDA"/>
    <w:rsid w:val="00136F94"/>
    <w:rsid w:val="00137063"/>
    <w:rsid w:val="0013709B"/>
    <w:rsid w:val="001370C1"/>
    <w:rsid w:val="00137282"/>
    <w:rsid w:val="0013748F"/>
    <w:rsid w:val="00137C4D"/>
    <w:rsid w:val="0014003B"/>
    <w:rsid w:val="00140233"/>
    <w:rsid w:val="00140953"/>
    <w:rsid w:val="00140BA8"/>
    <w:rsid w:val="00140BBD"/>
    <w:rsid w:val="001410D5"/>
    <w:rsid w:val="00141315"/>
    <w:rsid w:val="00141600"/>
    <w:rsid w:val="001418CE"/>
    <w:rsid w:val="00142E70"/>
    <w:rsid w:val="00142EBA"/>
    <w:rsid w:val="00142F23"/>
    <w:rsid w:val="00142F6A"/>
    <w:rsid w:val="00143043"/>
    <w:rsid w:val="0014308A"/>
    <w:rsid w:val="00143116"/>
    <w:rsid w:val="00143453"/>
    <w:rsid w:val="00144359"/>
    <w:rsid w:val="00144452"/>
    <w:rsid w:val="00144A88"/>
    <w:rsid w:val="00144ECD"/>
    <w:rsid w:val="001452F6"/>
    <w:rsid w:val="00145390"/>
    <w:rsid w:val="001453BA"/>
    <w:rsid w:val="0014550E"/>
    <w:rsid w:val="00145584"/>
    <w:rsid w:val="0014576F"/>
    <w:rsid w:val="0014589A"/>
    <w:rsid w:val="00145DD8"/>
    <w:rsid w:val="00145E3B"/>
    <w:rsid w:val="0014639E"/>
    <w:rsid w:val="001468EA"/>
    <w:rsid w:val="00146E6B"/>
    <w:rsid w:val="001473B7"/>
    <w:rsid w:val="001474E7"/>
    <w:rsid w:val="0014764B"/>
    <w:rsid w:val="00147C2A"/>
    <w:rsid w:val="00147D4F"/>
    <w:rsid w:val="00147E92"/>
    <w:rsid w:val="00150271"/>
    <w:rsid w:val="001506C4"/>
    <w:rsid w:val="001506E2"/>
    <w:rsid w:val="001506F4"/>
    <w:rsid w:val="00150928"/>
    <w:rsid w:val="00150CDB"/>
    <w:rsid w:val="001511D6"/>
    <w:rsid w:val="001511F3"/>
    <w:rsid w:val="0015125F"/>
    <w:rsid w:val="00151B69"/>
    <w:rsid w:val="00151DB4"/>
    <w:rsid w:val="00151F9B"/>
    <w:rsid w:val="00152413"/>
    <w:rsid w:val="001525B4"/>
    <w:rsid w:val="0015297A"/>
    <w:rsid w:val="001529B3"/>
    <w:rsid w:val="00152E8C"/>
    <w:rsid w:val="00152E9F"/>
    <w:rsid w:val="0015377E"/>
    <w:rsid w:val="00153978"/>
    <w:rsid w:val="00153ABC"/>
    <w:rsid w:val="00153C30"/>
    <w:rsid w:val="00153D4C"/>
    <w:rsid w:val="001541F2"/>
    <w:rsid w:val="00154DD2"/>
    <w:rsid w:val="00155076"/>
    <w:rsid w:val="00156005"/>
    <w:rsid w:val="00156018"/>
    <w:rsid w:val="00156184"/>
    <w:rsid w:val="001561AA"/>
    <w:rsid w:val="0015683C"/>
    <w:rsid w:val="00156ACA"/>
    <w:rsid w:val="00156B72"/>
    <w:rsid w:val="00156CB8"/>
    <w:rsid w:val="00156CDB"/>
    <w:rsid w:val="00156D8F"/>
    <w:rsid w:val="00156E0B"/>
    <w:rsid w:val="0015739C"/>
    <w:rsid w:val="0015761A"/>
    <w:rsid w:val="00157A62"/>
    <w:rsid w:val="00157A73"/>
    <w:rsid w:val="00157D12"/>
    <w:rsid w:val="00157D4F"/>
    <w:rsid w:val="00157D6C"/>
    <w:rsid w:val="00157FCA"/>
    <w:rsid w:val="00160020"/>
    <w:rsid w:val="001600B3"/>
    <w:rsid w:val="001600B5"/>
    <w:rsid w:val="00160174"/>
    <w:rsid w:val="00160268"/>
    <w:rsid w:val="001605D0"/>
    <w:rsid w:val="0016061B"/>
    <w:rsid w:val="0016071E"/>
    <w:rsid w:val="001609E1"/>
    <w:rsid w:val="00160D17"/>
    <w:rsid w:val="00160E05"/>
    <w:rsid w:val="00160EF3"/>
    <w:rsid w:val="0016127B"/>
    <w:rsid w:val="00161C21"/>
    <w:rsid w:val="0016216E"/>
    <w:rsid w:val="0016264A"/>
    <w:rsid w:val="0016299F"/>
    <w:rsid w:val="001629C7"/>
    <w:rsid w:val="00162D29"/>
    <w:rsid w:val="00162E4D"/>
    <w:rsid w:val="0016345B"/>
    <w:rsid w:val="00163619"/>
    <w:rsid w:val="00163731"/>
    <w:rsid w:val="00163D7D"/>
    <w:rsid w:val="00163F5E"/>
    <w:rsid w:val="00164345"/>
    <w:rsid w:val="00165061"/>
    <w:rsid w:val="00165138"/>
    <w:rsid w:val="00165224"/>
    <w:rsid w:val="00165D07"/>
    <w:rsid w:val="00165EC7"/>
    <w:rsid w:val="00165F0E"/>
    <w:rsid w:val="001662AB"/>
    <w:rsid w:val="00166351"/>
    <w:rsid w:val="0016696D"/>
    <w:rsid w:val="00166C99"/>
    <w:rsid w:val="00166DCF"/>
    <w:rsid w:val="00167159"/>
    <w:rsid w:val="0016772C"/>
    <w:rsid w:val="00167C98"/>
    <w:rsid w:val="001702BA"/>
    <w:rsid w:val="00170BA6"/>
    <w:rsid w:val="00170C6A"/>
    <w:rsid w:val="00170C9F"/>
    <w:rsid w:val="00170D51"/>
    <w:rsid w:val="001716AC"/>
    <w:rsid w:val="001718ED"/>
    <w:rsid w:val="00171CCE"/>
    <w:rsid w:val="00171DC8"/>
    <w:rsid w:val="001720FC"/>
    <w:rsid w:val="001722E3"/>
    <w:rsid w:val="00172649"/>
    <w:rsid w:val="00172A82"/>
    <w:rsid w:val="0017311B"/>
    <w:rsid w:val="00173588"/>
    <w:rsid w:val="00173750"/>
    <w:rsid w:val="0017379C"/>
    <w:rsid w:val="00174A7A"/>
    <w:rsid w:val="00174CB4"/>
    <w:rsid w:val="0017551A"/>
    <w:rsid w:val="001756D4"/>
    <w:rsid w:val="001757A5"/>
    <w:rsid w:val="001759D8"/>
    <w:rsid w:val="00175B5C"/>
    <w:rsid w:val="00175CD3"/>
    <w:rsid w:val="001762D1"/>
    <w:rsid w:val="001767BB"/>
    <w:rsid w:val="00176EBB"/>
    <w:rsid w:val="00176F7C"/>
    <w:rsid w:val="001774EA"/>
    <w:rsid w:val="001776AD"/>
    <w:rsid w:val="0017794F"/>
    <w:rsid w:val="00177987"/>
    <w:rsid w:val="00177D23"/>
    <w:rsid w:val="00177EE2"/>
    <w:rsid w:val="00177FC6"/>
    <w:rsid w:val="00177FEA"/>
    <w:rsid w:val="0018007C"/>
    <w:rsid w:val="0018070D"/>
    <w:rsid w:val="00180DAC"/>
    <w:rsid w:val="0018102D"/>
    <w:rsid w:val="001814AE"/>
    <w:rsid w:val="001818DD"/>
    <w:rsid w:val="00181EAF"/>
    <w:rsid w:val="00182216"/>
    <w:rsid w:val="001822F1"/>
    <w:rsid w:val="001823F3"/>
    <w:rsid w:val="001824B0"/>
    <w:rsid w:val="001824CD"/>
    <w:rsid w:val="00182EBF"/>
    <w:rsid w:val="00183424"/>
    <w:rsid w:val="00183985"/>
    <w:rsid w:val="00183A07"/>
    <w:rsid w:val="00183D2E"/>
    <w:rsid w:val="001843AE"/>
    <w:rsid w:val="00184BC4"/>
    <w:rsid w:val="001850C5"/>
    <w:rsid w:val="0018514E"/>
    <w:rsid w:val="0018519D"/>
    <w:rsid w:val="0018579F"/>
    <w:rsid w:val="00185D16"/>
    <w:rsid w:val="00185E68"/>
    <w:rsid w:val="00185EF8"/>
    <w:rsid w:val="00186075"/>
    <w:rsid w:val="0018657C"/>
    <w:rsid w:val="001865F4"/>
    <w:rsid w:val="0018696C"/>
    <w:rsid w:val="00186A95"/>
    <w:rsid w:val="00186BFB"/>
    <w:rsid w:val="00186C5A"/>
    <w:rsid w:val="001873B0"/>
    <w:rsid w:val="00187552"/>
    <w:rsid w:val="00187705"/>
    <w:rsid w:val="00187A40"/>
    <w:rsid w:val="00187C40"/>
    <w:rsid w:val="00187E96"/>
    <w:rsid w:val="00187FA4"/>
    <w:rsid w:val="00190BA1"/>
    <w:rsid w:val="00191120"/>
    <w:rsid w:val="00191127"/>
    <w:rsid w:val="00191535"/>
    <w:rsid w:val="00191618"/>
    <w:rsid w:val="00191A2C"/>
    <w:rsid w:val="00191A96"/>
    <w:rsid w:val="00191CC2"/>
    <w:rsid w:val="00192164"/>
    <w:rsid w:val="00192892"/>
    <w:rsid w:val="00192CB0"/>
    <w:rsid w:val="00192D90"/>
    <w:rsid w:val="00193074"/>
    <w:rsid w:val="001936C7"/>
    <w:rsid w:val="00193E1E"/>
    <w:rsid w:val="00193F09"/>
    <w:rsid w:val="0019595A"/>
    <w:rsid w:val="00195A4B"/>
    <w:rsid w:val="00195D71"/>
    <w:rsid w:val="00196240"/>
    <w:rsid w:val="00196357"/>
    <w:rsid w:val="001964BB"/>
    <w:rsid w:val="00196FD8"/>
    <w:rsid w:val="0019767B"/>
    <w:rsid w:val="00197A33"/>
    <w:rsid w:val="001A07AB"/>
    <w:rsid w:val="001A0DE1"/>
    <w:rsid w:val="001A0ED2"/>
    <w:rsid w:val="001A15EA"/>
    <w:rsid w:val="001A1703"/>
    <w:rsid w:val="001A1780"/>
    <w:rsid w:val="001A1BD1"/>
    <w:rsid w:val="001A1D5B"/>
    <w:rsid w:val="001A2100"/>
    <w:rsid w:val="001A2392"/>
    <w:rsid w:val="001A24DC"/>
    <w:rsid w:val="001A302B"/>
    <w:rsid w:val="001A31DF"/>
    <w:rsid w:val="001A344F"/>
    <w:rsid w:val="001A4141"/>
    <w:rsid w:val="001A4A19"/>
    <w:rsid w:val="001A4ABA"/>
    <w:rsid w:val="001A4BBA"/>
    <w:rsid w:val="001A5780"/>
    <w:rsid w:val="001A58E7"/>
    <w:rsid w:val="001A5C37"/>
    <w:rsid w:val="001A6811"/>
    <w:rsid w:val="001A6A17"/>
    <w:rsid w:val="001A6DF2"/>
    <w:rsid w:val="001A6F73"/>
    <w:rsid w:val="001A720D"/>
    <w:rsid w:val="001A72EB"/>
    <w:rsid w:val="001A7479"/>
    <w:rsid w:val="001A74D9"/>
    <w:rsid w:val="001A754E"/>
    <w:rsid w:val="001B0662"/>
    <w:rsid w:val="001B0AD0"/>
    <w:rsid w:val="001B0C9C"/>
    <w:rsid w:val="001B0D1C"/>
    <w:rsid w:val="001B102B"/>
    <w:rsid w:val="001B1197"/>
    <w:rsid w:val="001B1FD6"/>
    <w:rsid w:val="001B22D2"/>
    <w:rsid w:val="001B24A6"/>
    <w:rsid w:val="001B2888"/>
    <w:rsid w:val="001B2D91"/>
    <w:rsid w:val="001B33E9"/>
    <w:rsid w:val="001B3DF1"/>
    <w:rsid w:val="001B40AD"/>
    <w:rsid w:val="001B43AA"/>
    <w:rsid w:val="001B4930"/>
    <w:rsid w:val="001B4D0C"/>
    <w:rsid w:val="001B4E96"/>
    <w:rsid w:val="001B5812"/>
    <w:rsid w:val="001B59A7"/>
    <w:rsid w:val="001B5B42"/>
    <w:rsid w:val="001B5CF5"/>
    <w:rsid w:val="001B64D0"/>
    <w:rsid w:val="001B6FD5"/>
    <w:rsid w:val="001B6FFE"/>
    <w:rsid w:val="001B71AD"/>
    <w:rsid w:val="001B762C"/>
    <w:rsid w:val="001B780E"/>
    <w:rsid w:val="001C000D"/>
    <w:rsid w:val="001C00BB"/>
    <w:rsid w:val="001C0304"/>
    <w:rsid w:val="001C06C7"/>
    <w:rsid w:val="001C0788"/>
    <w:rsid w:val="001C0AF5"/>
    <w:rsid w:val="001C0E02"/>
    <w:rsid w:val="001C1622"/>
    <w:rsid w:val="001C16B4"/>
    <w:rsid w:val="001C180B"/>
    <w:rsid w:val="001C1BA5"/>
    <w:rsid w:val="001C1D78"/>
    <w:rsid w:val="001C274A"/>
    <w:rsid w:val="001C2853"/>
    <w:rsid w:val="001C3679"/>
    <w:rsid w:val="001C36A7"/>
    <w:rsid w:val="001C37EA"/>
    <w:rsid w:val="001C38CD"/>
    <w:rsid w:val="001C3BE9"/>
    <w:rsid w:val="001C3C10"/>
    <w:rsid w:val="001C3C7A"/>
    <w:rsid w:val="001C3FB3"/>
    <w:rsid w:val="001C3FEF"/>
    <w:rsid w:val="001C4D16"/>
    <w:rsid w:val="001C4E1C"/>
    <w:rsid w:val="001C4FCE"/>
    <w:rsid w:val="001C4FDA"/>
    <w:rsid w:val="001C5001"/>
    <w:rsid w:val="001C515F"/>
    <w:rsid w:val="001C5AB0"/>
    <w:rsid w:val="001C5CCA"/>
    <w:rsid w:val="001C62BB"/>
    <w:rsid w:val="001C6B78"/>
    <w:rsid w:val="001C6BEF"/>
    <w:rsid w:val="001C6C5C"/>
    <w:rsid w:val="001C6D0D"/>
    <w:rsid w:val="001C6FFC"/>
    <w:rsid w:val="001C7868"/>
    <w:rsid w:val="001D0234"/>
    <w:rsid w:val="001D0D10"/>
    <w:rsid w:val="001D0D98"/>
    <w:rsid w:val="001D0F9B"/>
    <w:rsid w:val="001D10F7"/>
    <w:rsid w:val="001D1244"/>
    <w:rsid w:val="001D17F8"/>
    <w:rsid w:val="001D1894"/>
    <w:rsid w:val="001D19FF"/>
    <w:rsid w:val="001D1B07"/>
    <w:rsid w:val="001D1D3E"/>
    <w:rsid w:val="001D202B"/>
    <w:rsid w:val="001D23D9"/>
    <w:rsid w:val="001D3BCE"/>
    <w:rsid w:val="001D3C03"/>
    <w:rsid w:val="001D3C1B"/>
    <w:rsid w:val="001D3C80"/>
    <w:rsid w:val="001D3C93"/>
    <w:rsid w:val="001D3DBE"/>
    <w:rsid w:val="001D4141"/>
    <w:rsid w:val="001D42AE"/>
    <w:rsid w:val="001D4403"/>
    <w:rsid w:val="001D453E"/>
    <w:rsid w:val="001D454F"/>
    <w:rsid w:val="001D45CF"/>
    <w:rsid w:val="001D4BA0"/>
    <w:rsid w:val="001D4EB8"/>
    <w:rsid w:val="001D515C"/>
    <w:rsid w:val="001D53A9"/>
    <w:rsid w:val="001D57C1"/>
    <w:rsid w:val="001D584D"/>
    <w:rsid w:val="001D5A12"/>
    <w:rsid w:val="001D5BBA"/>
    <w:rsid w:val="001D5E5A"/>
    <w:rsid w:val="001D5F4D"/>
    <w:rsid w:val="001D660B"/>
    <w:rsid w:val="001D66F9"/>
    <w:rsid w:val="001D68E5"/>
    <w:rsid w:val="001D6958"/>
    <w:rsid w:val="001D6971"/>
    <w:rsid w:val="001D69CA"/>
    <w:rsid w:val="001D7352"/>
    <w:rsid w:val="001D7BEA"/>
    <w:rsid w:val="001D7D54"/>
    <w:rsid w:val="001D7D6F"/>
    <w:rsid w:val="001D7FB9"/>
    <w:rsid w:val="001E0E49"/>
    <w:rsid w:val="001E15C0"/>
    <w:rsid w:val="001E1A6F"/>
    <w:rsid w:val="001E1D5F"/>
    <w:rsid w:val="001E1FD9"/>
    <w:rsid w:val="001E216D"/>
    <w:rsid w:val="001E22E7"/>
    <w:rsid w:val="001E2677"/>
    <w:rsid w:val="001E2860"/>
    <w:rsid w:val="001E2CBD"/>
    <w:rsid w:val="001E30E8"/>
    <w:rsid w:val="001E33B1"/>
    <w:rsid w:val="001E3560"/>
    <w:rsid w:val="001E36E2"/>
    <w:rsid w:val="001E375E"/>
    <w:rsid w:val="001E3B0D"/>
    <w:rsid w:val="001E3B43"/>
    <w:rsid w:val="001E3C23"/>
    <w:rsid w:val="001E3FA7"/>
    <w:rsid w:val="001E4214"/>
    <w:rsid w:val="001E42ED"/>
    <w:rsid w:val="001E4A83"/>
    <w:rsid w:val="001E5189"/>
    <w:rsid w:val="001E5769"/>
    <w:rsid w:val="001E5EF9"/>
    <w:rsid w:val="001E6130"/>
    <w:rsid w:val="001E637F"/>
    <w:rsid w:val="001E65EF"/>
    <w:rsid w:val="001E672E"/>
    <w:rsid w:val="001E6998"/>
    <w:rsid w:val="001E6CB1"/>
    <w:rsid w:val="001E716B"/>
    <w:rsid w:val="001E75B4"/>
    <w:rsid w:val="001E773D"/>
    <w:rsid w:val="001E780E"/>
    <w:rsid w:val="001E7B32"/>
    <w:rsid w:val="001E7CAB"/>
    <w:rsid w:val="001E7CAD"/>
    <w:rsid w:val="001E7CDD"/>
    <w:rsid w:val="001F01BA"/>
    <w:rsid w:val="001F0A0D"/>
    <w:rsid w:val="001F0DDF"/>
    <w:rsid w:val="001F13E4"/>
    <w:rsid w:val="001F1494"/>
    <w:rsid w:val="001F1C49"/>
    <w:rsid w:val="001F1D4D"/>
    <w:rsid w:val="001F1D86"/>
    <w:rsid w:val="001F1E6B"/>
    <w:rsid w:val="001F1F42"/>
    <w:rsid w:val="001F2077"/>
    <w:rsid w:val="001F240D"/>
    <w:rsid w:val="001F2970"/>
    <w:rsid w:val="001F2985"/>
    <w:rsid w:val="001F2F58"/>
    <w:rsid w:val="001F3042"/>
    <w:rsid w:val="001F37F0"/>
    <w:rsid w:val="001F39BE"/>
    <w:rsid w:val="001F4110"/>
    <w:rsid w:val="001F4D8B"/>
    <w:rsid w:val="001F5A1E"/>
    <w:rsid w:val="001F60A2"/>
    <w:rsid w:val="001F61D3"/>
    <w:rsid w:val="001F63A9"/>
    <w:rsid w:val="001F6468"/>
    <w:rsid w:val="001F6500"/>
    <w:rsid w:val="001F6D5C"/>
    <w:rsid w:val="001F74A3"/>
    <w:rsid w:val="001F79B1"/>
    <w:rsid w:val="001F7BF4"/>
    <w:rsid w:val="001F7DE1"/>
    <w:rsid w:val="001F7DFA"/>
    <w:rsid w:val="001F7ECA"/>
    <w:rsid w:val="001F7F7D"/>
    <w:rsid w:val="00200212"/>
    <w:rsid w:val="00200287"/>
    <w:rsid w:val="0020077D"/>
    <w:rsid w:val="002008CF"/>
    <w:rsid w:val="00200A8C"/>
    <w:rsid w:val="002011C9"/>
    <w:rsid w:val="00202508"/>
    <w:rsid w:val="0020265F"/>
    <w:rsid w:val="00202662"/>
    <w:rsid w:val="002027F4"/>
    <w:rsid w:val="00202A3C"/>
    <w:rsid w:val="00202B97"/>
    <w:rsid w:val="00202BC7"/>
    <w:rsid w:val="00202F0A"/>
    <w:rsid w:val="00203100"/>
    <w:rsid w:val="00203889"/>
    <w:rsid w:val="00203ECE"/>
    <w:rsid w:val="00203F23"/>
    <w:rsid w:val="00204655"/>
    <w:rsid w:val="0020471E"/>
    <w:rsid w:val="00204999"/>
    <w:rsid w:val="002049B0"/>
    <w:rsid w:val="002057F0"/>
    <w:rsid w:val="0020589B"/>
    <w:rsid w:val="00205E46"/>
    <w:rsid w:val="00205E75"/>
    <w:rsid w:val="00205F56"/>
    <w:rsid w:val="00205FCC"/>
    <w:rsid w:val="002060B4"/>
    <w:rsid w:val="0020694C"/>
    <w:rsid w:val="00207308"/>
    <w:rsid w:val="00207395"/>
    <w:rsid w:val="00207D95"/>
    <w:rsid w:val="00207E1B"/>
    <w:rsid w:val="00210124"/>
    <w:rsid w:val="0021018E"/>
    <w:rsid w:val="002101EA"/>
    <w:rsid w:val="00210297"/>
    <w:rsid w:val="0021070A"/>
    <w:rsid w:val="002107D1"/>
    <w:rsid w:val="0021086B"/>
    <w:rsid w:val="00210B46"/>
    <w:rsid w:val="00211007"/>
    <w:rsid w:val="002114E1"/>
    <w:rsid w:val="0021178F"/>
    <w:rsid w:val="0021194A"/>
    <w:rsid w:val="00211994"/>
    <w:rsid w:val="00211AD6"/>
    <w:rsid w:val="00211E6A"/>
    <w:rsid w:val="002122E7"/>
    <w:rsid w:val="00212379"/>
    <w:rsid w:val="002125CC"/>
    <w:rsid w:val="00212687"/>
    <w:rsid w:val="00212819"/>
    <w:rsid w:val="00212A00"/>
    <w:rsid w:val="00212AA7"/>
    <w:rsid w:val="00212D92"/>
    <w:rsid w:val="0021337F"/>
    <w:rsid w:val="0021338A"/>
    <w:rsid w:val="002133E2"/>
    <w:rsid w:val="0021355B"/>
    <w:rsid w:val="0021364D"/>
    <w:rsid w:val="00213A95"/>
    <w:rsid w:val="00213D51"/>
    <w:rsid w:val="0021470C"/>
    <w:rsid w:val="00214931"/>
    <w:rsid w:val="0021505C"/>
    <w:rsid w:val="002150A1"/>
    <w:rsid w:val="002151BE"/>
    <w:rsid w:val="00215229"/>
    <w:rsid w:val="002152A8"/>
    <w:rsid w:val="00215328"/>
    <w:rsid w:val="002155FE"/>
    <w:rsid w:val="00215E18"/>
    <w:rsid w:val="00216268"/>
    <w:rsid w:val="00216432"/>
    <w:rsid w:val="002166A3"/>
    <w:rsid w:val="002176A2"/>
    <w:rsid w:val="002179BA"/>
    <w:rsid w:val="00217CF8"/>
    <w:rsid w:val="0022007B"/>
    <w:rsid w:val="00220A52"/>
    <w:rsid w:val="00220D54"/>
    <w:rsid w:val="00220E23"/>
    <w:rsid w:val="0022118D"/>
    <w:rsid w:val="002213CF"/>
    <w:rsid w:val="0022157C"/>
    <w:rsid w:val="00221581"/>
    <w:rsid w:val="00221937"/>
    <w:rsid w:val="002219C7"/>
    <w:rsid w:val="00221D38"/>
    <w:rsid w:val="002223AE"/>
    <w:rsid w:val="002223FB"/>
    <w:rsid w:val="002225D7"/>
    <w:rsid w:val="00222B6E"/>
    <w:rsid w:val="00222B83"/>
    <w:rsid w:val="002231C1"/>
    <w:rsid w:val="002233B7"/>
    <w:rsid w:val="002234CC"/>
    <w:rsid w:val="00223831"/>
    <w:rsid w:val="00223866"/>
    <w:rsid w:val="00224EFF"/>
    <w:rsid w:val="0022511C"/>
    <w:rsid w:val="00225167"/>
    <w:rsid w:val="00225191"/>
    <w:rsid w:val="0022563E"/>
    <w:rsid w:val="002256FA"/>
    <w:rsid w:val="002259F3"/>
    <w:rsid w:val="00225B40"/>
    <w:rsid w:val="00225C8F"/>
    <w:rsid w:val="00225DAA"/>
    <w:rsid w:val="00225E82"/>
    <w:rsid w:val="0022650A"/>
    <w:rsid w:val="0022663B"/>
    <w:rsid w:val="0022670E"/>
    <w:rsid w:val="002267EE"/>
    <w:rsid w:val="002268D1"/>
    <w:rsid w:val="0022700C"/>
    <w:rsid w:val="002272CF"/>
    <w:rsid w:val="0022767A"/>
    <w:rsid w:val="002276B0"/>
    <w:rsid w:val="00227A1B"/>
    <w:rsid w:val="00230234"/>
    <w:rsid w:val="00230290"/>
    <w:rsid w:val="00230BA7"/>
    <w:rsid w:val="00230C33"/>
    <w:rsid w:val="00230D02"/>
    <w:rsid w:val="00230D90"/>
    <w:rsid w:val="002315B6"/>
    <w:rsid w:val="00232102"/>
    <w:rsid w:val="00232238"/>
    <w:rsid w:val="00232515"/>
    <w:rsid w:val="002325FA"/>
    <w:rsid w:val="00232812"/>
    <w:rsid w:val="00232AF0"/>
    <w:rsid w:val="00233546"/>
    <w:rsid w:val="002335F3"/>
    <w:rsid w:val="00233750"/>
    <w:rsid w:val="00233B4E"/>
    <w:rsid w:val="002342A3"/>
    <w:rsid w:val="00234AAE"/>
    <w:rsid w:val="00234C33"/>
    <w:rsid w:val="00234C50"/>
    <w:rsid w:val="00234DD3"/>
    <w:rsid w:val="00235112"/>
    <w:rsid w:val="00235356"/>
    <w:rsid w:val="002359DA"/>
    <w:rsid w:val="00235C95"/>
    <w:rsid w:val="0023635E"/>
    <w:rsid w:val="0023721D"/>
    <w:rsid w:val="002372FD"/>
    <w:rsid w:val="002374E9"/>
    <w:rsid w:val="00237A0F"/>
    <w:rsid w:val="00237B1C"/>
    <w:rsid w:val="00237CEE"/>
    <w:rsid w:val="00237D93"/>
    <w:rsid w:val="00237E60"/>
    <w:rsid w:val="00237F13"/>
    <w:rsid w:val="002400CE"/>
    <w:rsid w:val="00240C85"/>
    <w:rsid w:val="002413C1"/>
    <w:rsid w:val="00241415"/>
    <w:rsid w:val="0024184F"/>
    <w:rsid w:val="00241A99"/>
    <w:rsid w:val="00241ACE"/>
    <w:rsid w:val="00241E71"/>
    <w:rsid w:val="0024247A"/>
    <w:rsid w:val="0024263D"/>
    <w:rsid w:val="00242733"/>
    <w:rsid w:val="002427F3"/>
    <w:rsid w:val="002429FC"/>
    <w:rsid w:val="00242FE5"/>
    <w:rsid w:val="0024353E"/>
    <w:rsid w:val="00243556"/>
    <w:rsid w:val="00243881"/>
    <w:rsid w:val="00243A88"/>
    <w:rsid w:val="00243B19"/>
    <w:rsid w:val="00243D89"/>
    <w:rsid w:val="002441AE"/>
    <w:rsid w:val="002442AE"/>
    <w:rsid w:val="0024439F"/>
    <w:rsid w:val="00244A2F"/>
    <w:rsid w:val="00244A58"/>
    <w:rsid w:val="002450FA"/>
    <w:rsid w:val="002451AB"/>
    <w:rsid w:val="00245370"/>
    <w:rsid w:val="00245460"/>
    <w:rsid w:val="002457FD"/>
    <w:rsid w:val="00245C6E"/>
    <w:rsid w:val="002462B0"/>
    <w:rsid w:val="00246374"/>
    <w:rsid w:val="00246518"/>
    <w:rsid w:val="00246B7B"/>
    <w:rsid w:val="00247111"/>
    <w:rsid w:val="0024719F"/>
    <w:rsid w:val="0024757E"/>
    <w:rsid w:val="002477C6"/>
    <w:rsid w:val="00247AC5"/>
    <w:rsid w:val="00247C7D"/>
    <w:rsid w:val="00247F15"/>
    <w:rsid w:val="0025016F"/>
    <w:rsid w:val="0025036A"/>
    <w:rsid w:val="002504F5"/>
    <w:rsid w:val="0025096F"/>
    <w:rsid w:val="00250ABF"/>
    <w:rsid w:val="00250C54"/>
    <w:rsid w:val="00250CC5"/>
    <w:rsid w:val="0025134E"/>
    <w:rsid w:val="00251485"/>
    <w:rsid w:val="0025179C"/>
    <w:rsid w:val="0025197A"/>
    <w:rsid w:val="00251BB6"/>
    <w:rsid w:val="00251F62"/>
    <w:rsid w:val="0025236A"/>
    <w:rsid w:val="00252611"/>
    <w:rsid w:val="00253207"/>
    <w:rsid w:val="00253443"/>
    <w:rsid w:val="00253646"/>
    <w:rsid w:val="002537CD"/>
    <w:rsid w:val="002537E7"/>
    <w:rsid w:val="00253C09"/>
    <w:rsid w:val="00253C97"/>
    <w:rsid w:val="00253D2E"/>
    <w:rsid w:val="002543D2"/>
    <w:rsid w:val="002543DD"/>
    <w:rsid w:val="00254575"/>
    <w:rsid w:val="00254AE8"/>
    <w:rsid w:val="00254B8B"/>
    <w:rsid w:val="00255083"/>
    <w:rsid w:val="00255631"/>
    <w:rsid w:val="0025624E"/>
    <w:rsid w:val="0025628C"/>
    <w:rsid w:val="0025671A"/>
    <w:rsid w:val="00256822"/>
    <w:rsid w:val="00256DCB"/>
    <w:rsid w:val="00256E8A"/>
    <w:rsid w:val="00256E9B"/>
    <w:rsid w:val="00256F07"/>
    <w:rsid w:val="00256F22"/>
    <w:rsid w:val="00257277"/>
    <w:rsid w:val="00257A6C"/>
    <w:rsid w:val="00260D2E"/>
    <w:rsid w:val="002612AB"/>
    <w:rsid w:val="00261917"/>
    <w:rsid w:val="00261D37"/>
    <w:rsid w:val="00262309"/>
    <w:rsid w:val="00262EB0"/>
    <w:rsid w:val="00263006"/>
    <w:rsid w:val="00263046"/>
    <w:rsid w:val="00263070"/>
    <w:rsid w:val="0026336D"/>
    <w:rsid w:val="00263570"/>
    <w:rsid w:val="00263683"/>
    <w:rsid w:val="00263687"/>
    <w:rsid w:val="00263960"/>
    <w:rsid w:val="00263B65"/>
    <w:rsid w:val="00263E2E"/>
    <w:rsid w:val="0026400A"/>
    <w:rsid w:val="002640BA"/>
    <w:rsid w:val="002642F8"/>
    <w:rsid w:val="002647EA"/>
    <w:rsid w:val="00264858"/>
    <w:rsid w:val="00264D47"/>
    <w:rsid w:val="00264E00"/>
    <w:rsid w:val="00264E26"/>
    <w:rsid w:val="0026507E"/>
    <w:rsid w:val="002651E9"/>
    <w:rsid w:val="002652ED"/>
    <w:rsid w:val="00265733"/>
    <w:rsid w:val="002658DD"/>
    <w:rsid w:val="00265A1D"/>
    <w:rsid w:val="00265E2A"/>
    <w:rsid w:val="0026630A"/>
    <w:rsid w:val="002663AD"/>
    <w:rsid w:val="00266515"/>
    <w:rsid w:val="0026672A"/>
    <w:rsid w:val="002670F4"/>
    <w:rsid w:val="002672B4"/>
    <w:rsid w:val="002675E2"/>
    <w:rsid w:val="00267679"/>
    <w:rsid w:val="00270187"/>
    <w:rsid w:val="002701E9"/>
    <w:rsid w:val="00270687"/>
    <w:rsid w:val="00270A37"/>
    <w:rsid w:val="002710FA"/>
    <w:rsid w:val="002714CF"/>
    <w:rsid w:val="0027152F"/>
    <w:rsid w:val="00271BF4"/>
    <w:rsid w:val="00271D31"/>
    <w:rsid w:val="00271DFC"/>
    <w:rsid w:val="00271E24"/>
    <w:rsid w:val="00271FD0"/>
    <w:rsid w:val="00272285"/>
    <w:rsid w:val="00272A96"/>
    <w:rsid w:val="002737DD"/>
    <w:rsid w:val="00273976"/>
    <w:rsid w:val="00273A5D"/>
    <w:rsid w:val="00273B66"/>
    <w:rsid w:val="00274DCA"/>
    <w:rsid w:val="002750C2"/>
    <w:rsid w:val="0027516F"/>
    <w:rsid w:val="00275187"/>
    <w:rsid w:val="002754D4"/>
    <w:rsid w:val="002758B8"/>
    <w:rsid w:val="00275D6C"/>
    <w:rsid w:val="00275E79"/>
    <w:rsid w:val="00276576"/>
    <w:rsid w:val="0027670A"/>
    <w:rsid w:val="002769EA"/>
    <w:rsid w:val="00276B4D"/>
    <w:rsid w:val="00276E34"/>
    <w:rsid w:val="00277065"/>
    <w:rsid w:val="00277393"/>
    <w:rsid w:val="002776C8"/>
    <w:rsid w:val="002776DB"/>
    <w:rsid w:val="002779ED"/>
    <w:rsid w:val="00277BFB"/>
    <w:rsid w:val="00277D9A"/>
    <w:rsid w:val="00280218"/>
    <w:rsid w:val="00280344"/>
    <w:rsid w:val="002803BA"/>
    <w:rsid w:val="002806B0"/>
    <w:rsid w:val="00280950"/>
    <w:rsid w:val="00280BBF"/>
    <w:rsid w:val="002813DA"/>
    <w:rsid w:val="002814D4"/>
    <w:rsid w:val="0028184A"/>
    <w:rsid w:val="00281876"/>
    <w:rsid w:val="00281B7B"/>
    <w:rsid w:val="00281CB9"/>
    <w:rsid w:val="00281E9A"/>
    <w:rsid w:val="00281F74"/>
    <w:rsid w:val="002821DB"/>
    <w:rsid w:val="002823D2"/>
    <w:rsid w:val="002825E3"/>
    <w:rsid w:val="00282A47"/>
    <w:rsid w:val="0028331E"/>
    <w:rsid w:val="002833F4"/>
    <w:rsid w:val="002834CF"/>
    <w:rsid w:val="002835F7"/>
    <w:rsid w:val="00283734"/>
    <w:rsid w:val="00284007"/>
    <w:rsid w:val="0028483E"/>
    <w:rsid w:val="00284870"/>
    <w:rsid w:val="00284BFD"/>
    <w:rsid w:val="00284E48"/>
    <w:rsid w:val="002852B9"/>
    <w:rsid w:val="0028534E"/>
    <w:rsid w:val="002857BC"/>
    <w:rsid w:val="00285E5F"/>
    <w:rsid w:val="00285FD7"/>
    <w:rsid w:val="002864BC"/>
    <w:rsid w:val="0028660B"/>
    <w:rsid w:val="00286914"/>
    <w:rsid w:val="0028698E"/>
    <w:rsid w:val="0028705C"/>
    <w:rsid w:val="002871DD"/>
    <w:rsid w:val="002872A5"/>
    <w:rsid w:val="0028736E"/>
    <w:rsid w:val="00287C19"/>
    <w:rsid w:val="002902BC"/>
    <w:rsid w:val="002904DE"/>
    <w:rsid w:val="00290733"/>
    <w:rsid w:val="00290776"/>
    <w:rsid w:val="00290BFF"/>
    <w:rsid w:val="00290D61"/>
    <w:rsid w:val="00290E28"/>
    <w:rsid w:val="00290F9C"/>
    <w:rsid w:val="00291092"/>
    <w:rsid w:val="0029134A"/>
    <w:rsid w:val="0029215A"/>
    <w:rsid w:val="00292429"/>
    <w:rsid w:val="002924A7"/>
    <w:rsid w:val="0029273E"/>
    <w:rsid w:val="00292CAA"/>
    <w:rsid w:val="00292CB2"/>
    <w:rsid w:val="00292DC7"/>
    <w:rsid w:val="00292E0F"/>
    <w:rsid w:val="002931C3"/>
    <w:rsid w:val="00293330"/>
    <w:rsid w:val="002943C0"/>
    <w:rsid w:val="002945BC"/>
    <w:rsid w:val="00294D99"/>
    <w:rsid w:val="0029506E"/>
    <w:rsid w:val="002952C7"/>
    <w:rsid w:val="00295EE7"/>
    <w:rsid w:val="00296411"/>
    <w:rsid w:val="00296569"/>
    <w:rsid w:val="0029722E"/>
    <w:rsid w:val="0029755A"/>
    <w:rsid w:val="00297635"/>
    <w:rsid w:val="00297C59"/>
    <w:rsid w:val="00297C96"/>
    <w:rsid w:val="00297D38"/>
    <w:rsid w:val="00297EB6"/>
    <w:rsid w:val="002A0026"/>
    <w:rsid w:val="002A00DF"/>
    <w:rsid w:val="002A014C"/>
    <w:rsid w:val="002A0D43"/>
    <w:rsid w:val="002A0EDF"/>
    <w:rsid w:val="002A108A"/>
    <w:rsid w:val="002A1146"/>
    <w:rsid w:val="002A1256"/>
    <w:rsid w:val="002A1336"/>
    <w:rsid w:val="002A154F"/>
    <w:rsid w:val="002A1990"/>
    <w:rsid w:val="002A1D2F"/>
    <w:rsid w:val="002A1EBE"/>
    <w:rsid w:val="002A2153"/>
    <w:rsid w:val="002A2376"/>
    <w:rsid w:val="002A2507"/>
    <w:rsid w:val="002A2729"/>
    <w:rsid w:val="002A3457"/>
    <w:rsid w:val="002A37D3"/>
    <w:rsid w:val="002A394D"/>
    <w:rsid w:val="002A3ED1"/>
    <w:rsid w:val="002A4505"/>
    <w:rsid w:val="002A48C5"/>
    <w:rsid w:val="002A4BC1"/>
    <w:rsid w:val="002A56A9"/>
    <w:rsid w:val="002A5757"/>
    <w:rsid w:val="002A5838"/>
    <w:rsid w:val="002A596B"/>
    <w:rsid w:val="002A5C5A"/>
    <w:rsid w:val="002A5ED8"/>
    <w:rsid w:val="002A5F2D"/>
    <w:rsid w:val="002A674F"/>
    <w:rsid w:val="002A6770"/>
    <w:rsid w:val="002A6E4F"/>
    <w:rsid w:val="002A70E7"/>
    <w:rsid w:val="002A7172"/>
    <w:rsid w:val="002A71B8"/>
    <w:rsid w:val="002A7597"/>
    <w:rsid w:val="002A7F38"/>
    <w:rsid w:val="002B03C5"/>
    <w:rsid w:val="002B0609"/>
    <w:rsid w:val="002B0B23"/>
    <w:rsid w:val="002B0B2C"/>
    <w:rsid w:val="002B0D5E"/>
    <w:rsid w:val="002B0E18"/>
    <w:rsid w:val="002B101B"/>
    <w:rsid w:val="002B1377"/>
    <w:rsid w:val="002B14D5"/>
    <w:rsid w:val="002B1B32"/>
    <w:rsid w:val="002B297A"/>
    <w:rsid w:val="002B2C46"/>
    <w:rsid w:val="002B303E"/>
    <w:rsid w:val="002B30BD"/>
    <w:rsid w:val="002B3131"/>
    <w:rsid w:val="002B3232"/>
    <w:rsid w:val="002B330A"/>
    <w:rsid w:val="002B3383"/>
    <w:rsid w:val="002B35B0"/>
    <w:rsid w:val="002B3A00"/>
    <w:rsid w:val="002B3E93"/>
    <w:rsid w:val="002B3EEF"/>
    <w:rsid w:val="002B4095"/>
    <w:rsid w:val="002B42D9"/>
    <w:rsid w:val="002B4485"/>
    <w:rsid w:val="002B4CA7"/>
    <w:rsid w:val="002B50A8"/>
    <w:rsid w:val="002B528D"/>
    <w:rsid w:val="002B58AD"/>
    <w:rsid w:val="002B599D"/>
    <w:rsid w:val="002B5AF0"/>
    <w:rsid w:val="002B5C03"/>
    <w:rsid w:val="002B5D3B"/>
    <w:rsid w:val="002B5F67"/>
    <w:rsid w:val="002B645D"/>
    <w:rsid w:val="002B69D7"/>
    <w:rsid w:val="002B6BA7"/>
    <w:rsid w:val="002B6CEE"/>
    <w:rsid w:val="002B6D50"/>
    <w:rsid w:val="002B6DB2"/>
    <w:rsid w:val="002B73A5"/>
    <w:rsid w:val="002B7718"/>
    <w:rsid w:val="002B78CB"/>
    <w:rsid w:val="002B78DB"/>
    <w:rsid w:val="002B7A58"/>
    <w:rsid w:val="002B7C84"/>
    <w:rsid w:val="002C0863"/>
    <w:rsid w:val="002C08EB"/>
    <w:rsid w:val="002C0F54"/>
    <w:rsid w:val="002C14CD"/>
    <w:rsid w:val="002C1ECC"/>
    <w:rsid w:val="002C1EFA"/>
    <w:rsid w:val="002C239B"/>
    <w:rsid w:val="002C246B"/>
    <w:rsid w:val="002C24A6"/>
    <w:rsid w:val="002C24CB"/>
    <w:rsid w:val="002C2BE9"/>
    <w:rsid w:val="002C2ED0"/>
    <w:rsid w:val="002C307F"/>
    <w:rsid w:val="002C30F0"/>
    <w:rsid w:val="002C3715"/>
    <w:rsid w:val="002C3D6A"/>
    <w:rsid w:val="002C3DC4"/>
    <w:rsid w:val="002C3EE1"/>
    <w:rsid w:val="002C402C"/>
    <w:rsid w:val="002C4343"/>
    <w:rsid w:val="002C45F7"/>
    <w:rsid w:val="002C4D56"/>
    <w:rsid w:val="002C4F15"/>
    <w:rsid w:val="002C51B0"/>
    <w:rsid w:val="002C53D7"/>
    <w:rsid w:val="002C5C19"/>
    <w:rsid w:val="002C5DA0"/>
    <w:rsid w:val="002C656C"/>
    <w:rsid w:val="002C6B7F"/>
    <w:rsid w:val="002C6DA5"/>
    <w:rsid w:val="002C7440"/>
    <w:rsid w:val="002C74BF"/>
    <w:rsid w:val="002C79B7"/>
    <w:rsid w:val="002C7BE8"/>
    <w:rsid w:val="002C7CBE"/>
    <w:rsid w:val="002D0270"/>
    <w:rsid w:val="002D0342"/>
    <w:rsid w:val="002D096A"/>
    <w:rsid w:val="002D0EC9"/>
    <w:rsid w:val="002D10ED"/>
    <w:rsid w:val="002D110C"/>
    <w:rsid w:val="002D1652"/>
    <w:rsid w:val="002D1B76"/>
    <w:rsid w:val="002D1C7F"/>
    <w:rsid w:val="002D1EA5"/>
    <w:rsid w:val="002D23A4"/>
    <w:rsid w:val="002D2504"/>
    <w:rsid w:val="002D25D1"/>
    <w:rsid w:val="002D269F"/>
    <w:rsid w:val="002D26F0"/>
    <w:rsid w:val="002D29EE"/>
    <w:rsid w:val="002D30B1"/>
    <w:rsid w:val="002D30B7"/>
    <w:rsid w:val="002D33AB"/>
    <w:rsid w:val="002D3FEC"/>
    <w:rsid w:val="002D436A"/>
    <w:rsid w:val="002D4378"/>
    <w:rsid w:val="002D4659"/>
    <w:rsid w:val="002D465E"/>
    <w:rsid w:val="002D4688"/>
    <w:rsid w:val="002D4B31"/>
    <w:rsid w:val="002D4C77"/>
    <w:rsid w:val="002D502C"/>
    <w:rsid w:val="002D53E1"/>
    <w:rsid w:val="002D54BC"/>
    <w:rsid w:val="002D59ED"/>
    <w:rsid w:val="002D5D5B"/>
    <w:rsid w:val="002D5DC3"/>
    <w:rsid w:val="002D5FAF"/>
    <w:rsid w:val="002D6861"/>
    <w:rsid w:val="002D7318"/>
    <w:rsid w:val="002D737D"/>
    <w:rsid w:val="002D7743"/>
    <w:rsid w:val="002D783F"/>
    <w:rsid w:val="002E0046"/>
    <w:rsid w:val="002E01BC"/>
    <w:rsid w:val="002E03CD"/>
    <w:rsid w:val="002E0544"/>
    <w:rsid w:val="002E0B4E"/>
    <w:rsid w:val="002E0B5F"/>
    <w:rsid w:val="002E0D1B"/>
    <w:rsid w:val="002E0FDE"/>
    <w:rsid w:val="002E16AC"/>
    <w:rsid w:val="002E196F"/>
    <w:rsid w:val="002E1C32"/>
    <w:rsid w:val="002E1DBE"/>
    <w:rsid w:val="002E21C4"/>
    <w:rsid w:val="002E27CD"/>
    <w:rsid w:val="002E28DC"/>
    <w:rsid w:val="002E2F10"/>
    <w:rsid w:val="002E3361"/>
    <w:rsid w:val="002E3587"/>
    <w:rsid w:val="002E36DD"/>
    <w:rsid w:val="002E3F5C"/>
    <w:rsid w:val="002E4246"/>
    <w:rsid w:val="002E435D"/>
    <w:rsid w:val="002E45AD"/>
    <w:rsid w:val="002E4C88"/>
    <w:rsid w:val="002E4DD8"/>
    <w:rsid w:val="002E51AB"/>
    <w:rsid w:val="002E522C"/>
    <w:rsid w:val="002E5673"/>
    <w:rsid w:val="002E574D"/>
    <w:rsid w:val="002E57AF"/>
    <w:rsid w:val="002E5986"/>
    <w:rsid w:val="002E62BE"/>
    <w:rsid w:val="002E630A"/>
    <w:rsid w:val="002E63A8"/>
    <w:rsid w:val="002E6537"/>
    <w:rsid w:val="002E6797"/>
    <w:rsid w:val="002E6933"/>
    <w:rsid w:val="002E6EEF"/>
    <w:rsid w:val="002E6FCE"/>
    <w:rsid w:val="002E740B"/>
    <w:rsid w:val="002E76C7"/>
    <w:rsid w:val="002E7851"/>
    <w:rsid w:val="002E7D91"/>
    <w:rsid w:val="002E7E71"/>
    <w:rsid w:val="002F0052"/>
    <w:rsid w:val="002F00BF"/>
    <w:rsid w:val="002F0140"/>
    <w:rsid w:val="002F057C"/>
    <w:rsid w:val="002F0586"/>
    <w:rsid w:val="002F05A3"/>
    <w:rsid w:val="002F05B8"/>
    <w:rsid w:val="002F05C3"/>
    <w:rsid w:val="002F0641"/>
    <w:rsid w:val="002F06D8"/>
    <w:rsid w:val="002F0A64"/>
    <w:rsid w:val="002F0CBD"/>
    <w:rsid w:val="002F0D6D"/>
    <w:rsid w:val="002F0F3D"/>
    <w:rsid w:val="002F1055"/>
    <w:rsid w:val="002F10FC"/>
    <w:rsid w:val="002F1106"/>
    <w:rsid w:val="002F18CB"/>
    <w:rsid w:val="002F1E4D"/>
    <w:rsid w:val="002F1E60"/>
    <w:rsid w:val="002F2652"/>
    <w:rsid w:val="002F3583"/>
    <w:rsid w:val="002F3DB1"/>
    <w:rsid w:val="002F3EEF"/>
    <w:rsid w:val="002F4121"/>
    <w:rsid w:val="002F413E"/>
    <w:rsid w:val="002F43F2"/>
    <w:rsid w:val="002F46D2"/>
    <w:rsid w:val="002F474E"/>
    <w:rsid w:val="002F4C25"/>
    <w:rsid w:val="002F4FDF"/>
    <w:rsid w:val="002F5697"/>
    <w:rsid w:val="002F59F5"/>
    <w:rsid w:val="002F5D4B"/>
    <w:rsid w:val="002F5D7B"/>
    <w:rsid w:val="002F5DE3"/>
    <w:rsid w:val="002F5F28"/>
    <w:rsid w:val="002F62A5"/>
    <w:rsid w:val="002F62DB"/>
    <w:rsid w:val="002F6583"/>
    <w:rsid w:val="002F659E"/>
    <w:rsid w:val="002F65CB"/>
    <w:rsid w:val="002F6651"/>
    <w:rsid w:val="002F6784"/>
    <w:rsid w:val="002F6979"/>
    <w:rsid w:val="002F6AC4"/>
    <w:rsid w:val="002F6E6B"/>
    <w:rsid w:val="002F6EDE"/>
    <w:rsid w:val="002F74AF"/>
    <w:rsid w:val="002F7A25"/>
    <w:rsid w:val="002F7A87"/>
    <w:rsid w:val="002F7BD9"/>
    <w:rsid w:val="002F7C00"/>
    <w:rsid w:val="002F7E14"/>
    <w:rsid w:val="002F7E44"/>
    <w:rsid w:val="002F7F96"/>
    <w:rsid w:val="00300498"/>
    <w:rsid w:val="0030062D"/>
    <w:rsid w:val="00300E39"/>
    <w:rsid w:val="00300E67"/>
    <w:rsid w:val="00300EFC"/>
    <w:rsid w:val="00301129"/>
    <w:rsid w:val="003015AD"/>
    <w:rsid w:val="003016AC"/>
    <w:rsid w:val="00301A1A"/>
    <w:rsid w:val="00302187"/>
    <w:rsid w:val="0030224E"/>
    <w:rsid w:val="00302407"/>
    <w:rsid w:val="003025CD"/>
    <w:rsid w:val="003027FB"/>
    <w:rsid w:val="0030285B"/>
    <w:rsid w:val="0030287E"/>
    <w:rsid w:val="00302907"/>
    <w:rsid w:val="00302B29"/>
    <w:rsid w:val="00302D48"/>
    <w:rsid w:val="003032C8"/>
    <w:rsid w:val="00303372"/>
    <w:rsid w:val="00303568"/>
    <w:rsid w:val="00303734"/>
    <w:rsid w:val="00303C01"/>
    <w:rsid w:val="00303ECF"/>
    <w:rsid w:val="00303F18"/>
    <w:rsid w:val="00303FD6"/>
    <w:rsid w:val="003041C6"/>
    <w:rsid w:val="003042D4"/>
    <w:rsid w:val="00304763"/>
    <w:rsid w:val="0030486C"/>
    <w:rsid w:val="00304C03"/>
    <w:rsid w:val="00304D34"/>
    <w:rsid w:val="003052EE"/>
    <w:rsid w:val="00305921"/>
    <w:rsid w:val="003059C6"/>
    <w:rsid w:val="00305BE5"/>
    <w:rsid w:val="00305EAA"/>
    <w:rsid w:val="0030615C"/>
    <w:rsid w:val="00306218"/>
    <w:rsid w:val="00306273"/>
    <w:rsid w:val="00306337"/>
    <w:rsid w:val="00306582"/>
    <w:rsid w:val="00306619"/>
    <w:rsid w:val="003069DE"/>
    <w:rsid w:val="00306C27"/>
    <w:rsid w:val="00306C5F"/>
    <w:rsid w:val="00306E4D"/>
    <w:rsid w:val="00307464"/>
    <w:rsid w:val="00307B7D"/>
    <w:rsid w:val="00310236"/>
    <w:rsid w:val="0031080F"/>
    <w:rsid w:val="00310AF6"/>
    <w:rsid w:val="00310D16"/>
    <w:rsid w:val="003112E6"/>
    <w:rsid w:val="003119B0"/>
    <w:rsid w:val="00311A8A"/>
    <w:rsid w:val="00311B97"/>
    <w:rsid w:val="00311C30"/>
    <w:rsid w:val="00311D8B"/>
    <w:rsid w:val="00311DAE"/>
    <w:rsid w:val="00311F96"/>
    <w:rsid w:val="00312520"/>
    <w:rsid w:val="00312558"/>
    <w:rsid w:val="003129D7"/>
    <w:rsid w:val="003131C2"/>
    <w:rsid w:val="00313446"/>
    <w:rsid w:val="0031360E"/>
    <w:rsid w:val="00313903"/>
    <w:rsid w:val="003139AE"/>
    <w:rsid w:val="00313C24"/>
    <w:rsid w:val="00313D45"/>
    <w:rsid w:val="003142A8"/>
    <w:rsid w:val="00314407"/>
    <w:rsid w:val="00314587"/>
    <w:rsid w:val="00314AB3"/>
    <w:rsid w:val="00314C48"/>
    <w:rsid w:val="00314E02"/>
    <w:rsid w:val="00314E99"/>
    <w:rsid w:val="0031533A"/>
    <w:rsid w:val="003153E2"/>
    <w:rsid w:val="003155F2"/>
    <w:rsid w:val="00315811"/>
    <w:rsid w:val="003158A2"/>
    <w:rsid w:val="00315913"/>
    <w:rsid w:val="00315C51"/>
    <w:rsid w:val="00315F08"/>
    <w:rsid w:val="003161FE"/>
    <w:rsid w:val="003162DB"/>
    <w:rsid w:val="00316526"/>
    <w:rsid w:val="00316575"/>
    <w:rsid w:val="00316C22"/>
    <w:rsid w:val="00316C27"/>
    <w:rsid w:val="003172AF"/>
    <w:rsid w:val="003200C2"/>
    <w:rsid w:val="0032018E"/>
    <w:rsid w:val="003205BD"/>
    <w:rsid w:val="003207EB"/>
    <w:rsid w:val="00320A69"/>
    <w:rsid w:val="00320E4B"/>
    <w:rsid w:val="00320F83"/>
    <w:rsid w:val="0032107B"/>
    <w:rsid w:val="00321AB0"/>
    <w:rsid w:val="00321C56"/>
    <w:rsid w:val="00322B98"/>
    <w:rsid w:val="00323089"/>
    <w:rsid w:val="00324125"/>
    <w:rsid w:val="00324703"/>
    <w:rsid w:val="00324A0F"/>
    <w:rsid w:val="00325B2B"/>
    <w:rsid w:val="00325C0F"/>
    <w:rsid w:val="00325C66"/>
    <w:rsid w:val="0032614B"/>
    <w:rsid w:val="003262E2"/>
    <w:rsid w:val="003263DD"/>
    <w:rsid w:val="0032660F"/>
    <w:rsid w:val="00326634"/>
    <w:rsid w:val="003267A6"/>
    <w:rsid w:val="003269E2"/>
    <w:rsid w:val="00326C5A"/>
    <w:rsid w:val="003276E6"/>
    <w:rsid w:val="00327835"/>
    <w:rsid w:val="003278B3"/>
    <w:rsid w:val="00331DC1"/>
    <w:rsid w:val="00331E77"/>
    <w:rsid w:val="00331FD1"/>
    <w:rsid w:val="003323D5"/>
    <w:rsid w:val="00332567"/>
    <w:rsid w:val="0033282E"/>
    <w:rsid w:val="003328B6"/>
    <w:rsid w:val="00332A82"/>
    <w:rsid w:val="00332CD2"/>
    <w:rsid w:val="00333731"/>
    <w:rsid w:val="003339F8"/>
    <w:rsid w:val="00333EB0"/>
    <w:rsid w:val="00333EBB"/>
    <w:rsid w:val="0033427C"/>
    <w:rsid w:val="0033430D"/>
    <w:rsid w:val="00334423"/>
    <w:rsid w:val="003344FE"/>
    <w:rsid w:val="00334BA5"/>
    <w:rsid w:val="0033512A"/>
    <w:rsid w:val="003353C4"/>
    <w:rsid w:val="00335CAE"/>
    <w:rsid w:val="00335FBB"/>
    <w:rsid w:val="00336042"/>
    <w:rsid w:val="00336177"/>
    <w:rsid w:val="003361A7"/>
    <w:rsid w:val="003365D8"/>
    <w:rsid w:val="003368A7"/>
    <w:rsid w:val="00336A69"/>
    <w:rsid w:val="00336E0C"/>
    <w:rsid w:val="00336E5E"/>
    <w:rsid w:val="00337151"/>
    <w:rsid w:val="003378F9"/>
    <w:rsid w:val="00337953"/>
    <w:rsid w:val="00337B6E"/>
    <w:rsid w:val="00337C28"/>
    <w:rsid w:val="00337EC8"/>
    <w:rsid w:val="00340071"/>
    <w:rsid w:val="00340260"/>
    <w:rsid w:val="00340394"/>
    <w:rsid w:val="00340519"/>
    <w:rsid w:val="00340E19"/>
    <w:rsid w:val="003412C6"/>
    <w:rsid w:val="003415D6"/>
    <w:rsid w:val="00341E1A"/>
    <w:rsid w:val="0034202D"/>
    <w:rsid w:val="003424E6"/>
    <w:rsid w:val="00342763"/>
    <w:rsid w:val="00342DA4"/>
    <w:rsid w:val="00343360"/>
    <w:rsid w:val="003433CB"/>
    <w:rsid w:val="003438F2"/>
    <w:rsid w:val="00343C31"/>
    <w:rsid w:val="0034423C"/>
    <w:rsid w:val="00344731"/>
    <w:rsid w:val="00344EDC"/>
    <w:rsid w:val="00344FF9"/>
    <w:rsid w:val="003451BA"/>
    <w:rsid w:val="0034520E"/>
    <w:rsid w:val="0034552D"/>
    <w:rsid w:val="00345A32"/>
    <w:rsid w:val="00345AEC"/>
    <w:rsid w:val="00345D0F"/>
    <w:rsid w:val="00345D80"/>
    <w:rsid w:val="00346025"/>
    <w:rsid w:val="0034633D"/>
    <w:rsid w:val="003464A9"/>
    <w:rsid w:val="003469BA"/>
    <w:rsid w:val="00346C9D"/>
    <w:rsid w:val="00346E92"/>
    <w:rsid w:val="00347000"/>
    <w:rsid w:val="003470C0"/>
    <w:rsid w:val="00347104"/>
    <w:rsid w:val="00347362"/>
    <w:rsid w:val="003479B7"/>
    <w:rsid w:val="00347DA5"/>
    <w:rsid w:val="003500C7"/>
    <w:rsid w:val="003501C4"/>
    <w:rsid w:val="0035055D"/>
    <w:rsid w:val="0035061D"/>
    <w:rsid w:val="00350887"/>
    <w:rsid w:val="00350A3F"/>
    <w:rsid w:val="00350BF6"/>
    <w:rsid w:val="00350D92"/>
    <w:rsid w:val="00351090"/>
    <w:rsid w:val="00351120"/>
    <w:rsid w:val="00351389"/>
    <w:rsid w:val="0035172E"/>
    <w:rsid w:val="003517A0"/>
    <w:rsid w:val="00351DB5"/>
    <w:rsid w:val="00351E25"/>
    <w:rsid w:val="00351E40"/>
    <w:rsid w:val="00351F10"/>
    <w:rsid w:val="003524F3"/>
    <w:rsid w:val="003530E8"/>
    <w:rsid w:val="003538E6"/>
    <w:rsid w:val="00353C7C"/>
    <w:rsid w:val="00353EBF"/>
    <w:rsid w:val="003541CA"/>
    <w:rsid w:val="0035478B"/>
    <w:rsid w:val="00354B81"/>
    <w:rsid w:val="00354CA1"/>
    <w:rsid w:val="003550E7"/>
    <w:rsid w:val="00355125"/>
    <w:rsid w:val="003557EE"/>
    <w:rsid w:val="0035597D"/>
    <w:rsid w:val="00355DA0"/>
    <w:rsid w:val="003561FD"/>
    <w:rsid w:val="00356333"/>
    <w:rsid w:val="00356495"/>
    <w:rsid w:val="00356795"/>
    <w:rsid w:val="00356BB7"/>
    <w:rsid w:val="00356CA7"/>
    <w:rsid w:val="00356D83"/>
    <w:rsid w:val="00356EC4"/>
    <w:rsid w:val="0035745A"/>
    <w:rsid w:val="00357812"/>
    <w:rsid w:val="0035786E"/>
    <w:rsid w:val="00357C09"/>
    <w:rsid w:val="00357DEC"/>
    <w:rsid w:val="00357FAB"/>
    <w:rsid w:val="003601F0"/>
    <w:rsid w:val="003601F4"/>
    <w:rsid w:val="003603D2"/>
    <w:rsid w:val="00360740"/>
    <w:rsid w:val="00360751"/>
    <w:rsid w:val="003607CE"/>
    <w:rsid w:val="00360970"/>
    <w:rsid w:val="00360A3A"/>
    <w:rsid w:val="00360C57"/>
    <w:rsid w:val="00361240"/>
    <w:rsid w:val="00361448"/>
    <w:rsid w:val="003614A5"/>
    <w:rsid w:val="003614E8"/>
    <w:rsid w:val="00361A20"/>
    <w:rsid w:val="00361BBD"/>
    <w:rsid w:val="00362209"/>
    <w:rsid w:val="0036222D"/>
    <w:rsid w:val="003622AA"/>
    <w:rsid w:val="00362424"/>
    <w:rsid w:val="003626FD"/>
    <w:rsid w:val="0036298E"/>
    <w:rsid w:val="00362C4A"/>
    <w:rsid w:val="003635C5"/>
    <w:rsid w:val="0036363A"/>
    <w:rsid w:val="00363678"/>
    <w:rsid w:val="0036394D"/>
    <w:rsid w:val="00363B26"/>
    <w:rsid w:val="00363DBD"/>
    <w:rsid w:val="0036417E"/>
    <w:rsid w:val="00364378"/>
    <w:rsid w:val="0036446A"/>
    <w:rsid w:val="0036452B"/>
    <w:rsid w:val="00364891"/>
    <w:rsid w:val="0036520D"/>
    <w:rsid w:val="003652D9"/>
    <w:rsid w:val="0036541E"/>
    <w:rsid w:val="003658A4"/>
    <w:rsid w:val="003660F9"/>
    <w:rsid w:val="00366B1B"/>
    <w:rsid w:val="00366BA1"/>
    <w:rsid w:val="00366E4B"/>
    <w:rsid w:val="00367022"/>
    <w:rsid w:val="003677E2"/>
    <w:rsid w:val="00367BFE"/>
    <w:rsid w:val="00367D04"/>
    <w:rsid w:val="00367D08"/>
    <w:rsid w:val="0037011D"/>
    <w:rsid w:val="003701EC"/>
    <w:rsid w:val="0037021E"/>
    <w:rsid w:val="00370483"/>
    <w:rsid w:val="00370523"/>
    <w:rsid w:val="00370541"/>
    <w:rsid w:val="00370B7B"/>
    <w:rsid w:val="00370C93"/>
    <w:rsid w:val="0037155B"/>
    <w:rsid w:val="0037162D"/>
    <w:rsid w:val="00371BAE"/>
    <w:rsid w:val="00371D2A"/>
    <w:rsid w:val="003722F2"/>
    <w:rsid w:val="00372802"/>
    <w:rsid w:val="0037283F"/>
    <w:rsid w:val="003731E1"/>
    <w:rsid w:val="0037373F"/>
    <w:rsid w:val="003738B1"/>
    <w:rsid w:val="003739E8"/>
    <w:rsid w:val="00373B50"/>
    <w:rsid w:val="00373E14"/>
    <w:rsid w:val="00373F87"/>
    <w:rsid w:val="00375664"/>
    <w:rsid w:val="0037568C"/>
    <w:rsid w:val="00375920"/>
    <w:rsid w:val="00375CFF"/>
    <w:rsid w:val="00375F84"/>
    <w:rsid w:val="003760C7"/>
    <w:rsid w:val="00376231"/>
    <w:rsid w:val="00376433"/>
    <w:rsid w:val="0037652A"/>
    <w:rsid w:val="0037677D"/>
    <w:rsid w:val="00376F90"/>
    <w:rsid w:val="0037731C"/>
    <w:rsid w:val="00377653"/>
    <w:rsid w:val="00377748"/>
    <w:rsid w:val="00377759"/>
    <w:rsid w:val="00377933"/>
    <w:rsid w:val="00377969"/>
    <w:rsid w:val="00380500"/>
    <w:rsid w:val="003807EF"/>
    <w:rsid w:val="0038171E"/>
    <w:rsid w:val="003817D3"/>
    <w:rsid w:val="00381BDA"/>
    <w:rsid w:val="00381E7F"/>
    <w:rsid w:val="00382086"/>
    <w:rsid w:val="003821F4"/>
    <w:rsid w:val="003822FC"/>
    <w:rsid w:val="0038291C"/>
    <w:rsid w:val="00382A3D"/>
    <w:rsid w:val="003832DC"/>
    <w:rsid w:val="003835D1"/>
    <w:rsid w:val="003838D7"/>
    <w:rsid w:val="00383A2D"/>
    <w:rsid w:val="00383E29"/>
    <w:rsid w:val="0038404F"/>
    <w:rsid w:val="0038468C"/>
    <w:rsid w:val="0038475B"/>
    <w:rsid w:val="00384CDD"/>
    <w:rsid w:val="00384EA3"/>
    <w:rsid w:val="00385971"/>
    <w:rsid w:val="0038614F"/>
    <w:rsid w:val="00386787"/>
    <w:rsid w:val="00386790"/>
    <w:rsid w:val="00386D46"/>
    <w:rsid w:val="00386F55"/>
    <w:rsid w:val="00386FE1"/>
    <w:rsid w:val="00387901"/>
    <w:rsid w:val="00387A11"/>
    <w:rsid w:val="003901BD"/>
    <w:rsid w:val="003906C1"/>
    <w:rsid w:val="003913FB"/>
    <w:rsid w:val="00391539"/>
    <w:rsid w:val="00391668"/>
    <w:rsid w:val="00391813"/>
    <w:rsid w:val="00391AE8"/>
    <w:rsid w:val="00391B55"/>
    <w:rsid w:val="003922CA"/>
    <w:rsid w:val="0039235F"/>
    <w:rsid w:val="00392921"/>
    <w:rsid w:val="00392F07"/>
    <w:rsid w:val="0039336B"/>
    <w:rsid w:val="00393A9D"/>
    <w:rsid w:val="00393AEF"/>
    <w:rsid w:val="00393DA3"/>
    <w:rsid w:val="00393F9E"/>
    <w:rsid w:val="00394AE8"/>
    <w:rsid w:val="00394DBB"/>
    <w:rsid w:val="00395062"/>
    <w:rsid w:val="003955D0"/>
    <w:rsid w:val="00395855"/>
    <w:rsid w:val="00395C2C"/>
    <w:rsid w:val="003963BD"/>
    <w:rsid w:val="003969DD"/>
    <w:rsid w:val="00396B1D"/>
    <w:rsid w:val="00396F30"/>
    <w:rsid w:val="00397441"/>
    <w:rsid w:val="0039779D"/>
    <w:rsid w:val="00397BAF"/>
    <w:rsid w:val="00397BCC"/>
    <w:rsid w:val="003A0090"/>
    <w:rsid w:val="003A06D8"/>
    <w:rsid w:val="003A0E92"/>
    <w:rsid w:val="003A0EEC"/>
    <w:rsid w:val="003A10BB"/>
    <w:rsid w:val="003A11BF"/>
    <w:rsid w:val="003A129F"/>
    <w:rsid w:val="003A131F"/>
    <w:rsid w:val="003A1AA2"/>
    <w:rsid w:val="003A1C42"/>
    <w:rsid w:val="003A1DC3"/>
    <w:rsid w:val="003A1E90"/>
    <w:rsid w:val="003A1F95"/>
    <w:rsid w:val="003A21FD"/>
    <w:rsid w:val="003A2903"/>
    <w:rsid w:val="003A2CAF"/>
    <w:rsid w:val="003A2E61"/>
    <w:rsid w:val="003A2E7D"/>
    <w:rsid w:val="003A37F3"/>
    <w:rsid w:val="003A43B5"/>
    <w:rsid w:val="003A4618"/>
    <w:rsid w:val="003A4735"/>
    <w:rsid w:val="003A47E2"/>
    <w:rsid w:val="003A4B6A"/>
    <w:rsid w:val="003A4B7A"/>
    <w:rsid w:val="003A4D0B"/>
    <w:rsid w:val="003A50A1"/>
    <w:rsid w:val="003A50A7"/>
    <w:rsid w:val="003A51A8"/>
    <w:rsid w:val="003A5349"/>
    <w:rsid w:val="003A5374"/>
    <w:rsid w:val="003A55A4"/>
    <w:rsid w:val="003A5B6B"/>
    <w:rsid w:val="003A5CA2"/>
    <w:rsid w:val="003A5F0A"/>
    <w:rsid w:val="003A62DD"/>
    <w:rsid w:val="003A63AD"/>
    <w:rsid w:val="003A6900"/>
    <w:rsid w:val="003A6B06"/>
    <w:rsid w:val="003A73EA"/>
    <w:rsid w:val="003A74B7"/>
    <w:rsid w:val="003A793C"/>
    <w:rsid w:val="003A7A9D"/>
    <w:rsid w:val="003A7FFB"/>
    <w:rsid w:val="003B010A"/>
    <w:rsid w:val="003B0FF8"/>
    <w:rsid w:val="003B16E9"/>
    <w:rsid w:val="003B1F1B"/>
    <w:rsid w:val="003B2025"/>
    <w:rsid w:val="003B2042"/>
    <w:rsid w:val="003B2213"/>
    <w:rsid w:val="003B25F8"/>
    <w:rsid w:val="003B2CE7"/>
    <w:rsid w:val="003B3320"/>
    <w:rsid w:val="003B3E3B"/>
    <w:rsid w:val="003B3E66"/>
    <w:rsid w:val="003B43D3"/>
    <w:rsid w:val="003B45B1"/>
    <w:rsid w:val="003B4C53"/>
    <w:rsid w:val="003B4F79"/>
    <w:rsid w:val="003B5527"/>
    <w:rsid w:val="003B58B1"/>
    <w:rsid w:val="003B5DB3"/>
    <w:rsid w:val="003B5F1C"/>
    <w:rsid w:val="003B61D3"/>
    <w:rsid w:val="003B6529"/>
    <w:rsid w:val="003B6988"/>
    <w:rsid w:val="003B6A60"/>
    <w:rsid w:val="003B6D36"/>
    <w:rsid w:val="003B7007"/>
    <w:rsid w:val="003B73C9"/>
    <w:rsid w:val="003B742D"/>
    <w:rsid w:val="003B762F"/>
    <w:rsid w:val="003B76BC"/>
    <w:rsid w:val="003B7CBC"/>
    <w:rsid w:val="003C0335"/>
    <w:rsid w:val="003C035E"/>
    <w:rsid w:val="003C06B4"/>
    <w:rsid w:val="003C0ACB"/>
    <w:rsid w:val="003C1088"/>
    <w:rsid w:val="003C1093"/>
    <w:rsid w:val="003C164A"/>
    <w:rsid w:val="003C175C"/>
    <w:rsid w:val="003C1943"/>
    <w:rsid w:val="003C19F5"/>
    <w:rsid w:val="003C1AE5"/>
    <w:rsid w:val="003C200F"/>
    <w:rsid w:val="003C22CA"/>
    <w:rsid w:val="003C2328"/>
    <w:rsid w:val="003C2618"/>
    <w:rsid w:val="003C26F1"/>
    <w:rsid w:val="003C27DA"/>
    <w:rsid w:val="003C2905"/>
    <w:rsid w:val="003C2927"/>
    <w:rsid w:val="003C2945"/>
    <w:rsid w:val="003C2AEC"/>
    <w:rsid w:val="003C2D9E"/>
    <w:rsid w:val="003C31EB"/>
    <w:rsid w:val="003C3407"/>
    <w:rsid w:val="003C3A94"/>
    <w:rsid w:val="003C40D2"/>
    <w:rsid w:val="003C4836"/>
    <w:rsid w:val="003C4C9A"/>
    <w:rsid w:val="003C4D28"/>
    <w:rsid w:val="003C4E97"/>
    <w:rsid w:val="003C536C"/>
    <w:rsid w:val="003C55EE"/>
    <w:rsid w:val="003C635A"/>
    <w:rsid w:val="003C65E7"/>
    <w:rsid w:val="003C6864"/>
    <w:rsid w:val="003C761A"/>
    <w:rsid w:val="003C788E"/>
    <w:rsid w:val="003D04D8"/>
    <w:rsid w:val="003D06E8"/>
    <w:rsid w:val="003D07D9"/>
    <w:rsid w:val="003D09B6"/>
    <w:rsid w:val="003D0A38"/>
    <w:rsid w:val="003D1165"/>
    <w:rsid w:val="003D12B1"/>
    <w:rsid w:val="003D1E0A"/>
    <w:rsid w:val="003D2E33"/>
    <w:rsid w:val="003D3556"/>
    <w:rsid w:val="003D3AA5"/>
    <w:rsid w:val="003D3CCD"/>
    <w:rsid w:val="003D4338"/>
    <w:rsid w:val="003D4B81"/>
    <w:rsid w:val="003D4E2D"/>
    <w:rsid w:val="003D57B8"/>
    <w:rsid w:val="003D5971"/>
    <w:rsid w:val="003D609E"/>
    <w:rsid w:val="003D64F2"/>
    <w:rsid w:val="003D65B3"/>
    <w:rsid w:val="003D65BC"/>
    <w:rsid w:val="003D6B60"/>
    <w:rsid w:val="003D6D25"/>
    <w:rsid w:val="003D7093"/>
    <w:rsid w:val="003D72EB"/>
    <w:rsid w:val="003D7324"/>
    <w:rsid w:val="003D7EFD"/>
    <w:rsid w:val="003E0249"/>
    <w:rsid w:val="003E03D1"/>
    <w:rsid w:val="003E040E"/>
    <w:rsid w:val="003E07DE"/>
    <w:rsid w:val="003E091D"/>
    <w:rsid w:val="003E0ACC"/>
    <w:rsid w:val="003E0FC5"/>
    <w:rsid w:val="003E1338"/>
    <w:rsid w:val="003E17AF"/>
    <w:rsid w:val="003E1920"/>
    <w:rsid w:val="003E1E56"/>
    <w:rsid w:val="003E2637"/>
    <w:rsid w:val="003E2656"/>
    <w:rsid w:val="003E2B42"/>
    <w:rsid w:val="003E2F62"/>
    <w:rsid w:val="003E3174"/>
    <w:rsid w:val="003E32C0"/>
    <w:rsid w:val="003E3D10"/>
    <w:rsid w:val="003E3F16"/>
    <w:rsid w:val="003E3FB2"/>
    <w:rsid w:val="003E403C"/>
    <w:rsid w:val="003E4093"/>
    <w:rsid w:val="003E4166"/>
    <w:rsid w:val="003E452F"/>
    <w:rsid w:val="003E459D"/>
    <w:rsid w:val="003E4919"/>
    <w:rsid w:val="003E4AED"/>
    <w:rsid w:val="003E4E92"/>
    <w:rsid w:val="003E540C"/>
    <w:rsid w:val="003E55D2"/>
    <w:rsid w:val="003E564A"/>
    <w:rsid w:val="003E5F48"/>
    <w:rsid w:val="003E5F84"/>
    <w:rsid w:val="003E5FB9"/>
    <w:rsid w:val="003E672D"/>
    <w:rsid w:val="003E6891"/>
    <w:rsid w:val="003E71EE"/>
    <w:rsid w:val="003E7823"/>
    <w:rsid w:val="003E7993"/>
    <w:rsid w:val="003E7C43"/>
    <w:rsid w:val="003E7C5B"/>
    <w:rsid w:val="003E7E3C"/>
    <w:rsid w:val="003F015A"/>
    <w:rsid w:val="003F030C"/>
    <w:rsid w:val="003F0405"/>
    <w:rsid w:val="003F117D"/>
    <w:rsid w:val="003F1214"/>
    <w:rsid w:val="003F1664"/>
    <w:rsid w:val="003F18F2"/>
    <w:rsid w:val="003F1C32"/>
    <w:rsid w:val="003F1E13"/>
    <w:rsid w:val="003F29C5"/>
    <w:rsid w:val="003F2B8E"/>
    <w:rsid w:val="003F3012"/>
    <w:rsid w:val="003F3087"/>
    <w:rsid w:val="003F3370"/>
    <w:rsid w:val="003F39DE"/>
    <w:rsid w:val="003F3E39"/>
    <w:rsid w:val="003F4256"/>
    <w:rsid w:val="003F4448"/>
    <w:rsid w:val="003F48AD"/>
    <w:rsid w:val="003F4963"/>
    <w:rsid w:val="003F4BF5"/>
    <w:rsid w:val="003F4C87"/>
    <w:rsid w:val="003F55F8"/>
    <w:rsid w:val="003F596E"/>
    <w:rsid w:val="003F5A70"/>
    <w:rsid w:val="003F5F6B"/>
    <w:rsid w:val="003F607E"/>
    <w:rsid w:val="003F6535"/>
    <w:rsid w:val="003F657E"/>
    <w:rsid w:val="003F6941"/>
    <w:rsid w:val="003F6CD2"/>
    <w:rsid w:val="003F6CEC"/>
    <w:rsid w:val="003F756F"/>
    <w:rsid w:val="003F7695"/>
    <w:rsid w:val="003F7C6E"/>
    <w:rsid w:val="003F7E65"/>
    <w:rsid w:val="00400101"/>
    <w:rsid w:val="0040031F"/>
    <w:rsid w:val="004005FF"/>
    <w:rsid w:val="00400867"/>
    <w:rsid w:val="0040099B"/>
    <w:rsid w:val="00400BAF"/>
    <w:rsid w:val="00401502"/>
    <w:rsid w:val="004016B8"/>
    <w:rsid w:val="00401721"/>
    <w:rsid w:val="0040188C"/>
    <w:rsid w:val="00401B41"/>
    <w:rsid w:val="00401B89"/>
    <w:rsid w:val="00401ED6"/>
    <w:rsid w:val="0040210C"/>
    <w:rsid w:val="004028AA"/>
    <w:rsid w:val="00402DD8"/>
    <w:rsid w:val="00402F6E"/>
    <w:rsid w:val="0040368D"/>
    <w:rsid w:val="0040396B"/>
    <w:rsid w:val="00403DE4"/>
    <w:rsid w:val="00403F68"/>
    <w:rsid w:val="00403FDC"/>
    <w:rsid w:val="004040B8"/>
    <w:rsid w:val="004041B8"/>
    <w:rsid w:val="00404562"/>
    <w:rsid w:val="00404914"/>
    <w:rsid w:val="00404C3D"/>
    <w:rsid w:val="00405138"/>
    <w:rsid w:val="00405B9E"/>
    <w:rsid w:val="00405E23"/>
    <w:rsid w:val="004067C1"/>
    <w:rsid w:val="00406A76"/>
    <w:rsid w:val="00406A9D"/>
    <w:rsid w:val="00406B60"/>
    <w:rsid w:val="00406D61"/>
    <w:rsid w:val="00407FDD"/>
    <w:rsid w:val="00410579"/>
    <w:rsid w:val="004109FB"/>
    <w:rsid w:val="00410D2F"/>
    <w:rsid w:val="00410E9D"/>
    <w:rsid w:val="00410F67"/>
    <w:rsid w:val="0041118C"/>
    <w:rsid w:val="00411391"/>
    <w:rsid w:val="004113F5"/>
    <w:rsid w:val="00411685"/>
    <w:rsid w:val="004117EE"/>
    <w:rsid w:val="00411DBC"/>
    <w:rsid w:val="00411F35"/>
    <w:rsid w:val="00411F48"/>
    <w:rsid w:val="00411F51"/>
    <w:rsid w:val="00412332"/>
    <w:rsid w:val="00412B98"/>
    <w:rsid w:val="004130D3"/>
    <w:rsid w:val="00413220"/>
    <w:rsid w:val="0041345E"/>
    <w:rsid w:val="0041346C"/>
    <w:rsid w:val="00413554"/>
    <w:rsid w:val="00413944"/>
    <w:rsid w:val="00413BF8"/>
    <w:rsid w:val="00414258"/>
    <w:rsid w:val="0041439F"/>
    <w:rsid w:val="004144F1"/>
    <w:rsid w:val="00414517"/>
    <w:rsid w:val="004148AB"/>
    <w:rsid w:val="00414993"/>
    <w:rsid w:val="00414B53"/>
    <w:rsid w:val="0041501D"/>
    <w:rsid w:val="0041550C"/>
    <w:rsid w:val="004157A3"/>
    <w:rsid w:val="00415818"/>
    <w:rsid w:val="00415A4D"/>
    <w:rsid w:val="00415B58"/>
    <w:rsid w:val="00415BF7"/>
    <w:rsid w:val="004163E4"/>
    <w:rsid w:val="00416520"/>
    <w:rsid w:val="004168C5"/>
    <w:rsid w:val="00416CF0"/>
    <w:rsid w:val="00416E0F"/>
    <w:rsid w:val="00417081"/>
    <w:rsid w:val="004171F9"/>
    <w:rsid w:val="00417577"/>
    <w:rsid w:val="004176B8"/>
    <w:rsid w:val="00417C37"/>
    <w:rsid w:val="00417C3D"/>
    <w:rsid w:val="0042026D"/>
    <w:rsid w:val="0042034A"/>
    <w:rsid w:val="004206B0"/>
    <w:rsid w:val="00420880"/>
    <w:rsid w:val="00420B10"/>
    <w:rsid w:val="004210F5"/>
    <w:rsid w:val="004213DC"/>
    <w:rsid w:val="004216CC"/>
    <w:rsid w:val="0042176D"/>
    <w:rsid w:val="0042182E"/>
    <w:rsid w:val="00422084"/>
    <w:rsid w:val="0042226F"/>
    <w:rsid w:val="0042228E"/>
    <w:rsid w:val="00422A2F"/>
    <w:rsid w:val="00422C8F"/>
    <w:rsid w:val="004235E7"/>
    <w:rsid w:val="00423626"/>
    <w:rsid w:val="004237CB"/>
    <w:rsid w:val="00423BA7"/>
    <w:rsid w:val="004241CD"/>
    <w:rsid w:val="004242A7"/>
    <w:rsid w:val="0042457C"/>
    <w:rsid w:val="004247C7"/>
    <w:rsid w:val="00424983"/>
    <w:rsid w:val="0042506D"/>
    <w:rsid w:val="00425C83"/>
    <w:rsid w:val="004261F1"/>
    <w:rsid w:val="004267CD"/>
    <w:rsid w:val="00426970"/>
    <w:rsid w:val="00426ADA"/>
    <w:rsid w:val="00426B08"/>
    <w:rsid w:val="004270FC"/>
    <w:rsid w:val="0042725C"/>
    <w:rsid w:val="00427287"/>
    <w:rsid w:val="00427559"/>
    <w:rsid w:val="004278D5"/>
    <w:rsid w:val="00427E90"/>
    <w:rsid w:val="00430063"/>
    <w:rsid w:val="0043065F"/>
    <w:rsid w:val="004307CD"/>
    <w:rsid w:val="00430E0A"/>
    <w:rsid w:val="00430E96"/>
    <w:rsid w:val="00430F4E"/>
    <w:rsid w:val="004311C1"/>
    <w:rsid w:val="004312E1"/>
    <w:rsid w:val="00431803"/>
    <w:rsid w:val="00431821"/>
    <w:rsid w:val="0043195E"/>
    <w:rsid w:val="00431A90"/>
    <w:rsid w:val="00431BD1"/>
    <w:rsid w:val="00431CFD"/>
    <w:rsid w:val="00431DF2"/>
    <w:rsid w:val="004324D5"/>
    <w:rsid w:val="00432CA7"/>
    <w:rsid w:val="00432F6E"/>
    <w:rsid w:val="00433040"/>
    <w:rsid w:val="004330F4"/>
    <w:rsid w:val="00433584"/>
    <w:rsid w:val="004335C5"/>
    <w:rsid w:val="00433C85"/>
    <w:rsid w:val="00433E00"/>
    <w:rsid w:val="00434185"/>
    <w:rsid w:val="0043533D"/>
    <w:rsid w:val="004353FB"/>
    <w:rsid w:val="00435615"/>
    <w:rsid w:val="00435885"/>
    <w:rsid w:val="0043592E"/>
    <w:rsid w:val="00436047"/>
    <w:rsid w:val="00436ABD"/>
    <w:rsid w:val="00436DBF"/>
    <w:rsid w:val="00436E69"/>
    <w:rsid w:val="004373CF"/>
    <w:rsid w:val="0043746C"/>
    <w:rsid w:val="004374B2"/>
    <w:rsid w:val="004377E5"/>
    <w:rsid w:val="00437EF6"/>
    <w:rsid w:val="0044021A"/>
    <w:rsid w:val="00440466"/>
    <w:rsid w:val="00440714"/>
    <w:rsid w:val="0044082A"/>
    <w:rsid w:val="0044097B"/>
    <w:rsid w:val="00440997"/>
    <w:rsid w:val="00440C86"/>
    <w:rsid w:val="00440EB6"/>
    <w:rsid w:val="00441238"/>
    <w:rsid w:val="00441535"/>
    <w:rsid w:val="004418C7"/>
    <w:rsid w:val="00441FD0"/>
    <w:rsid w:val="00442454"/>
    <w:rsid w:val="0044271C"/>
    <w:rsid w:val="00442890"/>
    <w:rsid w:val="00442A00"/>
    <w:rsid w:val="00442A7E"/>
    <w:rsid w:val="00442AA2"/>
    <w:rsid w:val="00442C8A"/>
    <w:rsid w:val="00442FE5"/>
    <w:rsid w:val="00443077"/>
    <w:rsid w:val="004432D1"/>
    <w:rsid w:val="00443413"/>
    <w:rsid w:val="004438FF"/>
    <w:rsid w:val="00443EBF"/>
    <w:rsid w:val="00443EE6"/>
    <w:rsid w:val="004440CF"/>
    <w:rsid w:val="0044424C"/>
    <w:rsid w:val="0044463A"/>
    <w:rsid w:val="00444C1A"/>
    <w:rsid w:val="00444D47"/>
    <w:rsid w:val="00444FFB"/>
    <w:rsid w:val="004451F0"/>
    <w:rsid w:val="0044529D"/>
    <w:rsid w:val="00445376"/>
    <w:rsid w:val="00445A66"/>
    <w:rsid w:val="0044640F"/>
    <w:rsid w:val="00446593"/>
    <w:rsid w:val="004474AA"/>
    <w:rsid w:val="004474F0"/>
    <w:rsid w:val="00447742"/>
    <w:rsid w:val="004477EA"/>
    <w:rsid w:val="0044792D"/>
    <w:rsid w:val="00447DD6"/>
    <w:rsid w:val="004501B1"/>
    <w:rsid w:val="0045084E"/>
    <w:rsid w:val="00450BA9"/>
    <w:rsid w:val="00450C37"/>
    <w:rsid w:val="00450C43"/>
    <w:rsid w:val="00450E20"/>
    <w:rsid w:val="0045105F"/>
    <w:rsid w:val="004514EB"/>
    <w:rsid w:val="004516C0"/>
    <w:rsid w:val="0045192C"/>
    <w:rsid w:val="004522A5"/>
    <w:rsid w:val="0045254E"/>
    <w:rsid w:val="00452746"/>
    <w:rsid w:val="0045274E"/>
    <w:rsid w:val="0045279E"/>
    <w:rsid w:val="0045282A"/>
    <w:rsid w:val="00452A1C"/>
    <w:rsid w:val="00452DF9"/>
    <w:rsid w:val="00452F1C"/>
    <w:rsid w:val="0045319C"/>
    <w:rsid w:val="0045362F"/>
    <w:rsid w:val="00453852"/>
    <w:rsid w:val="00453A58"/>
    <w:rsid w:val="00453C25"/>
    <w:rsid w:val="00453DF6"/>
    <w:rsid w:val="00453EDD"/>
    <w:rsid w:val="00453F63"/>
    <w:rsid w:val="00453FED"/>
    <w:rsid w:val="004543D2"/>
    <w:rsid w:val="00454A94"/>
    <w:rsid w:val="0045502D"/>
    <w:rsid w:val="0045507C"/>
    <w:rsid w:val="004556F3"/>
    <w:rsid w:val="00455881"/>
    <w:rsid w:val="00455C12"/>
    <w:rsid w:val="00455E30"/>
    <w:rsid w:val="00456442"/>
    <w:rsid w:val="00456A2E"/>
    <w:rsid w:val="00456A8A"/>
    <w:rsid w:val="00456AC5"/>
    <w:rsid w:val="00456BA4"/>
    <w:rsid w:val="00457B2A"/>
    <w:rsid w:val="00460065"/>
    <w:rsid w:val="00460505"/>
    <w:rsid w:val="00460665"/>
    <w:rsid w:val="00460AB3"/>
    <w:rsid w:val="004610A2"/>
    <w:rsid w:val="004610CD"/>
    <w:rsid w:val="00461321"/>
    <w:rsid w:val="004619D3"/>
    <w:rsid w:val="00461AA9"/>
    <w:rsid w:val="00461ACC"/>
    <w:rsid w:val="00461D36"/>
    <w:rsid w:val="0046202C"/>
    <w:rsid w:val="004625E9"/>
    <w:rsid w:val="0046289A"/>
    <w:rsid w:val="004629BA"/>
    <w:rsid w:val="00462A93"/>
    <w:rsid w:val="00462CB8"/>
    <w:rsid w:val="00463080"/>
    <w:rsid w:val="00463481"/>
    <w:rsid w:val="004638F8"/>
    <w:rsid w:val="00463A79"/>
    <w:rsid w:val="00463D32"/>
    <w:rsid w:val="00463D4D"/>
    <w:rsid w:val="0046474D"/>
    <w:rsid w:val="0046491A"/>
    <w:rsid w:val="00464987"/>
    <w:rsid w:val="00465145"/>
    <w:rsid w:val="00465494"/>
    <w:rsid w:val="00465BF7"/>
    <w:rsid w:val="00466196"/>
    <w:rsid w:val="00466366"/>
    <w:rsid w:val="00466687"/>
    <w:rsid w:val="00466CF5"/>
    <w:rsid w:val="004671FF"/>
    <w:rsid w:val="00467266"/>
    <w:rsid w:val="00467BFA"/>
    <w:rsid w:val="00467E97"/>
    <w:rsid w:val="00470196"/>
    <w:rsid w:val="0047039E"/>
    <w:rsid w:val="004703DA"/>
    <w:rsid w:val="00470806"/>
    <w:rsid w:val="00470C1C"/>
    <w:rsid w:val="00470CB7"/>
    <w:rsid w:val="0047123C"/>
    <w:rsid w:val="00471275"/>
    <w:rsid w:val="00471316"/>
    <w:rsid w:val="00471383"/>
    <w:rsid w:val="004714BB"/>
    <w:rsid w:val="0047196D"/>
    <w:rsid w:val="00471C50"/>
    <w:rsid w:val="004723D1"/>
    <w:rsid w:val="004725CA"/>
    <w:rsid w:val="004725EB"/>
    <w:rsid w:val="00472A5D"/>
    <w:rsid w:val="00472CA3"/>
    <w:rsid w:val="00472D79"/>
    <w:rsid w:val="004735EA"/>
    <w:rsid w:val="00473FA2"/>
    <w:rsid w:val="00473FCD"/>
    <w:rsid w:val="0047435C"/>
    <w:rsid w:val="00474756"/>
    <w:rsid w:val="0047492B"/>
    <w:rsid w:val="00474BFB"/>
    <w:rsid w:val="00474EE5"/>
    <w:rsid w:val="0047533E"/>
    <w:rsid w:val="004757B1"/>
    <w:rsid w:val="00475C71"/>
    <w:rsid w:val="00475D6C"/>
    <w:rsid w:val="00476F26"/>
    <w:rsid w:val="00477063"/>
    <w:rsid w:val="0047722F"/>
    <w:rsid w:val="00477B7D"/>
    <w:rsid w:val="00477C7D"/>
    <w:rsid w:val="00477D25"/>
    <w:rsid w:val="00477F25"/>
    <w:rsid w:val="00477F5E"/>
    <w:rsid w:val="00480A43"/>
    <w:rsid w:val="00480DCF"/>
    <w:rsid w:val="00480F62"/>
    <w:rsid w:val="00480F91"/>
    <w:rsid w:val="00481504"/>
    <w:rsid w:val="004816C4"/>
    <w:rsid w:val="004817EF"/>
    <w:rsid w:val="00481827"/>
    <w:rsid w:val="004819C2"/>
    <w:rsid w:val="004821B5"/>
    <w:rsid w:val="004821E0"/>
    <w:rsid w:val="00482912"/>
    <w:rsid w:val="00482EC2"/>
    <w:rsid w:val="00482FFC"/>
    <w:rsid w:val="00483571"/>
    <w:rsid w:val="0048370F"/>
    <w:rsid w:val="00483B83"/>
    <w:rsid w:val="00483F55"/>
    <w:rsid w:val="004842F1"/>
    <w:rsid w:val="00484376"/>
    <w:rsid w:val="00484684"/>
    <w:rsid w:val="00484771"/>
    <w:rsid w:val="00484815"/>
    <w:rsid w:val="004849E7"/>
    <w:rsid w:val="00484CA8"/>
    <w:rsid w:val="00485C52"/>
    <w:rsid w:val="00485C70"/>
    <w:rsid w:val="00485DC3"/>
    <w:rsid w:val="0048634D"/>
    <w:rsid w:val="00486A22"/>
    <w:rsid w:val="00486B38"/>
    <w:rsid w:val="00486EA9"/>
    <w:rsid w:val="00486F31"/>
    <w:rsid w:val="004871E9"/>
    <w:rsid w:val="0048755E"/>
    <w:rsid w:val="00487567"/>
    <w:rsid w:val="0048790C"/>
    <w:rsid w:val="00487A38"/>
    <w:rsid w:val="004900FB"/>
    <w:rsid w:val="004901D6"/>
    <w:rsid w:val="0049023B"/>
    <w:rsid w:val="0049046A"/>
    <w:rsid w:val="004909CD"/>
    <w:rsid w:val="004914BF"/>
    <w:rsid w:val="00492308"/>
    <w:rsid w:val="004923B5"/>
    <w:rsid w:val="004929E2"/>
    <w:rsid w:val="00492B2A"/>
    <w:rsid w:val="00493483"/>
    <w:rsid w:val="004937CA"/>
    <w:rsid w:val="00493A35"/>
    <w:rsid w:val="00493B8F"/>
    <w:rsid w:val="004942C8"/>
    <w:rsid w:val="00494533"/>
    <w:rsid w:val="00494619"/>
    <w:rsid w:val="00494F7C"/>
    <w:rsid w:val="0049529D"/>
    <w:rsid w:val="00495458"/>
    <w:rsid w:val="0049573D"/>
    <w:rsid w:val="00495B5D"/>
    <w:rsid w:val="0049629F"/>
    <w:rsid w:val="004964B7"/>
    <w:rsid w:val="0049676D"/>
    <w:rsid w:val="004969C1"/>
    <w:rsid w:val="00496C92"/>
    <w:rsid w:val="00496FC6"/>
    <w:rsid w:val="00497043"/>
    <w:rsid w:val="00497709"/>
    <w:rsid w:val="00497E26"/>
    <w:rsid w:val="004A0932"/>
    <w:rsid w:val="004A0B8A"/>
    <w:rsid w:val="004A0C8A"/>
    <w:rsid w:val="004A0CA2"/>
    <w:rsid w:val="004A0E81"/>
    <w:rsid w:val="004A0ED4"/>
    <w:rsid w:val="004A1204"/>
    <w:rsid w:val="004A1224"/>
    <w:rsid w:val="004A13D0"/>
    <w:rsid w:val="004A14E7"/>
    <w:rsid w:val="004A1A4C"/>
    <w:rsid w:val="004A1D69"/>
    <w:rsid w:val="004A1DC9"/>
    <w:rsid w:val="004A1DE6"/>
    <w:rsid w:val="004A1FC3"/>
    <w:rsid w:val="004A201A"/>
    <w:rsid w:val="004A20D1"/>
    <w:rsid w:val="004A2150"/>
    <w:rsid w:val="004A2439"/>
    <w:rsid w:val="004A29C1"/>
    <w:rsid w:val="004A3030"/>
    <w:rsid w:val="004A322F"/>
    <w:rsid w:val="004A395B"/>
    <w:rsid w:val="004A3DFA"/>
    <w:rsid w:val="004A3F26"/>
    <w:rsid w:val="004A3F9E"/>
    <w:rsid w:val="004A4138"/>
    <w:rsid w:val="004A4225"/>
    <w:rsid w:val="004A4562"/>
    <w:rsid w:val="004A4646"/>
    <w:rsid w:val="004A49FC"/>
    <w:rsid w:val="004A4CEB"/>
    <w:rsid w:val="004A4E3D"/>
    <w:rsid w:val="004A4F44"/>
    <w:rsid w:val="004A50AC"/>
    <w:rsid w:val="004A5429"/>
    <w:rsid w:val="004A575F"/>
    <w:rsid w:val="004A57C7"/>
    <w:rsid w:val="004A65D9"/>
    <w:rsid w:val="004A6742"/>
    <w:rsid w:val="004A6A28"/>
    <w:rsid w:val="004A7080"/>
    <w:rsid w:val="004A750B"/>
    <w:rsid w:val="004A766E"/>
    <w:rsid w:val="004A7942"/>
    <w:rsid w:val="004A7A13"/>
    <w:rsid w:val="004A7BBA"/>
    <w:rsid w:val="004B007B"/>
    <w:rsid w:val="004B0320"/>
    <w:rsid w:val="004B03AD"/>
    <w:rsid w:val="004B06D2"/>
    <w:rsid w:val="004B08A9"/>
    <w:rsid w:val="004B0DA7"/>
    <w:rsid w:val="004B0E5D"/>
    <w:rsid w:val="004B0EDA"/>
    <w:rsid w:val="004B0F6A"/>
    <w:rsid w:val="004B13D1"/>
    <w:rsid w:val="004B1A02"/>
    <w:rsid w:val="004B2E4E"/>
    <w:rsid w:val="004B2E9A"/>
    <w:rsid w:val="004B32B8"/>
    <w:rsid w:val="004B3613"/>
    <w:rsid w:val="004B370B"/>
    <w:rsid w:val="004B37BE"/>
    <w:rsid w:val="004B3B98"/>
    <w:rsid w:val="004B42E4"/>
    <w:rsid w:val="004B44FE"/>
    <w:rsid w:val="004B46FE"/>
    <w:rsid w:val="004B4EAD"/>
    <w:rsid w:val="004B4F39"/>
    <w:rsid w:val="004B5134"/>
    <w:rsid w:val="004B517C"/>
    <w:rsid w:val="004B53E8"/>
    <w:rsid w:val="004B53ED"/>
    <w:rsid w:val="004B55F2"/>
    <w:rsid w:val="004B5863"/>
    <w:rsid w:val="004B5BE8"/>
    <w:rsid w:val="004B6012"/>
    <w:rsid w:val="004B6320"/>
    <w:rsid w:val="004B639E"/>
    <w:rsid w:val="004B6517"/>
    <w:rsid w:val="004B718E"/>
    <w:rsid w:val="004B79F6"/>
    <w:rsid w:val="004C0125"/>
    <w:rsid w:val="004C0379"/>
    <w:rsid w:val="004C052F"/>
    <w:rsid w:val="004C1006"/>
    <w:rsid w:val="004C1180"/>
    <w:rsid w:val="004C1271"/>
    <w:rsid w:val="004C150D"/>
    <w:rsid w:val="004C17A4"/>
    <w:rsid w:val="004C17F8"/>
    <w:rsid w:val="004C1DD7"/>
    <w:rsid w:val="004C202A"/>
    <w:rsid w:val="004C294A"/>
    <w:rsid w:val="004C2982"/>
    <w:rsid w:val="004C2AD6"/>
    <w:rsid w:val="004C2E62"/>
    <w:rsid w:val="004C2FD9"/>
    <w:rsid w:val="004C300C"/>
    <w:rsid w:val="004C3128"/>
    <w:rsid w:val="004C38B5"/>
    <w:rsid w:val="004C3BC5"/>
    <w:rsid w:val="004C3CDF"/>
    <w:rsid w:val="004C4203"/>
    <w:rsid w:val="004C443A"/>
    <w:rsid w:val="004C4717"/>
    <w:rsid w:val="004C4721"/>
    <w:rsid w:val="004C52AA"/>
    <w:rsid w:val="004C5644"/>
    <w:rsid w:val="004C5670"/>
    <w:rsid w:val="004C57D3"/>
    <w:rsid w:val="004C5ABF"/>
    <w:rsid w:val="004C62FD"/>
    <w:rsid w:val="004C654E"/>
    <w:rsid w:val="004C6668"/>
    <w:rsid w:val="004C6866"/>
    <w:rsid w:val="004C6F77"/>
    <w:rsid w:val="004C7257"/>
    <w:rsid w:val="004C7313"/>
    <w:rsid w:val="004C7388"/>
    <w:rsid w:val="004C7414"/>
    <w:rsid w:val="004C741D"/>
    <w:rsid w:val="004C7AF7"/>
    <w:rsid w:val="004C7CE1"/>
    <w:rsid w:val="004C7DDB"/>
    <w:rsid w:val="004C7E11"/>
    <w:rsid w:val="004D0A97"/>
    <w:rsid w:val="004D0AA7"/>
    <w:rsid w:val="004D0D14"/>
    <w:rsid w:val="004D1518"/>
    <w:rsid w:val="004D16D0"/>
    <w:rsid w:val="004D1A58"/>
    <w:rsid w:val="004D1D73"/>
    <w:rsid w:val="004D1EE9"/>
    <w:rsid w:val="004D22B3"/>
    <w:rsid w:val="004D2322"/>
    <w:rsid w:val="004D2592"/>
    <w:rsid w:val="004D2716"/>
    <w:rsid w:val="004D2934"/>
    <w:rsid w:val="004D2C88"/>
    <w:rsid w:val="004D31C7"/>
    <w:rsid w:val="004D3390"/>
    <w:rsid w:val="004D3509"/>
    <w:rsid w:val="004D36CC"/>
    <w:rsid w:val="004D3716"/>
    <w:rsid w:val="004D3B76"/>
    <w:rsid w:val="004D4511"/>
    <w:rsid w:val="004D46EF"/>
    <w:rsid w:val="004D4978"/>
    <w:rsid w:val="004D50A5"/>
    <w:rsid w:val="004D5A38"/>
    <w:rsid w:val="004D5B7B"/>
    <w:rsid w:val="004D64F0"/>
    <w:rsid w:val="004D65CA"/>
    <w:rsid w:val="004D6E41"/>
    <w:rsid w:val="004D6EAE"/>
    <w:rsid w:val="004D7240"/>
    <w:rsid w:val="004D73D5"/>
    <w:rsid w:val="004D7491"/>
    <w:rsid w:val="004D7769"/>
    <w:rsid w:val="004D77B8"/>
    <w:rsid w:val="004D7AD8"/>
    <w:rsid w:val="004D7B13"/>
    <w:rsid w:val="004D7CC9"/>
    <w:rsid w:val="004D7D11"/>
    <w:rsid w:val="004D7DF3"/>
    <w:rsid w:val="004E00A1"/>
    <w:rsid w:val="004E017D"/>
    <w:rsid w:val="004E0568"/>
    <w:rsid w:val="004E0965"/>
    <w:rsid w:val="004E098C"/>
    <w:rsid w:val="004E0C46"/>
    <w:rsid w:val="004E0CC5"/>
    <w:rsid w:val="004E15D4"/>
    <w:rsid w:val="004E18DE"/>
    <w:rsid w:val="004E1CF5"/>
    <w:rsid w:val="004E1E88"/>
    <w:rsid w:val="004E1F58"/>
    <w:rsid w:val="004E228B"/>
    <w:rsid w:val="004E268E"/>
    <w:rsid w:val="004E28F4"/>
    <w:rsid w:val="004E2EBB"/>
    <w:rsid w:val="004E3039"/>
    <w:rsid w:val="004E310D"/>
    <w:rsid w:val="004E334F"/>
    <w:rsid w:val="004E38CF"/>
    <w:rsid w:val="004E3C08"/>
    <w:rsid w:val="004E3DF8"/>
    <w:rsid w:val="004E43AC"/>
    <w:rsid w:val="004E43D0"/>
    <w:rsid w:val="004E4A9A"/>
    <w:rsid w:val="004E4C50"/>
    <w:rsid w:val="004E4C5F"/>
    <w:rsid w:val="004E5375"/>
    <w:rsid w:val="004E5394"/>
    <w:rsid w:val="004E5A73"/>
    <w:rsid w:val="004E5B54"/>
    <w:rsid w:val="004E64C4"/>
    <w:rsid w:val="004E6D38"/>
    <w:rsid w:val="004E6E2E"/>
    <w:rsid w:val="004E7027"/>
    <w:rsid w:val="004E70B8"/>
    <w:rsid w:val="004E7BE9"/>
    <w:rsid w:val="004E7C09"/>
    <w:rsid w:val="004E7E0A"/>
    <w:rsid w:val="004E7EA3"/>
    <w:rsid w:val="004E7F2F"/>
    <w:rsid w:val="004F019C"/>
    <w:rsid w:val="004F04EE"/>
    <w:rsid w:val="004F058A"/>
    <w:rsid w:val="004F0ABE"/>
    <w:rsid w:val="004F0BF3"/>
    <w:rsid w:val="004F1140"/>
    <w:rsid w:val="004F1291"/>
    <w:rsid w:val="004F153B"/>
    <w:rsid w:val="004F169E"/>
    <w:rsid w:val="004F1EC2"/>
    <w:rsid w:val="004F21CB"/>
    <w:rsid w:val="004F23DD"/>
    <w:rsid w:val="004F254C"/>
    <w:rsid w:val="004F286E"/>
    <w:rsid w:val="004F2905"/>
    <w:rsid w:val="004F336D"/>
    <w:rsid w:val="004F3796"/>
    <w:rsid w:val="004F37FF"/>
    <w:rsid w:val="004F38B8"/>
    <w:rsid w:val="004F4A01"/>
    <w:rsid w:val="004F4A4E"/>
    <w:rsid w:val="004F4BB1"/>
    <w:rsid w:val="004F4C36"/>
    <w:rsid w:val="004F4D0A"/>
    <w:rsid w:val="004F5131"/>
    <w:rsid w:val="004F552E"/>
    <w:rsid w:val="004F62C2"/>
    <w:rsid w:val="004F69C0"/>
    <w:rsid w:val="004F6C9E"/>
    <w:rsid w:val="004F6F0F"/>
    <w:rsid w:val="004F7245"/>
    <w:rsid w:val="004F75CC"/>
    <w:rsid w:val="004F76E5"/>
    <w:rsid w:val="004F7B7E"/>
    <w:rsid w:val="004F7FC3"/>
    <w:rsid w:val="005004C4"/>
    <w:rsid w:val="00500A73"/>
    <w:rsid w:val="00500BD4"/>
    <w:rsid w:val="00500F1E"/>
    <w:rsid w:val="005013EB"/>
    <w:rsid w:val="005015A0"/>
    <w:rsid w:val="005016E8"/>
    <w:rsid w:val="00501D41"/>
    <w:rsid w:val="00502283"/>
    <w:rsid w:val="00502417"/>
    <w:rsid w:val="00502458"/>
    <w:rsid w:val="00502515"/>
    <w:rsid w:val="005028A9"/>
    <w:rsid w:val="00502A4E"/>
    <w:rsid w:val="00502A5F"/>
    <w:rsid w:val="00502A90"/>
    <w:rsid w:val="00502F4E"/>
    <w:rsid w:val="00503018"/>
    <w:rsid w:val="005033AC"/>
    <w:rsid w:val="00503901"/>
    <w:rsid w:val="00504188"/>
    <w:rsid w:val="00504B5C"/>
    <w:rsid w:val="00504E4E"/>
    <w:rsid w:val="00505392"/>
    <w:rsid w:val="0050546C"/>
    <w:rsid w:val="00505690"/>
    <w:rsid w:val="0050585E"/>
    <w:rsid w:val="00505E3C"/>
    <w:rsid w:val="0050662E"/>
    <w:rsid w:val="00506BB4"/>
    <w:rsid w:val="00506FAF"/>
    <w:rsid w:val="00506FE5"/>
    <w:rsid w:val="00506FFA"/>
    <w:rsid w:val="0050734D"/>
    <w:rsid w:val="0050764F"/>
    <w:rsid w:val="00507F30"/>
    <w:rsid w:val="00510022"/>
    <w:rsid w:val="0051002D"/>
    <w:rsid w:val="00510A2F"/>
    <w:rsid w:val="00510BE2"/>
    <w:rsid w:val="00510E05"/>
    <w:rsid w:val="00510E98"/>
    <w:rsid w:val="00510EAE"/>
    <w:rsid w:val="005110C4"/>
    <w:rsid w:val="00511114"/>
    <w:rsid w:val="00511251"/>
    <w:rsid w:val="0051154D"/>
    <w:rsid w:val="0051193F"/>
    <w:rsid w:val="005119BB"/>
    <w:rsid w:val="00511AD7"/>
    <w:rsid w:val="00511CB3"/>
    <w:rsid w:val="00512378"/>
    <w:rsid w:val="00512873"/>
    <w:rsid w:val="0051315F"/>
    <w:rsid w:val="00513A79"/>
    <w:rsid w:val="00513AA9"/>
    <w:rsid w:val="00513ACF"/>
    <w:rsid w:val="00513F9A"/>
    <w:rsid w:val="0051417B"/>
    <w:rsid w:val="0051487E"/>
    <w:rsid w:val="00514A31"/>
    <w:rsid w:val="00514A7E"/>
    <w:rsid w:val="00514B2E"/>
    <w:rsid w:val="00514ED4"/>
    <w:rsid w:val="0051591F"/>
    <w:rsid w:val="00515DF6"/>
    <w:rsid w:val="0051603A"/>
    <w:rsid w:val="0051699B"/>
    <w:rsid w:val="00516B76"/>
    <w:rsid w:val="00516CBE"/>
    <w:rsid w:val="00516D12"/>
    <w:rsid w:val="005173C6"/>
    <w:rsid w:val="00517776"/>
    <w:rsid w:val="00517780"/>
    <w:rsid w:val="00517956"/>
    <w:rsid w:val="00517BE9"/>
    <w:rsid w:val="00517D00"/>
    <w:rsid w:val="00517E90"/>
    <w:rsid w:val="00517F03"/>
    <w:rsid w:val="005201A2"/>
    <w:rsid w:val="0052032B"/>
    <w:rsid w:val="0052063C"/>
    <w:rsid w:val="00520867"/>
    <w:rsid w:val="005208F5"/>
    <w:rsid w:val="00520985"/>
    <w:rsid w:val="00520DA6"/>
    <w:rsid w:val="00521563"/>
    <w:rsid w:val="0052160E"/>
    <w:rsid w:val="0052195A"/>
    <w:rsid w:val="00521A04"/>
    <w:rsid w:val="00521A53"/>
    <w:rsid w:val="00521B59"/>
    <w:rsid w:val="005225C5"/>
    <w:rsid w:val="005229E5"/>
    <w:rsid w:val="00522B56"/>
    <w:rsid w:val="00523368"/>
    <w:rsid w:val="005235D4"/>
    <w:rsid w:val="00523685"/>
    <w:rsid w:val="005238F3"/>
    <w:rsid w:val="00523B56"/>
    <w:rsid w:val="00523D9A"/>
    <w:rsid w:val="00523EE0"/>
    <w:rsid w:val="00523F41"/>
    <w:rsid w:val="0052416C"/>
    <w:rsid w:val="005243F8"/>
    <w:rsid w:val="00524784"/>
    <w:rsid w:val="00524B6C"/>
    <w:rsid w:val="00524BD0"/>
    <w:rsid w:val="00524BF3"/>
    <w:rsid w:val="00524D8D"/>
    <w:rsid w:val="0052500B"/>
    <w:rsid w:val="005252EA"/>
    <w:rsid w:val="005257B0"/>
    <w:rsid w:val="00525B05"/>
    <w:rsid w:val="00525BB0"/>
    <w:rsid w:val="00526485"/>
    <w:rsid w:val="005267AC"/>
    <w:rsid w:val="00526850"/>
    <w:rsid w:val="005269EB"/>
    <w:rsid w:val="00526BF4"/>
    <w:rsid w:val="00526C61"/>
    <w:rsid w:val="0052725E"/>
    <w:rsid w:val="00527469"/>
    <w:rsid w:val="005275E6"/>
    <w:rsid w:val="0052762B"/>
    <w:rsid w:val="005278FA"/>
    <w:rsid w:val="0052790F"/>
    <w:rsid w:val="00527ACD"/>
    <w:rsid w:val="00527C89"/>
    <w:rsid w:val="0053041B"/>
    <w:rsid w:val="0053066E"/>
    <w:rsid w:val="005306A4"/>
    <w:rsid w:val="00530EB8"/>
    <w:rsid w:val="00531026"/>
    <w:rsid w:val="00531B21"/>
    <w:rsid w:val="00531D6A"/>
    <w:rsid w:val="005321EE"/>
    <w:rsid w:val="00532338"/>
    <w:rsid w:val="005326C1"/>
    <w:rsid w:val="00532A90"/>
    <w:rsid w:val="00532C4B"/>
    <w:rsid w:val="00532FF3"/>
    <w:rsid w:val="005331C2"/>
    <w:rsid w:val="00533508"/>
    <w:rsid w:val="00533B95"/>
    <w:rsid w:val="00533CD9"/>
    <w:rsid w:val="00534360"/>
    <w:rsid w:val="005343E4"/>
    <w:rsid w:val="0053454C"/>
    <w:rsid w:val="00534619"/>
    <w:rsid w:val="005349AA"/>
    <w:rsid w:val="00534E81"/>
    <w:rsid w:val="00534EBF"/>
    <w:rsid w:val="00534FB9"/>
    <w:rsid w:val="005355FD"/>
    <w:rsid w:val="00535B44"/>
    <w:rsid w:val="00535F5F"/>
    <w:rsid w:val="005364A1"/>
    <w:rsid w:val="0053694A"/>
    <w:rsid w:val="005369CD"/>
    <w:rsid w:val="00536F46"/>
    <w:rsid w:val="00537315"/>
    <w:rsid w:val="0053768F"/>
    <w:rsid w:val="00537744"/>
    <w:rsid w:val="00537A75"/>
    <w:rsid w:val="00537EE3"/>
    <w:rsid w:val="005400A6"/>
    <w:rsid w:val="00540A6B"/>
    <w:rsid w:val="00540D2A"/>
    <w:rsid w:val="005413A8"/>
    <w:rsid w:val="0054189D"/>
    <w:rsid w:val="0054229B"/>
    <w:rsid w:val="0054265F"/>
    <w:rsid w:val="00542D6D"/>
    <w:rsid w:val="00542E9B"/>
    <w:rsid w:val="00543001"/>
    <w:rsid w:val="00543101"/>
    <w:rsid w:val="005432B4"/>
    <w:rsid w:val="00543AF7"/>
    <w:rsid w:val="005445A8"/>
    <w:rsid w:val="00544CCE"/>
    <w:rsid w:val="0054510A"/>
    <w:rsid w:val="00545688"/>
    <w:rsid w:val="005457AD"/>
    <w:rsid w:val="0054625A"/>
    <w:rsid w:val="0054644F"/>
    <w:rsid w:val="0054701E"/>
    <w:rsid w:val="00547321"/>
    <w:rsid w:val="0054757F"/>
    <w:rsid w:val="0054774A"/>
    <w:rsid w:val="005478FA"/>
    <w:rsid w:val="005479CF"/>
    <w:rsid w:val="00547C0F"/>
    <w:rsid w:val="005501AC"/>
    <w:rsid w:val="00550577"/>
    <w:rsid w:val="00550D01"/>
    <w:rsid w:val="00550D36"/>
    <w:rsid w:val="00550E4B"/>
    <w:rsid w:val="00551032"/>
    <w:rsid w:val="005510B2"/>
    <w:rsid w:val="00551364"/>
    <w:rsid w:val="005518A4"/>
    <w:rsid w:val="005519B8"/>
    <w:rsid w:val="005519EB"/>
    <w:rsid w:val="00551B9D"/>
    <w:rsid w:val="00552123"/>
    <w:rsid w:val="0055224D"/>
    <w:rsid w:val="005526FB"/>
    <w:rsid w:val="005528D5"/>
    <w:rsid w:val="00552BA6"/>
    <w:rsid w:val="005534A4"/>
    <w:rsid w:val="005538D8"/>
    <w:rsid w:val="00554020"/>
    <w:rsid w:val="00554279"/>
    <w:rsid w:val="005544D6"/>
    <w:rsid w:val="005544F9"/>
    <w:rsid w:val="005548A6"/>
    <w:rsid w:val="00554B0B"/>
    <w:rsid w:val="00554B93"/>
    <w:rsid w:val="00554C4E"/>
    <w:rsid w:val="00554E91"/>
    <w:rsid w:val="0055534A"/>
    <w:rsid w:val="005555DA"/>
    <w:rsid w:val="00555FFA"/>
    <w:rsid w:val="005566DD"/>
    <w:rsid w:val="00556ABC"/>
    <w:rsid w:val="00556F98"/>
    <w:rsid w:val="00557074"/>
    <w:rsid w:val="005570C3"/>
    <w:rsid w:val="005571FC"/>
    <w:rsid w:val="00557643"/>
    <w:rsid w:val="00557762"/>
    <w:rsid w:val="00557915"/>
    <w:rsid w:val="00557950"/>
    <w:rsid w:val="0056002A"/>
    <w:rsid w:val="005602FF"/>
    <w:rsid w:val="00560369"/>
    <w:rsid w:val="00560562"/>
    <w:rsid w:val="005605DA"/>
    <w:rsid w:val="00560783"/>
    <w:rsid w:val="0056079C"/>
    <w:rsid w:val="00560813"/>
    <w:rsid w:val="00560838"/>
    <w:rsid w:val="00560B91"/>
    <w:rsid w:val="0056134A"/>
    <w:rsid w:val="00561CFE"/>
    <w:rsid w:val="005622EF"/>
    <w:rsid w:val="005624AF"/>
    <w:rsid w:val="0056266A"/>
    <w:rsid w:val="005631AA"/>
    <w:rsid w:val="005631D9"/>
    <w:rsid w:val="00563315"/>
    <w:rsid w:val="0056341D"/>
    <w:rsid w:val="00564292"/>
    <w:rsid w:val="0056481D"/>
    <w:rsid w:val="00564D50"/>
    <w:rsid w:val="0056553A"/>
    <w:rsid w:val="0056587E"/>
    <w:rsid w:val="00565A9B"/>
    <w:rsid w:val="00565B7E"/>
    <w:rsid w:val="00566192"/>
    <w:rsid w:val="005662C9"/>
    <w:rsid w:val="00566943"/>
    <w:rsid w:val="00566A22"/>
    <w:rsid w:val="00566FE3"/>
    <w:rsid w:val="00567631"/>
    <w:rsid w:val="00567670"/>
    <w:rsid w:val="005678FB"/>
    <w:rsid w:val="0056799E"/>
    <w:rsid w:val="005679EF"/>
    <w:rsid w:val="00570CA8"/>
    <w:rsid w:val="00570E8B"/>
    <w:rsid w:val="00571BA9"/>
    <w:rsid w:val="00572071"/>
    <w:rsid w:val="00572113"/>
    <w:rsid w:val="005723F8"/>
    <w:rsid w:val="00572A61"/>
    <w:rsid w:val="00572C79"/>
    <w:rsid w:val="00572F07"/>
    <w:rsid w:val="005732C9"/>
    <w:rsid w:val="00573533"/>
    <w:rsid w:val="00573833"/>
    <w:rsid w:val="00573875"/>
    <w:rsid w:val="00573B66"/>
    <w:rsid w:val="00573ED1"/>
    <w:rsid w:val="00573F18"/>
    <w:rsid w:val="00574836"/>
    <w:rsid w:val="005748C2"/>
    <w:rsid w:val="00574935"/>
    <w:rsid w:val="00574B64"/>
    <w:rsid w:val="00574D35"/>
    <w:rsid w:val="00574EDB"/>
    <w:rsid w:val="00575206"/>
    <w:rsid w:val="00575A5A"/>
    <w:rsid w:val="00575C8E"/>
    <w:rsid w:val="00575D65"/>
    <w:rsid w:val="0057618A"/>
    <w:rsid w:val="005761D8"/>
    <w:rsid w:val="00576290"/>
    <w:rsid w:val="00576733"/>
    <w:rsid w:val="00576CAE"/>
    <w:rsid w:val="00576F5B"/>
    <w:rsid w:val="00577193"/>
    <w:rsid w:val="005771E9"/>
    <w:rsid w:val="00577212"/>
    <w:rsid w:val="0057763F"/>
    <w:rsid w:val="00577BBE"/>
    <w:rsid w:val="00577C44"/>
    <w:rsid w:val="00577CF6"/>
    <w:rsid w:val="00577D97"/>
    <w:rsid w:val="005802A8"/>
    <w:rsid w:val="00580563"/>
    <w:rsid w:val="00580992"/>
    <w:rsid w:val="00580D7F"/>
    <w:rsid w:val="005811EF"/>
    <w:rsid w:val="00581225"/>
    <w:rsid w:val="0058139B"/>
    <w:rsid w:val="00581C72"/>
    <w:rsid w:val="005824D1"/>
    <w:rsid w:val="00582B22"/>
    <w:rsid w:val="00582D41"/>
    <w:rsid w:val="00583239"/>
    <w:rsid w:val="0058340D"/>
    <w:rsid w:val="0058351E"/>
    <w:rsid w:val="005838AB"/>
    <w:rsid w:val="005839A3"/>
    <w:rsid w:val="00583B69"/>
    <w:rsid w:val="00584583"/>
    <w:rsid w:val="00584618"/>
    <w:rsid w:val="00584B03"/>
    <w:rsid w:val="00584BE4"/>
    <w:rsid w:val="005850D3"/>
    <w:rsid w:val="00585A3A"/>
    <w:rsid w:val="005861D0"/>
    <w:rsid w:val="0058630B"/>
    <w:rsid w:val="0058645A"/>
    <w:rsid w:val="00586598"/>
    <w:rsid w:val="00586B5F"/>
    <w:rsid w:val="005870FE"/>
    <w:rsid w:val="005877E8"/>
    <w:rsid w:val="00587A99"/>
    <w:rsid w:val="00587C4C"/>
    <w:rsid w:val="005901FE"/>
    <w:rsid w:val="00590661"/>
    <w:rsid w:val="00590C0B"/>
    <w:rsid w:val="00590FD1"/>
    <w:rsid w:val="005912EB"/>
    <w:rsid w:val="00591780"/>
    <w:rsid w:val="00591DE2"/>
    <w:rsid w:val="00591EFF"/>
    <w:rsid w:val="00592092"/>
    <w:rsid w:val="00592245"/>
    <w:rsid w:val="00592D1D"/>
    <w:rsid w:val="00592D90"/>
    <w:rsid w:val="00593193"/>
    <w:rsid w:val="005934CA"/>
    <w:rsid w:val="00593C37"/>
    <w:rsid w:val="005946BB"/>
    <w:rsid w:val="0059481D"/>
    <w:rsid w:val="00595094"/>
    <w:rsid w:val="005954FA"/>
    <w:rsid w:val="005955BB"/>
    <w:rsid w:val="00595711"/>
    <w:rsid w:val="00595B75"/>
    <w:rsid w:val="00595BC4"/>
    <w:rsid w:val="00595C8C"/>
    <w:rsid w:val="00596097"/>
    <w:rsid w:val="0059618F"/>
    <w:rsid w:val="0059625D"/>
    <w:rsid w:val="00596452"/>
    <w:rsid w:val="0059694C"/>
    <w:rsid w:val="00596CEF"/>
    <w:rsid w:val="00597392"/>
    <w:rsid w:val="005974F1"/>
    <w:rsid w:val="005A0DDE"/>
    <w:rsid w:val="005A14BE"/>
    <w:rsid w:val="005A150F"/>
    <w:rsid w:val="005A1A1A"/>
    <w:rsid w:val="005A1D1B"/>
    <w:rsid w:val="005A28AF"/>
    <w:rsid w:val="005A2BB8"/>
    <w:rsid w:val="005A3327"/>
    <w:rsid w:val="005A3760"/>
    <w:rsid w:val="005A3786"/>
    <w:rsid w:val="005A39B3"/>
    <w:rsid w:val="005A3AD2"/>
    <w:rsid w:val="005A3C35"/>
    <w:rsid w:val="005A3CBB"/>
    <w:rsid w:val="005A4182"/>
    <w:rsid w:val="005A443B"/>
    <w:rsid w:val="005A4A43"/>
    <w:rsid w:val="005A4BE1"/>
    <w:rsid w:val="005A4D26"/>
    <w:rsid w:val="005A4DB5"/>
    <w:rsid w:val="005A4FCB"/>
    <w:rsid w:val="005A5226"/>
    <w:rsid w:val="005A6607"/>
    <w:rsid w:val="005A667D"/>
    <w:rsid w:val="005A66F8"/>
    <w:rsid w:val="005A67A8"/>
    <w:rsid w:val="005A67F9"/>
    <w:rsid w:val="005A70EC"/>
    <w:rsid w:val="005A72CD"/>
    <w:rsid w:val="005A76E2"/>
    <w:rsid w:val="005A7A05"/>
    <w:rsid w:val="005A7BD7"/>
    <w:rsid w:val="005A7EA5"/>
    <w:rsid w:val="005B00F6"/>
    <w:rsid w:val="005B01F3"/>
    <w:rsid w:val="005B05BC"/>
    <w:rsid w:val="005B0C8D"/>
    <w:rsid w:val="005B0E6F"/>
    <w:rsid w:val="005B11B4"/>
    <w:rsid w:val="005B147D"/>
    <w:rsid w:val="005B1530"/>
    <w:rsid w:val="005B17CD"/>
    <w:rsid w:val="005B18C2"/>
    <w:rsid w:val="005B1A2A"/>
    <w:rsid w:val="005B1CC7"/>
    <w:rsid w:val="005B1D08"/>
    <w:rsid w:val="005B1EEF"/>
    <w:rsid w:val="005B2C0B"/>
    <w:rsid w:val="005B2D54"/>
    <w:rsid w:val="005B3039"/>
    <w:rsid w:val="005B3231"/>
    <w:rsid w:val="005B34E3"/>
    <w:rsid w:val="005B3636"/>
    <w:rsid w:val="005B3A0A"/>
    <w:rsid w:val="005B3C1B"/>
    <w:rsid w:val="005B4548"/>
    <w:rsid w:val="005B4C31"/>
    <w:rsid w:val="005B54B5"/>
    <w:rsid w:val="005B5EF1"/>
    <w:rsid w:val="005B681E"/>
    <w:rsid w:val="005B69C5"/>
    <w:rsid w:val="005B6F5D"/>
    <w:rsid w:val="005B6FDD"/>
    <w:rsid w:val="005B701D"/>
    <w:rsid w:val="005B70B7"/>
    <w:rsid w:val="005B791D"/>
    <w:rsid w:val="005B7AFF"/>
    <w:rsid w:val="005B7B09"/>
    <w:rsid w:val="005B7E9E"/>
    <w:rsid w:val="005B7F02"/>
    <w:rsid w:val="005C0702"/>
    <w:rsid w:val="005C0727"/>
    <w:rsid w:val="005C07DE"/>
    <w:rsid w:val="005C09AC"/>
    <w:rsid w:val="005C0CA3"/>
    <w:rsid w:val="005C14BD"/>
    <w:rsid w:val="005C16F3"/>
    <w:rsid w:val="005C17BE"/>
    <w:rsid w:val="005C17EA"/>
    <w:rsid w:val="005C19F1"/>
    <w:rsid w:val="005C1B71"/>
    <w:rsid w:val="005C1C20"/>
    <w:rsid w:val="005C1CE5"/>
    <w:rsid w:val="005C1DCA"/>
    <w:rsid w:val="005C1EDD"/>
    <w:rsid w:val="005C1F14"/>
    <w:rsid w:val="005C1F6C"/>
    <w:rsid w:val="005C2331"/>
    <w:rsid w:val="005C25D9"/>
    <w:rsid w:val="005C2D6D"/>
    <w:rsid w:val="005C30D2"/>
    <w:rsid w:val="005C30DA"/>
    <w:rsid w:val="005C391D"/>
    <w:rsid w:val="005C39B7"/>
    <w:rsid w:val="005C3AA9"/>
    <w:rsid w:val="005C3D0A"/>
    <w:rsid w:val="005C41B9"/>
    <w:rsid w:val="005C41F9"/>
    <w:rsid w:val="005C4496"/>
    <w:rsid w:val="005C4CFE"/>
    <w:rsid w:val="005C4E60"/>
    <w:rsid w:val="005C4F10"/>
    <w:rsid w:val="005C52D9"/>
    <w:rsid w:val="005C55A8"/>
    <w:rsid w:val="005C5AD3"/>
    <w:rsid w:val="005C5EB6"/>
    <w:rsid w:val="005C60BA"/>
    <w:rsid w:val="005C6DEF"/>
    <w:rsid w:val="005C73F0"/>
    <w:rsid w:val="005C77EE"/>
    <w:rsid w:val="005C7B5A"/>
    <w:rsid w:val="005D0123"/>
    <w:rsid w:val="005D055F"/>
    <w:rsid w:val="005D08A6"/>
    <w:rsid w:val="005D0FE3"/>
    <w:rsid w:val="005D1399"/>
    <w:rsid w:val="005D1B46"/>
    <w:rsid w:val="005D1E75"/>
    <w:rsid w:val="005D1F9A"/>
    <w:rsid w:val="005D2CCE"/>
    <w:rsid w:val="005D36B2"/>
    <w:rsid w:val="005D3A50"/>
    <w:rsid w:val="005D41FA"/>
    <w:rsid w:val="005D482F"/>
    <w:rsid w:val="005D4DF6"/>
    <w:rsid w:val="005D4F4E"/>
    <w:rsid w:val="005D4F82"/>
    <w:rsid w:val="005D5407"/>
    <w:rsid w:val="005D5515"/>
    <w:rsid w:val="005D5568"/>
    <w:rsid w:val="005D55AD"/>
    <w:rsid w:val="005D56DD"/>
    <w:rsid w:val="005D633D"/>
    <w:rsid w:val="005D63BB"/>
    <w:rsid w:val="005D6B91"/>
    <w:rsid w:val="005D6C0F"/>
    <w:rsid w:val="005D6E96"/>
    <w:rsid w:val="005E018F"/>
    <w:rsid w:val="005E1417"/>
    <w:rsid w:val="005E1728"/>
    <w:rsid w:val="005E211C"/>
    <w:rsid w:val="005E22D2"/>
    <w:rsid w:val="005E2667"/>
    <w:rsid w:val="005E34E2"/>
    <w:rsid w:val="005E38DD"/>
    <w:rsid w:val="005E3A7D"/>
    <w:rsid w:val="005E3FB0"/>
    <w:rsid w:val="005E40AB"/>
    <w:rsid w:val="005E4103"/>
    <w:rsid w:val="005E41E0"/>
    <w:rsid w:val="005E44A5"/>
    <w:rsid w:val="005E49D0"/>
    <w:rsid w:val="005E4F2F"/>
    <w:rsid w:val="005E501C"/>
    <w:rsid w:val="005E55E4"/>
    <w:rsid w:val="005E5781"/>
    <w:rsid w:val="005E59F5"/>
    <w:rsid w:val="005E6B64"/>
    <w:rsid w:val="005E6E18"/>
    <w:rsid w:val="005E77E8"/>
    <w:rsid w:val="005E7A3D"/>
    <w:rsid w:val="005E7B4A"/>
    <w:rsid w:val="005E7DD0"/>
    <w:rsid w:val="005E7EAE"/>
    <w:rsid w:val="005E7FFB"/>
    <w:rsid w:val="005F00DF"/>
    <w:rsid w:val="005F0EA4"/>
    <w:rsid w:val="005F1EB7"/>
    <w:rsid w:val="005F22E0"/>
    <w:rsid w:val="005F2B61"/>
    <w:rsid w:val="005F2D1F"/>
    <w:rsid w:val="005F346D"/>
    <w:rsid w:val="005F3537"/>
    <w:rsid w:val="005F371D"/>
    <w:rsid w:val="005F37DF"/>
    <w:rsid w:val="005F39DD"/>
    <w:rsid w:val="005F3ADF"/>
    <w:rsid w:val="005F3DC9"/>
    <w:rsid w:val="005F448A"/>
    <w:rsid w:val="005F45D8"/>
    <w:rsid w:val="005F485B"/>
    <w:rsid w:val="005F4900"/>
    <w:rsid w:val="005F4E84"/>
    <w:rsid w:val="005F5761"/>
    <w:rsid w:val="005F590C"/>
    <w:rsid w:val="005F5B28"/>
    <w:rsid w:val="005F5B6C"/>
    <w:rsid w:val="005F5EB2"/>
    <w:rsid w:val="005F60B7"/>
    <w:rsid w:val="005F672A"/>
    <w:rsid w:val="005F68D0"/>
    <w:rsid w:val="005F695D"/>
    <w:rsid w:val="005F69D8"/>
    <w:rsid w:val="005F69DC"/>
    <w:rsid w:val="005F6D60"/>
    <w:rsid w:val="005F752D"/>
    <w:rsid w:val="005F7593"/>
    <w:rsid w:val="005F7EA5"/>
    <w:rsid w:val="005F7F46"/>
    <w:rsid w:val="0060036F"/>
    <w:rsid w:val="006003D6"/>
    <w:rsid w:val="00600472"/>
    <w:rsid w:val="00600F29"/>
    <w:rsid w:val="00600F64"/>
    <w:rsid w:val="006013B0"/>
    <w:rsid w:val="0060148B"/>
    <w:rsid w:val="00601728"/>
    <w:rsid w:val="0060184C"/>
    <w:rsid w:val="00601917"/>
    <w:rsid w:val="006019CB"/>
    <w:rsid w:val="00601B0A"/>
    <w:rsid w:val="0060202A"/>
    <w:rsid w:val="006029C5"/>
    <w:rsid w:val="006032E2"/>
    <w:rsid w:val="00603391"/>
    <w:rsid w:val="006033E6"/>
    <w:rsid w:val="0060397C"/>
    <w:rsid w:val="00603AB0"/>
    <w:rsid w:val="00603C1A"/>
    <w:rsid w:val="00604665"/>
    <w:rsid w:val="00604743"/>
    <w:rsid w:val="00604A18"/>
    <w:rsid w:val="006051DC"/>
    <w:rsid w:val="0060551D"/>
    <w:rsid w:val="0060561B"/>
    <w:rsid w:val="0060622E"/>
    <w:rsid w:val="00606348"/>
    <w:rsid w:val="00606610"/>
    <w:rsid w:val="00606A1E"/>
    <w:rsid w:val="00606A75"/>
    <w:rsid w:val="00606ED2"/>
    <w:rsid w:val="00607242"/>
    <w:rsid w:val="0060741C"/>
    <w:rsid w:val="00607431"/>
    <w:rsid w:val="00607606"/>
    <w:rsid w:val="00607BF5"/>
    <w:rsid w:val="00607D8D"/>
    <w:rsid w:val="006108B5"/>
    <w:rsid w:val="00610913"/>
    <w:rsid w:val="00610F54"/>
    <w:rsid w:val="0061109A"/>
    <w:rsid w:val="00611457"/>
    <w:rsid w:val="0061164C"/>
    <w:rsid w:val="006118CE"/>
    <w:rsid w:val="006118EC"/>
    <w:rsid w:val="00611AD5"/>
    <w:rsid w:val="00611E61"/>
    <w:rsid w:val="00611FA6"/>
    <w:rsid w:val="00612101"/>
    <w:rsid w:val="006126D4"/>
    <w:rsid w:val="00612961"/>
    <w:rsid w:val="00612B25"/>
    <w:rsid w:val="00612BD3"/>
    <w:rsid w:val="00612D68"/>
    <w:rsid w:val="00612D99"/>
    <w:rsid w:val="006131A4"/>
    <w:rsid w:val="0061327D"/>
    <w:rsid w:val="006132C4"/>
    <w:rsid w:val="00613779"/>
    <w:rsid w:val="0061385D"/>
    <w:rsid w:val="00613965"/>
    <w:rsid w:val="00613CED"/>
    <w:rsid w:val="00614340"/>
    <w:rsid w:val="00614449"/>
    <w:rsid w:val="00614A46"/>
    <w:rsid w:val="00614C9A"/>
    <w:rsid w:val="0061560D"/>
    <w:rsid w:val="0061572F"/>
    <w:rsid w:val="00615873"/>
    <w:rsid w:val="00615B7C"/>
    <w:rsid w:val="00615E55"/>
    <w:rsid w:val="00615E70"/>
    <w:rsid w:val="00616496"/>
    <w:rsid w:val="006166E9"/>
    <w:rsid w:val="00616838"/>
    <w:rsid w:val="00616A05"/>
    <w:rsid w:val="00616C01"/>
    <w:rsid w:val="00616F90"/>
    <w:rsid w:val="0061777B"/>
    <w:rsid w:val="00617F15"/>
    <w:rsid w:val="006200AD"/>
    <w:rsid w:val="006201CB"/>
    <w:rsid w:val="006209F9"/>
    <w:rsid w:val="00620BFC"/>
    <w:rsid w:val="00620F71"/>
    <w:rsid w:val="00621174"/>
    <w:rsid w:val="00621940"/>
    <w:rsid w:val="00621A47"/>
    <w:rsid w:val="00621B3F"/>
    <w:rsid w:val="00621E07"/>
    <w:rsid w:val="006222B9"/>
    <w:rsid w:val="006224F6"/>
    <w:rsid w:val="00622733"/>
    <w:rsid w:val="00622A69"/>
    <w:rsid w:val="00622DE8"/>
    <w:rsid w:val="00623186"/>
    <w:rsid w:val="0062327E"/>
    <w:rsid w:val="0062364D"/>
    <w:rsid w:val="006239F6"/>
    <w:rsid w:val="0062402C"/>
    <w:rsid w:val="00624311"/>
    <w:rsid w:val="00624465"/>
    <w:rsid w:val="006254FD"/>
    <w:rsid w:val="00625503"/>
    <w:rsid w:val="0062556D"/>
    <w:rsid w:val="00625915"/>
    <w:rsid w:val="00625B80"/>
    <w:rsid w:val="006261BC"/>
    <w:rsid w:val="006261F6"/>
    <w:rsid w:val="00626319"/>
    <w:rsid w:val="006263C9"/>
    <w:rsid w:val="00626784"/>
    <w:rsid w:val="00626F28"/>
    <w:rsid w:val="006271B3"/>
    <w:rsid w:val="00627274"/>
    <w:rsid w:val="00627407"/>
    <w:rsid w:val="0062759A"/>
    <w:rsid w:val="006277B6"/>
    <w:rsid w:val="00627CE3"/>
    <w:rsid w:val="00627EA3"/>
    <w:rsid w:val="00630293"/>
    <w:rsid w:val="00630404"/>
    <w:rsid w:val="00630442"/>
    <w:rsid w:val="006305FA"/>
    <w:rsid w:val="00630ACE"/>
    <w:rsid w:val="00630C17"/>
    <w:rsid w:val="00630F8D"/>
    <w:rsid w:val="006312BE"/>
    <w:rsid w:val="00631723"/>
    <w:rsid w:val="00631A1F"/>
    <w:rsid w:val="006320FA"/>
    <w:rsid w:val="00632227"/>
    <w:rsid w:val="0063272E"/>
    <w:rsid w:val="00632882"/>
    <w:rsid w:val="00632B6A"/>
    <w:rsid w:val="00632BF9"/>
    <w:rsid w:val="00632F36"/>
    <w:rsid w:val="0063323F"/>
    <w:rsid w:val="00633641"/>
    <w:rsid w:val="00633A5C"/>
    <w:rsid w:val="00633CD7"/>
    <w:rsid w:val="00634120"/>
    <w:rsid w:val="0063414E"/>
    <w:rsid w:val="006342E3"/>
    <w:rsid w:val="00634348"/>
    <w:rsid w:val="00634A12"/>
    <w:rsid w:val="00634C37"/>
    <w:rsid w:val="00634CFD"/>
    <w:rsid w:val="00634EF6"/>
    <w:rsid w:val="00635291"/>
    <w:rsid w:val="006356C8"/>
    <w:rsid w:val="006359B5"/>
    <w:rsid w:val="00636500"/>
    <w:rsid w:val="00636602"/>
    <w:rsid w:val="00636907"/>
    <w:rsid w:val="00636F9C"/>
    <w:rsid w:val="006373C3"/>
    <w:rsid w:val="0063744E"/>
    <w:rsid w:val="00637A04"/>
    <w:rsid w:val="0064014F"/>
    <w:rsid w:val="0064077F"/>
    <w:rsid w:val="00640E5F"/>
    <w:rsid w:val="00641365"/>
    <w:rsid w:val="00641590"/>
    <w:rsid w:val="00641887"/>
    <w:rsid w:val="00641FFE"/>
    <w:rsid w:val="006420D9"/>
    <w:rsid w:val="0064244A"/>
    <w:rsid w:val="00642621"/>
    <w:rsid w:val="0064264B"/>
    <w:rsid w:val="00642944"/>
    <w:rsid w:val="00642BB9"/>
    <w:rsid w:val="006431BC"/>
    <w:rsid w:val="006432A1"/>
    <w:rsid w:val="00643447"/>
    <w:rsid w:val="00643727"/>
    <w:rsid w:val="0064399E"/>
    <w:rsid w:val="00643A13"/>
    <w:rsid w:val="00643BE7"/>
    <w:rsid w:val="00643D43"/>
    <w:rsid w:val="00643FCB"/>
    <w:rsid w:val="006441F6"/>
    <w:rsid w:val="00644A89"/>
    <w:rsid w:val="00645087"/>
    <w:rsid w:val="00645225"/>
    <w:rsid w:val="00645452"/>
    <w:rsid w:val="006454EE"/>
    <w:rsid w:val="00646028"/>
    <w:rsid w:val="00646369"/>
    <w:rsid w:val="0064677B"/>
    <w:rsid w:val="006467E5"/>
    <w:rsid w:val="00646CCC"/>
    <w:rsid w:val="0064726C"/>
    <w:rsid w:val="0064744E"/>
    <w:rsid w:val="00647657"/>
    <w:rsid w:val="00647A53"/>
    <w:rsid w:val="00647CFA"/>
    <w:rsid w:val="00650348"/>
    <w:rsid w:val="006503FB"/>
    <w:rsid w:val="00650CC1"/>
    <w:rsid w:val="0065106C"/>
    <w:rsid w:val="006510D9"/>
    <w:rsid w:val="006512FB"/>
    <w:rsid w:val="00651310"/>
    <w:rsid w:val="00651525"/>
    <w:rsid w:val="00651535"/>
    <w:rsid w:val="006518A3"/>
    <w:rsid w:val="00651956"/>
    <w:rsid w:val="006525E4"/>
    <w:rsid w:val="00652D70"/>
    <w:rsid w:val="00652E1F"/>
    <w:rsid w:val="00653120"/>
    <w:rsid w:val="006536E5"/>
    <w:rsid w:val="0065378D"/>
    <w:rsid w:val="00653A9C"/>
    <w:rsid w:val="00653E75"/>
    <w:rsid w:val="006541F0"/>
    <w:rsid w:val="006547B3"/>
    <w:rsid w:val="006549DD"/>
    <w:rsid w:val="00654CDF"/>
    <w:rsid w:val="00654D45"/>
    <w:rsid w:val="00654D97"/>
    <w:rsid w:val="00655193"/>
    <w:rsid w:val="00655716"/>
    <w:rsid w:val="00655CC2"/>
    <w:rsid w:val="00656015"/>
    <w:rsid w:val="006562BF"/>
    <w:rsid w:val="006563AC"/>
    <w:rsid w:val="0065652E"/>
    <w:rsid w:val="006566BA"/>
    <w:rsid w:val="0065691D"/>
    <w:rsid w:val="00656B9E"/>
    <w:rsid w:val="0065705A"/>
    <w:rsid w:val="006572BC"/>
    <w:rsid w:val="006572CC"/>
    <w:rsid w:val="0065750B"/>
    <w:rsid w:val="00657566"/>
    <w:rsid w:val="00657696"/>
    <w:rsid w:val="006579A9"/>
    <w:rsid w:val="00657A00"/>
    <w:rsid w:val="00657D55"/>
    <w:rsid w:val="006606CF"/>
    <w:rsid w:val="0066077C"/>
    <w:rsid w:val="0066081B"/>
    <w:rsid w:val="006609C9"/>
    <w:rsid w:val="00660CEB"/>
    <w:rsid w:val="00660D12"/>
    <w:rsid w:val="00660DFE"/>
    <w:rsid w:val="00660E0D"/>
    <w:rsid w:val="00660F6E"/>
    <w:rsid w:val="00661815"/>
    <w:rsid w:val="006618F8"/>
    <w:rsid w:val="00661D78"/>
    <w:rsid w:val="00662176"/>
    <w:rsid w:val="0066225C"/>
    <w:rsid w:val="006626FB"/>
    <w:rsid w:val="00662826"/>
    <w:rsid w:val="00662A00"/>
    <w:rsid w:val="00662B85"/>
    <w:rsid w:val="006630AE"/>
    <w:rsid w:val="00663B2C"/>
    <w:rsid w:val="00663DE3"/>
    <w:rsid w:val="00663EF4"/>
    <w:rsid w:val="006642F8"/>
    <w:rsid w:val="00664376"/>
    <w:rsid w:val="0066473A"/>
    <w:rsid w:val="00664FB7"/>
    <w:rsid w:val="006652CE"/>
    <w:rsid w:val="006658EC"/>
    <w:rsid w:val="006659AE"/>
    <w:rsid w:val="00665A40"/>
    <w:rsid w:val="00665A82"/>
    <w:rsid w:val="00665D6E"/>
    <w:rsid w:val="00665EB1"/>
    <w:rsid w:val="00666034"/>
    <w:rsid w:val="006661E9"/>
    <w:rsid w:val="00666213"/>
    <w:rsid w:val="00666F78"/>
    <w:rsid w:val="006670CF"/>
    <w:rsid w:val="00667655"/>
    <w:rsid w:val="006676BC"/>
    <w:rsid w:val="006676D8"/>
    <w:rsid w:val="00667788"/>
    <w:rsid w:val="006677FB"/>
    <w:rsid w:val="00667ACA"/>
    <w:rsid w:val="006706FE"/>
    <w:rsid w:val="00670F6C"/>
    <w:rsid w:val="00671234"/>
    <w:rsid w:val="006712C7"/>
    <w:rsid w:val="0067177F"/>
    <w:rsid w:val="006717AB"/>
    <w:rsid w:val="006717FF"/>
    <w:rsid w:val="00671A02"/>
    <w:rsid w:val="00671B55"/>
    <w:rsid w:val="00671D40"/>
    <w:rsid w:val="00671DD7"/>
    <w:rsid w:val="0067279C"/>
    <w:rsid w:val="00672AB7"/>
    <w:rsid w:val="00672C18"/>
    <w:rsid w:val="00672F26"/>
    <w:rsid w:val="00673272"/>
    <w:rsid w:val="00673C9F"/>
    <w:rsid w:val="00673D66"/>
    <w:rsid w:val="0067400E"/>
    <w:rsid w:val="006748AE"/>
    <w:rsid w:val="00674A7B"/>
    <w:rsid w:val="00674D10"/>
    <w:rsid w:val="00674D93"/>
    <w:rsid w:val="00674E85"/>
    <w:rsid w:val="00674F95"/>
    <w:rsid w:val="0067504F"/>
    <w:rsid w:val="0067505E"/>
    <w:rsid w:val="0067521F"/>
    <w:rsid w:val="00675649"/>
    <w:rsid w:val="006758CD"/>
    <w:rsid w:val="006759E5"/>
    <w:rsid w:val="006760F8"/>
    <w:rsid w:val="00676AD2"/>
    <w:rsid w:val="00676AFA"/>
    <w:rsid w:val="00676B07"/>
    <w:rsid w:val="006770BD"/>
    <w:rsid w:val="0067737F"/>
    <w:rsid w:val="00677A58"/>
    <w:rsid w:val="00677DA0"/>
    <w:rsid w:val="006803C4"/>
    <w:rsid w:val="00680554"/>
    <w:rsid w:val="00680702"/>
    <w:rsid w:val="006808DC"/>
    <w:rsid w:val="00680BDE"/>
    <w:rsid w:val="00680D08"/>
    <w:rsid w:val="00680D89"/>
    <w:rsid w:val="00681053"/>
    <w:rsid w:val="00681B17"/>
    <w:rsid w:val="00681C0F"/>
    <w:rsid w:val="00681DAE"/>
    <w:rsid w:val="006821DA"/>
    <w:rsid w:val="00682357"/>
    <w:rsid w:val="006823E2"/>
    <w:rsid w:val="006826D4"/>
    <w:rsid w:val="00682953"/>
    <w:rsid w:val="00682A43"/>
    <w:rsid w:val="00682BB0"/>
    <w:rsid w:val="00682F25"/>
    <w:rsid w:val="006835A9"/>
    <w:rsid w:val="00683D53"/>
    <w:rsid w:val="00683E8E"/>
    <w:rsid w:val="0068415A"/>
    <w:rsid w:val="00684293"/>
    <w:rsid w:val="006842E9"/>
    <w:rsid w:val="00684364"/>
    <w:rsid w:val="00685F38"/>
    <w:rsid w:val="00686001"/>
    <w:rsid w:val="00686256"/>
    <w:rsid w:val="00686269"/>
    <w:rsid w:val="00686524"/>
    <w:rsid w:val="00686676"/>
    <w:rsid w:val="0068684A"/>
    <w:rsid w:val="0068717B"/>
    <w:rsid w:val="00687324"/>
    <w:rsid w:val="00687371"/>
    <w:rsid w:val="0068737E"/>
    <w:rsid w:val="00687421"/>
    <w:rsid w:val="00687993"/>
    <w:rsid w:val="006879CC"/>
    <w:rsid w:val="00687A82"/>
    <w:rsid w:val="00687B9D"/>
    <w:rsid w:val="0069016A"/>
    <w:rsid w:val="0069049C"/>
    <w:rsid w:val="0069074A"/>
    <w:rsid w:val="00690893"/>
    <w:rsid w:val="006908C7"/>
    <w:rsid w:val="00690940"/>
    <w:rsid w:val="00690BC0"/>
    <w:rsid w:val="00690D37"/>
    <w:rsid w:val="00691046"/>
    <w:rsid w:val="0069113C"/>
    <w:rsid w:val="006911BE"/>
    <w:rsid w:val="006913F0"/>
    <w:rsid w:val="0069149C"/>
    <w:rsid w:val="00691950"/>
    <w:rsid w:val="00691B4B"/>
    <w:rsid w:val="0069220A"/>
    <w:rsid w:val="00692303"/>
    <w:rsid w:val="00692448"/>
    <w:rsid w:val="00692501"/>
    <w:rsid w:val="006925A8"/>
    <w:rsid w:val="006925C6"/>
    <w:rsid w:val="006926E2"/>
    <w:rsid w:val="00692C29"/>
    <w:rsid w:val="00693335"/>
    <w:rsid w:val="0069358E"/>
    <w:rsid w:val="0069368B"/>
    <w:rsid w:val="0069397F"/>
    <w:rsid w:val="00693D91"/>
    <w:rsid w:val="00693EB8"/>
    <w:rsid w:val="00694418"/>
    <w:rsid w:val="00694843"/>
    <w:rsid w:val="0069493D"/>
    <w:rsid w:val="00694B32"/>
    <w:rsid w:val="00694B88"/>
    <w:rsid w:val="00694CE8"/>
    <w:rsid w:val="00694FD0"/>
    <w:rsid w:val="006953AE"/>
    <w:rsid w:val="006954D6"/>
    <w:rsid w:val="00695986"/>
    <w:rsid w:val="00695C4A"/>
    <w:rsid w:val="00696269"/>
    <w:rsid w:val="006966A9"/>
    <w:rsid w:val="006968A4"/>
    <w:rsid w:val="00696953"/>
    <w:rsid w:val="00696F79"/>
    <w:rsid w:val="00697043"/>
    <w:rsid w:val="00697175"/>
    <w:rsid w:val="00697930"/>
    <w:rsid w:val="00697F64"/>
    <w:rsid w:val="006A0980"/>
    <w:rsid w:val="006A0E2E"/>
    <w:rsid w:val="006A12EE"/>
    <w:rsid w:val="006A160B"/>
    <w:rsid w:val="006A1633"/>
    <w:rsid w:val="006A1988"/>
    <w:rsid w:val="006A1CF8"/>
    <w:rsid w:val="006A2296"/>
    <w:rsid w:val="006A231A"/>
    <w:rsid w:val="006A38DE"/>
    <w:rsid w:val="006A3D8A"/>
    <w:rsid w:val="006A3E3E"/>
    <w:rsid w:val="006A3F8F"/>
    <w:rsid w:val="006A4296"/>
    <w:rsid w:val="006A5095"/>
    <w:rsid w:val="006A51DF"/>
    <w:rsid w:val="006A5369"/>
    <w:rsid w:val="006A5513"/>
    <w:rsid w:val="006A5B84"/>
    <w:rsid w:val="006A5DE4"/>
    <w:rsid w:val="006A6C1A"/>
    <w:rsid w:val="006A6F06"/>
    <w:rsid w:val="006A78B2"/>
    <w:rsid w:val="006A79E3"/>
    <w:rsid w:val="006A7D2A"/>
    <w:rsid w:val="006B0254"/>
    <w:rsid w:val="006B037A"/>
    <w:rsid w:val="006B0502"/>
    <w:rsid w:val="006B0638"/>
    <w:rsid w:val="006B078D"/>
    <w:rsid w:val="006B0B56"/>
    <w:rsid w:val="006B0FAC"/>
    <w:rsid w:val="006B1131"/>
    <w:rsid w:val="006B1158"/>
    <w:rsid w:val="006B1508"/>
    <w:rsid w:val="006B161C"/>
    <w:rsid w:val="006B1690"/>
    <w:rsid w:val="006B1BA9"/>
    <w:rsid w:val="006B1C92"/>
    <w:rsid w:val="006B1CEF"/>
    <w:rsid w:val="006B2737"/>
    <w:rsid w:val="006B27B1"/>
    <w:rsid w:val="006B27EB"/>
    <w:rsid w:val="006B2889"/>
    <w:rsid w:val="006B2BCC"/>
    <w:rsid w:val="006B321C"/>
    <w:rsid w:val="006B34A8"/>
    <w:rsid w:val="006B3C22"/>
    <w:rsid w:val="006B3DAA"/>
    <w:rsid w:val="006B4052"/>
    <w:rsid w:val="006B4083"/>
    <w:rsid w:val="006B430E"/>
    <w:rsid w:val="006B46E7"/>
    <w:rsid w:val="006B4B35"/>
    <w:rsid w:val="006B5339"/>
    <w:rsid w:val="006B5A6C"/>
    <w:rsid w:val="006B5EDB"/>
    <w:rsid w:val="006B5FA1"/>
    <w:rsid w:val="006B6060"/>
    <w:rsid w:val="006B6994"/>
    <w:rsid w:val="006B6D04"/>
    <w:rsid w:val="006B6DB5"/>
    <w:rsid w:val="006B7876"/>
    <w:rsid w:val="006B7CBF"/>
    <w:rsid w:val="006C0667"/>
    <w:rsid w:val="006C06D1"/>
    <w:rsid w:val="006C0D0B"/>
    <w:rsid w:val="006C0F57"/>
    <w:rsid w:val="006C10F4"/>
    <w:rsid w:val="006C12CC"/>
    <w:rsid w:val="006C1438"/>
    <w:rsid w:val="006C1A08"/>
    <w:rsid w:val="006C1ADE"/>
    <w:rsid w:val="006C1DC3"/>
    <w:rsid w:val="006C1E8F"/>
    <w:rsid w:val="006C1F0F"/>
    <w:rsid w:val="006C24CC"/>
    <w:rsid w:val="006C2ACA"/>
    <w:rsid w:val="006C2C71"/>
    <w:rsid w:val="006C3188"/>
    <w:rsid w:val="006C3343"/>
    <w:rsid w:val="006C362B"/>
    <w:rsid w:val="006C37D0"/>
    <w:rsid w:val="006C3D2E"/>
    <w:rsid w:val="006C3DA1"/>
    <w:rsid w:val="006C409D"/>
    <w:rsid w:val="006C468E"/>
    <w:rsid w:val="006C48E7"/>
    <w:rsid w:val="006C4AB9"/>
    <w:rsid w:val="006C4C4D"/>
    <w:rsid w:val="006C4F7E"/>
    <w:rsid w:val="006C5107"/>
    <w:rsid w:val="006C5284"/>
    <w:rsid w:val="006C52DC"/>
    <w:rsid w:val="006C60DA"/>
    <w:rsid w:val="006C611D"/>
    <w:rsid w:val="006C65F8"/>
    <w:rsid w:val="006C6ADD"/>
    <w:rsid w:val="006C6D5F"/>
    <w:rsid w:val="006C6DD3"/>
    <w:rsid w:val="006C6F65"/>
    <w:rsid w:val="006C7051"/>
    <w:rsid w:val="006C7223"/>
    <w:rsid w:val="006C72E5"/>
    <w:rsid w:val="006C7436"/>
    <w:rsid w:val="006C7450"/>
    <w:rsid w:val="006C773D"/>
    <w:rsid w:val="006C7B1F"/>
    <w:rsid w:val="006C7F92"/>
    <w:rsid w:val="006D00CB"/>
    <w:rsid w:val="006D069E"/>
    <w:rsid w:val="006D0A48"/>
    <w:rsid w:val="006D0F17"/>
    <w:rsid w:val="006D1450"/>
    <w:rsid w:val="006D1581"/>
    <w:rsid w:val="006D1621"/>
    <w:rsid w:val="006D164E"/>
    <w:rsid w:val="006D1E29"/>
    <w:rsid w:val="006D1ED9"/>
    <w:rsid w:val="006D20B4"/>
    <w:rsid w:val="006D246E"/>
    <w:rsid w:val="006D24B4"/>
    <w:rsid w:val="006D28AB"/>
    <w:rsid w:val="006D2A03"/>
    <w:rsid w:val="006D2D3F"/>
    <w:rsid w:val="006D3119"/>
    <w:rsid w:val="006D31C5"/>
    <w:rsid w:val="006D362A"/>
    <w:rsid w:val="006D3B0B"/>
    <w:rsid w:val="006D4091"/>
    <w:rsid w:val="006D40BC"/>
    <w:rsid w:val="006D449F"/>
    <w:rsid w:val="006D472F"/>
    <w:rsid w:val="006D47CA"/>
    <w:rsid w:val="006D4827"/>
    <w:rsid w:val="006D4C05"/>
    <w:rsid w:val="006D4D37"/>
    <w:rsid w:val="006D5191"/>
    <w:rsid w:val="006D5477"/>
    <w:rsid w:val="006D564C"/>
    <w:rsid w:val="006D5C14"/>
    <w:rsid w:val="006D5CDD"/>
    <w:rsid w:val="006D5FCE"/>
    <w:rsid w:val="006D6112"/>
    <w:rsid w:val="006D652D"/>
    <w:rsid w:val="006D682A"/>
    <w:rsid w:val="006D71BF"/>
    <w:rsid w:val="006D738B"/>
    <w:rsid w:val="006D743F"/>
    <w:rsid w:val="006D756C"/>
    <w:rsid w:val="006D77ED"/>
    <w:rsid w:val="006D7DF3"/>
    <w:rsid w:val="006E06B6"/>
    <w:rsid w:val="006E0840"/>
    <w:rsid w:val="006E0B5B"/>
    <w:rsid w:val="006E0F98"/>
    <w:rsid w:val="006E103C"/>
    <w:rsid w:val="006E13B1"/>
    <w:rsid w:val="006E16CD"/>
    <w:rsid w:val="006E1860"/>
    <w:rsid w:val="006E18C8"/>
    <w:rsid w:val="006E1952"/>
    <w:rsid w:val="006E1A80"/>
    <w:rsid w:val="006E23EF"/>
    <w:rsid w:val="006E2B96"/>
    <w:rsid w:val="006E3300"/>
    <w:rsid w:val="006E33FA"/>
    <w:rsid w:val="006E3445"/>
    <w:rsid w:val="006E3669"/>
    <w:rsid w:val="006E3A79"/>
    <w:rsid w:val="006E3BBF"/>
    <w:rsid w:val="006E3D48"/>
    <w:rsid w:val="006E3E78"/>
    <w:rsid w:val="006E4111"/>
    <w:rsid w:val="006E412C"/>
    <w:rsid w:val="006E420C"/>
    <w:rsid w:val="006E4349"/>
    <w:rsid w:val="006E4700"/>
    <w:rsid w:val="006E4AD8"/>
    <w:rsid w:val="006E4FE0"/>
    <w:rsid w:val="006E53CC"/>
    <w:rsid w:val="006E5473"/>
    <w:rsid w:val="006E5715"/>
    <w:rsid w:val="006E63F6"/>
    <w:rsid w:val="006E6413"/>
    <w:rsid w:val="006E6652"/>
    <w:rsid w:val="006E6AB2"/>
    <w:rsid w:val="006E76A2"/>
    <w:rsid w:val="006E78E1"/>
    <w:rsid w:val="006E7F0F"/>
    <w:rsid w:val="006F0078"/>
    <w:rsid w:val="006F03E3"/>
    <w:rsid w:val="006F0653"/>
    <w:rsid w:val="006F149B"/>
    <w:rsid w:val="006F178C"/>
    <w:rsid w:val="006F1B00"/>
    <w:rsid w:val="006F1D5B"/>
    <w:rsid w:val="006F2246"/>
    <w:rsid w:val="006F258A"/>
    <w:rsid w:val="006F25CA"/>
    <w:rsid w:val="006F2AE1"/>
    <w:rsid w:val="006F2C81"/>
    <w:rsid w:val="006F3CE7"/>
    <w:rsid w:val="006F3D2D"/>
    <w:rsid w:val="006F3D86"/>
    <w:rsid w:val="006F3DD3"/>
    <w:rsid w:val="006F3E8C"/>
    <w:rsid w:val="006F404C"/>
    <w:rsid w:val="006F40FD"/>
    <w:rsid w:val="006F4194"/>
    <w:rsid w:val="006F41C1"/>
    <w:rsid w:val="006F43FF"/>
    <w:rsid w:val="006F44A3"/>
    <w:rsid w:val="006F4836"/>
    <w:rsid w:val="006F5089"/>
    <w:rsid w:val="006F5D38"/>
    <w:rsid w:val="006F61CA"/>
    <w:rsid w:val="006F6278"/>
    <w:rsid w:val="006F6288"/>
    <w:rsid w:val="006F647B"/>
    <w:rsid w:val="006F64E7"/>
    <w:rsid w:val="006F6648"/>
    <w:rsid w:val="006F66A8"/>
    <w:rsid w:val="006F69E7"/>
    <w:rsid w:val="006F7147"/>
    <w:rsid w:val="006F7C26"/>
    <w:rsid w:val="00700275"/>
    <w:rsid w:val="007008E0"/>
    <w:rsid w:val="007012D8"/>
    <w:rsid w:val="007015A1"/>
    <w:rsid w:val="007016A7"/>
    <w:rsid w:val="00701700"/>
    <w:rsid w:val="007017CC"/>
    <w:rsid w:val="007018A6"/>
    <w:rsid w:val="007018F7"/>
    <w:rsid w:val="00702151"/>
    <w:rsid w:val="00702B47"/>
    <w:rsid w:val="00702DF2"/>
    <w:rsid w:val="00702E00"/>
    <w:rsid w:val="007030AD"/>
    <w:rsid w:val="007035D0"/>
    <w:rsid w:val="00703DE9"/>
    <w:rsid w:val="00703E84"/>
    <w:rsid w:val="00703F60"/>
    <w:rsid w:val="0070427D"/>
    <w:rsid w:val="0070452A"/>
    <w:rsid w:val="00705390"/>
    <w:rsid w:val="0070561D"/>
    <w:rsid w:val="007057B2"/>
    <w:rsid w:val="007058D8"/>
    <w:rsid w:val="00705C2F"/>
    <w:rsid w:val="00705D38"/>
    <w:rsid w:val="0070605D"/>
    <w:rsid w:val="0070606A"/>
    <w:rsid w:val="007064BF"/>
    <w:rsid w:val="0070655B"/>
    <w:rsid w:val="00706820"/>
    <w:rsid w:val="00706968"/>
    <w:rsid w:val="00706B3D"/>
    <w:rsid w:val="00707200"/>
    <w:rsid w:val="007079A0"/>
    <w:rsid w:val="00707D8E"/>
    <w:rsid w:val="00710427"/>
    <w:rsid w:val="0071064C"/>
    <w:rsid w:val="00710C20"/>
    <w:rsid w:val="00710E22"/>
    <w:rsid w:val="00711172"/>
    <w:rsid w:val="007114B2"/>
    <w:rsid w:val="007119CF"/>
    <w:rsid w:val="0071219E"/>
    <w:rsid w:val="00712C90"/>
    <w:rsid w:val="00712EC5"/>
    <w:rsid w:val="007130BE"/>
    <w:rsid w:val="00713543"/>
    <w:rsid w:val="00713D9D"/>
    <w:rsid w:val="00713F8D"/>
    <w:rsid w:val="007141C1"/>
    <w:rsid w:val="00714438"/>
    <w:rsid w:val="007146B6"/>
    <w:rsid w:val="007146D2"/>
    <w:rsid w:val="0071474B"/>
    <w:rsid w:val="00714C7A"/>
    <w:rsid w:val="0071550E"/>
    <w:rsid w:val="0071555A"/>
    <w:rsid w:val="00715AB8"/>
    <w:rsid w:val="00716389"/>
    <w:rsid w:val="0071647B"/>
    <w:rsid w:val="00716506"/>
    <w:rsid w:val="00716B66"/>
    <w:rsid w:val="00716BAA"/>
    <w:rsid w:val="00717034"/>
    <w:rsid w:val="007179AF"/>
    <w:rsid w:val="00717DA6"/>
    <w:rsid w:val="00717DB7"/>
    <w:rsid w:val="007202A2"/>
    <w:rsid w:val="00720A92"/>
    <w:rsid w:val="00720BD3"/>
    <w:rsid w:val="00720C71"/>
    <w:rsid w:val="00720DB6"/>
    <w:rsid w:val="007210CE"/>
    <w:rsid w:val="00721200"/>
    <w:rsid w:val="00721289"/>
    <w:rsid w:val="00721515"/>
    <w:rsid w:val="0072185C"/>
    <w:rsid w:val="00721978"/>
    <w:rsid w:val="00721ED2"/>
    <w:rsid w:val="007220D7"/>
    <w:rsid w:val="0072237E"/>
    <w:rsid w:val="0072286C"/>
    <w:rsid w:val="00722942"/>
    <w:rsid w:val="00722CD4"/>
    <w:rsid w:val="00723038"/>
    <w:rsid w:val="00723320"/>
    <w:rsid w:val="00723429"/>
    <w:rsid w:val="00723567"/>
    <w:rsid w:val="00723575"/>
    <w:rsid w:val="0072372A"/>
    <w:rsid w:val="00724663"/>
    <w:rsid w:val="00724773"/>
    <w:rsid w:val="00724C19"/>
    <w:rsid w:val="007250CD"/>
    <w:rsid w:val="007254CD"/>
    <w:rsid w:val="00726046"/>
    <w:rsid w:val="007267FC"/>
    <w:rsid w:val="0072685B"/>
    <w:rsid w:val="00726E5C"/>
    <w:rsid w:val="00727155"/>
    <w:rsid w:val="00727468"/>
    <w:rsid w:val="007278B3"/>
    <w:rsid w:val="00727AC0"/>
    <w:rsid w:val="0073006D"/>
    <w:rsid w:val="00730175"/>
    <w:rsid w:val="00730653"/>
    <w:rsid w:val="00730C7F"/>
    <w:rsid w:val="00730CD3"/>
    <w:rsid w:val="00730E9E"/>
    <w:rsid w:val="007311E6"/>
    <w:rsid w:val="0073130B"/>
    <w:rsid w:val="0073136F"/>
    <w:rsid w:val="00731779"/>
    <w:rsid w:val="00731B2E"/>
    <w:rsid w:val="00731FC1"/>
    <w:rsid w:val="0073267E"/>
    <w:rsid w:val="00732A90"/>
    <w:rsid w:val="00732D3A"/>
    <w:rsid w:val="00732F60"/>
    <w:rsid w:val="0073326C"/>
    <w:rsid w:val="007336DC"/>
    <w:rsid w:val="0073382B"/>
    <w:rsid w:val="00733CC6"/>
    <w:rsid w:val="00734618"/>
    <w:rsid w:val="0073472E"/>
    <w:rsid w:val="00734F6C"/>
    <w:rsid w:val="0073521B"/>
    <w:rsid w:val="0073544D"/>
    <w:rsid w:val="007357CA"/>
    <w:rsid w:val="00735838"/>
    <w:rsid w:val="0073594F"/>
    <w:rsid w:val="007362A8"/>
    <w:rsid w:val="007364A8"/>
    <w:rsid w:val="0073687F"/>
    <w:rsid w:val="0073692E"/>
    <w:rsid w:val="00736B86"/>
    <w:rsid w:val="00737384"/>
    <w:rsid w:val="007375C0"/>
    <w:rsid w:val="00737952"/>
    <w:rsid w:val="00737A03"/>
    <w:rsid w:val="00737C3D"/>
    <w:rsid w:val="00737CED"/>
    <w:rsid w:val="00737E58"/>
    <w:rsid w:val="00737F30"/>
    <w:rsid w:val="007402CD"/>
    <w:rsid w:val="00740362"/>
    <w:rsid w:val="00740A54"/>
    <w:rsid w:val="00740B7F"/>
    <w:rsid w:val="00740C1D"/>
    <w:rsid w:val="00740F1F"/>
    <w:rsid w:val="00741032"/>
    <w:rsid w:val="007416C4"/>
    <w:rsid w:val="00741A53"/>
    <w:rsid w:val="00742184"/>
    <w:rsid w:val="007423B7"/>
    <w:rsid w:val="007423CF"/>
    <w:rsid w:val="007424FC"/>
    <w:rsid w:val="007428E5"/>
    <w:rsid w:val="00742A50"/>
    <w:rsid w:val="00742DA6"/>
    <w:rsid w:val="00743461"/>
    <w:rsid w:val="00743695"/>
    <w:rsid w:val="0074387A"/>
    <w:rsid w:val="007438C3"/>
    <w:rsid w:val="0074392F"/>
    <w:rsid w:val="00743AF6"/>
    <w:rsid w:val="00743C5D"/>
    <w:rsid w:val="00743C89"/>
    <w:rsid w:val="00743CD4"/>
    <w:rsid w:val="00743E91"/>
    <w:rsid w:val="00744067"/>
    <w:rsid w:val="007441C7"/>
    <w:rsid w:val="00744DC5"/>
    <w:rsid w:val="00744EA9"/>
    <w:rsid w:val="00745054"/>
    <w:rsid w:val="00745289"/>
    <w:rsid w:val="0074543C"/>
    <w:rsid w:val="007455A3"/>
    <w:rsid w:val="0074570E"/>
    <w:rsid w:val="0074598B"/>
    <w:rsid w:val="00746312"/>
    <w:rsid w:val="007463B1"/>
    <w:rsid w:val="00746485"/>
    <w:rsid w:val="0074657B"/>
    <w:rsid w:val="00746D45"/>
    <w:rsid w:val="00746DAF"/>
    <w:rsid w:val="00746E18"/>
    <w:rsid w:val="00746FD3"/>
    <w:rsid w:val="0074745B"/>
    <w:rsid w:val="007477BE"/>
    <w:rsid w:val="0074782D"/>
    <w:rsid w:val="00750086"/>
    <w:rsid w:val="0075087B"/>
    <w:rsid w:val="00750924"/>
    <w:rsid w:val="00750CF5"/>
    <w:rsid w:val="00750DAC"/>
    <w:rsid w:val="00750FCB"/>
    <w:rsid w:val="0075192A"/>
    <w:rsid w:val="007519DA"/>
    <w:rsid w:val="00751A80"/>
    <w:rsid w:val="00751A8B"/>
    <w:rsid w:val="00751FD6"/>
    <w:rsid w:val="007523B8"/>
    <w:rsid w:val="0075240C"/>
    <w:rsid w:val="00752452"/>
    <w:rsid w:val="00752469"/>
    <w:rsid w:val="0075272A"/>
    <w:rsid w:val="0075272F"/>
    <w:rsid w:val="007527EE"/>
    <w:rsid w:val="00752F42"/>
    <w:rsid w:val="00753374"/>
    <w:rsid w:val="007533A1"/>
    <w:rsid w:val="0075359E"/>
    <w:rsid w:val="0075360C"/>
    <w:rsid w:val="00753A51"/>
    <w:rsid w:val="00753C83"/>
    <w:rsid w:val="00753F85"/>
    <w:rsid w:val="00754A7A"/>
    <w:rsid w:val="00754CA6"/>
    <w:rsid w:val="00755B45"/>
    <w:rsid w:val="00755BBE"/>
    <w:rsid w:val="007565DD"/>
    <w:rsid w:val="00756632"/>
    <w:rsid w:val="00756967"/>
    <w:rsid w:val="007569E9"/>
    <w:rsid w:val="00756B3F"/>
    <w:rsid w:val="00756BBE"/>
    <w:rsid w:val="00756E96"/>
    <w:rsid w:val="00756F35"/>
    <w:rsid w:val="00756F92"/>
    <w:rsid w:val="007570AB"/>
    <w:rsid w:val="00757278"/>
    <w:rsid w:val="007574AB"/>
    <w:rsid w:val="007574EA"/>
    <w:rsid w:val="0075776B"/>
    <w:rsid w:val="00757841"/>
    <w:rsid w:val="00757BF5"/>
    <w:rsid w:val="0076002E"/>
    <w:rsid w:val="007600F3"/>
    <w:rsid w:val="007601E2"/>
    <w:rsid w:val="007605FB"/>
    <w:rsid w:val="00760D20"/>
    <w:rsid w:val="007613CA"/>
    <w:rsid w:val="00761576"/>
    <w:rsid w:val="007617A2"/>
    <w:rsid w:val="00761BA4"/>
    <w:rsid w:val="00761CDA"/>
    <w:rsid w:val="007621A1"/>
    <w:rsid w:val="00762BB6"/>
    <w:rsid w:val="00762C8F"/>
    <w:rsid w:val="00762EE6"/>
    <w:rsid w:val="00763093"/>
    <w:rsid w:val="00763220"/>
    <w:rsid w:val="007633CE"/>
    <w:rsid w:val="007638DC"/>
    <w:rsid w:val="0076405D"/>
    <w:rsid w:val="00764129"/>
    <w:rsid w:val="00764672"/>
    <w:rsid w:val="00764738"/>
    <w:rsid w:val="00764EDD"/>
    <w:rsid w:val="00764FBC"/>
    <w:rsid w:val="00765215"/>
    <w:rsid w:val="0076525F"/>
    <w:rsid w:val="00765A47"/>
    <w:rsid w:val="00765C87"/>
    <w:rsid w:val="007660C7"/>
    <w:rsid w:val="00766210"/>
    <w:rsid w:val="00766402"/>
    <w:rsid w:val="00766B23"/>
    <w:rsid w:val="00766BE4"/>
    <w:rsid w:val="00766C61"/>
    <w:rsid w:val="0076720B"/>
    <w:rsid w:val="007676A8"/>
    <w:rsid w:val="00767977"/>
    <w:rsid w:val="00767A95"/>
    <w:rsid w:val="00767CEF"/>
    <w:rsid w:val="00767D3B"/>
    <w:rsid w:val="00770114"/>
    <w:rsid w:val="007703F0"/>
    <w:rsid w:val="0077047C"/>
    <w:rsid w:val="00770802"/>
    <w:rsid w:val="00770BFD"/>
    <w:rsid w:val="00771030"/>
    <w:rsid w:val="0077122E"/>
    <w:rsid w:val="00771346"/>
    <w:rsid w:val="0077140A"/>
    <w:rsid w:val="00771686"/>
    <w:rsid w:val="00771BCB"/>
    <w:rsid w:val="007720C9"/>
    <w:rsid w:val="0077228E"/>
    <w:rsid w:val="007725E4"/>
    <w:rsid w:val="00772CA0"/>
    <w:rsid w:val="007731F1"/>
    <w:rsid w:val="00773BF0"/>
    <w:rsid w:val="00773D7C"/>
    <w:rsid w:val="00773F96"/>
    <w:rsid w:val="0077401D"/>
    <w:rsid w:val="00774486"/>
    <w:rsid w:val="00774AAB"/>
    <w:rsid w:val="00774ACA"/>
    <w:rsid w:val="00774B75"/>
    <w:rsid w:val="00774F5D"/>
    <w:rsid w:val="00775047"/>
    <w:rsid w:val="00775275"/>
    <w:rsid w:val="00775C96"/>
    <w:rsid w:val="00776313"/>
    <w:rsid w:val="00776839"/>
    <w:rsid w:val="00776B86"/>
    <w:rsid w:val="00776E05"/>
    <w:rsid w:val="00776F1A"/>
    <w:rsid w:val="007770C7"/>
    <w:rsid w:val="00777153"/>
    <w:rsid w:val="00777B64"/>
    <w:rsid w:val="00777F63"/>
    <w:rsid w:val="00780329"/>
    <w:rsid w:val="00780762"/>
    <w:rsid w:val="007808E7"/>
    <w:rsid w:val="00780A16"/>
    <w:rsid w:val="00780A72"/>
    <w:rsid w:val="00780CDF"/>
    <w:rsid w:val="00780D68"/>
    <w:rsid w:val="00781186"/>
    <w:rsid w:val="007813D2"/>
    <w:rsid w:val="00781934"/>
    <w:rsid w:val="0078218C"/>
    <w:rsid w:val="0078286C"/>
    <w:rsid w:val="00782A08"/>
    <w:rsid w:val="00782BF6"/>
    <w:rsid w:val="00783060"/>
    <w:rsid w:val="00783ACF"/>
    <w:rsid w:val="00783CC9"/>
    <w:rsid w:val="007842E9"/>
    <w:rsid w:val="007843D0"/>
    <w:rsid w:val="00784918"/>
    <w:rsid w:val="00785115"/>
    <w:rsid w:val="007853B3"/>
    <w:rsid w:val="007854D8"/>
    <w:rsid w:val="007857E9"/>
    <w:rsid w:val="00786011"/>
    <w:rsid w:val="00786261"/>
    <w:rsid w:val="00786724"/>
    <w:rsid w:val="00786A34"/>
    <w:rsid w:val="00786C75"/>
    <w:rsid w:val="00786E37"/>
    <w:rsid w:val="00786FF1"/>
    <w:rsid w:val="007873C0"/>
    <w:rsid w:val="007874E3"/>
    <w:rsid w:val="007877E2"/>
    <w:rsid w:val="007877F2"/>
    <w:rsid w:val="00787908"/>
    <w:rsid w:val="00787A07"/>
    <w:rsid w:val="00787BB9"/>
    <w:rsid w:val="00790688"/>
    <w:rsid w:val="0079098E"/>
    <w:rsid w:val="007909F4"/>
    <w:rsid w:val="00790F7C"/>
    <w:rsid w:val="00790FE2"/>
    <w:rsid w:val="007911B2"/>
    <w:rsid w:val="0079129D"/>
    <w:rsid w:val="007914F9"/>
    <w:rsid w:val="007915A1"/>
    <w:rsid w:val="007915A5"/>
    <w:rsid w:val="007917F5"/>
    <w:rsid w:val="00791B19"/>
    <w:rsid w:val="00791FD4"/>
    <w:rsid w:val="0079241A"/>
    <w:rsid w:val="00792661"/>
    <w:rsid w:val="007926DD"/>
    <w:rsid w:val="0079281D"/>
    <w:rsid w:val="0079285D"/>
    <w:rsid w:val="00792B6C"/>
    <w:rsid w:val="007932CB"/>
    <w:rsid w:val="00793434"/>
    <w:rsid w:val="00793609"/>
    <w:rsid w:val="00793667"/>
    <w:rsid w:val="007937D6"/>
    <w:rsid w:val="00793B54"/>
    <w:rsid w:val="00793C0B"/>
    <w:rsid w:val="00793CCA"/>
    <w:rsid w:val="0079424D"/>
    <w:rsid w:val="0079463B"/>
    <w:rsid w:val="00794B5D"/>
    <w:rsid w:val="00794C13"/>
    <w:rsid w:val="00794DAF"/>
    <w:rsid w:val="00794E9C"/>
    <w:rsid w:val="00795254"/>
    <w:rsid w:val="007955B7"/>
    <w:rsid w:val="0079571D"/>
    <w:rsid w:val="00795850"/>
    <w:rsid w:val="00795B3C"/>
    <w:rsid w:val="00795EA9"/>
    <w:rsid w:val="007960CC"/>
    <w:rsid w:val="007960E3"/>
    <w:rsid w:val="00796199"/>
    <w:rsid w:val="0079627A"/>
    <w:rsid w:val="007962EA"/>
    <w:rsid w:val="00796456"/>
    <w:rsid w:val="007964A8"/>
    <w:rsid w:val="0079654B"/>
    <w:rsid w:val="00796BD1"/>
    <w:rsid w:val="00796BDB"/>
    <w:rsid w:val="00796E15"/>
    <w:rsid w:val="00797152"/>
    <w:rsid w:val="0079724A"/>
    <w:rsid w:val="00797815"/>
    <w:rsid w:val="0079785E"/>
    <w:rsid w:val="007978E7"/>
    <w:rsid w:val="007A015C"/>
    <w:rsid w:val="007A019C"/>
    <w:rsid w:val="007A0F7D"/>
    <w:rsid w:val="007A1376"/>
    <w:rsid w:val="007A157D"/>
    <w:rsid w:val="007A1966"/>
    <w:rsid w:val="007A1A08"/>
    <w:rsid w:val="007A2032"/>
    <w:rsid w:val="007A21BB"/>
    <w:rsid w:val="007A22EF"/>
    <w:rsid w:val="007A233A"/>
    <w:rsid w:val="007A254C"/>
    <w:rsid w:val="007A2725"/>
    <w:rsid w:val="007A336D"/>
    <w:rsid w:val="007A33C7"/>
    <w:rsid w:val="007A363F"/>
    <w:rsid w:val="007A37CD"/>
    <w:rsid w:val="007A3859"/>
    <w:rsid w:val="007A3911"/>
    <w:rsid w:val="007A3915"/>
    <w:rsid w:val="007A46F7"/>
    <w:rsid w:val="007A4799"/>
    <w:rsid w:val="007A47AF"/>
    <w:rsid w:val="007A47F6"/>
    <w:rsid w:val="007A51A3"/>
    <w:rsid w:val="007A529B"/>
    <w:rsid w:val="007A5446"/>
    <w:rsid w:val="007A56D3"/>
    <w:rsid w:val="007A577D"/>
    <w:rsid w:val="007A5A5A"/>
    <w:rsid w:val="007A5D1E"/>
    <w:rsid w:val="007A5DAA"/>
    <w:rsid w:val="007A6117"/>
    <w:rsid w:val="007A698A"/>
    <w:rsid w:val="007A6AA1"/>
    <w:rsid w:val="007A6D25"/>
    <w:rsid w:val="007A6E3C"/>
    <w:rsid w:val="007A6FD4"/>
    <w:rsid w:val="007A7055"/>
    <w:rsid w:val="007A781C"/>
    <w:rsid w:val="007A7E58"/>
    <w:rsid w:val="007A7ED5"/>
    <w:rsid w:val="007B003E"/>
    <w:rsid w:val="007B0076"/>
    <w:rsid w:val="007B0561"/>
    <w:rsid w:val="007B154F"/>
    <w:rsid w:val="007B1837"/>
    <w:rsid w:val="007B18B5"/>
    <w:rsid w:val="007B1E59"/>
    <w:rsid w:val="007B26A7"/>
    <w:rsid w:val="007B270D"/>
    <w:rsid w:val="007B349A"/>
    <w:rsid w:val="007B3836"/>
    <w:rsid w:val="007B3A2B"/>
    <w:rsid w:val="007B3CBE"/>
    <w:rsid w:val="007B413D"/>
    <w:rsid w:val="007B4217"/>
    <w:rsid w:val="007B437E"/>
    <w:rsid w:val="007B46AF"/>
    <w:rsid w:val="007B4937"/>
    <w:rsid w:val="007B4C7E"/>
    <w:rsid w:val="007B508E"/>
    <w:rsid w:val="007B5370"/>
    <w:rsid w:val="007B53BC"/>
    <w:rsid w:val="007B54D9"/>
    <w:rsid w:val="007B6307"/>
    <w:rsid w:val="007B6BB6"/>
    <w:rsid w:val="007B6C68"/>
    <w:rsid w:val="007B6DAE"/>
    <w:rsid w:val="007B6ED7"/>
    <w:rsid w:val="007B71CA"/>
    <w:rsid w:val="007B7237"/>
    <w:rsid w:val="007B76EB"/>
    <w:rsid w:val="007B7714"/>
    <w:rsid w:val="007B7F53"/>
    <w:rsid w:val="007C04F9"/>
    <w:rsid w:val="007C063E"/>
    <w:rsid w:val="007C077F"/>
    <w:rsid w:val="007C092D"/>
    <w:rsid w:val="007C0B36"/>
    <w:rsid w:val="007C0DD9"/>
    <w:rsid w:val="007C0E07"/>
    <w:rsid w:val="007C0F59"/>
    <w:rsid w:val="007C1180"/>
    <w:rsid w:val="007C1278"/>
    <w:rsid w:val="007C1736"/>
    <w:rsid w:val="007C1A51"/>
    <w:rsid w:val="007C1B6D"/>
    <w:rsid w:val="007C1E8E"/>
    <w:rsid w:val="007C2247"/>
    <w:rsid w:val="007C264B"/>
    <w:rsid w:val="007C27A2"/>
    <w:rsid w:val="007C27AB"/>
    <w:rsid w:val="007C2869"/>
    <w:rsid w:val="007C287D"/>
    <w:rsid w:val="007C2A62"/>
    <w:rsid w:val="007C31F1"/>
    <w:rsid w:val="007C31FB"/>
    <w:rsid w:val="007C3201"/>
    <w:rsid w:val="007C3879"/>
    <w:rsid w:val="007C38BC"/>
    <w:rsid w:val="007C3975"/>
    <w:rsid w:val="007C3987"/>
    <w:rsid w:val="007C3DD1"/>
    <w:rsid w:val="007C45D5"/>
    <w:rsid w:val="007C45F9"/>
    <w:rsid w:val="007C4800"/>
    <w:rsid w:val="007C483F"/>
    <w:rsid w:val="007C4AA1"/>
    <w:rsid w:val="007C4E94"/>
    <w:rsid w:val="007C4F8B"/>
    <w:rsid w:val="007C50A1"/>
    <w:rsid w:val="007C50F2"/>
    <w:rsid w:val="007C525E"/>
    <w:rsid w:val="007C52B6"/>
    <w:rsid w:val="007C5969"/>
    <w:rsid w:val="007C5B9E"/>
    <w:rsid w:val="007C5E09"/>
    <w:rsid w:val="007C5EF5"/>
    <w:rsid w:val="007C67F6"/>
    <w:rsid w:val="007C68E6"/>
    <w:rsid w:val="007C71C5"/>
    <w:rsid w:val="007C723E"/>
    <w:rsid w:val="007C7531"/>
    <w:rsid w:val="007C756F"/>
    <w:rsid w:val="007D02D4"/>
    <w:rsid w:val="007D077B"/>
    <w:rsid w:val="007D0A08"/>
    <w:rsid w:val="007D0A2B"/>
    <w:rsid w:val="007D0ABD"/>
    <w:rsid w:val="007D1201"/>
    <w:rsid w:val="007D12BA"/>
    <w:rsid w:val="007D14E6"/>
    <w:rsid w:val="007D17B2"/>
    <w:rsid w:val="007D192A"/>
    <w:rsid w:val="007D19E0"/>
    <w:rsid w:val="007D1A1B"/>
    <w:rsid w:val="007D1A75"/>
    <w:rsid w:val="007D2182"/>
    <w:rsid w:val="007D322C"/>
    <w:rsid w:val="007D337D"/>
    <w:rsid w:val="007D3694"/>
    <w:rsid w:val="007D377E"/>
    <w:rsid w:val="007D3D8E"/>
    <w:rsid w:val="007D44CE"/>
    <w:rsid w:val="007D46B8"/>
    <w:rsid w:val="007D4A77"/>
    <w:rsid w:val="007D4D1A"/>
    <w:rsid w:val="007D51BA"/>
    <w:rsid w:val="007D5268"/>
    <w:rsid w:val="007D5408"/>
    <w:rsid w:val="007D57A2"/>
    <w:rsid w:val="007D5E36"/>
    <w:rsid w:val="007D6227"/>
    <w:rsid w:val="007D6465"/>
    <w:rsid w:val="007D6736"/>
    <w:rsid w:val="007D675B"/>
    <w:rsid w:val="007D6C3B"/>
    <w:rsid w:val="007D6F20"/>
    <w:rsid w:val="007D70DC"/>
    <w:rsid w:val="007E00B7"/>
    <w:rsid w:val="007E04EB"/>
    <w:rsid w:val="007E04FD"/>
    <w:rsid w:val="007E0ABA"/>
    <w:rsid w:val="007E0CD1"/>
    <w:rsid w:val="007E0F43"/>
    <w:rsid w:val="007E0FA8"/>
    <w:rsid w:val="007E15F0"/>
    <w:rsid w:val="007E1A05"/>
    <w:rsid w:val="007E1F06"/>
    <w:rsid w:val="007E2835"/>
    <w:rsid w:val="007E2ADF"/>
    <w:rsid w:val="007E316E"/>
    <w:rsid w:val="007E36C5"/>
    <w:rsid w:val="007E372E"/>
    <w:rsid w:val="007E388F"/>
    <w:rsid w:val="007E409E"/>
    <w:rsid w:val="007E41E7"/>
    <w:rsid w:val="007E42AD"/>
    <w:rsid w:val="007E460F"/>
    <w:rsid w:val="007E492A"/>
    <w:rsid w:val="007E49AE"/>
    <w:rsid w:val="007E4A59"/>
    <w:rsid w:val="007E4C63"/>
    <w:rsid w:val="007E5050"/>
    <w:rsid w:val="007E5589"/>
    <w:rsid w:val="007E5C4C"/>
    <w:rsid w:val="007E5DE4"/>
    <w:rsid w:val="007E728F"/>
    <w:rsid w:val="007E74EC"/>
    <w:rsid w:val="007E75C7"/>
    <w:rsid w:val="007E7890"/>
    <w:rsid w:val="007E78ED"/>
    <w:rsid w:val="007E7ECF"/>
    <w:rsid w:val="007E7F50"/>
    <w:rsid w:val="007E7FD6"/>
    <w:rsid w:val="007F04D2"/>
    <w:rsid w:val="007F05C5"/>
    <w:rsid w:val="007F0F73"/>
    <w:rsid w:val="007F10A7"/>
    <w:rsid w:val="007F139B"/>
    <w:rsid w:val="007F178D"/>
    <w:rsid w:val="007F18DF"/>
    <w:rsid w:val="007F18FC"/>
    <w:rsid w:val="007F198E"/>
    <w:rsid w:val="007F1DC1"/>
    <w:rsid w:val="007F20C8"/>
    <w:rsid w:val="007F2109"/>
    <w:rsid w:val="007F248A"/>
    <w:rsid w:val="007F24F7"/>
    <w:rsid w:val="007F2545"/>
    <w:rsid w:val="007F2B0D"/>
    <w:rsid w:val="007F2F94"/>
    <w:rsid w:val="007F35D6"/>
    <w:rsid w:val="007F36E2"/>
    <w:rsid w:val="007F36EB"/>
    <w:rsid w:val="007F3B62"/>
    <w:rsid w:val="007F3C7B"/>
    <w:rsid w:val="007F420A"/>
    <w:rsid w:val="007F48A1"/>
    <w:rsid w:val="007F48D8"/>
    <w:rsid w:val="007F4B95"/>
    <w:rsid w:val="007F5122"/>
    <w:rsid w:val="007F526E"/>
    <w:rsid w:val="007F54D6"/>
    <w:rsid w:val="007F553A"/>
    <w:rsid w:val="007F558B"/>
    <w:rsid w:val="007F572E"/>
    <w:rsid w:val="007F57FC"/>
    <w:rsid w:val="007F5EC2"/>
    <w:rsid w:val="007F5FE9"/>
    <w:rsid w:val="007F60FB"/>
    <w:rsid w:val="007F6A83"/>
    <w:rsid w:val="007F6D08"/>
    <w:rsid w:val="007F73BA"/>
    <w:rsid w:val="007F74FD"/>
    <w:rsid w:val="007F7CC4"/>
    <w:rsid w:val="007F7E54"/>
    <w:rsid w:val="00800021"/>
    <w:rsid w:val="008000F7"/>
    <w:rsid w:val="00800784"/>
    <w:rsid w:val="008007ED"/>
    <w:rsid w:val="00800C9F"/>
    <w:rsid w:val="0080103F"/>
    <w:rsid w:val="00801179"/>
    <w:rsid w:val="00801BEB"/>
    <w:rsid w:val="00801E05"/>
    <w:rsid w:val="008021E6"/>
    <w:rsid w:val="008022A8"/>
    <w:rsid w:val="00802335"/>
    <w:rsid w:val="0080240C"/>
    <w:rsid w:val="00802E47"/>
    <w:rsid w:val="008037AA"/>
    <w:rsid w:val="00803966"/>
    <w:rsid w:val="00803A47"/>
    <w:rsid w:val="00803B78"/>
    <w:rsid w:val="00803CB5"/>
    <w:rsid w:val="00803CF2"/>
    <w:rsid w:val="00804518"/>
    <w:rsid w:val="00804849"/>
    <w:rsid w:val="00804D8C"/>
    <w:rsid w:val="00804DF2"/>
    <w:rsid w:val="008051C1"/>
    <w:rsid w:val="00805512"/>
    <w:rsid w:val="008055B6"/>
    <w:rsid w:val="008057C4"/>
    <w:rsid w:val="008057C7"/>
    <w:rsid w:val="008057CB"/>
    <w:rsid w:val="00805DFA"/>
    <w:rsid w:val="00806038"/>
    <w:rsid w:val="008063F5"/>
    <w:rsid w:val="0080649B"/>
    <w:rsid w:val="0080675A"/>
    <w:rsid w:val="00806BBE"/>
    <w:rsid w:val="00807624"/>
    <w:rsid w:val="00807FBB"/>
    <w:rsid w:val="008105E0"/>
    <w:rsid w:val="008106D2"/>
    <w:rsid w:val="0081086E"/>
    <w:rsid w:val="00810961"/>
    <w:rsid w:val="00810E28"/>
    <w:rsid w:val="00810FD3"/>
    <w:rsid w:val="008114AE"/>
    <w:rsid w:val="0081156E"/>
    <w:rsid w:val="00811766"/>
    <w:rsid w:val="00811A98"/>
    <w:rsid w:val="00811FB9"/>
    <w:rsid w:val="008124F4"/>
    <w:rsid w:val="00812824"/>
    <w:rsid w:val="00812B8B"/>
    <w:rsid w:val="00812BAE"/>
    <w:rsid w:val="00812D47"/>
    <w:rsid w:val="00812DE3"/>
    <w:rsid w:val="0081300D"/>
    <w:rsid w:val="0081370C"/>
    <w:rsid w:val="00813724"/>
    <w:rsid w:val="0081378D"/>
    <w:rsid w:val="00813C51"/>
    <w:rsid w:val="00813C79"/>
    <w:rsid w:val="00814395"/>
    <w:rsid w:val="00814516"/>
    <w:rsid w:val="00814ED3"/>
    <w:rsid w:val="00814FD0"/>
    <w:rsid w:val="008150A2"/>
    <w:rsid w:val="008158D4"/>
    <w:rsid w:val="00815D66"/>
    <w:rsid w:val="00815E40"/>
    <w:rsid w:val="00815E85"/>
    <w:rsid w:val="00815FB5"/>
    <w:rsid w:val="00815FB8"/>
    <w:rsid w:val="00815FC3"/>
    <w:rsid w:val="00816046"/>
    <w:rsid w:val="00816370"/>
    <w:rsid w:val="00816436"/>
    <w:rsid w:val="008165D1"/>
    <w:rsid w:val="008166D5"/>
    <w:rsid w:val="00816968"/>
    <w:rsid w:val="00816CCE"/>
    <w:rsid w:val="00816D10"/>
    <w:rsid w:val="00817138"/>
    <w:rsid w:val="008177A4"/>
    <w:rsid w:val="00817D39"/>
    <w:rsid w:val="0082043D"/>
    <w:rsid w:val="00820454"/>
    <w:rsid w:val="00820863"/>
    <w:rsid w:val="008208DF"/>
    <w:rsid w:val="008209C1"/>
    <w:rsid w:val="008209C9"/>
    <w:rsid w:val="00820E9A"/>
    <w:rsid w:val="0082111A"/>
    <w:rsid w:val="0082142A"/>
    <w:rsid w:val="0082143F"/>
    <w:rsid w:val="00821449"/>
    <w:rsid w:val="008216C5"/>
    <w:rsid w:val="008217AD"/>
    <w:rsid w:val="008217EF"/>
    <w:rsid w:val="00821C51"/>
    <w:rsid w:val="00821DB5"/>
    <w:rsid w:val="0082214C"/>
    <w:rsid w:val="008224F0"/>
    <w:rsid w:val="00822B19"/>
    <w:rsid w:val="00822CC5"/>
    <w:rsid w:val="00822F94"/>
    <w:rsid w:val="00823577"/>
    <w:rsid w:val="0082363C"/>
    <w:rsid w:val="00823D09"/>
    <w:rsid w:val="0082431E"/>
    <w:rsid w:val="008243A1"/>
    <w:rsid w:val="00824AFA"/>
    <w:rsid w:val="00824BC1"/>
    <w:rsid w:val="00824CE9"/>
    <w:rsid w:val="00825180"/>
    <w:rsid w:val="0082542B"/>
    <w:rsid w:val="00825431"/>
    <w:rsid w:val="00825478"/>
    <w:rsid w:val="00825721"/>
    <w:rsid w:val="00825AC4"/>
    <w:rsid w:val="00825EC4"/>
    <w:rsid w:val="00825F45"/>
    <w:rsid w:val="00826122"/>
    <w:rsid w:val="00826333"/>
    <w:rsid w:val="00826DA4"/>
    <w:rsid w:val="008271E9"/>
    <w:rsid w:val="008275BA"/>
    <w:rsid w:val="008276A7"/>
    <w:rsid w:val="00830206"/>
    <w:rsid w:val="008303DF"/>
    <w:rsid w:val="0083050C"/>
    <w:rsid w:val="00830837"/>
    <w:rsid w:val="00830900"/>
    <w:rsid w:val="00831093"/>
    <w:rsid w:val="008318B0"/>
    <w:rsid w:val="00831CBA"/>
    <w:rsid w:val="00832255"/>
    <w:rsid w:val="00832353"/>
    <w:rsid w:val="008327EF"/>
    <w:rsid w:val="008329A1"/>
    <w:rsid w:val="00832AA1"/>
    <w:rsid w:val="00832BAF"/>
    <w:rsid w:val="008330D6"/>
    <w:rsid w:val="00833247"/>
    <w:rsid w:val="008333C7"/>
    <w:rsid w:val="00833772"/>
    <w:rsid w:val="0083379E"/>
    <w:rsid w:val="0083444D"/>
    <w:rsid w:val="00834930"/>
    <w:rsid w:val="00834951"/>
    <w:rsid w:val="00834BBC"/>
    <w:rsid w:val="00834BD2"/>
    <w:rsid w:val="00834CAE"/>
    <w:rsid w:val="00834DAB"/>
    <w:rsid w:val="0083558E"/>
    <w:rsid w:val="008356BB"/>
    <w:rsid w:val="008357B2"/>
    <w:rsid w:val="00835B7D"/>
    <w:rsid w:val="00835CFC"/>
    <w:rsid w:val="00835D3C"/>
    <w:rsid w:val="008361D6"/>
    <w:rsid w:val="008363CA"/>
    <w:rsid w:val="00836503"/>
    <w:rsid w:val="00836538"/>
    <w:rsid w:val="0083657A"/>
    <w:rsid w:val="00836B2D"/>
    <w:rsid w:val="00836CFF"/>
    <w:rsid w:val="00836D9B"/>
    <w:rsid w:val="00836E5F"/>
    <w:rsid w:val="008371BF"/>
    <w:rsid w:val="008376E9"/>
    <w:rsid w:val="008379C6"/>
    <w:rsid w:val="00837B05"/>
    <w:rsid w:val="00837B3E"/>
    <w:rsid w:val="008400D5"/>
    <w:rsid w:val="008406B8"/>
    <w:rsid w:val="0084096C"/>
    <w:rsid w:val="008409CE"/>
    <w:rsid w:val="00840B0E"/>
    <w:rsid w:val="00840C9D"/>
    <w:rsid w:val="008410D7"/>
    <w:rsid w:val="008411FD"/>
    <w:rsid w:val="008413CE"/>
    <w:rsid w:val="0084157A"/>
    <w:rsid w:val="0084159C"/>
    <w:rsid w:val="008417DB"/>
    <w:rsid w:val="00841961"/>
    <w:rsid w:val="00842115"/>
    <w:rsid w:val="00842534"/>
    <w:rsid w:val="00842C9E"/>
    <w:rsid w:val="00842D0F"/>
    <w:rsid w:val="0084373B"/>
    <w:rsid w:val="0084374B"/>
    <w:rsid w:val="008443C5"/>
    <w:rsid w:val="00844859"/>
    <w:rsid w:val="0084496A"/>
    <w:rsid w:val="00844A88"/>
    <w:rsid w:val="00844CFA"/>
    <w:rsid w:val="008450AB"/>
    <w:rsid w:val="008450B0"/>
    <w:rsid w:val="00845669"/>
    <w:rsid w:val="00845823"/>
    <w:rsid w:val="00845E9B"/>
    <w:rsid w:val="00845EF7"/>
    <w:rsid w:val="00846030"/>
    <w:rsid w:val="00846742"/>
    <w:rsid w:val="00846791"/>
    <w:rsid w:val="0084679F"/>
    <w:rsid w:val="00846905"/>
    <w:rsid w:val="00846A45"/>
    <w:rsid w:val="00846AC0"/>
    <w:rsid w:val="0084735C"/>
    <w:rsid w:val="00847364"/>
    <w:rsid w:val="0084786B"/>
    <w:rsid w:val="00847E62"/>
    <w:rsid w:val="00847ECE"/>
    <w:rsid w:val="008500BF"/>
    <w:rsid w:val="00850493"/>
    <w:rsid w:val="00850722"/>
    <w:rsid w:val="00850986"/>
    <w:rsid w:val="00850C6E"/>
    <w:rsid w:val="008510D1"/>
    <w:rsid w:val="008514CD"/>
    <w:rsid w:val="008523A0"/>
    <w:rsid w:val="008524F5"/>
    <w:rsid w:val="00852731"/>
    <w:rsid w:val="00852AAC"/>
    <w:rsid w:val="00852D3E"/>
    <w:rsid w:val="0085360C"/>
    <w:rsid w:val="008536A9"/>
    <w:rsid w:val="008547A3"/>
    <w:rsid w:val="00854ACA"/>
    <w:rsid w:val="00854B0A"/>
    <w:rsid w:val="00854F6D"/>
    <w:rsid w:val="00854FBE"/>
    <w:rsid w:val="0085579C"/>
    <w:rsid w:val="00855839"/>
    <w:rsid w:val="008560B2"/>
    <w:rsid w:val="00856231"/>
    <w:rsid w:val="0085625C"/>
    <w:rsid w:val="00856307"/>
    <w:rsid w:val="0085658F"/>
    <w:rsid w:val="0085664C"/>
    <w:rsid w:val="008566F7"/>
    <w:rsid w:val="00856DCD"/>
    <w:rsid w:val="008577C1"/>
    <w:rsid w:val="0085786B"/>
    <w:rsid w:val="00857E8E"/>
    <w:rsid w:val="00857F81"/>
    <w:rsid w:val="00860194"/>
    <w:rsid w:val="0086030E"/>
    <w:rsid w:val="008613F1"/>
    <w:rsid w:val="00861468"/>
    <w:rsid w:val="0086157E"/>
    <w:rsid w:val="0086181F"/>
    <w:rsid w:val="00861BFE"/>
    <w:rsid w:val="00861D15"/>
    <w:rsid w:val="00861D79"/>
    <w:rsid w:val="00862538"/>
    <w:rsid w:val="008625D2"/>
    <w:rsid w:val="008626ED"/>
    <w:rsid w:val="008628C7"/>
    <w:rsid w:val="00862907"/>
    <w:rsid w:val="00863055"/>
    <w:rsid w:val="00863280"/>
    <w:rsid w:val="008633BB"/>
    <w:rsid w:val="008637C9"/>
    <w:rsid w:val="00864305"/>
    <w:rsid w:val="008646CC"/>
    <w:rsid w:val="00864E11"/>
    <w:rsid w:val="00865047"/>
    <w:rsid w:val="0086537C"/>
    <w:rsid w:val="0086546A"/>
    <w:rsid w:val="008655C7"/>
    <w:rsid w:val="00865EA7"/>
    <w:rsid w:val="008661C9"/>
    <w:rsid w:val="00866401"/>
    <w:rsid w:val="0086649E"/>
    <w:rsid w:val="008665F7"/>
    <w:rsid w:val="0086675A"/>
    <w:rsid w:val="00866B05"/>
    <w:rsid w:val="00866EF9"/>
    <w:rsid w:val="00867026"/>
    <w:rsid w:val="0086742B"/>
    <w:rsid w:val="00867778"/>
    <w:rsid w:val="0086792D"/>
    <w:rsid w:val="00867BA2"/>
    <w:rsid w:val="00867F7C"/>
    <w:rsid w:val="00870BED"/>
    <w:rsid w:val="00870C19"/>
    <w:rsid w:val="00870D23"/>
    <w:rsid w:val="00870D95"/>
    <w:rsid w:val="0087131F"/>
    <w:rsid w:val="00871382"/>
    <w:rsid w:val="008714A5"/>
    <w:rsid w:val="0087194A"/>
    <w:rsid w:val="00871D95"/>
    <w:rsid w:val="00871E27"/>
    <w:rsid w:val="008722EB"/>
    <w:rsid w:val="0087244F"/>
    <w:rsid w:val="008726B6"/>
    <w:rsid w:val="008727A5"/>
    <w:rsid w:val="00872E2F"/>
    <w:rsid w:val="0087305D"/>
    <w:rsid w:val="008735FC"/>
    <w:rsid w:val="00873633"/>
    <w:rsid w:val="00873698"/>
    <w:rsid w:val="00873886"/>
    <w:rsid w:val="00873C1A"/>
    <w:rsid w:val="00873CA1"/>
    <w:rsid w:val="008746D0"/>
    <w:rsid w:val="00874717"/>
    <w:rsid w:val="008749CE"/>
    <w:rsid w:val="00874B60"/>
    <w:rsid w:val="00874D59"/>
    <w:rsid w:val="008755D6"/>
    <w:rsid w:val="00875919"/>
    <w:rsid w:val="00875B78"/>
    <w:rsid w:val="00875D67"/>
    <w:rsid w:val="008760AF"/>
    <w:rsid w:val="00876416"/>
    <w:rsid w:val="008766D5"/>
    <w:rsid w:val="00876E56"/>
    <w:rsid w:val="00877242"/>
    <w:rsid w:val="0087728C"/>
    <w:rsid w:val="00877480"/>
    <w:rsid w:val="00877918"/>
    <w:rsid w:val="00877AF3"/>
    <w:rsid w:val="00877F18"/>
    <w:rsid w:val="008806C5"/>
    <w:rsid w:val="0088079A"/>
    <w:rsid w:val="00880AB9"/>
    <w:rsid w:val="00880BC1"/>
    <w:rsid w:val="00880D76"/>
    <w:rsid w:val="00880E2C"/>
    <w:rsid w:val="008814CC"/>
    <w:rsid w:val="00881545"/>
    <w:rsid w:val="00881912"/>
    <w:rsid w:val="008819F4"/>
    <w:rsid w:val="00881B5B"/>
    <w:rsid w:val="00881DFF"/>
    <w:rsid w:val="00881F38"/>
    <w:rsid w:val="008822F8"/>
    <w:rsid w:val="0088248F"/>
    <w:rsid w:val="00882738"/>
    <w:rsid w:val="008828E6"/>
    <w:rsid w:val="00882CA7"/>
    <w:rsid w:val="00883131"/>
    <w:rsid w:val="0088337E"/>
    <w:rsid w:val="00883404"/>
    <w:rsid w:val="0088365F"/>
    <w:rsid w:val="00883818"/>
    <w:rsid w:val="00883D94"/>
    <w:rsid w:val="008842BB"/>
    <w:rsid w:val="0088454F"/>
    <w:rsid w:val="00884D3D"/>
    <w:rsid w:val="00884E46"/>
    <w:rsid w:val="0088590D"/>
    <w:rsid w:val="00885BC0"/>
    <w:rsid w:val="00885E5A"/>
    <w:rsid w:val="00886034"/>
    <w:rsid w:val="00886899"/>
    <w:rsid w:val="00886A99"/>
    <w:rsid w:val="00886BD6"/>
    <w:rsid w:val="00887163"/>
    <w:rsid w:val="00887446"/>
    <w:rsid w:val="008875FF"/>
    <w:rsid w:val="00887A23"/>
    <w:rsid w:val="00890179"/>
    <w:rsid w:val="0089033F"/>
    <w:rsid w:val="00890368"/>
    <w:rsid w:val="008903B1"/>
    <w:rsid w:val="00890542"/>
    <w:rsid w:val="00890AD9"/>
    <w:rsid w:val="00890CA4"/>
    <w:rsid w:val="00890DF3"/>
    <w:rsid w:val="008910A4"/>
    <w:rsid w:val="00891106"/>
    <w:rsid w:val="0089120C"/>
    <w:rsid w:val="00891254"/>
    <w:rsid w:val="008913D2"/>
    <w:rsid w:val="00891789"/>
    <w:rsid w:val="00891B6B"/>
    <w:rsid w:val="00891C62"/>
    <w:rsid w:val="00891EE3"/>
    <w:rsid w:val="00891F0B"/>
    <w:rsid w:val="00891FA9"/>
    <w:rsid w:val="0089201A"/>
    <w:rsid w:val="00892595"/>
    <w:rsid w:val="008927AB"/>
    <w:rsid w:val="00892848"/>
    <w:rsid w:val="00892B1C"/>
    <w:rsid w:val="008934E8"/>
    <w:rsid w:val="00893A16"/>
    <w:rsid w:val="00893AC8"/>
    <w:rsid w:val="00893D81"/>
    <w:rsid w:val="00893D90"/>
    <w:rsid w:val="008946FA"/>
    <w:rsid w:val="00894DA3"/>
    <w:rsid w:val="00894FB3"/>
    <w:rsid w:val="0089573C"/>
    <w:rsid w:val="00895945"/>
    <w:rsid w:val="008959A1"/>
    <w:rsid w:val="00895A3B"/>
    <w:rsid w:val="00895E81"/>
    <w:rsid w:val="008961F5"/>
    <w:rsid w:val="008963A6"/>
    <w:rsid w:val="008964A4"/>
    <w:rsid w:val="008966E2"/>
    <w:rsid w:val="00896898"/>
    <w:rsid w:val="008969E3"/>
    <w:rsid w:val="00897164"/>
    <w:rsid w:val="00897320"/>
    <w:rsid w:val="0089788F"/>
    <w:rsid w:val="00897F7D"/>
    <w:rsid w:val="008A0170"/>
    <w:rsid w:val="008A0188"/>
    <w:rsid w:val="008A0D66"/>
    <w:rsid w:val="008A13FA"/>
    <w:rsid w:val="008A16B4"/>
    <w:rsid w:val="008A17C2"/>
    <w:rsid w:val="008A19D6"/>
    <w:rsid w:val="008A1C4B"/>
    <w:rsid w:val="008A1D3C"/>
    <w:rsid w:val="008A1FD6"/>
    <w:rsid w:val="008A2AF2"/>
    <w:rsid w:val="008A2EE7"/>
    <w:rsid w:val="008A2F12"/>
    <w:rsid w:val="008A2F1E"/>
    <w:rsid w:val="008A37F6"/>
    <w:rsid w:val="008A39A9"/>
    <w:rsid w:val="008A4038"/>
    <w:rsid w:val="008A4564"/>
    <w:rsid w:val="008A470A"/>
    <w:rsid w:val="008A470D"/>
    <w:rsid w:val="008A489B"/>
    <w:rsid w:val="008A4951"/>
    <w:rsid w:val="008A4E89"/>
    <w:rsid w:val="008A5011"/>
    <w:rsid w:val="008A54E6"/>
    <w:rsid w:val="008A575E"/>
    <w:rsid w:val="008A6028"/>
    <w:rsid w:val="008A646C"/>
    <w:rsid w:val="008A64A9"/>
    <w:rsid w:val="008A64AF"/>
    <w:rsid w:val="008A683D"/>
    <w:rsid w:val="008A6911"/>
    <w:rsid w:val="008A72A2"/>
    <w:rsid w:val="008A75C9"/>
    <w:rsid w:val="008A7825"/>
    <w:rsid w:val="008A7860"/>
    <w:rsid w:val="008A78D4"/>
    <w:rsid w:val="008A7ACC"/>
    <w:rsid w:val="008A7C12"/>
    <w:rsid w:val="008A7DE4"/>
    <w:rsid w:val="008A7F34"/>
    <w:rsid w:val="008B022B"/>
    <w:rsid w:val="008B034D"/>
    <w:rsid w:val="008B0B0F"/>
    <w:rsid w:val="008B1542"/>
    <w:rsid w:val="008B173B"/>
    <w:rsid w:val="008B1761"/>
    <w:rsid w:val="008B1BEF"/>
    <w:rsid w:val="008B1E3B"/>
    <w:rsid w:val="008B2485"/>
    <w:rsid w:val="008B24BD"/>
    <w:rsid w:val="008B24D3"/>
    <w:rsid w:val="008B27FC"/>
    <w:rsid w:val="008B2C6B"/>
    <w:rsid w:val="008B2E5B"/>
    <w:rsid w:val="008B2FBF"/>
    <w:rsid w:val="008B368D"/>
    <w:rsid w:val="008B4184"/>
    <w:rsid w:val="008B4657"/>
    <w:rsid w:val="008B4732"/>
    <w:rsid w:val="008B5117"/>
    <w:rsid w:val="008B562B"/>
    <w:rsid w:val="008B5CE2"/>
    <w:rsid w:val="008B5F67"/>
    <w:rsid w:val="008B62FF"/>
    <w:rsid w:val="008B639C"/>
    <w:rsid w:val="008B65A6"/>
    <w:rsid w:val="008B65B3"/>
    <w:rsid w:val="008B6E80"/>
    <w:rsid w:val="008B7735"/>
    <w:rsid w:val="008B7A0E"/>
    <w:rsid w:val="008B7ADD"/>
    <w:rsid w:val="008C0E31"/>
    <w:rsid w:val="008C1410"/>
    <w:rsid w:val="008C157A"/>
    <w:rsid w:val="008C1C55"/>
    <w:rsid w:val="008C269F"/>
    <w:rsid w:val="008C28E5"/>
    <w:rsid w:val="008C2CE0"/>
    <w:rsid w:val="008C2DF0"/>
    <w:rsid w:val="008C377E"/>
    <w:rsid w:val="008C37D7"/>
    <w:rsid w:val="008C3A68"/>
    <w:rsid w:val="008C3B9B"/>
    <w:rsid w:val="008C3D35"/>
    <w:rsid w:val="008C3DA0"/>
    <w:rsid w:val="008C4042"/>
    <w:rsid w:val="008C41CF"/>
    <w:rsid w:val="008C458C"/>
    <w:rsid w:val="008C4C70"/>
    <w:rsid w:val="008C52DF"/>
    <w:rsid w:val="008C54E0"/>
    <w:rsid w:val="008C5851"/>
    <w:rsid w:val="008C5B9F"/>
    <w:rsid w:val="008C5FCA"/>
    <w:rsid w:val="008C6159"/>
    <w:rsid w:val="008C627F"/>
    <w:rsid w:val="008C6AD9"/>
    <w:rsid w:val="008C6C35"/>
    <w:rsid w:val="008C6DC6"/>
    <w:rsid w:val="008C6FAB"/>
    <w:rsid w:val="008C721A"/>
    <w:rsid w:val="008C74CC"/>
    <w:rsid w:val="008C7737"/>
    <w:rsid w:val="008C781A"/>
    <w:rsid w:val="008C799A"/>
    <w:rsid w:val="008C7F9F"/>
    <w:rsid w:val="008D00B7"/>
    <w:rsid w:val="008D0571"/>
    <w:rsid w:val="008D0CBB"/>
    <w:rsid w:val="008D0FE2"/>
    <w:rsid w:val="008D1400"/>
    <w:rsid w:val="008D1D46"/>
    <w:rsid w:val="008D25F3"/>
    <w:rsid w:val="008D2834"/>
    <w:rsid w:val="008D2992"/>
    <w:rsid w:val="008D33F3"/>
    <w:rsid w:val="008D37A3"/>
    <w:rsid w:val="008D3912"/>
    <w:rsid w:val="008D3A9E"/>
    <w:rsid w:val="008D4954"/>
    <w:rsid w:val="008D4CE3"/>
    <w:rsid w:val="008D5044"/>
    <w:rsid w:val="008D506C"/>
    <w:rsid w:val="008D51CF"/>
    <w:rsid w:val="008D5508"/>
    <w:rsid w:val="008D569F"/>
    <w:rsid w:val="008D58D8"/>
    <w:rsid w:val="008D5C40"/>
    <w:rsid w:val="008D5E92"/>
    <w:rsid w:val="008D64F5"/>
    <w:rsid w:val="008D6534"/>
    <w:rsid w:val="008D65C2"/>
    <w:rsid w:val="008D677E"/>
    <w:rsid w:val="008D6D2A"/>
    <w:rsid w:val="008D70F9"/>
    <w:rsid w:val="008D719F"/>
    <w:rsid w:val="008D73BD"/>
    <w:rsid w:val="008D747C"/>
    <w:rsid w:val="008E01D8"/>
    <w:rsid w:val="008E0361"/>
    <w:rsid w:val="008E0624"/>
    <w:rsid w:val="008E0DBD"/>
    <w:rsid w:val="008E141F"/>
    <w:rsid w:val="008E24F7"/>
    <w:rsid w:val="008E2510"/>
    <w:rsid w:val="008E2752"/>
    <w:rsid w:val="008E2A1E"/>
    <w:rsid w:val="008E2A5E"/>
    <w:rsid w:val="008E2B8F"/>
    <w:rsid w:val="008E2CC6"/>
    <w:rsid w:val="008E2F72"/>
    <w:rsid w:val="008E3010"/>
    <w:rsid w:val="008E337E"/>
    <w:rsid w:val="008E35EC"/>
    <w:rsid w:val="008E39AD"/>
    <w:rsid w:val="008E3FDA"/>
    <w:rsid w:val="008E4553"/>
    <w:rsid w:val="008E455F"/>
    <w:rsid w:val="008E47AC"/>
    <w:rsid w:val="008E49F1"/>
    <w:rsid w:val="008E4E7F"/>
    <w:rsid w:val="008E4EC5"/>
    <w:rsid w:val="008E4EDF"/>
    <w:rsid w:val="008E4EE0"/>
    <w:rsid w:val="008E5343"/>
    <w:rsid w:val="008E596D"/>
    <w:rsid w:val="008E59B4"/>
    <w:rsid w:val="008E5AC1"/>
    <w:rsid w:val="008E5B11"/>
    <w:rsid w:val="008E5B63"/>
    <w:rsid w:val="008E5CF4"/>
    <w:rsid w:val="008E6155"/>
    <w:rsid w:val="008E631C"/>
    <w:rsid w:val="008E638E"/>
    <w:rsid w:val="008E64F8"/>
    <w:rsid w:val="008E6BEE"/>
    <w:rsid w:val="008E6EAA"/>
    <w:rsid w:val="008E7260"/>
    <w:rsid w:val="008E72F0"/>
    <w:rsid w:val="008E76C5"/>
    <w:rsid w:val="008E7BEE"/>
    <w:rsid w:val="008E7C40"/>
    <w:rsid w:val="008F0142"/>
    <w:rsid w:val="008F016A"/>
    <w:rsid w:val="008F0C47"/>
    <w:rsid w:val="008F0D5E"/>
    <w:rsid w:val="008F1340"/>
    <w:rsid w:val="008F184E"/>
    <w:rsid w:val="008F192F"/>
    <w:rsid w:val="008F19A6"/>
    <w:rsid w:val="008F1C49"/>
    <w:rsid w:val="008F1E72"/>
    <w:rsid w:val="008F1F38"/>
    <w:rsid w:val="008F2041"/>
    <w:rsid w:val="008F2939"/>
    <w:rsid w:val="008F2F3C"/>
    <w:rsid w:val="008F303C"/>
    <w:rsid w:val="008F3148"/>
    <w:rsid w:val="008F3331"/>
    <w:rsid w:val="008F342C"/>
    <w:rsid w:val="008F3B31"/>
    <w:rsid w:val="008F3BB5"/>
    <w:rsid w:val="008F49A4"/>
    <w:rsid w:val="008F4BE7"/>
    <w:rsid w:val="008F4E0B"/>
    <w:rsid w:val="008F4FF1"/>
    <w:rsid w:val="008F53D7"/>
    <w:rsid w:val="008F57F5"/>
    <w:rsid w:val="008F5C82"/>
    <w:rsid w:val="008F5EB6"/>
    <w:rsid w:val="008F5F51"/>
    <w:rsid w:val="008F60EE"/>
    <w:rsid w:val="008F6413"/>
    <w:rsid w:val="008F64E8"/>
    <w:rsid w:val="008F6544"/>
    <w:rsid w:val="008F6649"/>
    <w:rsid w:val="008F70E6"/>
    <w:rsid w:val="008F73E6"/>
    <w:rsid w:val="008F7598"/>
    <w:rsid w:val="008F76DB"/>
    <w:rsid w:val="00900084"/>
    <w:rsid w:val="0090070C"/>
    <w:rsid w:val="00900B04"/>
    <w:rsid w:val="00900C08"/>
    <w:rsid w:val="00900D59"/>
    <w:rsid w:val="00900E65"/>
    <w:rsid w:val="00900FE3"/>
    <w:rsid w:val="00901056"/>
    <w:rsid w:val="00901160"/>
    <w:rsid w:val="00901360"/>
    <w:rsid w:val="00901FCF"/>
    <w:rsid w:val="00902755"/>
    <w:rsid w:val="00902933"/>
    <w:rsid w:val="009029F0"/>
    <w:rsid w:val="00902A4C"/>
    <w:rsid w:val="00902B64"/>
    <w:rsid w:val="00902B73"/>
    <w:rsid w:val="00902CC8"/>
    <w:rsid w:val="00902D05"/>
    <w:rsid w:val="00902E78"/>
    <w:rsid w:val="00902EFD"/>
    <w:rsid w:val="00903D05"/>
    <w:rsid w:val="00903DB7"/>
    <w:rsid w:val="009040CC"/>
    <w:rsid w:val="0090424B"/>
    <w:rsid w:val="009048F0"/>
    <w:rsid w:val="009048F7"/>
    <w:rsid w:val="00904912"/>
    <w:rsid w:val="00904AF8"/>
    <w:rsid w:val="00904B1E"/>
    <w:rsid w:val="00905094"/>
    <w:rsid w:val="00906441"/>
    <w:rsid w:val="0090645A"/>
    <w:rsid w:val="0090659A"/>
    <w:rsid w:val="009069B5"/>
    <w:rsid w:val="00906BE2"/>
    <w:rsid w:val="00906E44"/>
    <w:rsid w:val="00906E92"/>
    <w:rsid w:val="009071E6"/>
    <w:rsid w:val="009071F5"/>
    <w:rsid w:val="00907323"/>
    <w:rsid w:val="00907384"/>
    <w:rsid w:val="009077E0"/>
    <w:rsid w:val="0090793B"/>
    <w:rsid w:val="00907AC7"/>
    <w:rsid w:val="00907B38"/>
    <w:rsid w:val="00907B63"/>
    <w:rsid w:val="00907CA2"/>
    <w:rsid w:val="00907D83"/>
    <w:rsid w:val="00910616"/>
    <w:rsid w:val="00910944"/>
    <w:rsid w:val="00911101"/>
    <w:rsid w:val="00911230"/>
    <w:rsid w:val="009118C0"/>
    <w:rsid w:val="00912A0A"/>
    <w:rsid w:val="00912DC6"/>
    <w:rsid w:val="00913135"/>
    <w:rsid w:val="00913A89"/>
    <w:rsid w:val="00913C24"/>
    <w:rsid w:val="00914752"/>
    <w:rsid w:val="009147F2"/>
    <w:rsid w:val="00914AE4"/>
    <w:rsid w:val="00914AE6"/>
    <w:rsid w:val="00914D44"/>
    <w:rsid w:val="00915591"/>
    <w:rsid w:val="009155AC"/>
    <w:rsid w:val="00915678"/>
    <w:rsid w:val="009158FE"/>
    <w:rsid w:val="00915AAE"/>
    <w:rsid w:val="00915E17"/>
    <w:rsid w:val="0091609D"/>
    <w:rsid w:val="009160B2"/>
    <w:rsid w:val="009167D2"/>
    <w:rsid w:val="009167EF"/>
    <w:rsid w:val="00916A62"/>
    <w:rsid w:val="00916B59"/>
    <w:rsid w:val="00916D2F"/>
    <w:rsid w:val="00916EF1"/>
    <w:rsid w:val="00916FFF"/>
    <w:rsid w:val="00917C1C"/>
    <w:rsid w:val="00917EE3"/>
    <w:rsid w:val="00917F64"/>
    <w:rsid w:val="00920134"/>
    <w:rsid w:val="009201F8"/>
    <w:rsid w:val="009208DE"/>
    <w:rsid w:val="00920AA5"/>
    <w:rsid w:val="00920AFD"/>
    <w:rsid w:val="00920B9A"/>
    <w:rsid w:val="00920B9C"/>
    <w:rsid w:val="00920D17"/>
    <w:rsid w:val="00921157"/>
    <w:rsid w:val="009216B7"/>
    <w:rsid w:val="0092182B"/>
    <w:rsid w:val="009219AF"/>
    <w:rsid w:val="00921D0E"/>
    <w:rsid w:val="00921FC3"/>
    <w:rsid w:val="009220B7"/>
    <w:rsid w:val="009222C9"/>
    <w:rsid w:val="009224C2"/>
    <w:rsid w:val="00922693"/>
    <w:rsid w:val="00922BC6"/>
    <w:rsid w:val="00922C54"/>
    <w:rsid w:val="0092305B"/>
    <w:rsid w:val="00923130"/>
    <w:rsid w:val="00923BA7"/>
    <w:rsid w:val="00923BF4"/>
    <w:rsid w:val="00923BFE"/>
    <w:rsid w:val="00923DC4"/>
    <w:rsid w:val="0092459D"/>
    <w:rsid w:val="00924836"/>
    <w:rsid w:val="009251B2"/>
    <w:rsid w:val="0092548F"/>
    <w:rsid w:val="0092560D"/>
    <w:rsid w:val="00925BEF"/>
    <w:rsid w:val="00925C25"/>
    <w:rsid w:val="00926008"/>
    <w:rsid w:val="00926233"/>
    <w:rsid w:val="009267E6"/>
    <w:rsid w:val="00926A08"/>
    <w:rsid w:val="00926CEE"/>
    <w:rsid w:val="00926D40"/>
    <w:rsid w:val="00926E51"/>
    <w:rsid w:val="00926F8E"/>
    <w:rsid w:val="00927061"/>
    <w:rsid w:val="009274FA"/>
    <w:rsid w:val="00927555"/>
    <w:rsid w:val="0092761D"/>
    <w:rsid w:val="0092761E"/>
    <w:rsid w:val="009277D3"/>
    <w:rsid w:val="009279C1"/>
    <w:rsid w:val="0093027F"/>
    <w:rsid w:val="009303E2"/>
    <w:rsid w:val="00930506"/>
    <w:rsid w:val="00930736"/>
    <w:rsid w:val="009309C5"/>
    <w:rsid w:val="00931268"/>
    <w:rsid w:val="00931C6B"/>
    <w:rsid w:val="00931FCF"/>
    <w:rsid w:val="00932570"/>
    <w:rsid w:val="00932BDA"/>
    <w:rsid w:val="00932CA3"/>
    <w:rsid w:val="009334AD"/>
    <w:rsid w:val="0093360C"/>
    <w:rsid w:val="009336C4"/>
    <w:rsid w:val="00933786"/>
    <w:rsid w:val="00933961"/>
    <w:rsid w:val="009340E0"/>
    <w:rsid w:val="00934110"/>
    <w:rsid w:val="009345EC"/>
    <w:rsid w:val="009349BF"/>
    <w:rsid w:val="00934A81"/>
    <w:rsid w:val="00935218"/>
    <w:rsid w:val="00935A1B"/>
    <w:rsid w:val="00935AA2"/>
    <w:rsid w:val="00935BBA"/>
    <w:rsid w:val="00935C04"/>
    <w:rsid w:val="00935DDE"/>
    <w:rsid w:val="00936530"/>
    <w:rsid w:val="00936E1F"/>
    <w:rsid w:val="009374F9"/>
    <w:rsid w:val="00937A28"/>
    <w:rsid w:val="00937EFC"/>
    <w:rsid w:val="00937F3B"/>
    <w:rsid w:val="00940680"/>
    <w:rsid w:val="00940BFB"/>
    <w:rsid w:val="00940D28"/>
    <w:rsid w:val="0094127F"/>
    <w:rsid w:val="00941300"/>
    <w:rsid w:val="00941354"/>
    <w:rsid w:val="009415AA"/>
    <w:rsid w:val="00941A84"/>
    <w:rsid w:val="00941BC5"/>
    <w:rsid w:val="00941C7F"/>
    <w:rsid w:val="00941CF2"/>
    <w:rsid w:val="009424DA"/>
    <w:rsid w:val="00942E44"/>
    <w:rsid w:val="0094302C"/>
    <w:rsid w:val="00943080"/>
    <w:rsid w:val="009439C7"/>
    <w:rsid w:val="00943A9D"/>
    <w:rsid w:val="00943DB4"/>
    <w:rsid w:val="009443B7"/>
    <w:rsid w:val="0094443B"/>
    <w:rsid w:val="009444D1"/>
    <w:rsid w:val="009448CA"/>
    <w:rsid w:val="009448EE"/>
    <w:rsid w:val="00944904"/>
    <w:rsid w:val="00944A6E"/>
    <w:rsid w:val="00944C03"/>
    <w:rsid w:val="00944F7D"/>
    <w:rsid w:val="0094547C"/>
    <w:rsid w:val="00945608"/>
    <w:rsid w:val="00945A82"/>
    <w:rsid w:val="00945D08"/>
    <w:rsid w:val="0094610B"/>
    <w:rsid w:val="009465C3"/>
    <w:rsid w:val="0094674B"/>
    <w:rsid w:val="00946B2C"/>
    <w:rsid w:val="00946C1B"/>
    <w:rsid w:val="00946F16"/>
    <w:rsid w:val="00946F6E"/>
    <w:rsid w:val="00947026"/>
    <w:rsid w:val="009470D0"/>
    <w:rsid w:val="009470EA"/>
    <w:rsid w:val="009472AD"/>
    <w:rsid w:val="009474DF"/>
    <w:rsid w:val="00947686"/>
    <w:rsid w:val="00950067"/>
    <w:rsid w:val="0095138B"/>
    <w:rsid w:val="009513C6"/>
    <w:rsid w:val="00951914"/>
    <w:rsid w:val="00951BF8"/>
    <w:rsid w:val="00951BFA"/>
    <w:rsid w:val="00951FB4"/>
    <w:rsid w:val="00952148"/>
    <w:rsid w:val="009527B4"/>
    <w:rsid w:val="00952DAB"/>
    <w:rsid w:val="00952E13"/>
    <w:rsid w:val="009532E1"/>
    <w:rsid w:val="0095375C"/>
    <w:rsid w:val="009538C3"/>
    <w:rsid w:val="00953A01"/>
    <w:rsid w:val="00954022"/>
    <w:rsid w:val="00954067"/>
    <w:rsid w:val="009545A2"/>
    <w:rsid w:val="00954AB5"/>
    <w:rsid w:val="00954AFB"/>
    <w:rsid w:val="00954B2F"/>
    <w:rsid w:val="00954DA7"/>
    <w:rsid w:val="00954EA2"/>
    <w:rsid w:val="00954F9B"/>
    <w:rsid w:val="0095574C"/>
    <w:rsid w:val="00955D92"/>
    <w:rsid w:val="00956763"/>
    <w:rsid w:val="00956B74"/>
    <w:rsid w:val="00956D3E"/>
    <w:rsid w:val="00956DF3"/>
    <w:rsid w:val="009570CD"/>
    <w:rsid w:val="0095719B"/>
    <w:rsid w:val="0095756E"/>
    <w:rsid w:val="0095765A"/>
    <w:rsid w:val="009576C8"/>
    <w:rsid w:val="009578F5"/>
    <w:rsid w:val="00957AC8"/>
    <w:rsid w:val="00957CDE"/>
    <w:rsid w:val="00957F1A"/>
    <w:rsid w:val="0096064D"/>
    <w:rsid w:val="009606B1"/>
    <w:rsid w:val="00960958"/>
    <w:rsid w:val="009614FD"/>
    <w:rsid w:val="00962124"/>
    <w:rsid w:val="00962C18"/>
    <w:rsid w:val="00962D1A"/>
    <w:rsid w:val="00962D34"/>
    <w:rsid w:val="00963284"/>
    <w:rsid w:val="009632FF"/>
    <w:rsid w:val="009636AE"/>
    <w:rsid w:val="009636E0"/>
    <w:rsid w:val="00963ED5"/>
    <w:rsid w:val="009644B8"/>
    <w:rsid w:val="00964A69"/>
    <w:rsid w:val="00964DAD"/>
    <w:rsid w:val="00965284"/>
    <w:rsid w:val="009652BB"/>
    <w:rsid w:val="009652DD"/>
    <w:rsid w:val="00965358"/>
    <w:rsid w:val="00965C6F"/>
    <w:rsid w:val="00965FCE"/>
    <w:rsid w:val="00966019"/>
    <w:rsid w:val="00966148"/>
    <w:rsid w:val="009666E8"/>
    <w:rsid w:val="00966E0B"/>
    <w:rsid w:val="00966ECC"/>
    <w:rsid w:val="00967009"/>
    <w:rsid w:val="009671AA"/>
    <w:rsid w:val="009674A3"/>
    <w:rsid w:val="009675F4"/>
    <w:rsid w:val="00967A76"/>
    <w:rsid w:val="00970046"/>
    <w:rsid w:val="00970110"/>
    <w:rsid w:val="00970142"/>
    <w:rsid w:val="0097065F"/>
    <w:rsid w:val="009706BC"/>
    <w:rsid w:val="009707AC"/>
    <w:rsid w:val="009708F5"/>
    <w:rsid w:val="0097093D"/>
    <w:rsid w:val="00970B86"/>
    <w:rsid w:val="00970EDC"/>
    <w:rsid w:val="0097135B"/>
    <w:rsid w:val="00971AF7"/>
    <w:rsid w:val="00971F8C"/>
    <w:rsid w:val="0097239E"/>
    <w:rsid w:val="009724BE"/>
    <w:rsid w:val="009729E9"/>
    <w:rsid w:val="00972F5B"/>
    <w:rsid w:val="0097336B"/>
    <w:rsid w:val="0097344D"/>
    <w:rsid w:val="009734BF"/>
    <w:rsid w:val="00973641"/>
    <w:rsid w:val="0097371F"/>
    <w:rsid w:val="009737CE"/>
    <w:rsid w:val="00973810"/>
    <w:rsid w:val="009739B0"/>
    <w:rsid w:val="00973CF6"/>
    <w:rsid w:val="009740FB"/>
    <w:rsid w:val="0097421C"/>
    <w:rsid w:val="00974A7B"/>
    <w:rsid w:val="009754A4"/>
    <w:rsid w:val="009756D8"/>
    <w:rsid w:val="009757F6"/>
    <w:rsid w:val="00975882"/>
    <w:rsid w:val="00975A5B"/>
    <w:rsid w:val="00975D79"/>
    <w:rsid w:val="00975E0B"/>
    <w:rsid w:val="00975FA7"/>
    <w:rsid w:val="0097627C"/>
    <w:rsid w:val="00976448"/>
    <w:rsid w:val="00976A45"/>
    <w:rsid w:val="00977640"/>
    <w:rsid w:val="0097785B"/>
    <w:rsid w:val="00977AEF"/>
    <w:rsid w:val="00977B2E"/>
    <w:rsid w:val="00977BD3"/>
    <w:rsid w:val="00977E4C"/>
    <w:rsid w:val="0098000E"/>
    <w:rsid w:val="00980163"/>
    <w:rsid w:val="00981338"/>
    <w:rsid w:val="00981A2E"/>
    <w:rsid w:val="00981FCA"/>
    <w:rsid w:val="00982047"/>
    <w:rsid w:val="00982659"/>
    <w:rsid w:val="00982BAF"/>
    <w:rsid w:val="00982D83"/>
    <w:rsid w:val="00982DEF"/>
    <w:rsid w:val="00982F34"/>
    <w:rsid w:val="00983037"/>
    <w:rsid w:val="00983418"/>
    <w:rsid w:val="009834F6"/>
    <w:rsid w:val="009838D7"/>
    <w:rsid w:val="00983C16"/>
    <w:rsid w:val="00983D57"/>
    <w:rsid w:val="00983F9C"/>
    <w:rsid w:val="009840A6"/>
    <w:rsid w:val="009843AF"/>
    <w:rsid w:val="00984470"/>
    <w:rsid w:val="009847AD"/>
    <w:rsid w:val="00984AC5"/>
    <w:rsid w:val="00984B59"/>
    <w:rsid w:val="00984B7C"/>
    <w:rsid w:val="00985071"/>
    <w:rsid w:val="009852F7"/>
    <w:rsid w:val="0098589E"/>
    <w:rsid w:val="00985AE6"/>
    <w:rsid w:val="009869D6"/>
    <w:rsid w:val="00986D14"/>
    <w:rsid w:val="009874D7"/>
    <w:rsid w:val="00987787"/>
    <w:rsid w:val="009878EB"/>
    <w:rsid w:val="00987A65"/>
    <w:rsid w:val="00987CCB"/>
    <w:rsid w:val="00987D3C"/>
    <w:rsid w:val="00987E8F"/>
    <w:rsid w:val="00987F06"/>
    <w:rsid w:val="009902B6"/>
    <w:rsid w:val="00990AC0"/>
    <w:rsid w:val="00990C38"/>
    <w:rsid w:val="00990C73"/>
    <w:rsid w:val="00990D5D"/>
    <w:rsid w:val="00991017"/>
    <w:rsid w:val="0099138F"/>
    <w:rsid w:val="00991643"/>
    <w:rsid w:val="009917F9"/>
    <w:rsid w:val="0099193D"/>
    <w:rsid w:val="00991AE4"/>
    <w:rsid w:val="0099277E"/>
    <w:rsid w:val="00992D2B"/>
    <w:rsid w:val="00992E5A"/>
    <w:rsid w:val="00993151"/>
    <w:rsid w:val="0099344C"/>
    <w:rsid w:val="009935EA"/>
    <w:rsid w:val="0099365C"/>
    <w:rsid w:val="0099388E"/>
    <w:rsid w:val="00993C60"/>
    <w:rsid w:val="00994162"/>
    <w:rsid w:val="0099425C"/>
    <w:rsid w:val="0099445B"/>
    <w:rsid w:val="00994663"/>
    <w:rsid w:val="00994990"/>
    <w:rsid w:val="00994A67"/>
    <w:rsid w:val="0099501E"/>
    <w:rsid w:val="009952AF"/>
    <w:rsid w:val="00995A53"/>
    <w:rsid w:val="009964BC"/>
    <w:rsid w:val="00996740"/>
    <w:rsid w:val="0099686B"/>
    <w:rsid w:val="00996BB5"/>
    <w:rsid w:val="00996C5E"/>
    <w:rsid w:val="00996F1E"/>
    <w:rsid w:val="00996F9F"/>
    <w:rsid w:val="0099747E"/>
    <w:rsid w:val="009976C2"/>
    <w:rsid w:val="009A01AE"/>
    <w:rsid w:val="009A039E"/>
    <w:rsid w:val="009A041C"/>
    <w:rsid w:val="009A04AB"/>
    <w:rsid w:val="009A0619"/>
    <w:rsid w:val="009A0728"/>
    <w:rsid w:val="009A0C3D"/>
    <w:rsid w:val="009A19D2"/>
    <w:rsid w:val="009A1C6E"/>
    <w:rsid w:val="009A1F0D"/>
    <w:rsid w:val="009A20CB"/>
    <w:rsid w:val="009A20EC"/>
    <w:rsid w:val="009A2540"/>
    <w:rsid w:val="009A28BC"/>
    <w:rsid w:val="009A291F"/>
    <w:rsid w:val="009A2B65"/>
    <w:rsid w:val="009A2B7F"/>
    <w:rsid w:val="009A2B98"/>
    <w:rsid w:val="009A2CE3"/>
    <w:rsid w:val="009A2F29"/>
    <w:rsid w:val="009A3180"/>
    <w:rsid w:val="009A3F09"/>
    <w:rsid w:val="009A4485"/>
    <w:rsid w:val="009A44E6"/>
    <w:rsid w:val="009A4682"/>
    <w:rsid w:val="009A48D2"/>
    <w:rsid w:val="009A4F12"/>
    <w:rsid w:val="009A5094"/>
    <w:rsid w:val="009A5107"/>
    <w:rsid w:val="009A54F3"/>
    <w:rsid w:val="009A59BD"/>
    <w:rsid w:val="009A5B2B"/>
    <w:rsid w:val="009A5DFD"/>
    <w:rsid w:val="009A5E47"/>
    <w:rsid w:val="009A6188"/>
    <w:rsid w:val="009A634B"/>
    <w:rsid w:val="009A66A1"/>
    <w:rsid w:val="009A673C"/>
    <w:rsid w:val="009A6B8B"/>
    <w:rsid w:val="009A6E67"/>
    <w:rsid w:val="009A6F13"/>
    <w:rsid w:val="009A6FCF"/>
    <w:rsid w:val="009A7010"/>
    <w:rsid w:val="009A7028"/>
    <w:rsid w:val="009A7350"/>
    <w:rsid w:val="009A75C2"/>
    <w:rsid w:val="009A762D"/>
    <w:rsid w:val="009A7671"/>
    <w:rsid w:val="009A7860"/>
    <w:rsid w:val="009A78B7"/>
    <w:rsid w:val="009A7AF5"/>
    <w:rsid w:val="009B0172"/>
    <w:rsid w:val="009B05C3"/>
    <w:rsid w:val="009B06A2"/>
    <w:rsid w:val="009B0904"/>
    <w:rsid w:val="009B0E9A"/>
    <w:rsid w:val="009B1018"/>
    <w:rsid w:val="009B11D1"/>
    <w:rsid w:val="009B138A"/>
    <w:rsid w:val="009B165C"/>
    <w:rsid w:val="009B1965"/>
    <w:rsid w:val="009B1A4E"/>
    <w:rsid w:val="009B1AFA"/>
    <w:rsid w:val="009B2335"/>
    <w:rsid w:val="009B2530"/>
    <w:rsid w:val="009B255A"/>
    <w:rsid w:val="009B280B"/>
    <w:rsid w:val="009B2850"/>
    <w:rsid w:val="009B2DCC"/>
    <w:rsid w:val="009B2EB5"/>
    <w:rsid w:val="009B3819"/>
    <w:rsid w:val="009B40EA"/>
    <w:rsid w:val="009B4169"/>
    <w:rsid w:val="009B42F7"/>
    <w:rsid w:val="009B4683"/>
    <w:rsid w:val="009B46D2"/>
    <w:rsid w:val="009B4D4C"/>
    <w:rsid w:val="009B60F9"/>
    <w:rsid w:val="009B6122"/>
    <w:rsid w:val="009B6271"/>
    <w:rsid w:val="009B6455"/>
    <w:rsid w:val="009B665C"/>
    <w:rsid w:val="009B6952"/>
    <w:rsid w:val="009B6A38"/>
    <w:rsid w:val="009B70AE"/>
    <w:rsid w:val="009B7A7E"/>
    <w:rsid w:val="009B7BFD"/>
    <w:rsid w:val="009B7CB1"/>
    <w:rsid w:val="009B7D25"/>
    <w:rsid w:val="009B7D56"/>
    <w:rsid w:val="009B7DB0"/>
    <w:rsid w:val="009C00DE"/>
    <w:rsid w:val="009C0137"/>
    <w:rsid w:val="009C0390"/>
    <w:rsid w:val="009C0A62"/>
    <w:rsid w:val="009C16F7"/>
    <w:rsid w:val="009C1A83"/>
    <w:rsid w:val="009C1DE2"/>
    <w:rsid w:val="009C2018"/>
    <w:rsid w:val="009C2049"/>
    <w:rsid w:val="009C26DE"/>
    <w:rsid w:val="009C273C"/>
    <w:rsid w:val="009C299A"/>
    <w:rsid w:val="009C2D33"/>
    <w:rsid w:val="009C3359"/>
    <w:rsid w:val="009C3E49"/>
    <w:rsid w:val="009C41D4"/>
    <w:rsid w:val="009C4380"/>
    <w:rsid w:val="009C45A6"/>
    <w:rsid w:val="009C46BD"/>
    <w:rsid w:val="009C475F"/>
    <w:rsid w:val="009C4E88"/>
    <w:rsid w:val="009C565C"/>
    <w:rsid w:val="009C58EB"/>
    <w:rsid w:val="009C6641"/>
    <w:rsid w:val="009C6815"/>
    <w:rsid w:val="009C6ABA"/>
    <w:rsid w:val="009C6C63"/>
    <w:rsid w:val="009C6EF3"/>
    <w:rsid w:val="009C72C2"/>
    <w:rsid w:val="009C7429"/>
    <w:rsid w:val="009D029D"/>
    <w:rsid w:val="009D0303"/>
    <w:rsid w:val="009D0709"/>
    <w:rsid w:val="009D0741"/>
    <w:rsid w:val="009D079F"/>
    <w:rsid w:val="009D0AB2"/>
    <w:rsid w:val="009D0C38"/>
    <w:rsid w:val="009D1164"/>
    <w:rsid w:val="009D13A2"/>
    <w:rsid w:val="009D15C5"/>
    <w:rsid w:val="009D1763"/>
    <w:rsid w:val="009D185A"/>
    <w:rsid w:val="009D18F0"/>
    <w:rsid w:val="009D1AFE"/>
    <w:rsid w:val="009D253E"/>
    <w:rsid w:val="009D26F2"/>
    <w:rsid w:val="009D2A0F"/>
    <w:rsid w:val="009D2D81"/>
    <w:rsid w:val="009D2FF4"/>
    <w:rsid w:val="009D332F"/>
    <w:rsid w:val="009D33F4"/>
    <w:rsid w:val="009D35B2"/>
    <w:rsid w:val="009D3906"/>
    <w:rsid w:val="009D3CBA"/>
    <w:rsid w:val="009D467B"/>
    <w:rsid w:val="009D47CF"/>
    <w:rsid w:val="009D49BE"/>
    <w:rsid w:val="009D4FED"/>
    <w:rsid w:val="009D52EC"/>
    <w:rsid w:val="009D590B"/>
    <w:rsid w:val="009D5AB2"/>
    <w:rsid w:val="009D5C8D"/>
    <w:rsid w:val="009D5FE1"/>
    <w:rsid w:val="009D607A"/>
    <w:rsid w:val="009D6218"/>
    <w:rsid w:val="009D655D"/>
    <w:rsid w:val="009D695C"/>
    <w:rsid w:val="009D6A4A"/>
    <w:rsid w:val="009D6B54"/>
    <w:rsid w:val="009D6FA1"/>
    <w:rsid w:val="009D7323"/>
    <w:rsid w:val="009D73CF"/>
    <w:rsid w:val="009D73D4"/>
    <w:rsid w:val="009D7A0F"/>
    <w:rsid w:val="009E028D"/>
    <w:rsid w:val="009E03E6"/>
    <w:rsid w:val="009E08B0"/>
    <w:rsid w:val="009E0952"/>
    <w:rsid w:val="009E0BEF"/>
    <w:rsid w:val="009E197C"/>
    <w:rsid w:val="009E1A21"/>
    <w:rsid w:val="009E1B88"/>
    <w:rsid w:val="009E1DB4"/>
    <w:rsid w:val="009E1E1E"/>
    <w:rsid w:val="009E23B2"/>
    <w:rsid w:val="009E296E"/>
    <w:rsid w:val="009E2D23"/>
    <w:rsid w:val="009E3287"/>
    <w:rsid w:val="009E39BB"/>
    <w:rsid w:val="009E3F6E"/>
    <w:rsid w:val="009E3FE1"/>
    <w:rsid w:val="009E449E"/>
    <w:rsid w:val="009E45CF"/>
    <w:rsid w:val="009E487F"/>
    <w:rsid w:val="009E4C9E"/>
    <w:rsid w:val="009E555B"/>
    <w:rsid w:val="009E56A7"/>
    <w:rsid w:val="009E575C"/>
    <w:rsid w:val="009E5975"/>
    <w:rsid w:val="009E5BEC"/>
    <w:rsid w:val="009E5D4D"/>
    <w:rsid w:val="009E61FC"/>
    <w:rsid w:val="009E6775"/>
    <w:rsid w:val="009E6C47"/>
    <w:rsid w:val="009E7916"/>
    <w:rsid w:val="009E7B41"/>
    <w:rsid w:val="009E7D17"/>
    <w:rsid w:val="009F0094"/>
    <w:rsid w:val="009F023A"/>
    <w:rsid w:val="009F0653"/>
    <w:rsid w:val="009F065D"/>
    <w:rsid w:val="009F0A21"/>
    <w:rsid w:val="009F1DD9"/>
    <w:rsid w:val="009F1EC8"/>
    <w:rsid w:val="009F22FF"/>
    <w:rsid w:val="009F2409"/>
    <w:rsid w:val="009F2828"/>
    <w:rsid w:val="009F2A61"/>
    <w:rsid w:val="009F2A87"/>
    <w:rsid w:val="009F2DB2"/>
    <w:rsid w:val="009F2DCA"/>
    <w:rsid w:val="009F3083"/>
    <w:rsid w:val="009F37E6"/>
    <w:rsid w:val="009F3A61"/>
    <w:rsid w:val="009F3AB3"/>
    <w:rsid w:val="009F4439"/>
    <w:rsid w:val="009F4690"/>
    <w:rsid w:val="009F4980"/>
    <w:rsid w:val="009F4E06"/>
    <w:rsid w:val="009F507D"/>
    <w:rsid w:val="009F5117"/>
    <w:rsid w:val="009F53B0"/>
    <w:rsid w:val="009F54D5"/>
    <w:rsid w:val="009F5BCD"/>
    <w:rsid w:val="009F6078"/>
    <w:rsid w:val="009F6407"/>
    <w:rsid w:val="009F69A8"/>
    <w:rsid w:val="009F6A2A"/>
    <w:rsid w:val="009F6B3F"/>
    <w:rsid w:val="009F7132"/>
    <w:rsid w:val="009F71BC"/>
    <w:rsid w:val="009F73A5"/>
    <w:rsid w:val="009F7CCB"/>
    <w:rsid w:val="00A00007"/>
    <w:rsid w:val="00A000A2"/>
    <w:rsid w:val="00A00450"/>
    <w:rsid w:val="00A004DE"/>
    <w:rsid w:val="00A005C4"/>
    <w:rsid w:val="00A00BCD"/>
    <w:rsid w:val="00A00ED1"/>
    <w:rsid w:val="00A012F2"/>
    <w:rsid w:val="00A01480"/>
    <w:rsid w:val="00A0155D"/>
    <w:rsid w:val="00A01C69"/>
    <w:rsid w:val="00A022BD"/>
    <w:rsid w:val="00A02382"/>
    <w:rsid w:val="00A028C3"/>
    <w:rsid w:val="00A02B9C"/>
    <w:rsid w:val="00A02EA3"/>
    <w:rsid w:val="00A031D3"/>
    <w:rsid w:val="00A031E1"/>
    <w:rsid w:val="00A036F7"/>
    <w:rsid w:val="00A03766"/>
    <w:rsid w:val="00A037E9"/>
    <w:rsid w:val="00A03826"/>
    <w:rsid w:val="00A03A80"/>
    <w:rsid w:val="00A03F1C"/>
    <w:rsid w:val="00A040BC"/>
    <w:rsid w:val="00A040E4"/>
    <w:rsid w:val="00A0445E"/>
    <w:rsid w:val="00A04796"/>
    <w:rsid w:val="00A048FB"/>
    <w:rsid w:val="00A05064"/>
    <w:rsid w:val="00A055FD"/>
    <w:rsid w:val="00A057EA"/>
    <w:rsid w:val="00A05984"/>
    <w:rsid w:val="00A05B0C"/>
    <w:rsid w:val="00A0617A"/>
    <w:rsid w:val="00A06203"/>
    <w:rsid w:val="00A0649E"/>
    <w:rsid w:val="00A06625"/>
    <w:rsid w:val="00A06C82"/>
    <w:rsid w:val="00A0724A"/>
    <w:rsid w:val="00A07397"/>
    <w:rsid w:val="00A07561"/>
    <w:rsid w:val="00A077AB"/>
    <w:rsid w:val="00A077F7"/>
    <w:rsid w:val="00A07C47"/>
    <w:rsid w:val="00A07FA9"/>
    <w:rsid w:val="00A10938"/>
    <w:rsid w:val="00A11178"/>
    <w:rsid w:val="00A113A9"/>
    <w:rsid w:val="00A11A0B"/>
    <w:rsid w:val="00A11B70"/>
    <w:rsid w:val="00A11EF1"/>
    <w:rsid w:val="00A12BDE"/>
    <w:rsid w:val="00A12CFF"/>
    <w:rsid w:val="00A133C7"/>
    <w:rsid w:val="00A13430"/>
    <w:rsid w:val="00A143C6"/>
    <w:rsid w:val="00A1458D"/>
    <w:rsid w:val="00A146A6"/>
    <w:rsid w:val="00A149F2"/>
    <w:rsid w:val="00A14DF0"/>
    <w:rsid w:val="00A1509C"/>
    <w:rsid w:val="00A157F6"/>
    <w:rsid w:val="00A15834"/>
    <w:rsid w:val="00A15E4F"/>
    <w:rsid w:val="00A1633A"/>
    <w:rsid w:val="00A16688"/>
    <w:rsid w:val="00A16BC8"/>
    <w:rsid w:val="00A16DD6"/>
    <w:rsid w:val="00A16DED"/>
    <w:rsid w:val="00A17195"/>
    <w:rsid w:val="00A174F0"/>
    <w:rsid w:val="00A17945"/>
    <w:rsid w:val="00A20105"/>
    <w:rsid w:val="00A20691"/>
    <w:rsid w:val="00A206F3"/>
    <w:rsid w:val="00A207CF"/>
    <w:rsid w:val="00A208B7"/>
    <w:rsid w:val="00A2099D"/>
    <w:rsid w:val="00A20B67"/>
    <w:rsid w:val="00A20CFE"/>
    <w:rsid w:val="00A20E26"/>
    <w:rsid w:val="00A20F11"/>
    <w:rsid w:val="00A212AB"/>
    <w:rsid w:val="00A219EC"/>
    <w:rsid w:val="00A21B44"/>
    <w:rsid w:val="00A22175"/>
    <w:rsid w:val="00A223BA"/>
    <w:rsid w:val="00A22449"/>
    <w:rsid w:val="00A224EA"/>
    <w:rsid w:val="00A225BC"/>
    <w:rsid w:val="00A2261A"/>
    <w:rsid w:val="00A2262C"/>
    <w:rsid w:val="00A22A39"/>
    <w:rsid w:val="00A23042"/>
    <w:rsid w:val="00A230AE"/>
    <w:rsid w:val="00A230F3"/>
    <w:rsid w:val="00A23176"/>
    <w:rsid w:val="00A23544"/>
    <w:rsid w:val="00A23722"/>
    <w:rsid w:val="00A23CEA"/>
    <w:rsid w:val="00A24533"/>
    <w:rsid w:val="00A245A1"/>
    <w:rsid w:val="00A2468A"/>
    <w:rsid w:val="00A255A5"/>
    <w:rsid w:val="00A256C7"/>
    <w:rsid w:val="00A25700"/>
    <w:rsid w:val="00A2580D"/>
    <w:rsid w:val="00A259DD"/>
    <w:rsid w:val="00A25A10"/>
    <w:rsid w:val="00A26290"/>
    <w:rsid w:val="00A26E6A"/>
    <w:rsid w:val="00A2707B"/>
    <w:rsid w:val="00A2755A"/>
    <w:rsid w:val="00A277C0"/>
    <w:rsid w:val="00A27879"/>
    <w:rsid w:val="00A2788F"/>
    <w:rsid w:val="00A27B2F"/>
    <w:rsid w:val="00A27B6E"/>
    <w:rsid w:val="00A303ED"/>
    <w:rsid w:val="00A304C3"/>
    <w:rsid w:val="00A30F9F"/>
    <w:rsid w:val="00A311F0"/>
    <w:rsid w:val="00A315A1"/>
    <w:rsid w:val="00A31E84"/>
    <w:rsid w:val="00A32377"/>
    <w:rsid w:val="00A32681"/>
    <w:rsid w:val="00A327AC"/>
    <w:rsid w:val="00A32A1B"/>
    <w:rsid w:val="00A332E1"/>
    <w:rsid w:val="00A33309"/>
    <w:rsid w:val="00A3350C"/>
    <w:rsid w:val="00A338FA"/>
    <w:rsid w:val="00A33A90"/>
    <w:rsid w:val="00A33EB8"/>
    <w:rsid w:val="00A344EA"/>
    <w:rsid w:val="00A345F1"/>
    <w:rsid w:val="00A3481C"/>
    <w:rsid w:val="00A348F1"/>
    <w:rsid w:val="00A34BAD"/>
    <w:rsid w:val="00A3537C"/>
    <w:rsid w:val="00A35984"/>
    <w:rsid w:val="00A359B7"/>
    <w:rsid w:val="00A3650F"/>
    <w:rsid w:val="00A36D19"/>
    <w:rsid w:val="00A36D69"/>
    <w:rsid w:val="00A36E10"/>
    <w:rsid w:val="00A371F6"/>
    <w:rsid w:val="00A37738"/>
    <w:rsid w:val="00A377C6"/>
    <w:rsid w:val="00A37EF8"/>
    <w:rsid w:val="00A401DC"/>
    <w:rsid w:val="00A40D42"/>
    <w:rsid w:val="00A4124D"/>
    <w:rsid w:val="00A41320"/>
    <w:rsid w:val="00A41CE3"/>
    <w:rsid w:val="00A420EE"/>
    <w:rsid w:val="00A421F4"/>
    <w:rsid w:val="00A42C7E"/>
    <w:rsid w:val="00A43333"/>
    <w:rsid w:val="00A4347A"/>
    <w:rsid w:val="00A434A6"/>
    <w:rsid w:val="00A442F1"/>
    <w:rsid w:val="00A446E1"/>
    <w:rsid w:val="00A4487B"/>
    <w:rsid w:val="00A449F6"/>
    <w:rsid w:val="00A44B1C"/>
    <w:rsid w:val="00A44BD6"/>
    <w:rsid w:val="00A44BEE"/>
    <w:rsid w:val="00A44BFC"/>
    <w:rsid w:val="00A44CE6"/>
    <w:rsid w:val="00A44F42"/>
    <w:rsid w:val="00A4518F"/>
    <w:rsid w:val="00A46646"/>
    <w:rsid w:val="00A466FC"/>
    <w:rsid w:val="00A467A9"/>
    <w:rsid w:val="00A469B0"/>
    <w:rsid w:val="00A46C3E"/>
    <w:rsid w:val="00A46DAE"/>
    <w:rsid w:val="00A47076"/>
    <w:rsid w:val="00A47325"/>
    <w:rsid w:val="00A47647"/>
    <w:rsid w:val="00A4778A"/>
    <w:rsid w:val="00A47BFD"/>
    <w:rsid w:val="00A502F3"/>
    <w:rsid w:val="00A5041D"/>
    <w:rsid w:val="00A50507"/>
    <w:rsid w:val="00A506C6"/>
    <w:rsid w:val="00A50ABC"/>
    <w:rsid w:val="00A50B6F"/>
    <w:rsid w:val="00A51203"/>
    <w:rsid w:val="00A512E5"/>
    <w:rsid w:val="00A512F6"/>
    <w:rsid w:val="00A518D8"/>
    <w:rsid w:val="00A520A3"/>
    <w:rsid w:val="00A5219D"/>
    <w:rsid w:val="00A521C7"/>
    <w:rsid w:val="00A5266C"/>
    <w:rsid w:val="00A528E6"/>
    <w:rsid w:val="00A52AC8"/>
    <w:rsid w:val="00A52B31"/>
    <w:rsid w:val="00A52CA5"/>
    <w:rsid w:val="00A531B9"/>
    <w:rsid w:val="00A535D3"/>
    <w:rsid w:val="00A53943"/>
    <w:rsid w:val="00A53944"/>
    <w:rsid w:val="00A539D3"/>
    <w:rsid w:val="00A53A0D"/>
    <w:rsid w:val="00A53BA1"/>
    <w:rsid w:val="00A53BA9"/>
    <w:rsid w:val="00A53F4B"/>
    <w:rsid w:val="00A541E4"/>
    <w:rsid w:val="00A542AA"/>
    <w:rsid w:val="00A54DC9"/>
    <w:rsid w:val="00A54EEF"/>
    <w:rsid w:val="00A54FFA"/>
    <w:rsid w:val="00A55209"/>
    <w:rsid w:val="00A5565A"/>
    <w:rsid w:val="00A5585C"/>
    <w:rsid w:val="00A5587F"/>
    <w:rsid w:val="00A55F74"/>
    <w:rsid w:val="00A55F7C"/>
    <w:rsid w:val="00A55FFB"/>
    <w:rsid w:val="00A560DC"/>
    <w:rsid w:val="00A5659B"/>
    <w:rsid w:val="00A566FD"/>
    <w:rsid w:val="00A56835"/>
    <w:rsid w:val="00A569BD"/>
    <w:rsid w:val="00A56BDE"/>
    <w:rsid w:val="00A57220"/>
    <w:rsid w:val="00A572E0"/>
    <w:rsid w:val="00A5755F"/>
    <w:rsid w:val="00A577B3"/>
    <w:rsid w:val="00A57BA7"/>
    <w:rsid w:val="00A57D22"/>
    <w:rsid w:val="00A57DBC"/>
    <w:rsid w:val="00A600DB"/>
    <w:rsid w:val="00A601D4"/>
    <w:rsid w:val="00A603D6"/>
    <w:rsid w:val="00A6063E"/>
    <w:rsid w:val="00A60871"/>
    <w:rsid w:val="00A609B0"/>
    <w:rsid w:val="00A60A61"/>
    <w:rsid w:val="00A60E3B"/>
    <w:rsid w:val="00A61398"/>
    <w:rsid w:val="00A61607"/>
    <w:rsid w:val="00A616CC"/>
    <w:rsid w:val="00A61C86"/>
    <w:rsid w:val="00A6226F"/>
    <w:rsid w:val="00A628E2"/>
    <w:rsid w:val="00A62B9E"/>
    <w:rsid w:val="00A630E2"/>
    <w:rsid w:val="00A6313D"/>
    <w:rsid w:val="00A63581"/>
    <w:rsid w:val="00A63B01"/>
    <w:rsid w:val="00A63CCC"/>
    <w:rsid w:val="00A63E98"/>
    <w:rsid w:val="00A6413E"/>
    <w:rsid w:val="00A6416A"/>
    <w:rsid w:val="00A64451"/>
    <w:rsid w:val="00A648CF"/>
    <w:rsid w:val="00A64CD4"/>
    <w:rsid w:val="00A64EA2"/>
    <w:rsid w:val="00A64FBF"/>
    <w:rsid w:val="00A65A81"/>
    <w:rsid w:val="00A65E0A"/>
    <w:rsid w:val="00A66032"/>
    <w:rsid w:val="00A6623F"/>
    <w:rsid w:val="00A66459"/>
    <w:rsid w:val="00A66580"/>
    <w:rsid w:val="00A6680B"/>
    <w:rsid w:val="00A66EFE"/>
    <w:rsid w:val="00A67A82"/>
    <w:rsid w:val="00A67FD1"/>
    <w:rsid w:val="00A70251"/>
    <w:rsid w:val="00A702E1"/>
    <w:rsid w:val="00A703B8"/>
    <w:rsid w:val="00A70A15"/>
    <w:rsid w:val="00A70DFF"/>
    <w:rsid w:val="00A70F53"/>
    <w:rsid w:val="00A70FC2"/>
    <w:rsid w:val="00A71045"/>
    <w:rsid w:val="00A7180A"/>
    <w:rsid w:val="00A7180B"/>
    <w:rsid w:val="00A71B32"/>
    <w:rsid w:val="00A72270"/>
    <w:rsid w:val="00A72541"/>
    <w:rsid w:val="00A72DAB"/>
    <w:rsid w:val="00A72F4A"/>
    <w:rsid w:val="00A73026"/>
    <w:rsid w:val="00A73217"/>
    <w:rsid w:val="00A732CD"/>
    <w:rsid w:val="00A73406"/>
    <w:rsid w:val="00A7341D"/>
    <w:rsid w:val="00A73AD5"/>
    <w:rsid w:val="00A73B5E"/>
    <w:rsid w:val="00A73D58"/>
    <w:rsid w:val="00A73FC4"/>
    <w:rsid w:val="00A740C5"/>
    <w:rsid w:val="00A748D7"/>
    <w:rsid w:val="00A74B06"/>
    <w:rsid w:val="00A74F45"/>
    <w:rsid w:val="00A7538D"/>
    <w:rsid w:val="00A7569B"/>
    <w:rsid w:val="00A757BF"/>
    <w:rsid w:val="00A757DD"/>
    <w:rsid w:val="00A75802"/>
    <w:rsid w:val="00A75B22"/>
    <w:rsid w:val="00A75CDF"/>
    <w:rsid w:val="00A75F98"/>
    <w:rsid w:val="00A76106"/>
    <w:rsid w:val="00A7614C"/>
    <w:rsid w:val="00A7620B"/>
    <w:rsid w:val="00A7650F"/>
    <w:rsid w:val="00A767EB"/>
    <w:rsid w:val="00A7687F"/>
    <w:rsid w:val="00A769BC"/>
    <w:rsid w:val="00A76F0C"/>
    <w:rsid w:val="00A772FE"/>
    <w:rsid w:val="00A77389"/>
    <w:rsid w:val="00A802DF"/>
    <w:rsid w:val="00A80471"/>
    <w:rsid w:val="00A80602"/>
    <w:rsid w:val="00A80C14"/>
    <w:rsid w:val="00A80D5F"/>
    <w:rsid w:val="00A80EAD"/>
    <w:rsid w:val="00A810C5"/>
    <w:rsid w:val="00A811EA"/>
    <w:rsid w:val="00A812DF"/>
    <w:rsid w:val="00A8132F"/>
    <w:rsid w:val="00A81F06"/>
    <w:rsid w:val="00A81F49"/>
    <w:rsid w:val="00A81F8B"/>
    <w:rsid w:val="00A820E9"/>
    <w:rsid w:val="00A82F68"/>
    <w:rsid w:val="00A8358A"/>
    <w:rsid w:val="00A8389A"/>
    <w:rsid w:val="00A84056"/>
    <w:rsid w:val="00A84806"/>
    <w:rsid w:val="00A84BF4"/>
    <w:rsid w:val="00A84C5B"/>
    <w:rsid w:val="00A84EE2"/>
    <w:rsid w:val="00A856A5"/>
    <w:rsid w:val="00A85866"/>
    <w:rsid w:val="00A85DFB"/>
    <w:rsid w:val="00A863DB"/>
    <w:rsid w:val="00A864E1"/>
    <w:rsid w:val="00A865D8"/>
    <w:rsid w:val="00A866A8"/>
    <w:rsid w:val="00A86716"/>
    <w:rsid w:val="00A869CC"/>
    <w:rsid w:val="00A86AA5"/>
    <w:rsid w:val="00A86BCF"/>
    <w:rsid w:val="00A86C65"/>
    <w:rsid w:val="00A86EA0"/>
    <w:rsid w:val="00A8722C"/>
    <w:rsid w:val="00A8786B"/>
    <w:rsid w:val="00A87898"/>
    <w:rsid w:val="00A87983"/>
    <w:rsid w:val="00A87A67"/>
    <w:rsid w:val="00A87EC6"/>
    <w:rsid w:val="00A915EB"/>
    <w:rsid w:val="00A91784"/>
    <w:rsid w:val="00A921BC"/>
    <w:rsid w:val="00A92375"/>
    <w:rsid w:val="00A92573"/>
    <w:rsid w:val="00A928F9"/>
    <w:rsid w:val="00A92905"/>
    <w:rsid w:val="00A92BA0"/>
    <w:rsid w:val="00A92C7A"/>
    <w:rsid w:val="00A934FA"/>
    <w:rsid w:val="00A93F69"/>
    <w:rsid w:val="00A947A4"/>
    <w:rsid w:val="00A94ABC"/>
    <w:rsid w:val="00A94CE2"/>
    <w:rsid w:val="00A94F48"/>
    <w:rsid w:val="00A951DC"/>
    <w:rsid w:val="00A9531F"/>
    <w:rsid w:val="00A95365"/>
    <w:rsid w:val="00A95373"/>
    <w:rsid w:val="00A95B21"/>
    <w:rsid w:val="00A95B4A"/>
    <w:rsid w:val="00A9602F"/>
    <w:rsid w:val="00A96878"/>
    <w:rsid w:val="00A968E6"/>
    <w:rsid w:val="00A96AD0"/>
    <w:rsid w:val="00A96B58"/>
    <w:rsid w:val="00A96BBD"/>
    <w:rsid w:val="00A96E69"/>
    <w:rsid w:val="00A9761F"/>
    <w:rsid w:val="00A97682"/>
    <w:rsid w:val="00A9797C"/>
    <w:rsid w:val="00A979A6"/>
    <w:rsid w:val="00A97BA1"/>
    <w:rsid w:val="00A97D2E"/>
    <w:rsid w:val="00A97E49"/>
    <w:rsid w:val="00AA0249"/>
    <w:rsid w:val="00AA0475"/>
    <w:rsid w:val="00AA0B9E"/>
    <w:rsid w:val="00AA120B"/>
    <w:rsid w:val="00AA1311"/>
    <w:rsid w:val="00AA14F0"/>
    <w:rsid w:val="00AA184F"/>
    <w:rsid w:val="00AA1A9D"/>
    <w:rsid w:val="00AA1BE6"/>
    <w:rsid w:val="00AA1CF3"/>
    <w:rsid w:val="00AA1D57"/>
    <w:rsid w:val="00AA2067"/>
    <w:rsid w:val="00AA262C"/>
    <w:rsid w:val="00AA26D6"/>
    <w:rsid w:val="00AA2726"/>
    <w:rsid w:val="00AA2811"/>
    <w:rsid w:val="00AA2D78"/>
    <w:rsid w:val="00AA2DF2"/>
    <w:rsid w:val="00AA3014"/>
    <w:rsid w:val="00AA3230"/>
    <w:rsid w:val="00AA3BC2"/>
    <w:rsid w:val="00AA4075"/>
    <w:rsid w:val="00AA4120"/>
    <w:rsid w:val="00AA439D"/>
    <w:rsid w:val="00AA482B"/>
    <w:rsid w:val="00AA4CDA"/>
    <w:rsid w:val="00AA4D79"/>
    <w:rsid w:val="00AA52B0"/>
    <w:rsid w:val="00AA57CF"/>
    <w:rsid w:val="00AA5B71"/>
    <w:rsid w:val="00AA5DD0"/>
    <w:rsid w:val="00AA6C8C"/>
    <w:rsid w:val="00AA713C"/>
    <w:rsid w:val="00AA7621"/>
    <w:rsid w:val="00AA7713"/>
    <w:rsid w:val="00AA7910"/>
    <w:rsid w:val="00AA7B60"/>
    <w:rsid w:val="00AA7F13"/>
    <w:rsid w:val="00AB031D"/>
    <w:rsid w:val="00AB10CD"/>
    <w:rsid w:val="00AB1536"/>
    <w:rsid w:val="00AB2393"/>
    <w:rsid w:val="00AB27BE"/>
    <w:rsid w:val="00AB27EB"/>
    <w:rsid w:val="00AB28E2"/>
    <w:rsid w:val="00AB336A"/>
    <w:rsid w:val="00AB35CF"/>
    <w:rsid w:val="00AB39CD"/>
    <w:rsid w:val="00AB3E01"/>
    <w:rsid w:val="00AB3FB5"/>
    <w:rsid w:val="00AB498B"/>
    <w:rsid w:val="00AB4C3F"/>
    <w:rsid w:val="00AB4DA4"/>
    <w:rsid w:val="00AB4E9E"/>
    <w:rsid w:val="00AB52C0"/>
    <w:rsid w:val="00AB55D0"/>
    <w:rsid w:val="00AB57AC"/>
    <w:rsid w:val="00AB5D0A"/>
    <w:rsid w:val="00AB5FB8"/>
    <w:rsid w:val="00AB5FEB"/>
    <w:rsid w:val="00AB656F"/>
    <w:rsid w:val="00AB75B3"/>
    <w:rsid w:val="00AB7708"/>
    <w:rsid w:val="00AB7836"/>
    <w:rsid w:val="00AB78E4"/>
    <w:rsid w:val="00AB79A6"/>
    <w:rsid w:val="00AB7CE1"/>
    <w:rsid w:val="00AC04CA"/>
    <w:rsid w:val="00AC0E9F"/>
    <w:rsid w:val="00AC1F21"/>
    <w:rsid w:val="00AC1FE6"/>
    <w:rsid w:val="00AC1FF6"/>
    <w:rsid w:val="00AC22BE"/>
    <w:rsid w:val="00AC267C"/>
    <w:rsid w:val="00AC270F"/>
    <w:rsid w:val="00AC276B"/>
    <w:rsid w:val="00AC2CAA"/>
    <w:rsid w:val="00AC2EE0"/>
    <w:rsid w:val="00AC31C6"/>
    <w:rsid w:val="00AC31FB"/>
    <w:rsid w:val="00AC387D"/>
    <w:rsid w:val="00AC3DD0"/>
    <w:rsid w:val="00AC4B32"/>
    <w:rsid w:val="00AC4E25"/>
    <w:rsid w:val="00AC5366"/>
    <w:rsid w:val="00AC5760"/>
    <w:rsid w:val="00AC5BB4"/>
    <w:rsid w:val="00AC6091"/>
    <w:rsid w:val="00AC63DC"/>
    <w:rsid w:val="00AC6493"/>
    <w:rsid w:val="00AC66F1"/>
    <w:rsid w:val="00AC67E9"/>
    <w:rsid w:val="00AC6A6B"/>
    <w:rsid w:val="00AC6D9A"/>
    <w:rsid w:val="00AC712B"/>
    <w:rsid w:val="00AC7415"/>
    <w:rsid w:val="00AC7ADC"/>
    <w:rsid w:val="00AC7B69"/>
    <w:rsid w:val="00AC7C8C"/>
    <w:rsid w:val="00AC7C94"/>
    <w:rsid w:val="00AC7E9D"/>
    <w:rsid w:val="00AC7F53"/>
    <w:rsid w:val="00AD0328"/>
    <w:rsid w:val="00AD0E6F"/>
    <w:rsid w:val="00AD1303"/>
    <w:rsid w:val="00AD1453"/>
    <w:rsid w:val="00AD1789"/>
    <w:rsid w:val="00AD19E2"/>
    <w:rsid w:val="00AD1A7A"/>
    <w:rsid w:val="00AD230D"/>
    <w:rsid w:val="00AD25C5"/>
    <w:rsid w:val="00AD25F5"/>
    <w:rsid w:val="00AD29B7"/>
    <w:rsid w:val="00AD2F29"/>
    <w:rsid w:val="00AD2F56"/>
    <w:rsid w:val="00AD3091"/>
    <w:rsid w:val="00AD3309"/>
    <w:rsid w:val="00AD342B"/>
    <w:rsid w:val="00AD3740"/>
    <w:rsid w:val="00AD38CE"/>
    <w:rsid w:val="00AD3952"/>
    <w:rsid w:val="00AD3B6F"/>
    <w:rsid w:val="00AD3DFC"/>
    <w:rsid w:val="00AD4688"/>
    <w:rsid w:val="00AD4738"/>
    <w:rsid w:val="00AD4B5D"/>
    <w:rsid w:val="00AD4DB3"/>
    <w:rsid w:val="00AD5767"/>
    <w:rsid w:val="00AD5EAC"/>
    <w:rsid w:val="00AD607F"/>
    <w:rsid w:val="00AD61AB"/>
    <w:rsid w:val="00AD66F9"/>
    <w:rsid w:val="00AD67F2"/>
    <w:rsid w:val="00AD6AF5"/>
    <w:rsid w:val="00AD6B34"/>
    <w:rsid w:val="00AD6D69"/>
    <w:rsid w:val="00AD6E5B"/>
    <w:rsid w:val="00AD7113"/>
    <w:rsid w:val="00AD7157"/>
    <w:rsid w:val="00AD7413"/>
    <w:rsid w:val="00AD7775"/>
    <w:rsid w:val="00AD78B0"/>
    <w:rsid w:val="00AD7960"/>
    <w:rsid w:val="00AD7A7F"/>
    <w:rsid w:val="00AD7A9C"/>
    <w:rsid w:val="00AD7B5E"/>
    <w:rsid w:val="00AE0422"/>
    <w:rsid w:val="00AE0798"/>
    <w:rsid w:val="00AE0F15"/>
    <w:rsid w:val="00AE0FE7"/>
    <w:rsid w:val="00AE100B"/>
    <w:rsid w:val="00AE1354"/>
    <w:rsid w:val="00AE14CD"/>
    <w:rsid w:val="00AE1744"/>
    <w:rsid w:val="00AE1845"/>
    <w:rsid w:val="00AE18A3"/>
    <w:rsid w:val="00AE1957"/>
    <w:rsid w:val="00AE1C57"/>
    <w:rsid w:val="00AE1DBC"/>
    <w:rsid w:val="00AE1E4D"/>
    <w:rsid w:val="00AE1ED5"/>
    <w:rsid w:val="00AE1FC2"/>
    <w:rsid w:val="00AE22FC"/>
    <w:rsid w:val="00AE27BA"/>
    <w:rsid w:val="00AE2D66"/>
    <w:rsid w:val="00AE2E47"/>
    <w:rsid w:val="00AE37D5"/>
    <w:rsid w:val="00AE3957"/>
    <w:rsid w:val="00AE3BFA"/>
    <w:rsid w:val="00AE3C09"/>
    <w:rsid w:val="00AE415A"/>
    <w:rsid w:val="00AE4737"/>
    <w:rsid w:val="00AE476A"/>
    <w:rsid w:val="00AE47E5"/>
    <w:rsid w:val="00AE4836"/>
    <w:rsid w:val="00AE48D1"/>
    <w:rsid w:val="00AE4BA1"/>
    <w:rsid w:val="00AE4C2D"/>
    <w:rsid w:val="00AE5144"/>
    <w:rsid w:val="00AE523C"/>
    <w:rsid w:val="00AE523F"/>
    <w:rsid w:val="00AE532C"/>
    <w:rsid w:val="00AE5897"/>
    <w:rsid w:val="00AE59EF"/>
    <w:rsid w:val="00AE6D6B"/>
    <w:rsid w:val="00AE73C9"/>
    <w:rsid w:val="00AE74D3"/>
    <w:rsid w:val="00AE75B1"/>
    <w:rsid w:val="00AE780D"/>
    <w:rsid w:val="00AE79D1"/>
    <w:rsid w:val="00AF01FE"/>
    <w:rsid w:val="00AF04DA"/>
    <w:rsid w:val="00AF091F"/>
    <w:rsid w:val="00AF0A56"/>
    <w:rsid w:val="00AF0BC5"/>
    <w:rsid w:val="00AF0C02"/>
    <w:rsid w:val="00AF1044"/>
    <w:rsid w:val="00AF1076"/>
    <w:rsid w:val="00AF157E"/>
    <w:rsid w:val="00AF19CE"/>
    <w:rsid w:val="00AF1D43"/>
    <w:rsid w:val="00AF1E64"/>
    <w:rsid w:val="00AF1F4E"/>
    <w:rsid w:val="00AF2098"/>
    <w:rsid w:val="00AF20F3"/>
    <w:rsid w:val="00AF2336"/>
    <w:rsid w:val="00AF24AB"/>
    <w:rsid w:val="00AF2C69"/>
    <w:rsid w:val="00AF2D4B"/>
    <w:rsid w:val="00AF2E7B"/>
    <w:rsid w:val="00AF2E9F"/>
    <w:rsid w:val="00AF36CA"/>
    <w:rsid w:val="00AF3B3C"/>
    <w:rsid w:val="00AF3CD0"/>
    <w:rsid w:val="00AF4101"/>
    <w:rsid w:val="00AF41DB"/>
    <w:rsid w:val="00AF41E0"/>
    <w:rsid w:val="00AF421D"/>
    <w:rsid w:val="00AF4261"/>
    <w:rsid w:val="00AF4896"/>
    <w:rsid w:val="00AF4966"/>
    <w:rsid w:val="00AF4B25"/>
    <w:rsid w:val="00AF4DDD"/>
    <w:rsid w:val="00AF5400"/>
    <w:rsid w:val="00AF5813"/>
    <w:rsid w:val="00AF584B"/>
    <w:rsid w:val="00AF5A7C"/>
    <w:rsid w:val="00AF5E0C"/>
    <w:rsid w:val="00AF6035"/>
    <w:rsid w:val="00AF61E9"/>
    <w:rsid w:val="00AF636C"/>
    <w:rsid w:val="00AF6505"/>
    <w:rsid w:val="00AF6656"/>
    <w:rsid w:val="00AF67D4"/>
    <w:rsid w:val="00AF6EB8"/>
    <w:rsid w:val="00AF6ED5"/>
    <w:rsid w:val="00AF6F39"/>
    <w:rsid w:val="00AF7012"/>
    <w:rsid w:val="00AF7562"/>
    <w:rsid w:val="00AF7B27"/>
    <w:rsid w:val="00AF7DE0"/>
    <w:rsid w:val="00AF7F88"/>
    <w:rsid w:val="00B00263"/>
    <w:rsid w:val="00B003F6"/>
    <w:rsid w:val="00B0040D"/>
    <w:rsid w:val="00B0050C"/>
    <w:rsid w:val="00B00557"/>
    <w:rsid w:val="00B009A8"/>
    <w:rsid w:val="00B00EC7"/>
    <w:rsid w:val="00B01130"/>
    <w:rsid w:val="00B014D7"/>
    <w:rsid w:val="00B0150C"/>
    <w:rsid w:val="00B0161F"/>
    <w:rsid w:val="00B017D5"/>
    <w:rsid w:val="00B020E0"/>
    <w:rsid w:val="00B031DA"/>
    <w:rsid w:val="00B032DE"/>
    <w:rsid w:val="00B035D5"/>
    <w:rsid w:val="00B0399E"/>
    <w:rsid w:val="00B03ABA"/>
    <w:rsid w:val="00B03BD1"/>
    <w:rsid w:val="00B04176"/>
    <w:rsid w:val="00B04654"/>
    <w:rsid w:val="00B04B5C"/>
    <w:rsid w:val="00B04F6E"/>
    <w:rsid w:val="00B05278"/>
    <w:rsid w:val="00B055B6"/>
    <w:rsid w:val="00B0597E"/>
    <w:rsid w:val="00B05C00"/>
    <w:rsid w:val="00B05C96"/>
    <w:rsid w:val="00B0601F"/>
    <w:rsid w:val="00B063AF"/>
    <w:rsid w:val="00B0649D"/>
    <w:rsid w:val="00B06744"/>
    <w:rsid w:val="00B06E77"/>
    <w:rsid w:val="00B073D6"/>
    <w:rsid w:val="00B0775A"/>
    <w:rsid w:val="00B07B6C"/>
    <w:rsid w:val="00B07C9F"/>
    <w:rsid w:val="00B07FF1"/>
    <w:rsid w:val="00B100BB"/>
    <w:rsid w:val="00B103C8"/>
    <w:rsid w:val="00B10662"/>
    <w:rsid w:val="00B10964"/>
    <w:rsid w:val="00B109C7"/>
    <w:rsid w:val="00B10D07"/>
    <w:rsid w:val="00B10D77"/>
    <w:rsid w:val="00B10D7E"/>
    <w:rsid w:val="00B10F47"/>
    <w:rsid w:val="00B112B3"/>
    <w:rsid w:val="00B116ED"/>
    <w:rsid w:val="00B117C4"/>
    <w:rsid w:val="00B11AFE"/>
    <w:rsid w:val="00B11C25"/>
    <w:rsid w:val="00B12856"/>
    <w:rsid w:val="00B12890"/>
    <w:rsid w:val="00B129E4"/>
    <w:rsid w:val="00B129FC"/>
    <w:rsid w:val="00B12A85"/>
    <w:rsid w:val="00B12CD8"/>
    <w:rsid w:val="00B12DC8"/>
    <w:rsid w:val="00B12E85"/>
    <w:rsid w:val="00B12F79"/>
    <w:rsid w:val="00B12FFC"/>
    <w:rsid w:val="00B13389"/>
    <w:rsid w:val="00B13538"/>
    <w:rsid w:val="00B137A8"/>
    <w:rsid w:val="00B139F0"/>
    <w:rsid w:val="00B13B98"/>
    <w:rsid w:val="00B13DEF"/>
    <w:rsid w:val="00B13E4A"/>
    <w:rsid w:val="00B13E74"/>
    <w:rsid w:val="00B144D8"/>
    <w:rsid w:val="00B14799"/>
    <w:rsid w:val="00B14A69"/>
    <w:rsid w:val="00B14D2C"/>
    <w:rsid w:val="00B14E65"/>
    <w:rsid w:val="00B14FA8"/>
    <w:rsid w:val="00B14FAC"/>
    <w:rsid w:val="00B15146"/>
    <w:rsid w:val="00B151D8"/>
    <w:rsid w:val="00B1520D"/>
    <w:rsid w:val="00B15588"/>
    <w:rsid w:val="00B15644"/>
    <w:rsid w:val="00B159A1"/>
    <w:rsid w:val="00B15B18"/>
    <w:rsid w:val="00B15DA9"/>
    <w:rsid w:val="00B16A7D"/>
    <w:rsid w:val="00B16DC5"/>
    <w:rsid w:val="00B16FC9"/>
    <w:rsid w:val="00B17027"/>
    <w:rsid w:val="00B17241"/>
    <w:rsid w:val="00B17546"/>
    <w:rsid w:val="00B1769B"/>
    <w:rsid w:val="00B2090E"/>
    <w:rsid w:val="00B20C15"/>
    <w:rsid w:val="00B20C56"/>
    <w:rsid w:val="00B20DDA"/>
    <w:rsid w:val="00B2105C"/>
    <w:rsid w:val="00B218E5"/>
    <w:rsid w:val="00B21BE7"/>
    <w:rsid w:val="00B21D26"/>
    <w:rsid w:val="00B21E6A"/>
    <w:rsid w:val="00B21F92"/>
    <w:rsid w:val="00B220B0"/>
    <w:rsid w:val="00B22677"/>
    <w:rsid w:val="00B22C2B"/>
    <w:rsid w:val="00B232B9"/>
    <w:rsid w:val="00B23347"/>
    <w:rsid w:val="00B237F7"/>
    <w:rsid w:val="00B23A57"/>
    <w:rsid w:val="00B24A80"/>
    <w:rsid w:val="00B24C6D"/>
    <w:rsid w:val="00B24CB3"/>
    <w:rsid w:val="00B2521F"/>
    <w:rsid w:val="00B255F5"/>
    <w:rsid w:val="00B2571F"/>
    <w:rsid w:val="00B25858"/>
    <w:rsid w:val="00B2588E"/>
    <w:rsid w:val="00B25E1D"/>
    <w:rsid w:val="00B26986"/>
    <w:rsid w:val="00B26C94"/>
    <w:rsid w:val="00B26C97"/>
    <w:rsid w:val="00B26D34"/>
    <w:rsid w:val="00B26E66"/>
    <w:rsid w:val="00B26F3D"/>
    <w:rsid w:val="00B302C4"/>
    <w:rsid w:val="00B30397"/>
    <w:rsid w:val="00B30644"/>
    <w:rsid w:val="00B30DBA"/>
    <w:rsid w:val="00B30F35"/>
    <w:rsid w:val="00B30FD3"/>
    <w:rsid w:val="00B31133"/>
    <w:rsid w:val="00B31376"/>
    <w:rsid w:val="00B317E6"/>
    <w:rsid w:val="00B3183E"/>
    <w:rsid w:val="00B31EF9"/>
    <w:rsid w:val="00B3262B"/>
    <w:rsid w:val="00B32868"/>
    <w:rsid w:val="00B32A0B"/>
    <w:rsid w:val="00B32AAB"/>
    <w:rsid w:val="00B33282"/>
    <w:rsid w:val="00B33E86"/>
    <w:rsid w:val="00B33F70"/>
    <w:rsid w:val="00B3466D"/>
    <w:rsid w:val="00B34924"/>
    <w:rsid w:val="00B349D2"/>
    <w:rsid w:val="00B34B88"/>
    <w:rsid w:val="00B3503A"/>
    <w:rsid w:val="00B355B2"/>
    <w:rsid w:val="00B357C9"/>
    <w:rsid w:val="00B35D9C"/>
    <w:rsid w:val="00B35ED6"/>
    <w:rsid w:val="00B360A8"/>
    <w:rsid w:val="00B36233"/>
    <w:rsid w:val="00B36387"/>
    <w:rsid w:val="00B363B1"/>
    <w:rsid w:val="00B3640C"/>
    <w:rsid w:val="00B36640"/>
    <w:rsid w:val="00B3698B"/>
    <w:rsid w:val="00B369C9"/>
    <w:rsid w:val="00B36C04"/>
    <w:rsid w:val="00B370D6"/>
    <w:rsid w:val="00B372EE"/>
    <w:rsid w:val="00B378DE"/>
    <w:rsid w:val="00B37913"/>
    <w:rsid w:val="00B37B3F"/>
    <w:rsid w:val="00B37CCC"/>
    <w:rsid w:val="00B37EB3"/>
    <w:rsid w:val="00B37F7E"/>
    <w:rsid w:val="00B400B0"/>
    <w:rsid w:val="00B40184"/>
    <w:rsid w:val="00B403DE"/>
    <w:rsid w:val="00B40449"/>
    <w:rsid w:val="00B406C4"/>
    <w:rsid w:val="00B40A76"/>
    <w:rsid w:val="00B40D1F"/>
    <w:rsid w:val="00B4102A"/>
    <w:rsid w:val="00B41402"/>
    <w:rsid w:val="00B4151A"/>
    <w:rsid w:val="00B41709"/>
    <w:rsid w:val="00B41D4B"/>
    <w:rsid w:val="00B42009"/>
    <w:rsid w:val="00B425DD"/>
    <w:rsid w:val="00B42774"/>
    <w:rsid w:val="00B42B59"/>
    <w:rsid w:val="00B42E8B"/>
    <w:rsid w:val="00B433BD"/>
    <w:rsid w:val="00B4354B"/>
    <w:rsid w:val="00B4361E"/>
    <w:rsid w:val="00B43F1B"/>
    <w:rsid w:val="00B44298"/>
    <w:rsid w:val="00B445A6"/>
    <w:rsid w:val="00B44954"/>
    <w:rsid w:val="00B44B5C"/>
    <w:rsid w:val="00B44BEF"/>
    <w:rsid w:val="00B45435"/>
    <w:rsid w:val="00B454E5"/>
    <w:rsid w:val="00B4556A"/>
    <w:rsid w:val="00B455E7"/>
    <w:rsid w:val="00B45CBA"/>
    <w:rsid w:val="00B45E86"/>
    <w:rsid w:val="00B45ECC"/>
    <w:rsid w:val="00B4671D"/>
    <w:rsid w:val="00B469BE"/>
    <w:rsid w:val="00B46F7E"/>
    <w:rsid w:val="00B46FB9"/>
    <w:rsid w:val="00B471E5"/>
    <w:rsid w:val="00B479B5"/>
    <w:rsid w:val="00B47A94"/>
    <w:rsid w:val="00B47A9E"/>
    <w:rsid w:val="00B47B76"/>
    <w:rsid w:val="00B47C53"/>
    <w:rsid w:val="00B50910"/>
    <w:rsid w:val="00B50B18"/>
    <w:rsid w:val="00B50BC4"/>
    <w:rsid w:val="00B50EEA"/>
    <w:rsid w:val="00B5135D"/>
    <w:rsid w:val="00B5136E"/>
    <w:rsid w:val="00B51E8A"/>
    <w:rsid w:val="00B51F27"/>
    <w:rsid w:val="00B524CD"/>
    <w:rsid w:val="00B526C0"/>
    <w:rsid w:val="00B5273D"/>
    <w:rsid w:val="00B52AB9"/>
    <w:rsid w:val="00B52B2F"/>
    <w:rsid w:val="00B52B9D"/>
    <w:rsid w:val="00B52C70"/>
    <w:rsid w:val="00B52CC7"/>
    <w:rsid w:val="00B52D58"/>
    <w:rsid w:val="00B52DF1"/>
    <w:rsid w:val="00B52E24"/>
    <w:rsid w:val="00B52F65"/>
    <w:rsid w:val="00B5350C"/>
    <w:rsid w:val="00B535CD"/>
    <w:rsid w:val="00B53687"/>
    <w:rsid w:val="00B539F2"/>
    <w:rsid w:val="00B53A8A"/>
    <w:rsid w:val="00B53E39"/>
    <w:rsid w:val="00B540F8"/>
    <w:rsid w:val="00B5429F"/>
    <w:rsid w:val="00B54429"/>
    <w:rsid w:val="00B5451C"/>
    <w:rsid w:val="00B54665"/>
    <w:rsid w:val="00B54D22"/>
    <w:rsid w:val="00B54DB3"/>
    <w:rsid w:val="00B54F98"/>
    <w:rsid w:val="00B5527A"/>
    <w:rsid w:val="00B554A7"/>
    <w:rsid w:val="00B554F5"/>
    <w:rsid w:val="00B557D7"/>
    <w:rsid w:val="00B55BCA"/>
    <w:rsid w:val="00B55E4F"/>
    <w:rsid w:val="00B56082"/>
    <w:rsid w:val="00B56600"/>
    <w:rsid w:val="00B56643"/>
    <w:rsid w:val="00B56C51"/>
    <w:rsid w:val="00B56D54"/>
    <w:rsid w:val="00B56E7D"/>
    <w:rsid w:val="00B57150"/>
    <w:rsid w:val="00B571CD"/>
    <w:rsid w:val="00B57286"/>
    <w:rsid w:val="00B57BEA"/>
    <w:rsid w:val="00B57F4C"/>
    <w:rsid w:val="00B60717"/>
    <w:rsid w:val="00B60BB1"/>
    <w:rsid w:val="00B60D72"/>
    <w:rsid w:val="00B611A3"/>
    <w:rsid w:val="00B612D4"/>
    <w:rsid w:val="00B615AE"/>
    <w:rsid w:val="00B61A2C"/>
    <w:rsid w:val="00B61C1B"/>
    <w:rsid w:val="00B621DF"/>
    <w:rsid w:val="00B628EB"/>
    <w:rsid w:val="00B62EEA"/>
    <w:rsid w:val="00B62F8E"/>
    <w:rsid w:val="00B63C2B"/>
    <w:rsid w:val="00B63C35"/>
    <w:rsid w:val="00B64169"/>
    <w:rsid w:val="00B64639"/>
    <w:rsid w:val="00B64712"/>
    <w:rsid w:val="00B64D26"/>
    <w:rsid w:val="00B64F8A"/>
    <w:rsid w:val="00B65261"/>
    <w:rsid w:val="00B65276"/>
    <w:rsid w:val="00B6571A"/>
    <w:rsid w:val="00B6573F"/>
    <w:rsid w:val="00B658D0"/>
    <w:rsid w:val="00B6591D"/>
    <w:rsid w:val="00B65937"/>
    <w:rsid w:val="00B65AAF"/>
    <w:rsid w:val="00B65CE5"/>
    <w:rsid w:val="00B65F07"/>
    <w:rsid w:val="00B65F72"/>
    <w:rsid w:val="00B66860"/>
    <w:rsid w:val="00B66AB4"/>
    <w:rsid w:val="00B66C14"/>
    <w:rsid w:val="00B66D22"/>
    <w:rsid w:val="00B67744"/>
    <w:rsid w:val="00B67B87"/>
    <w:rsid w:val="00B67BB3"/>
    <w:rsid w:val="00B67D25"/>
    <w:rsid w:val="00B67FA3"/>
    <w:rsid w:val="00B7009C"/>
    <w:rsid w:val="00B70420"/>
    <w:rsid w:val="00B70AD6"/>
    <w:rsid w:val="00B71E13"/>
    <w:rsid w:val="00B7227A"/>
    <w:rsid w:val="00B72727"/>
    <w:rsid w:val="00B72C8F"/>
    <w:rsid w:val="00B72F0C"/>
    <w:rsid w:val="00B72F27"/>
    <w:rsid w:val="00B7302A"/>
    <w:rsid w:val="00B732EA"/>
    <w:rsid w:val="00B73302"/>
    <w:rsid w:val="00B7333A"/>
    <w:rsid w:val="00B73628"/>
    <w:rsid w:val="00B73A36"/>
    <w:rsid w:val="00B73AE8"/>
    <w:rsid w:val="00B73B17"/>
    <w:rsid w:val="00B73B77"/>
    <w:rsid w:val="00B73ED9"/>
    <w:rsid w:val="00B74BA8"/>
    <w:rsid w:val="00B74BA9"/>
    <w:rsid w:val="00B74DF9"/>
    <w:rsid w:val="00B75954"/>
    <w:rsid w:val="00B75B05"/>
    <w:rsid w:val="00B76820"/>
    <w:rsid w:val="00B7700B"/>
    <w:rsid w:val="00B77151"/>
    <w:rsid w:val="00B773B4"/>
    <w:rsid w:val="00B77666"/>
    <w:rsid w:val="00B77A11"/>
    <w:rsid w:val="00B77A94"/>
    <w:rsid w:val="00B77B37"/>
    <w:rsid w:val="00B77C23"/>
    <w:rsid w:val="00B77DED"/>
    <w:rsid w:val="00B80261"/>
    <w:rsid w:val="00B8045D"/>
    <w:rsid w:val="00B8091E"/>
    <w:rsid w:val="00B80A20"/>
    <w:rsid w:val="00B80CDF"/>
    <w:rsid w:val="00B81371"/>
    <w:rsid w:val="00B81397"/>
    <w:rsid w:val="00B81745"/>
    <w:rsid w:val="00B81CD7"/>
    <w:rsid w:val="00B81CE1"/>
    <w:rsid w:val="00B81DE0"/>
    <w:rsid w:val="00B82CE5"/>
    <w:rsid w:val="00B82F46"/>
    <w:rsid w:val="00B83DED"/>
    <w:rsid w:val="00B83EEA"/>
    <w:rsid w:val="00B8427E"/>
    <w:rsid w:val="00B848E5"/>
    <w:rsid w:val="00B84F18"/>
    <w:rsid w:val="00B851E5"/>
    <w:rsid w:val="00B85259"/>
    <w:rsid w:val="00B853D9"/>
    <w:rsid w:val="00B857EF"/>
    <w:rsid w:val="00B85FDD"/>
    <w:rsid w:val="00B8635B"/>
    <w:rsid w:val="00B86AF8"/>
    <w:rsid w:val="00B86CEF"/>
    <w:rsid w:val="00B870D2"/>
    <w:rsid w:val="00B87915"/>
    <w:rsid w:val="00B87CA3"/>
    <w:rsid w:val="00B87F3A"/>
    <w:rsid w:val="00B90116"/>
    <w:rsid w:val="00B90437"/>
    <w:rsid w:val="00B9095D"/>
    <w:rsid w:val="00B90A37"/>
    <w:rsid w:val="00B90AAB"/>
    <w:rsid w:val="00B90B66"/>
    <w:rsid w:val="00B90DDE"/>
    <w:rsid w:val="00B90F26"/>
    <w:rsid w:val="00B910A4"/>
    <w:rsid w:val="00B915E9"/>
    <w:rsid w:val="00B9174B"/>
    <w:rsid w:val="00B91772"/>
    <w:rsid w:val="00B917AC"/>
    <w:rsid w:val="00B917D3"/>
    <w:rsid w:val="00B9191C"/>
    <w:rsid w:val="00B91BA1"/>
    <w:rsid w:val="00B92150"/>
    <w:rsid w:val="00B9249C"/>
    <w:rsid w:val="00B929F5"/>
    <w:rsid w:val="00B92AEA"/>
    <w:rsid w:val="00B92C96"/>
    <w:rsid w:val="00B9314A"/>
    <w:rsid w:val="00B93472"/>
    <w:rsid w:val="00B93C2D"/>
    <w:rsid w:val="00B93DF2"/>
    <w:rsid w:val="00B93F4D"/>
    <w:rsid w:val="00B9497C"/>
    <w:rsid w:val="00B94EC3"/>
    <w:rsid w:val="00B952BC"/>
    <w:rsid w:val="00B956E4"/>
    <w:rsid w:val="00B9593A"/>
    <w:rsid w:val="00B95A9F"/>
    <w:rsid w:val="00B95B0A"/>
    <w:rsid w:val="00B95EA5"/>
    <w:rsid w:val="00B961D8"/>
    <w:rsid w:val="00B96750"/>
    <w:rsid w:val="00B96933"/>
    <w:rsid w:val="00B970D3"/>
    <w:rsid w:val="00B971D8"/>
    <w:rsid w:val="00B9774D"/>
    <w:rsid w:val="00B97A32"/>
    <w:rsid w:val="00BA01C8"/>
    <w:rsid w:val="00BA09E6"/>
    <w:rsid w:val="00BA0C4F"/>
    <w:rsid w:val="00BA0CDE"/>
    <w:rsid w:val="00BA0D4C"/>
    <w:rsid w:val="00BA0F73"/>
    <w:rsid w:val="00BA1331"/>
    <w:rsid w:val="00BA15D5"/>
    <w:rsid w:val="00BA185B"/>
    <w:rsid w:val="00BA1A09"/>
    <w:rsid w:val="00BA1A82"/>
    <w:rsid w:val="00BA1C8F"/>
    <w:rsid w:val="00BA1E31"/>
    <w:rsid w:val="00BA1E35"/>
    <w:rsid w:val="00BA1ECA"/>
    <w:rsid w:val="00BA2295"/>
    <w:rsid w:val="00BA238E"/>
    <w:rsid w:val="00BA287C"/>
    <w:rsid w:val="00BA376A"/>
    <w:rsid w:val="00BA39A1"/>
    <w:rsid w:val="00BA426E"/>
    <w:rsid w:val="00BA4563"/>
    <w:rsid w:val="00BA4A53"/>
    <w:rsid w:val="00BA4A5C"/>
    <w:rsid w:val="00BA4BA2"/>
    <w:rsid w:val="00BA4CC5"/>
    <w:rsid w:val="00BA4E56"/>
    <w:rsid w:val="00BA56B6"/>
    <w:rsid w:val="00BA5776"/>
    <w:rsid w:val="00BA5A82"/>
    <w:rsid w:val="00BA5E46"/>
    <w:rsid w:val="00BA6042"/>
    <w:rsid w:val="00BA642A"/>
    <w:rsid w:val="00BA679B"/>
    <w:rsid w:val="00BA6E05"/>
    <w:rsid w:val="00BA711F"/>
    <w:rsid w:val="00BA7337"/>
    <w:rsid w:val="00BA73EF"/>
    <w:rsid w:val="00BA74A9"/>
    <w:rsid w:val="00BA7C13"/>
    <w:rsid w:val="00BB0135"/>
    <w:rsid w:val="00BB0262"/>
    <w:rsid w:val="00BB04D4"/>
    <w:rsid w:val="00BB050B"/>
    <w:rsid w:val="00BB054E"/>
    <w:rsid w:val="00BB06BC"/>
    <w:rsid w:val="00BB0820"/>
    <w:rsid w:val="00BB0DF6"/>
    <w:rsid w:val="00BB10A7"/>
    <w:rsid w:val="00BB13DB"/>
    <w:rsid w:val="00BB18A3"/>
    <w:rsid w:val="00BB1EC3"/>
    <w:rsid w:val="00BB20EE"/>
    <w:rsid w:val="00BB216D"/>
    <w:rsid w:val="00BB21D6"/>
    <w:rsid w:val="00BB226D"/>
    <w:rsid w:val="00BB24C1"/>
    <w:rsid w:val="00BB26D9"/>
    <w:rsid w:val="00BB2C27"/>
    <w:rsid w:val="00BB339A"/>
    <w:rsid w:val="00BB3AFF"/>
    <w:rsid w:val="00BB3D05"/>
    <w:rsid w:val="00BB3D9B"/>
    <w:rsid w:val="00BB4065"/>
    <w:rsid w:val="00BB4450"/>
    <w:rsid w:val="00BB46E0"/>
    <w:rsid w:val="00BB49CA"/>
    <w:rsid w:val="00BB4A8A"/>
    <w:rsid w:val="00BB4B6A"/>
    <w:rsid w:val="00BB4C89"/>
    <w:rsid w:val="00BB4D8E"/>
    <w:rsid w:val="00BB5188"/>
    <w:rsid w:val="00BB53CD"/>
    <w:rsid w:val="00BB5436"/>
    <w:rsid w:val="00BB55C1"/>
    <w:rsid w:val="00BB568E"/>
    <w:rsid w:val="00BB56B0"/>
    <w:rsid w:val="00BB594E"/>
    <w:rsid w:val="00BB60CD"/>
    <w:rsid w:val="00BB61A6"/>
    <w:rsid w:val="00BB67C6"/>
    <w:rsid w:val="00BB7141"/>
    <w:rsid w:val="00BB73D0"/>
    <w:rsid w:val="00BB7776"/>
    <w:rsid w:val="00BB7872"/>
    <w:rsid w:val="00BB79FF"/>
    <w:rsid w:val="00BB7A4D"/>
    <w:rsid w:val="00BB7A8C"/>
    <w:rsid w:val="00BB7AA5"/>
    <w:rsid w:val="00BB7D40"/>
    <w:rsid w:val="00BB7DEE"/>
    <w:rsid w:val="00BB7EDC"/>
    <w:rsid w:val="00BC01B0"/>
    <w:rsid w:val="00BC0853"/>
    <w:rsid w:val="00BC090D"/>
    <w:rsid w:val="00BC10AF"/>
    <w:rsid w:val="00BC150E"/>
    <w:rsid w:val="00BC174F"/>
    <w:rsid w:val="00BC18F2"/>
    <w:rsid w:val="00BC1D74"/>
    <w:rsid w:val="00BC1E26"/>
    <w:rsid w:val="00BC1F59"/>
    <w:rsid w:val="00BC1F77"/>
    <w:rsid w:val="00BC299C"/>
    <w:rsid w:val="00BC2C29"/>
    <w:rsid w:val="00BC3FB3"/>
    <w:rsid w:val="00BC427A"/>
    <w:rsid w:val="00BC43C7"/>
    <w:rsid w:val="00BC4564"/>
    <w:rsid w:val="00BC481E"/>
    <w:rsid w:val="00BC4B0B"/>
    <w:rsid w:val="00BC4C73"/>
    <w:rsid w:val="00BC4D01"/>
    <w:rsid w:val="00BC4F80"/>
    <w:rsid w:val="00BC4F84"/>
    <w:rsid w:val="00BC4FCD"/>
    <w:rsid w:val="00BC51A3"/>
    <w:rsid w:val="00BC5272"/>
    <w:rsid w:val="00BC5282"/>
    <w:rsid w:val="00BC5321"/>
    <w:rsid w:val="00BC5442"/>
    <w:rsid w:val="00BC54D2"/>
    <w:rsid w:val="00BC5794"/>
    <w:rsid w:val="00BC60CD"/>
    <w:rsid w:val="00BC672F"/>
    <w:rsid w:val="00BC6743"/>
    <w:rsid w:val="00BC6AAF"/>
    <w:rsid w:val="00BC6BAA"/>
    <w:rsid w:val="00BC6F80"/>
    <w:rsid w:val="00BC7082"/>
    <w:rsid w:val="00BC71A9"/>
    <w:rsid w:val="00BC72D5"/>
    <w:rsid w:val="00BC7E58"/>
    <w:rsid w:val="00BD047F"/>
    <w:rsid w:val="00BD0697"/>
    <w:rsid w:val="00BD0899"/>
    <w:rsid w:val="00BD119F"/>
    <w:rsid w:val="00BD1F39"/>
    <w:rsid w:val="00BD1F4F"/>
    <w:rsid w:val="00BD20E6"/>
    <w:rsid w:val="00BD27E1"/>
    <w:rsid w:val="00BD3015"/>
    <w:rsid w:val="00BD3A0B"/>
    <w:rsid w:val="00BD3A47"/>
    <w:rsid w:val="00BD4006"/>
    <w:rsid w:val="00BD42AF"/>
    <w:rsid w:val="00BD42D5"/>
    <w:rsid w:val="00BD43FC"/>
    <w:rsid w:val="00BD4792"/>
    <w:rsid w:val="00BD49FA"/>
    <w:rsid w:val="00BD4A1E"/>
    <w:rsid w:val="00BD4AFF"/>
    <w:rsid w:val="00BD4B88"/>
    <w:rsid w:val="00BD4C9D"/>
    <w:rsid w:val="00BD5696"/>
    <w:rsid w:val="00BD57C8"/>
    <w:rsid w:val="00BD5A47"/>
    <w:rsid w:val="00BD5B4B"/>
    <w:rsid w:val="00BD5B7B"/>
    <w:rsid w:val="00BD6C7C"/>
    <w:rsid w:val="00BD73B5"/>
    <w:rsid w:val="00BD7486"/>
    <w:rsid w:val="00BD767E"/>
    <w:rsid w:val="00BD7BB9"/>
    <w:rsid w:val="00BD7E97"/>
    <w:rsid w:val="00BE0372"/>
    <w:rsid w:val="00BE053A"/>
    <w:rsid w:val="00BE0809"/>
    <w:rsid w:val="00BE0C62"/>
    <w:rsid w:val="00BE0CE3"/>
    <w:rsid w:val="00BE0EA5"/>
    <w:rsid w:val="00BE0FC3"/>
    <w:rsid w:val="00BE105E"/>
    <w:rsid w:val="00BE1072"/>
    <w:rsid w:val="00BE1130"/>
    <w:rsid w:val="00BE1175"/>
    <w:rsid w:val="00BE1377"/>
    <w:rsid w:val="00BE1610"/>
    <w:rsid w:val="00BE16D1"/>
    <w:rsid w:val="00BE1770"/>
    <w:rsid w:val="00BE1F82"/>
    <w:rsid w:val="00BE212F"/>
    <w:rsid w:val="00BE29C6"/>
    <w:rsid w:val="00BE2DE2"/>
    <w:rsid w:val="00BE3313"/>
    <w:rsid w:val="00BE3337"/>
    <w:rsid w:val="00BE3413"/>
    <w:rsid w:val="00BE343A"/>
    <w:rsid w:val="00BE3702"/>
    <w:rsid w:val="00BE3CCE"/>
    <w:rsid w:val="00BE3EE9"/>
    <w:rsid w:val="00BE499B"/>
    <w:rsid w:val="00BE4D8B"/>
    <w:rsid w:val="00BE4E84"/>
    <w:rsid w:val="00BE4E89"/>
    <w:rsid w:val="00BE5632"/>
    <w:rsid w:val="00BE5A4C"/>
    <w:rsid w:val="00BE5C80"/>
    <w:rsid w:val="00BE63DF"/>
    <w:rsid w:val="00BE64FC"/>
    <w:rsid w:val="00BE7010"/>
    <w:rsid w:val="00BE73BC"/>
    <w:rsid w:val="00BE74FD"/>
    <w:rsid w:val="00BE7B27"/>
    <w:rsid w:val="00BF0563"/>
    <w:rsid w:val="00BF0584"/>
    <w:rsid w:val="00BF0780"/>
    <w:rsid w:val="00BF0787"/>
    <w:rsid w:val="00BF0D5D"/>
    <w:rsid w:val="00BF190D"/>
    <w:rsid w:val="00BF19C5"/>
    <w:rsid w:val="00BF19DE"/>
    <w:rsid w:val="00BF1C89"/>
    <w:rsid w:val="00BF1CB6"/>
    <w:rsid w:val="00BF1D93"/>
    <w:rsid w:val="00BF1FC5"/>
    <w:rsid w:val="00BF2065"/>
    <w:rsid w:val="00BF2362"/>
    <w:rsid w:val="00BF2860"/>
    <w:rsid w:val="00BF36D9"/>
    <w:rsid w:val="00BF3E90"/>
    <w:rsid w:val="00BF43B4"/>
    <w:rsid w:val="00BF46F7"/>
    <w:rsid w:val="00BF486E"/>
    <w:rsid w:val="00BF492E"/>
    <w:rsid w:val="00BF4F1A"/>
    <w:rsid w:val="00BF535A"/>
    <w:rsid w:val="00BF53B1"/>
    <w:rsid w:val="00BF54A3"/>
    <w:rsid w:val="00BF5792"/>
    <w:rsid w:val="00BF5BCE"/>
    <w:rsid w:val="00BF5F50"/>
    <w:rsid w:val="00BF60BD"/>
    <w:rsid w:val="00BF6541"/>
    <w:rsid w:val="00BF6BBC"/>
    <w:rsid w:val="00BF6DC0"/>
    <w:rsid w:val="00BF6EF5"/>
    <w:rsid w:val="00BF72AD"/>
    <w:rsid w:val="00BF72F2"/>
    <w:rsid w:val="00BF75ED"/>
    <w:rsid w:val="00BF7A7E"/>
    <w:rsid w:val="00BF7D3B"/>
    <w:rsid w:val="00BF7FC8"/>
    <w:rsid w:val="00C0028F"/>
    <w:rsid w:val="00C00364"/>
    <w:rsid w:val="00C004E5"/>
    <w:rsid w:val="00C008B5"/>
    <w:rsid w:val="00C00D73"/>
    <w:rsid w:val="00C00E9C"/>
    <w:rsid w:val="00C015D6"/>
    <w:rsid w:val="00C01602"/>
    <w:rsid w:val="00C01F28"/>
    <w:rsid w:val="00C0202C"/>
    <w:rsid w:val="00C02077"/>
    <w:rsid w:val="00C0239E"/>
    <w:rsid w:val="00C0276D"/>
    <w:rsid w:val="00C029A5"/>
    <w:rsid w:val="00C02D00"/>
    <w:rsid w:val="00C02DD8"/>
    <w:rsid w:val="00C03809"/>
    <w:rsid w:val="00C03AEE"/>
    <w:rsid w:val="00C03B89"/>
    <w:rsid w:val="00C049AC"/>
    <w:rsid w:val="00C05170"/>
    <w:rsid w:val="00C052F2"/>
    <w:rsid w:val="00C0540F"/>
    <w:rsid w:val="00C05888"/>
    <w:rsid w:val="00C058BA"/>
    <w:rsid w:val="00C05EB7"/>
    <w:rsid w:val="00C05EC2"/>
    <w:rsid w:val="00C06BC7"/>
    <w:rsid w:val="00C07175"/>
    <w:rsid w:val="00C07509"/>
    <w:rsid w:val="00C075CD"/>
    <w:rsid w:val="00C07873"/>
    <w:rsid w:val="00C07C05"/>
    <w:rsid w:val="00C07C2D"/>
    <w:rsid w:val="00C10218"/>
    <w:rsid w:val="00C1024D"/>
    <w:rsid w:val="00C103E5"/>
    <w:rsid w:val="00C10460"/>
    <w:rsid w:val="00C10B0A"/>
    <w:rsid w:val="00C10BC8"/>
    <w:rsid w:val="00C10F59"/>
    <w:rsid w:val="00C10F81"/>
    <w:rsid w:val="00C11B1F"/>
    <w:rsid w:val="00C11BE7"/>
    <w:rsid w:val="00C11D3C"/>
    <w:rsid w:val="00C11E5F"/>
    <w:rsid w:val="00C12974"/>
    <w:rsid w:val="00C12F6A"/>
    <w:rsid w:val="00C13775"/>
    <w:rsid w:val="00C13921"/>
    <w:rsid w:val="00C13DBB"/>
    <w:rsid w:val="00C13DE7"/>
    <w:rsid w:val="00C13FEB"/>
    <w:rsid w:val="00C1438B"/>
    <w:rsid w:val="00C144DB"/>
    <w:rsid w:val="00C147A1"/>
    <w:rsid w:val="00C1489C"/>
    <w:rsid w:val="00C14A5C"/>
    <w:rsid w:val="00C14C2C"/>
    <w:rsid w:val="00C14E08"/>
    <w:rsid w:val="00C14E18"/>
    <w:rsid w:val="00C151AD"/>
    <w:rsid w:val="00C159CB"/>
    <w:rsid w:val="00C15C2A"/>
    <w:rsid w:val="00C15D2F"/>
    <w:rsid w:val="00C15D50"/>
    <w:rsid w:val="00C161EA"/>
    <w:rsid w:val="00C1625B"/>
    <w:rsid w:val="00C16450"/>
    <w:rsid w:val="00C164EF"/>
    <w:rsid w:val="00C1686C"/>
    <w:rsid w:val="00C16DB0"/>
    <w:rsid w:val="00C16DC0"/>
    <w:rsid w:val="00C1772F"/>
    <w:rsid w:val="00C17874"/>
    <w:rsid w:val="00C17B19"/>
    <w:rsid w:val="00C2037A"/>
    <w:rsid w:val="00C203FA"/>
    <w:rsid w:val="00C2043A"/>
    <w:rsid w:val="00C2096A"/>
    <w:rsid w:val="00C20CC3"/>
    <w:rsid w:val="00C20F33"/>
    <w:rsid w:val="00C210B0"/>
    <w:rsid w:val="00C2112F"/>
    <w:rsid w:val="00C21352"/>
    <w:rsid w:val="00C215D0"/>
    <w:rsid w:val="00C21FD2"/>
    <w:rsid w:val="00C2255F"/>
    <w:rsid w:val="00C228C4"/>
    <w:rsid w:val="00C23325"/>
    <w:rsid w:val="00C237D3"/>
    <w:rsid w:val="00C23F53"/>
    <w:rsid w:val="00C24014"/>
    <w:rsid w:val="00C244E2"/>
    <w:rsid w:val="00C245C0"/>
    <w:rsid w:val="00C246E1"/>
    <w:rsid w:val="00C24712"/>
    <w:rsid w:val="00C24A47"/>
    <w:rsid w:val="00C24A98"/>
    <w:rsid w:val="00C24D51"/>
    <w:rsid w:val="00C25B24"/>
    <w:rsid w:val="00C25FB0"/>
    <w:rsid w:val="00C267F4"/>
    <w:rsid w:val="00C26969"/>
    <w:rsid w:val="00C269D8"/>
    <w:rsid w:val="00C27267"/>
    <w:rsid w:val="00C273DF"/>
    <w:rsid w:val="00C275CE"/>
    <w:rsid w:val="00C27EB7"/>
    <w:rsid w:val="00C30209"/>
    <w:rsid w:val="00C309D3"/>
    <w:rsid w:val="00C31064"/>
    <w:rsid w:val="00C31654"/>
    <w:rsid w:val="00C31A7F"/>
    <w:rsid w:val="00C31B0D"/>
    <w:rsid w:val="00C31E68"/>
    <w:rsid w:val="00C32FDD"/>
    <w:rsid w:val="00C33BF1"/>
    <w:rsid w:val="00C345B9"/>
    <w:rsid w:val="00C34F56"/>
    <w:rsid w:val="00C3512D"/>
    <w:rsid w:val="00C3520F"/>
    <w:rsid w:val="00C35231"/>
    <w:rsid w:val="00C36178"/>
    <w:rsid w:val="00C36182"/>
    <w:rsid w:val="00C363E2"/>
    <w:rsid w:val="00C36430"/>
    <w:rsid w:val="00C36576"/>
    <w:rsid w:val="00C36595"/>
    <w:rsid w:val="00C36CEF"/>
    <w:rsid w:val="00C36F9C"/>
    <w:rsid w:val="00C36FFA"/>
    <w:rsid w:val="00C36FFC"/>
    <w:rsid w:val="00C3737D"/>
    <w:rsid w:val="00C40004"/>
    <w:rsid w:val="00C4003A"/>
    <w:rsid w:val="00C40365"/>
    <w:rsid w:val="00C404B3"/>
    <w:rsid w:val="00C409EB"/>
    <w:rsid w:val="00C40AB9"/>
    <w:rsid w:val="00C40C6F"/>
    <w:rsid w:val="00C40F6C"/>
    <w:rsid w:val="00C41088"/>
    <w:rsid w:val="00C41228"/>
    <w:rsid w:val="00C41417"/>
    <w:rsid w:val="00C41CB8"/>
    <w:rsid w:val="00C41D47"/>
    <w:rsid w:val="00C41FDD"/>
    <w:rsid w:val="00C424AD"/>
    <w:rsid w:val="00C42A35"/>
    <w:rsid w:val="00C43BC7"/>
    <w:rsid w:val="00C43C36"/>
    <w:rsid w:val="00C4457D"/>
    <w:rsid w:val="00C446D9"/>
    <w:rsid w:val="00C44CFE"/>
    <w:rsid w:val="00C44F78"/>
    <w:rsid w:val="00C454C0"/>
    <w:rsid w:val="00C45DC5"/>
    <w:rsid w:val="00C460DD"/>
    <w:rsid w:val="00C461E2"/>
    <w:rsid w:val="00C46F3D"/>
    <w:rsid w:val="00C4741D"/>
    <w:rsid w:val="00C47C33"/>
    <w:rsid w:val="00C501C2"/>
    <w:rsid w:val="00C503C0"/>
    <w:rsid w:val="00C507DC"/>
    <w:rsid w:val="00C508B2"/>
    <w:rsid w:val="00C5095C"/>
    <w:rsid w:val="00C50B61"/>
    <w:rsid w:val="00C50CD2"/>
    <w:rsid w:val="00C50F16"/>
    <w:rsid w:val="00C511A3"/>
    <w:rsid w:val="00C51385"/>
    <w:rsid w:val="00C513A8"/>
    <w:rsid w:val="00C51669"/>
    <w:rsid w:val="00C516D3"/>
    <w:rsid w:val="00C5187A"/>
    <w:rsid w:val="00C51CB3"/>
    <w:rsid w:val="00C5233B"/>
    <w:rsid w:val="00C527A8"/>
    <w:rsid w:val="00C528DC"/>
    <w:rsid w:val="00C52A16"/>
    <w:rsid w:val="00C52D33"/>
    <w:rsid w:val="00C52DE0"/>
    <w:rsid w:val="00C52E64"/>
    <w:rsid w:val="00C537E1"/>
    <w:rsid w:val="00C53865"/>
    <w:rsid w:val="00C53DCE"/>
    <w:rsid w:val="00C53DF0"/>
    <w:rsid w:val="00C54177"/>
    <w:rsid w:val="00C543CE"/>
    <w:rsid w:val="00C549EF"/>
    <w:rsid w:val="00C55264"/>
    <w:rsid w:val="00C553FE"/>
    <w:rsid w:val="00C55436"/>
    <w:rsid w:val="00C55761"/>
    <w:rsid w:val="00C558DD"/>
    <w:rsid w:val="00C55AC3"/>
    <w:rsid w:val="00C56101"/>
    <w:rsid w:val="00C573AD"/>
    <w:rsid w:val="00C575DE"/>
    <w:rsid w:val="00C57BFF"/>
    <w:rsid w:val="00C57D79"/>
    <w:rsid w:val="00C60698"/>
    <w:rsid w:val="00C606BD"/>
    <w:rsid w:val="00C6082D"/>
    <w:rsid w:val="00C60C5B"/>
    <w:rsid w:val="00C61CBD"/>
    <w:rsid w:val="00C62086"/>
    <w:rsid w:val="00C62165"/>
    <w:rsid w:val="00C63082"/>
    <w:rsid w:val="00C634ED"/>
    <w:rsid w:val="00C63825"/>
    <w:rsid w:val="00C63C96"/>
    <w:rsid w:val="00C63DDC"/>
    <w:rsid w:val="00C64B88"/>
    <w:rsid w:val="00C64F8F"/>
    <w:rsid w:val="00C650D2"/>
    <w:rsid w:val="00C65A0E"/>
    <w:rsid w:val="00C65B79"/>
    <w:rsid w:val="00C65E84"/>
    <w:rsid w:val="00C65EF4"/>
    <w:rsid w:val="00C66030"/>
    <w:rsid w:val="00C6603E"/>
    <w:rsid w:val="00C66094"/>
    <w:rsid w:val="00C661C7"/>
    <w:rsid w:val="00C66404"/>
    <w:rsid w:val="00C6666B"/>
    <w:rsid w:val="00C66814"/>
    <w:rsid w:val="00C66CA7"/>
    <w:rsid w:val="00C66EF5"/>
    <w:rsid w:val="00C66FD1"/>
    <w:rsid w:val="00C6705E"/>
    <w:rsid w:val="00C67436"/>
    <w:rsid w:val="00C67793"/>
    <w:rsid w:val="00C677DB"/>
    <w:rsid w:val="00C67830"/>
    <w:rsid w:val="00C67C95"/>
    <w:rsid w:val="00C70198"/>
    <w:rsid w:val="00C70207"/>
    <w:rsid w:val="00C7089E"/>
    <w:rsid w:val="00C70B26"/>
    <w:rsid w:val="00C70C92"/>
    <w:rsid w:val="00C70D90"/>
    <w:rsid w:val="00C712BA"/>
    <w:rsid w:val="00C712EE"/>
    <w:rsid w:val="00C71386"/>
    <w:rsid w:val="00C715C8"/>
    <w:rsid w:val="00C7174A"/>
    <w:rsid w:val="00C71B82"/>
    <w:rsid w:val="00C71D6B"/>
    <w:rsid w:val="00C71F2E"/>
    <w:rsid w:val="00C7220B"/>
    <w:rsid w:val="00C72396"/>
    <w:rsid w:val="00C72429"/>
    <w:rsid w:val="00C72A3B"/>
    <w:rsid w:val="00C72C04"/>
    <w:rsid w:val="00C731B8"/>
    <w:rsid w:val="00C732EB"/>
    <w:rsid w:val="00C73A7A"/>
    <w:rsid w:val="00C740FB"/>
    <w:rsid w:val="00C742A7"/>
    <w:rsid w:val="00C742C1"/>
    <w:rsid w:val="00C743DC"/>
    <w:rsid w:val="00C747DA"/>
    <w:rsid w:val="00C7504F"/>
    <w:rsid w:val="00C750A2"/>
    <w:rsid w:val="00C7529E"/>
    <w:rsid w:val="00C75441"/>
    <w:rsid w:val="00C75832"/>
    <w:rsid w:val="00C7585C"/>
    <w:rsid w:val="00C75A2C"/>
    <w:rsid w:val="00C75B81"/>
    <w:rsid w:val="00C75C34"/>
    <w:rsid w:val="00C75EEE"/>
    <w:rsid w:val="00C760C8"/>
    <w:rsid w:val="00C7683F"/>
    <w:rsid w:val="00C76992"/>
    <w:rsid w:val="00C76A02"/>
    <w:rsid w:val="00C76A8F"/>
    <w:rsid w:val="00C76D70"/>
    <w:rsid w:val="00C77191"/>
    <w:rsid w:val="00C77194"/>
    <w:rsid w:val="00C7719E"/>
    <w:rsid w:val="00C772F3"/>
    <w:rsid w:val="00C7733F"/>
    <w:rsid w:val="00C77397"/>
    <w:rsid w:val="00C7750E"/>
    <w:rsid w:val="00C77E3B"/>
    <w:rsid w:val="00C808C4"/>
    <w:rsid w:val="00C80B08"/>
    <w:rsid w:val="00C817FE"/>
    <w:rsid w:val="00C81860"/>
    <w:rsid w:val="00C81BFA"/>
    <w:rsid w:val="00C8210B"/>
    <w:rsid w:val="00C82144"/>
    <w:rsid w:val="00C823AD"/>
    <w:rsid w:val="00C82667"/>
    <w:rsid w:val="00C82763"/>
    <w:rsid w:val="00C82B6D"/>
    <w:rsid w:val="00C82D35"/>
    <w:rsid w:val="00C82EF6"/>
    <w:rsid w:val="00C83379"/>
    <w:rsid w:val="00C8370E"/>
    <w:rsid w:val="00C83CD5"/>
    <w:rsid w:val="00C83CF9"/>
    <w:rsid w:val="00C84049"/>
    <w:rsid w:val="00C84517"/>
    <w:rsid w:val="00C845A9"/>
    <w:rsid w:val="00C846B7"/>
    <w:rsid w:val="00C84FAD"/>
    <w:rsid w:val="00C8522B"/>
    <w:rsid w:val="00C85310"/>
    <w:rsid w:val="00C85360"/>
    <w:rsid w:val="00C85468"/>
    <w:rsid w:val="00C85579"/>
    <w:rsid w:val="00C858C3"/>
    <w:rsid w:val="00C8591E"/>
    <w:rsid w:val="00C8690C"/>
    <w:rsid w:val="00C86E79"/>
    <w:rsid w:val="00C86F1B"/>
    <w:rsid w:val="00C86F73"/>
    <w:rsid w:val="00C87019"/>
    <w:rsid w:val="00C87359"/>
    <w:rsid w:val="00C87654"/>
    <w:rsid w:val="00C87AAA"/>
    <w:rsid w:val="00C90048"/>
    <w:rsid w:val="00C90132"/>
    <w:rsid w:val="00C90501"/>
    <w:rsid w:val="00C911E8"/>
    <w:rsid w:val="00C913F1"/>
    <w:rsid w:val="00C91774"/>
    <w:rsid w:val="00C9185F"/>
    <w:rsid w:val="00C91A5F"/>
    <w:rsid w:val="00C91F46"/>
    <w:rsid w:val="00C91FDA"/>
    <w:rsid w:val="00C92345"/>
    <w:rsid w:val="00C924B8"/>
    <w:rsid w:val="00C92583"/>
    <w:rsid w:val="00C92A9C"/>
    <w:rsid w:val="00C9302A"/>
    <w:rsid w:val="00C932A5"/>
    <w:rsid w:val="00C93481"/>
    <w:rsid w:val="00C93539"/>
    <w:rsid w:val="00C93894"/>
    <w:rsid w:val="00C93D16"/>
    <w:rsid w:val="00C93D34"/>
    <w:rsid w:val="00C93E3E"/>
    <w:rsid w:val="00C93F5B"/>
    <w:rsid w:val="00C93F83"/>
    <w:rsid w:val="00C9441A"/>
    <w:rsid w:val="00C94D8B"/>
    <w:rsid w:val="00C94F2E"/>
    <w:rsid w:val="00C94F82"/>
    <w:rsid w:val="00C9549A"/>
    <w:rsid w:val="00C95A9D"/>
    <w:rsid w:val="00C95AC0"/>
    <w:rsid w:val="00C95C5D"/>
    <w:rsid w:val="00C96076"/>
    <w:rsid w:val="00C963BE"/>
    <w:rsid w:val="00C964F1"/>
    <w:rsid w:val="00C966F8"/>
    <w:rsid w:val="00C9684E"/>
    <w:rsid w:val="00C96915"/>
    <w:rsid w:val="00C969B9"/>
    <w:rsid w:val="00C96DC7"/>
    <w:rsid w:val="00C9766C"/>
    <w:rsid w:val="00C97797"/>
    <w:rsid w:val="00C97ACC"/>
    <w:rsid w:val="00CA013E"/>
    <w:rsid w:val="00CA048F"/>
    <w:rsid w:val="00CA0761"/>
    <w:rsid w:val="00CA0822"/>
    <w:rsid w:val="00CA0D14"/>
    <w:rsid w:val="00CA0EDB"/>
    <w:rsid w:val="00CA10BD"/>
    <w:rsid w:val="00CA118E"/>
    <w:rsid w:val="00CA1290"/>
    <w:rsid w:val="00CA13CB"/>
    <w:rsid w:val="00CA1A51"/>
    <w:rsid w:val="00CA1F56"/>
    <w:rsid w:val="00CA245A"/>
    <w:rsid w:val="00CA26E5"/>
    <w:rsid w:val="00CA29A5"/>
    <w:rsid w:val="00CA32E4"/>
    <w:rsid w:val="00CA35F7"/>
    <w:rsid w:val="00CA442D"/>
    <w:rsid w:val="00CA4835"/>
    <w:rsid w:val="00CA4954"/>
    <w:rsid w:val="00CA4A1C"/>
    <w:rsid w:val="00CA4C29"/>
    <w:rsid w:val="00CA560C"/>
    <w:rsid w:val="00CA5693"/>
    <w:rsid w:val="00CA591C"/>
    <w:rsid w:val="00CA5D7A"/>
    <w:rsid w:val="00CA6761"/>
    <w:rsid w:val="00CA694F"/>
    <w:rsid w:val="00CA6C31"/>
    <w:rsid w:val="00CA75F0"/>
    <w:rsid w:val="00CA796D"/>
    <w:rsid w:val="00CA7ACE"/>
    <w:rsid w:val="00CA7F29"/>
    <w:rsid w:val="00CB02E7"/>
    <w:rsid w:val="00CB0364"/>
    <w:rsid w:val="00CB0465"/>
    <w:rsid w:val="00CB0466"/>
    <w:rsid w:val="00CB04BE"/>
    <w:rsid w:val="00CB057E"/>
    <w:rsid w:val="00CB0B43"/>
    <w:rsid w:val="00CB0CB1"/>
    <w:rsid w:val="00CB0D11"/>
    <w:rsid w:val="00CB12FF"/>
    <w:rsid w:val="00CB2396"/>
    <w:rsid w:val="00CB2636"/>
    <w:rsid w:val="00CB2D74"/>
    <w:rsid w:val="00CB3259"/>
    <w:rsid w:val="00CB3AF9"/>
    <w:rsid w:val="00CB3D40"/>
    <w:rsid w:val="00CB3F9A"/>
    <w:rsid w:val="00CB40E5"/>
    <w:rsid w:val="00CB51AC"/>
    <w:rsid w:val="00CB5878"/>
    <w:rsid w:val="00CB5A11"/>
    <w:rsid w:val="00CB6005"/>
    <w:rsid w:val="00CB64E6"/>
    <w:rsid w:val="00CB67FA"/>
    <w:rsid w:val="00CB6C8A"/>
    <w:rsid w:val="00CB6EB3"/>
    <w:rsid w:val="00CB6FB3"/>
    <w:rsid w:val="00CB74DD"/>
    <w:rsid w:val="00CB790F"/>
    <w:rsid w:val="00CB7938"/>
    <w:rsid w:val="00CB7B63"/>
    <w:rsid w:val="00CB7BA4"/>
    <w:rsid w:val="00CB7E50"/>
    <w:rsid w:val="00CC0036"/>
    <w:rsid w:val="00CC016B"/>
    <w:rsid w:val="00CC0292"/>
    <w:rsid w:val="00CC06AE"/>
    <w:rsid w:val="00CC06D6"/>
    <w:rsid w:val="00CC098E"/>
    <w:rsid w:val="00CC1121"/>
    <w:rsid w:val="00CC16AB"/>
    <w:rsid w:val="00CC19B1"/>
    <w:rsid w:val="00CC1B2B"/>
    <w:rsid w:val="00CC1CB0"/>
    <w:rsid w:val="00CC1E39"/>
    <w:rsid w:val="00CC245F"/>
    <w:rsid w:val="00CC266E"/>
    <w:rsid w:val="00CC2D95"/>
    <w:rsid w:val="00CC2F46"/>
    <w:rsid w:val="00CC312C"/>
    <w:rsid w:val="00CC3544"/>
    <w:rsid w:val="00CC3D23"/>
    <w:rsid w:val="00CC4180"/>
    <w:rsid w:val="00CC41F8"/>
    <w:rsid w:val="00CC44FE"/>
    <w:rsid w:val="00CC47FF"/>
    <w:rsid w:val="00CC486D"/>
    <w:rsid w:val="00CC493A"/>
    <w:rsid w:val="00CC5C2B"/>
    <w:rsid w:val="00CC6C84"/>
    <w:rsid w:val="00CC6D86"/>
    <w:rsid w:val="00CC7633"/>
    <w:rsid w:val="00CC7A39"/>
    <w:rsid w:val="00CC7B49"/>
    <w:rsid w:val="00CC7D3C"/>
    <w:rsid w:val="00CC7EE3"/>
    <w:rsid w:val="00CD00D0"/>
    <w:rsid w:val="00CD025D"/>
    <w:rsid w:val="00CD05C6"/>
    <w:rsid w:val="00CD0D18"/>
    <w:rsid w:val="00CD0E9C"/>
    <w:rsid w:val="00CD11E1"/>
    <w:rsid w:val="00CD1AD1"/>
    <w:rsid w:val="00CD2048"/>
    <w:rsid w:val="00CD20B6"/>
    <w:rsid w:val="00CD2AE4"/>
    <w:rsid w:val="00CD2CA6"/>
    <w:rsid w:val="00CD3415"/>
    <w:rsid w:val="00CD35EF"/>
    <w:rsid w:val="00CD3CA5"/>
    <w:rsid w:val="00CD3FC2"/>
    <w:rsid w:val="00CD4925"/>
    <w:rsid w:val="00CD4C79"/>
    <w:rsid w:val="00CD4D32"/>
    <w:rsid w:val="00CD4EBD"/>
    <w:rsid w:val="00CD52FB"/>
    <w:rsid w:val="00CD58CD"/>
    <w:rsid w:val="00CD5B64"/>
    <w:rsid w:val="00CD5E0D"/>
    <w:rsid w:val="00CD5F90"/>
    <w:rsid w:val="00CD6460"/>
    <w:rsid w:val="00CD674F"/>
    <w:rsid w:val="00CD6784"/>
    <w:rsid w:val="00CD68B7"/>
    <w:rsid w:val="00CD6940"/>
    <w:rsid w:val="00CD6A7D"/>
    <w:rsid w:val="00CD6D18"/>
    <w:rsid w:val="00CD6ED7"/>
    <w:rsid w:val="00CD7109"/>
    <w:rsid w:val="00CD73FE"/>
    <w:rsid w:val="00CD7E6F"/>
    <w:rsid w:val="00CE033D"/>
    <w:rsid w:val="00CE05B2"/>
    <w:rsid w:val="00CE06B1"/>
    <w:rsid w:val="00CE0713"/>
    <w:rsid w:val="00CE0A5C"/>
    <w:rsid w:val="00CE0B6C"/>
    <w:rsid w:val="00CE0B94"/>
    <w:rsid w:val="00CE106E"/>
    <w:rsid w:val="00CE14F7"/>
    <w:rsid w:val="00CE154C"/>
    <w:rsid w:val="00CE2150"/>
    <w:rsid w:val="00CE2297"/>
    <w:rsid w:val="00CE2A0F"/>
    <w:rsid w:val="00CE2CE8"/>
    <w:rsid w:val="00CE2D18"/>
    <w:rsid w:val="00CE2EEF"/>
    <w:rsid w:val="00CE3477"/>
    <w:rsid w:val="00CE34A0"/>
    <w:rsid w:val="00CE371E"/>
    <w:rsid w:val="00CE4820"/>
    <w:rsid w:val="00CE4D06"/>
    <w:rsid w:val="00CE4DDA"/>
    <w:rsid w:val="00CE5980"/>
    <w:rsid w:val="00CE5DB4"/>
    <w:rsid w:val="00CE5E85"/>
    <w:rsid w:val="00CE5FEA"/>
    <w:rsid w:val="00CE6096"/>
    <w:rsid w:val="00CE64DD"/>
    <w:rsid w:val="00CE6C31"/>
    <w:rsid w:val="00CE6EE0"/>
    <w:rsid w:val="00CE78F8"/>
    <w:rsid w:val="00CE7A4C"/>
    <w:rsid w:val="00CE7F56"/>
    <w:rsid w:val="00CF0366"/>
    <w:rsid w:val="00CF1145"/>
    <w:rsid w:val="00CF12A4"/>
    <w:rsid w:val="00CF145C"/>
    <w:rsid w:val="00CF193A"/>
    <w:rsid w:val="00CF1AA0"/>
    <w:rsid w:val="00CF1BDF"/>
    <w:rsid w:val="00CF1C6A"/>
    <w:rsid w:val="00CF1EC7"/>
    <w:rsid w:val="00CF22C0"/>
    <w:rsid w:val="00CF2443"/>
    <w:rsid w:val="00CF28E6"/>
    <w:rsid w:val="00CF299D"/>
    <w:rsid w:val="00CF2B27"/>
    <w:rsid w:val="00CF2DAD"/>
    <w:rsid w:val="00CF312E"/>
    <w:rsid w:val="00CF3171"/>
    <w:rsid w:val="00CF3619"/>
    <w:rsid w:val="00CF38F2"/>
    <w:rsid w:val="00CF3A60"/>
    <w:rsid w:val="00CF3A66"/>
    <w:rsid w:val="00CF3E63"/>
    <w:rsid w:val="00CF3EBA"/>
    <w:rsid w:val="00CF46F8"/>
    <w:rsid w:val="00CF495D"/>
    <w:rsid w:val="00CF496C"/>
    <w:rsid w:val="00CF4ABD"/>
    <w:rsid w:val="00CF4B68"/>
    <w:rsid w:val="00CF4E75"/>
    <w:rsid w:val="00CF5145"/>
    <w:rsid w:val="00CF5876"/>
    <w:rsid w:val="00CF595E"/>
    <w:rsid w:val="00CF5A59"/>
    <w:rsid w:val="00CF5D19"/>
    <w:rsid w:val="00CF5E49"/>
    <w:rsid w:val="00CF629F"/>
    <w:rsid w:val="00CF6A2A"/>
    <w:rsid w:val="00CF6AE3"/>
    <w:rsid w:val="00CF6E70"/>
    <w:rsid w:val="00CF7114"/>
    <w:rsid w:val="00CF794A"/>
    <w:rsid w:val="00CF79F6"/>
    <w:rsid w:val="00CF7FBB"/>
    <w:rsid w:val="00D001F8"/>
    <w:rsid w:val="00D00341"/>
    <w:rsid w:val="00D0089F"/>
    <w:rsid w:val="00D01398"/>
    <w:rsid w:val="00D013F7"/>
    <w:rsid w:val="00D015C7"/>
    <w:rsid w:val="00D01774"/>
    <w:rsid w:val="00D017C6"/>
    <w:rsid w:val="00D01F62"/>
    <w:rsid w:val="00D02588"/>
    <w:rsid w:val="00D02997"/>
    <w:rsid w:val="00D02A6E"/>
    <w:rsid w:val="00D042C2"/>
    <w:rsid w:val="00D0487B"/>
    <w:rsid w:val="00D04DBE"/>
    <w:rsid w:val="00D052E1"/>
    <w:rsid w:val="00D05383"/>
    <w:rsid w:val="00D05BEA"/>
    <w:rsid w:val="00D05D8E"/>
    <w:rsid w:val="00D05DC7"/>
    <w:rsid w:val="00D0600F"/>
    <w:rsid w:val="00D06192"/>
    <w:rsid w:val="00D0678D"/>
    <w:rsid w:val="00D07024"/>
    <w:rsid w:val="00D07163"/>
    <w:rsid w:val="00D07549"/>
    <w:rsid w:val="00D0761A"/>
    <w:rsid w:val="00D076F8"/>
    <w:rsid w:val="00D07893"/>
    <w:rsid w:val="00D078BB"/>
    <w:rsid w:val="00D07B8F"/>
    <w:rsid w:val="00D07D56"/>
    <w:rsid w:val="00D10127"/>
    <w:rsid w:val="00D10272"/>
    <w:rsid w:val="00D103AC"/>
    <w:rsid w:val="00D105F7"/>
    <w:rsid w:val="00D107F6"/>
    <w:rsid w:val="00D10C84"/>
    <w:rsid w:val="00D10CB9"/>
    <w:rsid w:val="00D10DFF"/>
    <w:rsid w:val="00D112AD"/>
    <w:rsid w:val="00D11639"/>
    <w:rsid w:val="00D1201B"/>
    <w:rsid w:val="00D1231D"/>
    <w:rsid w:val="00D12368"/>
    <w:rsid w:val="00D127DE"/>
    <w:rsid w:val="00D1290E"/>
    <w:rsid w:val="00D12A8E"/>
    <w:rsid w:val="00D12C96"/>
    <w:rsid w:val="00D12D81"/>
    <w:rsid w:val="00D131D1"/>
    <w:rsid w:val="00D13281"/>
    <w:rsid w:val="00D13465"/>
    <w:rsid w:val="00D1361E"/>
    <w:rsid w:val="00D1388B"/>
    <w:rsid w:val="00D13B52"/>
    <w:rsid w:val="00D13F26"/>
    <w:rsid w:val="00D13FB1"/>
    <w:rsid w:val="00D14C7E"/>
    <w:rsid w:val="00D14EC1"/>
    <w:rsid w:val="00D15859"/>
    <w:rsid w:val="00D15C5F"/>
    <w:rsid w:val="00D15D1A"/>
    <w:rsid w:val="00D16079"/>
    <w:rsid w:val="00D160F3"/>
    <w:rsid w:val="00D16157"/>
    <w:rsid w:val="00D162EA"/>
    <w:rsid w:val="00D167C3"/>
    <w:rsid w:val="00D16D3D"/>
    <w:rsid w:val="00D16F1C"/>
    <w:rsid w:val="00D170BB"/>
    <w:rsid w:val="00D17145"/>
    <w:rsid w:val="00D17714"/>
    <w:rsid w:val="00D1776A"/>
    <w:rsid w:val="00D20346"/>
    <w:rsid w:val="00D205D8"/>
    <w:rsid w:val="00D20D58"/>
    <w:rsid w:val="00D21809"/>
    <w:rsid w:val="00D22647"/>
    <w:rsid w:val="00D2277D"/>
    <w:rsid w:val="00D22DEB"/>
    <w:rsid w:val="00D23544"/>
    <w:rsid w:val="00D2380A"/>
    <w:rsid w:val="00D23D88"/>
    <w:rsid w:val="00D2414D"/>
    <w:rsid w:val="00D2422F"/>
    <w:rsid w:val="00D2504C"/>
    <w:rsid w:val="00D2544C"/>
    <w:rsid w:val="00D254F3"/>
    <w:rsid w:val="00D258BC"/>
    <w:rsid w:val="00D25CC5"/>
    <w:rsid w:val="00D25F70"/>
    <w:rsid w:val="00D25FD1"/>
    <w:rsid w:val="00D2608C"/>
    <w:rsid w:val="00D262B0"/>
    <w:rsid w:val="00D2654C"/>
    <w:rsid w:val="00D2693F"/>
    <w:rsid w:val="00D26C8A"/>
    <w:rsid w:val="00D26D75"/>
    <w:rsid w:val="00D2710C"/>
    <w:rsid w:val="00D2741C"/>
    <w:rsid w:val="00D276E3"/>
    <w:rsid w:val="00D2777B"/>
    <w:rsid w:val="00D27AB2"/>
    <w:rsid w:val="00D27F36"/>
    <w:rsid w:val="00D30387"/>
    <w:rsid w:val="00D307CB"/>
    <w:rsid w:val="00D30978"/>
    <w:rsid w:val="00D30D52"/>
    <w:rsid w:val="00D30E31"/>
    <w:rsid w:val="00D318A4"/>
    <w:rsid w:val="00D31BE0"/>
    <w:rsid w:val="00D32960"/>
    <w:rsid w:val="00D32BFF"/>
    <w:rsid w:val="00D33205"/>
    <w:rsid w:val="00D334B5"/>
    <w:rsid w:val="00D3385E"/>
    <w:rsid w:val="00D33A53"/>
    <w:rsid w:val="00D33C03"/>
    <w:rsid w:val="00D33C47"/>
    <w:rsid w:val="00D33E7F"/>
    <w:rsid w:val="00D33F41"/>
    <w:rsid w:val="00D341EB"/>
    <w:rsid w:val="00D3474B"/>
    <w:rsid w:val="00D34A02"/>
    <w:rsid w:val="00D356AC"/>
    <w:rsid w:val="00D3571B"/>
    <w:rsid w:val="00D35C76"/>
    <w:rsid w:val="00D35D16"/>
    <w:rsid w:val="00D35ED5"/>
    <w:rsid w:val="00D363D9"/>
    <w:rsid w:val="00D36769"/>
    <w:rsid w:val="00D36808"/>
    <w:rsid w:val="00D36987"/>
    <w:rsid w:val="00D36FC8"/>
    <w:rsid w:val="00D3713D"/>
    <w:rsid w:val="00D37564"/>
    <w:rsid w:val="00D37877"/>
    <w:rsid w:val="00D379D4"/>
    <w:rsid w:val="00D37A99"/>
    <w:rsid w:val="00D37BC7"/>
    <w:rsid w:val="00D40217"/>
    <w:rsid w:val="00D403AE"/>
    <w:rsid w:val="00D40402"/>
    <w:rsid w:val="00D40908"/>
    <w:rsid w:val="00D40AC7"/>
    <w:rsid w:val="00D40D41"/>
    <w:rsid w:val="00D40E53"/>
    <w:rsid w:val="00D40F89"/>
    <w:rsid w:val="00D40FB3"/>
    <w:rsid w:val="00D4230C"/>
    <w:rsid w:val="00D4246D"/>
    <w:rsid w:val="00D42DB4"/>
    <w:rsid w:val="00D42F75"/>
    <w:rsid w:val="00D431EE"/>
    <w:rsid w:val="00D43351"/>
    <w:rsid w:val="00D4337D"/>
    <w:rsid w:val="00D43465"/>
    <w:rsid w:val="00D437E7"/>
    <w:rsid w:val="00D4393F"/>
    <w:rsid w:val="00D43F2B"/>
    <w:rsid w:val="00D44219"/>
    <w:rsid w:val="00D442E5"/>
    <w:rsid w:val="00D44EBB"/>
    <w:rsid w:val="00D453A1"/>
    <w:rsid w:val="00D455BE"/>
    <w:rsid w:val="00D455D4"/>
    <w:rsid w:val="00D45CE5"/>
    <w:rsid w:val="00D45EB2"/>
    <w:rsid w:val="00D45F04"/>
    <w:rsid w:val="00D46012"/>
    <w:rsid w:val="00D468C6"/>
    <w:rsid w:val="00D46CD8"/>
    <w:rsid w:val="00D46FF1"/>
    <w:rsid w:val="00D471FF"/>
    <w:rsid w:val="00D47336"/>
    <w:rsid w:val="00D47B3A"/>
    <w:rsid w:val="00D47BB2"/>
    <w:rsid w:val="00D5046B"/>
    <w:rsid w:val="00D50BD4"/>
    <w:rsid w:val="00D50F2B"/>
    <w:rsid w:val="00D50FB2"/>
    <w:rsid w:val="00D51458"/>
    <w:rsid w:val="00D514FE"/>
    <w:rsid w:val="00D519BC"/>
    <w:rsid w:val="00D51C47"/>
    <w:rsid w:val="00D5242E"/>
    <w:rsid w:val="00D52521"/>
    <w:rsid w:val="00D52597"/>
    <w:rsid w:val="00D52951"/>
    <w:rsid w:val="00D5302B"/>
    <w:rsid w:val="00D5375A"/>
    <w:rsid w:val="00D537AC"/>
    <w:rsid w:val="00D53B56"/>
    <w:rsid w:val="00D54444"/>
    <w:rsid w:val="00D55171"/>
    <w:rsid w:val="00D552F9"/>
    <w:rsid w:val="00D553DF"/>
    <w:rsid w:val="00D55589"/>
    <w:rsid w:val="00D55A3A"/>
    <w:rsid w:val="00D55BBB"/>
    <w:rsid w:val="00D56377"/>
    <w:rsid w:val="00D566F3"/>
    <w:rsid w:val="00D56896"/>
    <w:rsid w:val="00D568A3"/>
    <w:rsid w:val="00D56B59"/>
    <w:rsid w:val="00D56F42"/>
    <w:rsid w:val="00D57146"/>
    <w:rsid w:val="00D57185"/>
    <w:rsid w:val="00D57463"/>
    <w:rsid w:val="00D57643"/>
    <w:rsid w:val="00D57933"/>
    <w:rsid w:val="00D601FC"/>
    <w:rsid w:val="00D6068F"/>
    <w:rsid w:val="00D61596"/>
    <w:rsid w:val="00D61609"/>
    <w:rsid w:val="00D616CA"/>
    <w:rsid w:val="00D61B60"/>
    <w:rsid w:val="00D620AA"/>
    <w:rsid w:val="00D6239F"/>
    <w:rsid w:val="00D626C4"/>
    <w:rsid w:val="00D62C91"/>
    <w:rsid w:val="00D6326A"/>
    <w:rsid w:val="00D63E29"/>
    <w:rsid w:val="00D63FB3"/>
    <w:rsid w:val="00D64444"/>
    <w:rsid w:val="00D645F2"/>
    <w:rsid w:val="00D6493E"/>
    <w:rsid w:val="00D64BAD"/>
    <w:rsid w:val="00D64C78"/>
    <w:rsid w:val="00D6601B"/>
    <w:rsid w:val="00D667C5"/>
    <w:rsid w:val="00D669F3"/>
    <w:rsid w:val="00D66FD1"/>
    <w:rsid w:val="00D67261"/>
    <w:rsid w:val="00D6733B"/>
    <w:rsid w:val="00D67A0C"/>
    <w:rsid w:val="00D67E99"/>
    <w:rsid w:val="00D67F96"/>
    <w:rsid w:val="00D713AA"/>
    <w:rsid w:val="00D715D3"/>
    <w:rsid w:val="00D71650"/>
    <w:rsid w:val="00D71EE8"/>
    <w:rsid w:val="00D72403"/>
    <w:rsid w:val="00D72619"/>
    <w:rsid w:val="00D7292C"/>
    <w:rsid w:val="00D72AA6"/>
    <w:rsid w:val="00D72BCF"/>
    <w:rsid w:val="00D72BE2"/>
    <w:rsid w:val="00D72D19"/>
    <w:rsid w:val="00D72D55"/>
    <w:rsid w:val="00D7317A"/>
    <w:rsid w:val="00D73A1F"/>
    <w:rsid w:val="00D73A57"/>
    <w:rsid w:val="00D741CA"/>
    <w:rsid w:val="00D7480B"/>
    <w:rsid w:val="00D74987"/>
    <w:rsid w:val="00D74BCD"/>
    <w:rsid w:val="00D74BDB"/>
    <w:rsid w:val="00D74F26"/>
    <w:rsid w:val="00D74F27"/>
    <w:rsid w:val="00D755DA"/>
    <w:rsid w:val="00D7568B"/>
    <w:rsid w:val="00D758AC"/>
    <w:rsid w:val="00D75B2D"/>
    <w:rsid w:val="00D76103"/>
    <w:rsid w:val="00D76506"/>
    <w:rsid w:val="00D7656A"/>
    <w:rsid w:val="00D76711"/>
    <w:rsid w:val="00D76FD6"/>
    <w:rsid w:val="00D77179"/>
    <w:rsid w:val="00D7730E"/>
    <w:rsid w:val="00D77B5C"/>
    <w:rsid w:val="00D77BA0"/>
    <w:rsid w:val="00D77F67"/>
    <w:rsid w:val="00D8026B"/>
    <w:rsid w:val="00D80321"/>
    <w:rsid w:val="00D80924"/>
    <w:rsid w:val="00D8094E"/>
    <w:rsid w:val="00D81977"/>
    <w:rsid w:val="00D81C86"/>
    <w:rsid w:val="00D81D70"/>
    <w:rsid w:val="00D822BA"/>
    <w:rsid w:val="00D828E3"/>
    <w:rsid w:val="00D8295D"/>
    <w:rsid w:val="00D82EB3"/>
    <w:rsid w:val="00D83462"/>
    <w:rsid w:val="00D840B3"/>
    <w:rsid w:val="00D84CF1"/>
    <w:rsid w:val="00D852E3"/>
    <w:rsid w:val="00D853E0"/>
    <w:rsid w:val="00D85405"/>
    <w:rsid w:val="00D854F5"/>
    <w:rsid w:val="00D85A5D"/>
    <w:rsid w:val="00D85D09"/>
    <w:rsid w:val="00D85DF2"/>
    <w:rsid w:val="00D85F88"/>
    <w:rsid w:val="00D86003"/>
    <w:rsid w:val="00D8613D"/>
    <w:rsid w:val="00D8678D"/>
    <w:rsid w:val="00D86C57"/>
    <w:rsid w:val="00D870CF"/>
    <w:rsid w:val="00D87132"/>
    <w:rsid w:val="00D875F7"/>
    <w:rsid w:val="00D876FE"/>
    <w:rsid w:val="00D878CB"/>
    <w:rsid w:val="00D87A99"/>
    <w:rsid w:val="00D87BE1"/>
    <w:rsid w:val="00D87BED"/>
    <w:rsid w:val="00D903CE"/>
    <w:rsid w:val="00D905C5"/>
    <w:rsid w:val="00D90951"/>
    <w:rsid w:val="00D90A57"/>
    <w:rsid w:val="00D91362"/>
    <w:rsid w:val="00D91513"/>
    <w:rsid w:val="00D9183F"/>
    <w:rsid w:val="00D91E1D"/>
    <w:rsid w:val="00D9214C"/>
    <w:rsid w:val="00D92376"/>
    <w:rsid w:val="00D9267F"/>
    <w:rsid w:val="00D92CA8"/>
    <w:rsid w:val="00D9383E"/>
    <w:rsid w:val="00D9394A"/>
    <w:rsid w:val="00D93BE2"/>
    <w:rsid w:val="00D93E1E"/>
    <w:rsid w:val="00D93ECC"/>
    <w:rsid w:val="00D9405B"/>
    <w:rsid w:val="00D94B19"/>
    <w:rsid w:val="00D94B27"/>
    <w:rsid w:val="00D94FD5"/>
    <w:rsid w:val="00D9523B"/>
    <w:rsid w:val="00D95686"/>
    <w:rsid w:val="00D958BC"/>
    <w:rsid w:val="00D95C27"/>
    <w:rsid w:val="00D95D51"/>
    <w:rsid w:val="00D96108"/>
    <w:rsid w:val="00D96539"/>
    <w:rsid w:val="00D966DA"/>
    <w:rsid w:val="00D96894"/>
    <w:rsid w:val="00D96926"/>
    <w:rsid w:val="00D96EA5"/>
    <w:rsid w:val="00D96F3C"/>
    <w:rsid w:val="00D9711F"/>
    <w:rsid w:val="00D97823"/>
    <w:rsid w:val="00D97A5C"/>
    <w:rsid w:val="00D97CC1"/>
    <w:rsid w:val="00DA00E6"/>
    <w:rsid w:val="00DA02AF"/>
    <w:rsid w:val="00DA034C"/>
    <w:rsid w:val="00DA10BE"/>
    <w:rsid w:val="00DA1B4E"/>
    <w:rsid w:val="00DA221C"/>
    <w:rsid w:val="00DA270C"/>
    <w:rsid w:val="00DA2844"/>
    <w:rsid w:val="00DA2868"/>
    <w:rsid w:val="00DA297F"/>
    <w:rsid w:val="00DA2C27"/>
    <w:rsid w:val="00DA2D25"/>
    <w:rsid w:val="00DA30B5"/>
    <w:rsid w:val="00DA37E6"/>
    <w:rsid w:val="00DA389E"/>
    <w:rsid w:val="00DA4448"/>
    <w:rsid w:val="00DA4AAC"/>
    <w:rsid w:val="00DA4D7A"/>
    <w:rsid w:val="00DA50FE"/>
    <w:rsid w:val="00DA56A2"/>
    <w:rsid w:val="00DA56AC"/>
    <w:rsid w:val="00DA5EC5"/>
    <w:rsid w:val="00DA68B5"/>
    <w:rsid w:val="00DA6FC3"/>
    <w:rsid w:val="00DA7572"/>
    <w:rsid w:val="00DA78D9"/>
    <w:rsid w:val="00DA7D88"/>
    <w:rsid w:val="00DB006C"/>
    <w:rsid w:val="00DB0580"/>
    <w:rsid w:val="00DB0B4F"/>
    <w:rsid w:val="00DB0DFD"/>
    <w:rsid w:val="00DB1019"/>
    <w:rsid w:val="00DB1816"/>
    <w:rsid w:val="00DB190B"/>
    <w:rsid w:val="00DB2288"/>
    <w:rsid w:val="00DB26A6"/>
    <w:rsid w:val="00DB2866"/>
    <w:rsid w:val="00DB2CFC"/>
    <w:rsid w:val="00DB36CF"/>
    <w:rsid w:val="00DB37B6"/>
    <w:rsid w:val="00DB3FAD"/>
    <w:rsid w:val="00DB465A"/>
    <w:rsid w:val="00DB51D2"/>
    <w:rsid w:val="00DB525D"/>
    <w:rsid w:val="00DB5383"/>
    <w:rsid w:val="00DB5D0E"/>
    <w:rsid w:val="00DB5F6A"/>
    <w:rsid w:val="00DB612F"/>
    <w:rsid w:val="00DB6400"/>
    <w:rsid w:val="00DB6709"/>
    <w:rsid w:val="00DB6A65"/>
    <w:rsid w:val="00DB7011"/>
    <w:rsid w:val="00DB701A"/>
    <w:rsid w:val="00DB78FA"/>
    <w:rsid w:val="00DB7AE8"/>
    <w:rsid w:val="00DB7DC8"/>
    <w:rsid w:val="00DC0081"/>
    <w:rsid w:val="00DC04C7"/>
    <w:rsid w:val="00DC0586"/>
    <w:rsid w:val="00DC0991"/>
    <w:rsid w:val="00DC0A2F"/>
    <w:rsid w:val="00DC0EE3"/>
    <w:rsid w:val="00DC1525"/>
    <w:rsid w:val="00DC163B"/>
    <w:rsid w:val="00DC1A40"/>
    <w:rsid w:val="00DC1B90"/>
    <w:rsid w:val="00DC219F"/>
    <w:rsid w:val="00DC292F"/>
    <w:rsid w:val="00DC2AF3"/>
    <w:rsid w:val="00DC2B61"/>
    <w:rsid w:val="00DC2BFC"/>
    <w:rsid w:val="00DC3429"/>
    <w:rsid w:val="00DC38A3"/>
    <w:rsid w:val="00DC3934"/>
    <w:rsid w:val="00DC3D0D"/>
    <w:rsid w:val="00DC3DF9"/>
    <w:rsid w:val="00DC438D"/>
    <w:rsid w:val="00DC49E7"/>
    <w:rsid w:val="00DC4A20"/>
    <w:rsid w:val="00DC4BFA"/>
    <w:rsid w:val="00DC4C2A"/>
    <w:rsid w:val="00DC4C81"/>
    <w:rsid w:val="00DC4FCD"/>
    <w:rsid w:val="00DC50B0"/>
    <w:rsid w:val="00DC552A"/>
    <w:rsid w:val="00DC58F6"/>
    <w:rsid w:val="00DC64C2"/>
    <w:rsid w:val="00DC673C"/>
    <w:rsid w:val="00DC6BA8"/>
    <w:rsid w:val="00DC7116"/>
    <w:rsid w:val="00DC723D"/>
    <w:rsid w:val="00DC7533"/>
    <w:rsid w:val="00DC76F6"/>
    <w:rsid w:val="00DD01CE"/>
    <w:rsid w:val="00DD041C"/>
    <w:rsid w:val="00DD060A"/>
    <w:rsid w:val="00DD07D5"/>
    <w:rsid w:val="00DD0BBD"/>
    <w:rsid w:val="00DD0C03"/>
    <w:rsid w:val="00DD0E82"/>
    <w:rsid w:val="00DD161D"/>
    <w:rsid w:val="00DD1902"/>
    <w:rsid w:val="00DD1D19"/>
    <w:rsid w:val="00DD1E94"/>
    <w:rsid w:val="00DD219C"/>
    <w:rsid w:val="00DD285F"/>
    <w:rsid w:val="00DD288A"/>
    <w:rsid w:val="00DD2FAD"/>
    <w:rsid w:val="00DD308B"/>
    <w:rsid w:val="00DD32E6"/>
    <w:rsid w:val="00DD3717"/>
    <w:rsid w:val="00DD38A0"/>
    <w:rsid w:val="00DD40E2"/>
    <w:rsid w:val="00DD4129"/>
    <w:rsid w:val="00DD41F2"/>
    <w:rsid w:val="00DD4419"/>
    <w:rsid w:val="00DD4979"/>
    <w:rsid w:val="00DD4E2B"/>
    <w:rsid w:val="00DD4E74"/>
    <w:rsid w:val="00DD54DC"/>
    <w:rsid w:val="00DD57CD"/>
    <w:rsid w:val="00DD6494"/>
    <w:rsid w:val="00DD65EB"/>
    <w:rsid w:val="00DD6917"/>
    <w:rsid w:val="00DD6BE8"/>
    <w:rsid w:val="00DD7018"/>
    <w:rsid w:val="00DD716C"/>
    <w:rsid w:val="00DD7452"/>
    <w:rsid w:val="00DD746A"/>
    <w:rsid w:val="00DD7931"/>
    <w:rsid w:val="00DD7A09"/>
    <w:rsid w:val="00DD7FD3"/>
    <w:rsid w:val="00DE07A0"/>
    <w:rsid w:val="00DE0D36"/>
    <w:rsid w:val="00DE10CF"/>
    <w:rsid w:val="00DE114E"/>
    <w:rsid w:val="00DE1405"/>
    <w:rsid w:val="00DE15FE"/>
    <w:rsid w:val="00DE1A7E"/>
    <w:rsid w:val="00DE206A"/>
    <w:rsid w:val="00DE2653"/>
    <w:rsid w:val="00DE27DC"/>
    <w:rsid w:val="00DE2A1F"/>
    <w:rsid w:val="00DE2EB5"/>
    <w:rsid w:val="00DE3144"/>
    <w:rsid w:val="00DE3435"/>
    <w:rsid w:val="00DE362A"/>
    <w:rsid w:val="00DE3B1F"/>
    <w:rsid w:val="00DE3F88"/>
    <w:rsid w:val="00DE4177"/>
    <w:rsid w:val="00DE49E0"/>
    <w:rsid w:val="00DE4DA1"/>
    <w:rsid w:val="00DE4E98"/>
    <w:rsid w:val="00DE4FDF"/>
    <w:rsid w:val="00DE4FE2"/>
    <w:rsid w:val="00DE59BF"/>
    <w:rsid w:val="00DE5BDA"/>
    <w:rsid w:val="00DE5ECB"/>
    <w:rsid w:val="00DE6057"/>
    <w:rsid w:val="00DE60A4"/>
    <w:rsid w:val="00DE6197"/>
    <w:rsid w:val="00DE630C"/>
    <w:rsid w:val="00DE6701"/>
    <w:rsid w:val="00DE6944"/>
    <w:rsid w:val="00DE6DB1"/>
    <w:rsid w:val="00DE6E46"/>
    <w:rsid w:val="00DE6FA2"/>
    <w:rsid w:val="00DE769D"/>
    <w:rsid w:val="00DE76F8"/>
    <w:rsid w:val="00DE7DD5"/>
    <w:rsid w:val="00DE7E11"/>
    <w:rsid w:val="00DF1B1E"/>
    <w:rsid w:val="00DF1BD0"/>
    <w:rsid w:val="00DF1CBF"/>
    <w:rsid w:val="00DF235C"/>
    <w:rsid w:val="00DF2379"/>
    <w:rsid w:val="00DF29F7"/>
    <w:rsid w:val="00DF2C22"/>
    <w:rsid w:val="00DF2CC2"/>
    <w:rsid w:val="00DF3054"/>
    <w:rsid w:val="00DF3382"/>
    <w:rsid w:val="00DF35FC"/>
    <w:rsid w:val="00DF399D"/>
    <w:rsid w:val="00DF3D93"/>
    <w:rsid w:val="00DF3E3C"/>
    <w:rsid w:val="00DF42FC"/>
    <w:rsid w:val="00DF47D9"/>
    <w:rsid w:val="00DF4852"/>
    <w:rsid w:val="00DF4CAF"/>
    <w:rsid w:val="00DF5117"/>
    <w:rsid w:val="00DF5196"/>
    <w:rsid w:val="00DF5210"/>
    <w:rsid w:val="00DF52E7"/>
    <w:rsid w:val="00DF5ADF"/>
    <w:rsid w:val="00DF5D04"/>
    <w:rsid w:val="00DF5E9E"/>
    <w:rsid w:val="00DF5F7B"/>
    <w:rsid w:val="00DF62CD"/>
    <w:rsid w:val="00DF667E"/>
    <w:rsid w:val="00DF6865"/>
    <w:rsid w:val="00DF72E4"/>
    <w:rsid w:val="00DF7385"/>
    <w:rsid w:val="00DF77CA"/>
    <w:rsid w:val="00DF7A49"/>
    <w:rsid w:val="00DF7C2A"/>
    <w:rsid w:val="00DF7D74"/>
    <w:rsid w:val="00DF7FE3"/>
    <w:rsid w:val="00E00044"/>
    <w:rsid w:val="00E002E0"/>
    <w:rsid w:val="00E00604"/>
    <w:rsid w:val="00E00A7E"/>
    <w:rsid w:val="00E011B4"/>
    <w:rsid w:val="00E01871"/>
    <w:rsid w:val="00E01A22"/>
    <w:rsid w:val="00E01B32"/>
    <w:rsid w:val="00E01C45"/>
    <w:rsid w:val="00E01EA9"/>
    <w:rsid w:val="00E025AC"/>
    <w:rsid w:val="00E02CF2"/>
    <w:rsid w:val="00E02CFB"/>
    <w:rsid w:val="00E02CFF"/>
    <w:rsid w:val="00E0327B"/>
    <w:rsid w:val="00E0371D"/>
    <w:rsid w:val="00E03AEA"/>
    <w:rsid w:val="00E0401B"/>
    <w:rsid w:val="00E042D5"/>
    <w:rsid w:val="00E04580"/>
    <w:rsid w:val="00E04587"/>
    <w:rsid w:val="00E04599"/>
    <w:rsid w:val="00E047EA"/>
    <w:rsid w:val="00E0482C"/>
    <w:rsid w:val="00E048C3"/>
    <w:rsid w:val="00E04B70"/>
    <w:rsid w:val="00E04C91"/>
    <w:rsid w:val="00E04DFE"/>
    <w:rsid w:val="00E05067"/>
    <w:rsid w:val="00E05120"/>
    <w:rsid w:val="00E05149"/>
    <w:rsid w:val="00E05655"/>
    <w:rsid w:val="00E05706"/>
    <w:rsid w:val="00E05E78"/>
    <w:rsid w:val="00E0655A"/>
    <w:rsid w:val="00E06A5B"/>
    <w:rsid w:val="00E06C35"/>
    <w:rsid w:val="00E07420"/>
    <w:rsid w:val="00E075E1"/>
    <w:rsid w:val="00E077F7"/>
    <w:rsid w:val="00E07975"/>
    <w:rsid w:val="00E07D75"/>
    <w:rsid w:val="00E07DA5"/>
    <w:rsid w:val="00E10401"/>
    <w:rsid w:val="00E10BAD"/>
    <w:rsid w:val="00E114EB"/>
    <w:rsid w:val="00E115A5"/>
    <w:rsid w:val="00E119EE"/>
    <w:rsid w:val="00E11E85"/>
    <w:rsid w:val="00E1237E"/>
    <w:rsid w:val="00E1238A"/>
    <w:rsid w:val="00E124A6"/>
    <w:rsid w:val="00E124AB"/>
    <w:rsid w:val="00E1275E"/>
    <w:rsid w:val="00E12AEE"/>
    <w:rsid w:val="00E1310B"/>
    <w:rsid w:val="00E1315F"/>
    <w:rsid w:val="00E135BD"/>
    <w:rsid w:val="00E13B5D"/>
    <w:rsid w:val="00E13B6C"/>
    <w:rsid w:val="00E13D03"/>
    <w:rsid w:val="00E13D11"/>
    <w:rsid w:val="00E13E93"/>
    <w:rsid w:val="00E13EFA"/>
    <w:rsid w:val="00E143F4"/>
    <w:rsid w:val="00E14915"/>
    <w:rsid w:val="00E14F12"/>
    <w:rsid w:val="00E15433"/>
    <w:rsid w:val="00E15601"/>
    <w:rsid w:val="00E1560A"/>
    <w:rsid w:val="00E1574B"/>
    <w:rsid w:val="00E15835"/>
    <w:rsid w:val="00E15D4A"/>
    <w:rsid w:val="00E16490"/>
    <w:rsid w:val="00E16990"/>
    <w:rsid w:val="00E1767D"/>
    <w:rsid w:val="00E17A4D"/>
    <w:rsid w:val="00E17BD1"/>
    <w:rsid w:val="00E17C3D"/>
    <w:rsid w:val="00E17E42"/>
    <w:rsid w:val="00E20066"/>
    <w:rsid w:val="00E20257"/>
    <w:rsid w:val="00E205A8"/>
    <w:rsid w:val="00E2093C"/>
    <w:rsid w:val="00E20A21"/>
    <w:rsid w:val="00E21466"/>
    <w:rsid w:val="00E2224D"/>
    <w:rsid w:val="00E22673"/>
    <w:rsid w:val="00E228C1"/>
    <w:rsid w:val="00E22A84"/>
    <w:rsid w:val="00E22C8D"/>
    <w:rsid w:val="00E22DAE"/>
    <w:rsid w:val="00E2308B"/>
    <w:rsid w:val="00E23276"/>
    <w:rsid w:val="00E2330D"/>
    <w:rsid w:val="00E23530"/>
    <w:rsid w:val="00E23E0A"/>
    <w:rsid w:val="00E23F4F"/>
    <w:rsid w:val="00E24141"/>
    <w:rsid w:val="00E24DC3"/>
    <w:rsid w:val="00E24E10"/>
    <w:rsid w:val="00E25105"/>
    <w:rsid w:val="00E25191"/>
    <w:rsid w:val="00E25ABD"/>
    <w:rsid w:val="00E25E63"/>
    <w:rsid w:val="00E2602C"/>
    <w:rsid w:val="00E262C9"/>
    <w:rsid w:val="00E26356"/>
    <w:rsid w:val="00E267D8"/>
    <w:rsid w:val="00E26DC3"/>
    <w:rsid w:val="00E26F9E"/>
    <w:rsid w:val="00E2787E"/>
    <w:rsid w:val="00E27B8E"/>
    <w:rsid w:val="00E27E35"/>
    <w:rsid w:val="00E27EA4"/>
    <w:rsid w:val="00E27ED9"/>
    <w:rsid w:val="00E3008B"/>
    <w:rsid w:val="00E302D8"/>
    <w:rsid w:val="00E3056E"/>
    <w:rsid w:val="00E30938"/>
    <w:rsid w:val="00E30B63"/>
    <w:rsid w:val="00E30C13"/>
    <w:rsid w:val="00E30FA3"/>
    <w:rsid w:val="00E3105C"/>
    <w:rsid w:val="00E318A5"/>
    <w:rsid w:val="00E31EFB"/>
    <w:rsid w:val="00E32786"/>
    <w:rsid w:val="00E32A16"/>
    <w:rsid w:val="00E330E7"/>
    <w:rsid w:val="00E33571"/>
    <w:rsid w:val="00E339E2"/>
    <w:rsid w:val="00E33AB7"/>
    <w:rsid w:val="00E33E4D"/>
    <w:rsid w:val="00E34051"/>
    <w:rsid w:val="00E34099"/>
    <w:rsid w:val="00E3463E"/>
    <w:rsid w:val="00E3471F"/>
    <w:rsid w:val="00E347B5"/>
    <w:rsid w:val="00E34DFF"/>
    <w:rsid w:val="00E352C2"/>
    <w:rsid w:val="00E35689"/>
    <w:rsid w:val="00E362B6"/>
    <w:rsid w:val="00E362E0"/>
    <w:rsid w:val="00E36388"/>
    <w:rsid w:val="00E371F4"/>
    <w:rsid w:val="00E378CA"/>
    <w:rsid w:val="00E37A3F"/>
    <w:rsid w:val="00E37B38"/>
    <w:rsid w:val="00E40083"/>
    <w:rsid w:val="00E40109"/>
    <w:rsid w:val="00E40731"/>
    <w:rsid w:val="00E408C1"/>
    <w:rsid w:val="00E409BB"/>
    <w:rsid w:val="00E40A45"/>
    <w:rsid w:val="00E40B84"/>
    <w:rsid w:val="00E40EF8"/>
    <w:rsid w:val="00E417C0"/>
    <w:rsid w:val="00E42271"/>
    <w:rsid w:val="00E422BC"/>
    <w:rsid w:val="00E425D8"/>
    <w:rsid w:val="00E4278E"/>
    <w:rsid w:val="00E42975"/>
    <w:rsid w:val="00E42976"/>
    <w:rsid w:val="00E42D71"/>
    <w:rsid w:val="00E42DAC"/>
    <w:rsid w:val="00E432B0"/>
    <w:rsid w:val="00E4342F"/>
    <w:rsid w:val="00E43844"/>
    <w:rsid w:val="00E43A6D"/>
    <w:rsid w:val="00E43B39"/>
    <w:rsid w:val="00E4492A"/>
    <w:rsid w:val="00E44AAF"/>
    <w:rsid w:val="00E453BF"/>
    <w:rsid w:val="00E4568C"/>
    <w:rsid w:val="00E459EB"/>
    <w:rsid w:val="00E461E9"/>
    <w:rsid w:val="00E46498"/>
    <w:rsid w:val="00E46783"/>
    <w:rsid w:val="00E46945"/>
    <w:rsid w:val="00E46C46"/>
    <w:rsid w:val="00E4734D"/>
    <w:rsid w:val="00E47B2D"/>
    <w:rsid w:val="00E50123"/>
    <w:rsid w:val="00E5025F"/>
    <w:rsid w:val="00E5040E"/>
    <w:rsid w:val="00E507B1"/>
    <w:rsid w:val="00E50959"/>
    <w:rsid w:val="00E50F60"/>
    <w:rsid w:val="00E515F5"/>
    <w:rsid w:val="00E51796"/>
    <w:rsid w:val="00E5213C"/>
    <w:rsid w:val="00E522B6"/>
    <w:rsid w:val="00E52353"/>
    <w:rsid w:val="00E52558"/>
    <w:rsid w:val="00E528FD"/>
    <w:rsid w:val="00E52F12"/>
    <w:rsid w:val="00E53106"/>
    <w:rsid w:val="00E5341C"/>
    <w:rsid w:val="00E5372A"/>
    <w:rsid w:val="00E53D14"/>
    <w:rsid w:val="00E53D78"/>
    <w:rsid w:val="00E541FE"/>
    <w:rsid w:val="00E542D9"/>
    <w:rsid w:val="00E5473E"/>
    <w:rsid w:val="00E549CE"/>
    <w:rsid w:val="00E54A9C"/>
    <w:rsid w:val="00E54FAA"/>
    <w:rsid w:val="00E553B4"/>
    <w:rsid w:val="00E55D31"/>
    <w:rsid w:val="00E55F2D"/>
    <w:rsid w:val="00E56359"/>
    <w:rsid w:val="00E565DE"/>
    <w:rsid w:val="00E56871"/>
    <w:rsid w:val="00E56B2B"/>
    <w:rsid w:val="00E56DE0"/>
    <w:rsid w:val="00E57530"/>
    <w:rsid w:val="00E57C04"/>
    <w:rsid w:val="00E57D11"/>
    <w:rsid w:val="00E60219"/>
    <w:rsid w:val="00E604DB"/>
    <w:rsid w:val="00E609B0"/>
    <w:rsid w:val="00E60CA0"/>
    <w:rsid w:val="00E610FF"/>
    <w:rsid w:val="00E612C4"/>
    <w:rsid w:val="00E6163A"/>
    <w:rsid w:val="00E6188F"/>
    <w:rsid w:val="00E61976"/>
    <w:rsid w:val="00E6198F"/>
    <w:rsid w:val="00E619A2"/>
    <w:rsid w:val="00E61AF5"/>
    <w:rsid w:val="00E61CEB"/>
    <w:rsid w:val="00E621F7"/>
    <w:rsid w:val="00E624A3"/>
    <w:rsid w:val="00E62678"/>
    <w:rsid w:val="00E62F83"/>
    <w:rsid w:val="00E62FCE"/>
    <w:rsid w:val="00E63054"/>
    <w:rsid w:val="00E63ABC"/>
    <w:rsid w:val="00E64140"/>
    <w:rsid w:val="00E64789"/>
    <w:rsid w:val="00E64BBA"/>
    <w:rsid w:val="00E65061"/>
    <w:rsid w:val="00E6522E"/>
    <w:rsid w:val="00E65490"/>
    <w:rsid w:val="00E65544"/>
    <w:rsid w:val="00E656BA"/>
    <w:rsid w:val="00E65911"/>
    <w:rsid w:val="00E65E89"/>
    <w:rsid w:val="00E665C3"/>
    <w:rsid w:val="00E6674C"/>
    <w:rsid w:val="00E66775"/>
    <w:rsid w:val="00E66BEA"/>
    <w:rsid w:val="00E66ED8"/>
    <w:rsid w:val="00E67029"/>
    <w:rsid w:val="00E675F2"/>
    <w:rsid w:val="00E67925"/>
    <w:rsid w:val="00E67997"/>
    <w:rsid w:val="00E67F3F"/>
    <w:rsid w:val="00E700C6"/>
    <w:rsid w:val="00E70257"/>
    <w:rsid w:val="00E70490"/>
    <w:rsid w:val="00E70918"/>
    <w:rsid w:val="00E70A44"/>
    <w:rsid w:val="00E70F5C"/>
    <w:rsid w:val="00E710F8"/>
    <w:rsid w:val="00E7183A"/>
    <w:rsid w:val="00E71C4E"/>
    <w:rsid w:val="00E720DF"/>
    <w:rsid w:val="00E720EA"/>
    <w:rsid w:val="00E72215"/>
    <w:rsid w:val="00E7228F"/>
    <w:rsid w:val="00E7285C"/>
    <w:rsid w:val="00E7286D"/>
    <w:rsid w:val="00E72BD6"/>
    <w:rsid w:val="00E7338D"/>
    <w:rsid w:val="00E734F9"/>
    <w:rsid w:val="00E73735"/>
    <w:rsid w:val="00E73A7A"/>
    <w:rsid w:val="00E746B3"/>
    <w:rsid w:val="00E747BF"/>
    <w:rsid w:val="00E75848"/>
    <w:rsid w:val="00E75A99"/>
    <w:rsid w:val="00E75EAF"/>
    <w:rsid w:val="00E75FBA"/>
    <w:rsid w:val="00E76BC4"/>
    <w:rsid w:val="00E76D70"/>
    <w:rsid w:val="00E76FBD"/>
    <w:rsid w:val="00E773C3"/>
    <w:rsid w:val="00E7746F"/>
    <w:rsid w:val="00E778B4"/>
    <w:rsid w:val="00E8024C"/>
    <w:rsid w:val="00E802C3"/>
    <w:rsid w:val="00E804D2"/>
    <w:rsid w:val="00E8051E"/>
    <w:rsid w:val="00E8057C"/>
    <w:rsid w:val="00E80D9B"/>
    <w:rsid w:val="00E80E27"/>
    <w:rsid w:val="00E810F5"/>
    <w:rsid w:val="00E814CE"/>
    <w:rsid w:val="00E816AA"/>
    <w:rsid w:val="00E816DC"/>
    <w:rsid w:val="00E8179B"/>
    <w:rsid w:val="00E8189D"/>
    <w:rsid w:val="00E81D4B"/>
    <w:rsid w:val="00E82325"/>
    <w:rsid w:val="00E82485"/>
    <w:rsid w:val="00E82660"/>
    <w:rsid w:val="00E827D5"/>
    <w:rsid w:val="00E82AA9"/>
    <w:rsid w:val="00E8316F"/>
    <w:rsid w:val="00E83568"/>
    <w:rsid w:val="00E83860"/>
    <w:rsid w:val="00E839C0"/>
    <w:rsid w:val="00E83CF1"/>
    <w:rsid w:val="00E840B5"/>
    <w:rsid w:val="00E84448"/>
    <w:rsid w:val="00E847D5"/>
    <w:rsid w:val="00E84CC4"/>
    <w:rsid w:val="00E84E6C"/>
    <w:rsid w:val="00E8535F"/>
    <w:rsid w:val="00E853C3"/>
    <w:rsid w:val="00E85929"/>
    <w:rsid w:val="00E86213"/>
    <w:rsid w:val="00E867AF"/>
    <w:rsid w:val="00E868EF"/>
    <w:rsid w:val="00E86F2A"/>
    <w:rsid w:val="00E86F58"/>
    <w:rsid w:val="00E8700D"/>
    <w:rsid w:val="00E87196"/>
    <w:rsid w:val="00E872DF"/>
    <w:rsid w:val="00E8744E"/>
    <w:rsid w:val="00E874FC"/>
    <w:rsid w:val="00E87EA7"/>
    <w:rsid w:val="00E900E8"/>
    <w:rsid w:val="00E9024F"/>
    <w:rsid w:val="00E903EA"/>
    <w:rsid w:val="00E90474"/>
    <w:rsid w:val="00E90608"/>
    <w:rsid w:val="00E906A9"/>
    <w:rsid w:val="00E9081D"/>
    <w:rsid w:val="00E9090C"/>
    <w:rsid w:val="00E909CD"/>
    <w:rsid w:val="00E90B3F"/>
    <w:rsid w:val="00E90BF8"/>
    <w:rsid w:val="00E9130D"/>
    <w:rsid w:val="00E91500"/>
    <w:rsid w:val="00E915C8"/>
    <w:rsid w:val="00E91606"/>
    <w:rsid w:val="00E916F9"/>
    <w:rsid w:val="00E91804"/>
    <w:rsid w:val="00E91DB6"/>
    <w:rsid w:val="00E91E87"/>
    <w:rsid w:val="00E92D0B"/>
    <w:rsid w:val="00E9329D"/>
    <w:rsid w:val="00E9339E"/>
    <w:rsid w:val="00E937EF"/>
    <w:rsid w:val="00E93A14"/>
    <w:rsid w:val="00E93A5A"/>
    <w:rsid w:val="00E9422E"/>
    <w:rsid w:val="00E94332"/>
    <w:rsid w:val="00E94DEF"/>
    <w:rsid w:val="00E94FD8"/>
    <w:rsid w:val="00E9534F"/>
    <w:rsid w:val="00E95DF0"/>
    <w:rsid w:val="00E965FB"/>
    <w:rsid w:val="00E96E23"/>
    <w:rsid w:val="00E9704A"/>
    <w:rsid w:val="00E974EA"/>
    <w:rsid w:val="00E97529"/>
    <w:rsid w:val="00E977C5"/>
    <w:rsid w:val="00E97E64"/>
    <w:rsid w:val="00EA026C"/>
    <w:rsid w:val="00EA04FE"/>
    <w:rsid w:val="00EA05F6"/>
    <w:rsid w:val="00EA09DC"/>
    <w:rsid w:val="00EA0BD3"/>
    <w:rsid w:val="00EA0C6A"/>
    <w:rsid w:val="00EA0CBA"/>
    <w:rsid w:val="00EA0CCA"/>
    <w:rsid w:val="00EA0D48"/>
    <w:rsid w:val="00EA18CB"/>
    <w:rsid w:val="00EA1E9C"/>
    <w:rsid w:val="00EA210D"/>
    <w:rsid w:val="00EA23D8"/>
    <w:rsid w:val="00EA2528"/>
    <w:rsid w:val="00EA252C"/>
    <w:rsid w:val="00EA28A2"/>
    <w:rsid w:val="00EA2E14"/>
    <w:rsid w:val="00EA2EB0"/>
    <w:rsid w:val="00EA3E86"/>
    <w:rsid w:val="00EA487F"/>
    <w:rsid w:val="00EA4A6A"/>
    <w:rsid w:val="00EA4ACD"/>
    <w:rsid w:val="00EA4D10"/>
    <w:rsid w:val="00EA4E05"/>
    <w:rsid w:val="00EA4E9E"/>
    <w:rsid w:val="00EA50F1"/>
    <w:rsid w:val="00EA5666"/>
    <w:rsid w:val="00EA5976"/>
    <w:rsid w:val="00EA5A60"/>
    <w:rsid w:val="00EA5C0F"/>
    <w:rsid w:val="00EA5E80"/>
    <w:rsid w:val="00EA61A6"/>
    <w:rsid w:val="00EA6851"/>
    <w:rsid w:val="00EA706B"/>
    <w:rsid w:val="00EA7097"/>
    <w:rsid w:val="00EA716D"/>
    <w:rsid w:val="00EA735D"/>
    <w:rsid w:val="00EA785F"/>
    <w:rsid w:val="00EA79C1"/>
    <w:rsid w:val="00EA7D37"/>
    <w:rsid w:val="00EA7DD0"/>
    <w:rsid w:val="00EB00C7"/>
    <w:rsid w:val="00EB0717"/>
    <w:rsid w:val="00EB071E"/>
    <w:rsid w:val="00EB08DC"/>
    <w:rsid w:val="00EB0AA7"/>
    <w:rsid w:val="00EB0D71"/>
    <w:rsid w:val="00EB1327"/>
    <w:rsid w:val="00EB1B7B"/>
    <w:rsid w:val="00EB236C"/>
    <w:rsid w:val="00EB23E3"/>
    <w:rsid w:val="00EB2AEE"/>
    <w:rsid w:val="00EB331F"/>
    <w:rsid w:val="00EB3473"/>
    <w:rsid w:val="00EB353A"/>
    <w:rsid w:val="00EB3782"/>
    <w:rsid w:val="00EB38E5"/>
    <w:rsid w:val="00EB3EE4"/>
    <w:rsid w:val="00EB452E"/>
    <w:rsid w:val="00EB4594"/>
    <w:rsid w:val="00EB4F6B"/>
    <w:rsid w:val="00EB51AA"/>
    <w:rsid w:val="00EB51EF"/>
    <w:rsid w:val="00EB5281"/>
    <w:rsid w:val="00EB675F"/>
    <w:rsid w:val="00EB6E52"/>
    <w:rsid w:val="00EB6E9A"/>
    <w:rsid w:val="00EB6EAB"/>
    <w:rsid w:val="00EB74AB"/>
    <w:rsid w:val="00EB773A"/>
    <w:rsid w:val="00EB7A03"/>
    <w:rsid w:val="00EB7E16"/>
    <w:rsid w:val="00EB7E31"/>
    <w:rsid w:val="00EC0155"/>
    <w:rsid w:val="00EC08B9"/>
    <w:rsid w:val="00EC0B8A"/>
    <w:rsid w:val="00EC0D1E"/>
    <w:rsid w:val="00EC0D93"/>
    <w:rsid w:val="00EC109F"/>
    <w:rsid w:val="00EC15BE"/>
    <w:rsid w:val="00EC18C8"/>
    <w:rsid w:val="00EC1B6A"/>
    <w:rsid w:val="00EC1C4F"/>
    <w:rsid w:val="00EC1E49"/>
    <w:rsid w:val="00EC2058"/>
    <w:rsid w:val="00EC20AB"/>
    <w:rsid w:val="00EC2470"/>
    <w:rsid w:val="00EC2846"/>
    <w:rsid w:val="00EC30F0"/>
    <w:rsid w:val="00EC3588"/>
    <w:rsid w:val="00EC3C95"/>
    <w:rsid w:val="00EC3D75"/>
    <w:rsid w:val="00EC45D0"/>
    <w:rsid w:val="00EC4D59"/>
    <w:rsid w:val="00EC4EB9"/>
    <w:rsid w:val="00EC5160"/>
    <w:rsid w:val="00EC5346"/>
    <w:rsid w:val="00EC5FB0"/>
    <w:rsid w:val="00EC61F8"/>
    <w:rsid w:val="00EC63B4"/>
    <w:rsid w:val="00EC6C0F"/>
    <w:rsid w:val="00EC6D28"/>
    <w:rsid w:val="00EC7E1E"/>
    <w:rsid w:val="00EC7EBF"/>
    <w:rsid w:val="00EC7EF3"/>
    <w:rsid w:val="00EC7F7F"/>
    <w:rsid w:val="00ED06BA"/>
    <w:rsid w:val="00ED0815"/>
    <w:rsid w:val="00ED0864"/>
    <w:rsid w:val="00ED09BE"/>
    <w:rsid w:val="00ED0C20"/>
    <w:rsid w:val="00ED0E9C"/>
    <w:rsid w:val="00ED1040"/>
    <w:rsid w:val="00ED10CF"/>
    <w:rsid w:val="00ED1112"/>
    <w:rsid w:val="00ED11D6"/>
    <w:rsid w:val="00ED145B"/>
    <w:rsid w:val="00ED16EF"/>
    <w:rsid w:val="00ED1B90"/>
    <w:rsid w:val="00ED1B94"/>
    <w:rsid w:val="00ED1C27"/>
    <w:rsid w:val="00ED1D86"/>
    <w:rsid w:val="00ED1FF1"/>
    <w:rsid w:val="00ED213D"/>
    <w:rsid w:val="00ED22AF"/>
    <w:rsid w:val="00ED28D5"/>
    <w:rsid w:val="00ED2E3F"/>
    <w:rsid w:val="00ED3407"/>
    <w:rsid w:val="00ED38CE"/>
    <w:rsid w:val="00ED4153"/>
    <w:rsid w:val="00ED43A8"/>
    <w:rsid w:val="00ED461C"/>
    <w:rsid w:val="00ED4F99"/>
    <w:rsid w:val="00ED59AB"/>
    <w:rsid w:val="00ED5A76"/>
    <w:rsid w:val="00ED5A9F"/>
    <w:rsid w:val="00ED600A"/>
    <w:rsid w:val="00ED6080"/>
    <w:rsid w:val="00ED620F"/>
    <w:rsid w:val="00ED77BF"/>
    <w:rsid w:val="00ED7A66"/>
    <w:rsid w:val="00ED7B0A"/>
    <w:rsid w:val="00ED7B72"/>
    <w:rsid w:val="00ED7F3C"/>
    <w:rsid w:val="00EE01EB"/>
    <w:rsid w:val="00EE07B7"/>
    <w:rsid w:val="00EE0B91"/>
    <w:rsid w:val="00EE0C01"/>
    <w:rsid w:val="00EE196A"/>
    <w:rsid w:val="00EE197C"/>
    <w:rsid w:val="00EE1AE3"/>
    <w:rsid w:val="00EE25F3"/>
    <w:rsid w:val="00EE273B"/>
    <w:rsid w:val="00EE2995"/>
    <w:rsid w:val="00EE2BA8"/>
    <w:rsid w:val="00EE2C98"/>
    <w:rsid w:val="00EE3094"/>
    <w:rsid w:val="00EE30E8"/>
    <w:rsid w:val="00EE3255"/>
    <w:rsid w:val="00EE3731"/>
    <w:rsid w:val="00EE378E"/>
    <w:rsid w:val="00EE3A9F"/>
    <w:rsid w:val="00EE3C3C"/>
    <w:rsid w:val="00EE40D5"/>
    <w:rsid w:val="00EE462B"/>
    <w:rsid w:val="00EE4634"/>
    <w:rsid w:val="00EE4B9F"/>
    <w:rsid w:val="00EE514E"/>
    <w:rsid w:val="00EE5A3E"/>
    <w:rsid w:val="00EE606C"/>
    <w:rsid w:val="00EE63F7"/>
    <w:rsid w:val="00EE63F8"/>
    <w:rsid w:val="00EE6620"/>
    <w:rsid w:val="00EE69D4"/>
    <w:rsid w:val="00EE6A03"/>
    <w:rsid w:val="00EE6F52"/>
    <w:rsid w:val="00EE733E"/>
    <w:rsid w:val="00EE76E1"/>
    <w:rsid w:val="00EE76FC"/>
    <w:rsid w:val="00EE7880"/>
    <w:rsid w:val="00EE7A81"/>
    <w:rsid w:val="00EE7A87"/>
    <w:rsid w:val="00EE7BB1"/>
    <w:rsid w:val="00EE7F6D"/>
    <w:rsid w:val="00EF04E7"/>
    <w:rsid w:val="00EF0CBD"/>
    <w:rsid w:val="00EF0F18"/>
    <w:rsid w:val="00EF1000"/>
    <w:rsid w:val="00EF137C"/>
    <w:rsid w:val="00EF1C44"/>
    <w:rsid w:val="00EF1C88"/>
    <w:rsid w:val="00EF1F2B"/>
    <w:rsid w:val="00EF2F60"/>
    <w:rsid w:val="00EF3900"/>
    <w:rsid w:val="00EF3CD2"/>
    <w:rsid w:val="00EF3DC6"/>
    <w:rsid w:val="00EF4036"/>
    <w:rsid w:val="00EF44A0"/>
    <w:rsid w:val="00EF4821"/>
    <w:rsid w:val="00EF4DAA"/>
    <w:rsid w:val="00EF4FE0"/>
    <w:rsid w:val="00EF5213"/>
    <w:rsid w:val="00EF5264"/>
    <w:rsid w:val="00EF5854"/>
    <w:rsid w:val="00EF590C"/>
    <w:rsid w:val="00EF5B2B"/>
    <w:rsid w:val="00EF631E"/>
    <w:rsid w:val="00EF63E7"/>
    <w:rsid w:val="00EF640E"/>
    <w:rsid w:val="00EF652B"/>
    <w:rsid w:val="00EF66AF"/>
    <w:rsid w:val="00EF673B"/>
    <w:rsid w:val="00EF674A"/>
    <w:rsid w:val="00EF6983"/>
    <w:rsid w:val="00EF6AA9"/>
    <w:rsid w:val="00EF6B37"/>
    <w:rsid w:val="00EF6F78"/>
    <w:rsid w:val="00EF7082"/>
    <w:rsid w:val="00EF7348"/>
    <w:rsid w:val="00EF7364"/>
    <w:rsid w:val="00EF73D7"/>
    <w:rsid w:val="00EF756A"/>
    <w:rsid w:val="00F000A1"/>
    <w:rsid w:val="00F0055D"/>
    <w:rsid w:val="00F0060D"/>
    <w:rsid w:val="00F00925"/>
    <w:rsid w:val="00F012FC"/>
    <w:rsid w:val="00F0155D"/>
    <w:rsid w:val="00F01A6C"/>
    <w:rsid w:val="00F01B7C"/>
    <w:rsid w:val="00F02214"/>
    <w:rsid w:val="00F02B9D"/>
    <w:rsid w:val="00F02DB4"/>
    <w:rsid w:val="00F02E76"/>
    <w:rsid w:val="00F02F7C"/>
    <w:rsid w:val="00F03715"/>
    <w:rsid w:val="00F03C89"/>
    <w:rsid w:val="00F03F15"/>
    <w:rsid w:val="00F03F53"/>
    <w:rsid w:val="00F04089"/>
    <w:rsid w:val="00F04179"/>
    <w:rsid w:val="00F04226"/>
    <w:rsid w:val="00F0478A"/>
    <w:rsid w:val="00F0498C"/>
    <w:rsid w:val="00F04996"/>
    <w:rsid w:val="00F04DDA"/>
    <w:rsid w:val="00F04FCC"/>
    <w:rsid w:val="00F0532B"/>
    <w:rsid w:val="00F0568A"/>
    <w:rsid w:val="00F0570B"/>
    <w:rsid w:val="00F05A37"/>
    <w:rsid w:val="00F05C3E"/>
    <w:rsid w:val="00F063A8"/>
    <w:rsid w:val="00F0640E"/>
    <w:rsid w:val="00F06912"/>
    <w:rsid w:val="00F06997"/>
    <w:rsid w:val="00F06E91"/>
    <w:rsid w:val="00F07101"/>
    <w:rsid w:val="00F072AD"/>
    <w:rsid w:val="00F07495"/>
    <w:rsid w:val="00F075A5"/>
    <w:rsid w:val="00F077DF"/>
    <w:rsid w:val="00F07A0D"/>
    <w:rsid w:val="00F07A7D"/>
    <w:rsid w:val="00F07CAA"/>
    <w:rsid w:val="00F10092"/>
    <w:rsid w:val="00F10144"/>
    <w:rsid w:val="00F105BA"/>
    <w:rsid w:val="00F10922"/>
    <w:rsid w:val="00F11707"/>
    <w:rsid w:val="00F1172A"/>
    <w:rsid w:val="00F1172B"/>
    <w:rsid w:val="00F1209B"/>
    <w:rsid w:val="00F123BC"/>
    <w:rsid w:val="00F12694"/>
    <w:rsid w:val="00F126CB"/>
    <w:rsid w:val="00F12804"/>
    <w:rsid w:val="00F12F8C"/>
    <w:rsid w:val="00F132CE"/>
    <w:rsid w:val="00F14283"/>
    <w:rsid w:val="00F142AC"/>
    <w:rsid w:val="00F14463"/>
    <w:rsid w:val="00F14A85"/>
    <w:rsid w:val="00F14ADA"/>
    <w:rsid w:val="00F1584B"/>
    <w:rsid w:val="00F158DA"/>
    <w:rsid w:val="00F158E9"/>
    <w:rsid w:val="00F1595F"/>
    <w:rsid w:val="00F15C4F"/>
    <w:rsid w:val="00F1624A"/>
    <w:rsid w:val="00F166B8"/>
    <w:rsid w:val="00F16A4A"/>
    <w:rsid w:val="00F16B4A"/>
    <w:rsid w:val="00F16DE5"/>
    <w:rsid w:val="00F16ECC"/>
    <w:rsid w:val="00F17462"/>
    <w:rsid w:val="00F17935"/>
    <w:rsid w:val="00F17D51"/>
    <w:rsid w:val="00F17E40"/>
    <w:rsid w:val="00F20003"/>
    <w:rsid w:val="00F20036"/>
    <w:rsid w:val="00F203C5"/>
    <w:rsid w:val="00F20CAC"/>
    <w:rsid w:val="00F20D50"/>
    <w:rsid w:val="00F20E98"/>
    <w:rsid w:val="00F21354"/>
    <w:rsid w:val="00F2189D"/>
    <w:rsid w:val="00F21ABA"/>
    <w:rsid w:val="00F21D59"/>
    <w:rsid w:val="00F21E6E"/>
    <w:rsid w:val="00F21EC6"/>
    <w:rsid w:val="00F2227B"/>
    <w:rsid w:val="00F2298B"/>
    <w:rsid w:val="00F22D3F"/>
    <w:rsid w:val="00F22DCD"/>
    <w:rsid w:val="00F23570"/>
    <w:rsid w:val="00F235FC"/>
    <w:rsid w:val="00F23D59"/>
    <w:rsid w:val="00F23D8D"/>
    <w:rsid w:val="00F23F07"/>
    <w:rsid w:val="00F2403A"/>
    <w:rsid w:val="00F24577"/>
    <w:rsid w:val="00F24597"/>
    <w:rsid w:val="00F24DD9"/>
    <w:rsid w:val="00F24FA9"/>
    <w:rsid w:val="00F25310"/>
    <w:rsid w:val="00F25391"/>
    <w:rsid w:val="00F2569D"/>
    <w:rsid w:val="00F257F8"/>
    <w:rsid w:val="00F25944"/>
    <w:rsid w:val="00F25BF3"/>
    <w:rsid w:val="00F25EEC"/>
    <w:rsid w:val="00F25FFB"/>
    <w:rsid w:val="00F26954"/>
    <w:rsid w:val="00F26BF3"/>
    <w:rsid w:val="00F26C2F"/>
    <w:rsid w:val="00F26CBA"/>
    <w:rsid w:val="00F26CFA"/>
    <w:rsid w:val="00F270A5"/>
    <w:rsid w:val="00F27533"/>
    <w:rsid w:val="00F27B42"/>
    <w:rsid w:val="00F30BF9"/>
    <w:rsid w:val="00F30E35"/>
    <w:rsid w:val="00F31157"/>
    <w:rsid w:val="00F31160"/>
    <w:rsid w:val="00F31395"/>
    <w:rsid w:val="00F314BC"/>
    <w:rsid w:val="00F3161B"/>
    <w:rsid w:val="00F32006"/>
    <w:rsid w:val="00F323FC"/>
    <w:rsid w:val="00F32411"/>
    <w:rsid w:val="00F32537"/>
    <w:rsid w:val="00F326EC"/>
    <w:rsid w:val="00F32B5B"/>
    <w:rsid w:val="00F32B5D"/>
    <w:rsid w:val="00F3304A"/>
    <w:rsid w:val="00F330C8"/>
    <w:rsid w:val="00F3311D"/>
    <w:rsid w:val="00F34514"/>
    <w:rsid w:val="00F349F2"/>
    <w:rsid w:val="00F34CB9"/>
    <w:rsid w:val="00F34FCC"/>
    <w:rsid w:val="00F3569F"/>
    <w:rsid w:val="00F356A4"/>
    <w:rsid w:val="00F3636F"/>
    <w:rsid w:val="00F36434"/>
    <w:rsid w:val="00F36B05"/>
    <w:rsid w:val="00F370F7"/>
    <w:rsid w:val="00F37244"/>
    <w:rsid w:val="00F3749E"/>
    <w:rsid w:val="00F37B3E"/>
    <w:rsid w:val="00F37D50"/>
    <w:rsid w:val="00F40568"/>
    <w:rsid w:val="00F40607"/>
    <w:rsid w:val="00F4066C"/>
    <w:rsid w:val="00F406A2"/>
    <w:rsid w:val="00F406C1"/>
    <w:rsid w:val="00F412A9"/>
    <w:rsid w:val="00F42027"/>
    <w:rsid w:val="00F4236C"/>
    <w:rsid w:val="00F429C3"/>
    <w:rsid w:val="00F42AA2"/>
    <w:rsid w:val="00F43010"/>
    <w:rsid w:val="00F43056"/>
    <w:rsid w:val="00F431EE"/>
    <w:rsid w:val="00F4329B"/>
    <w:rsid w:val="00F43A67"/>
    <w:rsid w:val="00F43C2A"/>
    <w:rsid w:val="00F43D7F"/>
    <w:rsid w:val="00F43EC8"/>
    <w:rsid w:val="00F442B6"/>
    <w:rsid w:val="00F442CD"/>
    <w:rsid w:val="00F4458F"/>
    <w:rsid w:val="00F44693"/>
    <w:rsid w:val="00F44699"/>
    <w:rsid w:val="00F4482E"/>
    <w:rsid w:val="00F44881"/>
    <w:rsid w:val="00F44AE6"/>
    <w:rsid w:val="00F44DA9"/>
    <w:rsid w:val="00F45039"/>
    <w:rsid w:val="00F45875"/>
    <w:rsid w:val="00F45C6D"/>
    <w:rsid w:val="00F45DC8"/>
    <w:rsid w:val="00F4606C"/>
    <w:rsid w:val="00F46C43"/>
    <w:rsid w:val="00F47187"/>
    <w:rsid w:val="00F47C5D"/>
    <w:rsid w:val="00F50730"/>
    <w:rsid w:val="00F5086E"/>
    <w:rsid w:val="00F50DEC"/>
    <w:rsid w:val="00F50EFB"/>
    <w:rsid w:val="00F5112A"/>
    <w:rsid w:val="00F518C1"/>
    <w:rsid w:val="00F51DB8"/>
    <w:rsid w:val="00F51DEB"/>
    <w:rsid w:val="00F5212E"/>
    <w:rsid w:val="00F5236F"/>
    <w:rsid w:val="00F52CBE"/>
    <w:rsid w:val="00F5357C"/>
    <w:rsid w:val="00F53723"/>
    <w:rsid w:val="00F5394D"/>
    <w:rsid w:val="00F5397C"/>
    <w:rsid w:val="00F53A4C"/>
    <w:rsid w:val="00F53C80"/>
    <w:rsid w:val="00F53EBB"/>
    <w:rsid w:val="00F543D6"/>
    <w:rsid w:val="00F54E7D"/>
    <w:rsid w:val="00F54ED2"/>
    <w:rsid w:val="00F54F83"/>
    <w:rsid w:val="00F55110"/>
    <w:rsid w:val="00F55189"/>
    <w:rsid w:val="00F55582"/>
    <w:rsid w:val="00F55B79"/>
    <w:rsid w:val="00F55B85"/>
    <w:rsid w:val="00F564F0"/>
    <w:rsid w:val="00F56540"/>
    <w:rsid w:val="00F565AB"/>
    <w:rsid w:val="00F56BE9"/>
    <w:rsid w:val="00F57254"/>
    <w:rsid w:val="00F579DF"/>
    <w:rsid w:val="00F57DBE"/>
    <w:rsid w:val="00F603C4"/>
    <w:rsid w:val="00F60937"/>
    <w:rsid w:val="00F609DD"/>
    <w:rsid w:val="00F60BF9"/>
    <w:rsid w:val="00F60CEE"/>
    <w:rsid w:val="00F61194"/>
    <w:rsid w:val="00F61E31"/>
    <w:rsid w:val="00F62124"/>
    <w:rsid w:val="00F62126"/>
    <w:rsid w:val="00F626D3"/>
    <w:rsid w:val="00F62C55"/>
    <w:rsid w:val="00F6313A"/>
    <w:rsid w:val="00F63149"/>
    <w:rsid w:val="00F631BB"/>
    <w:rsid w:val="00F63526"/>
    <w:rsid w:val="00F63818"/>
    <w:rsid w:val="00F63DBB"/>
    <w:rsid w:val="00F64419"/>
    <w:rsid w:val="00F650B3"/>
    <w:rsid w:val="00F65386"/>
    <w:rsid w:val="00F654EB"/>
    <w:rsid w:val="00F659C5"/>
    <w:rsid w:val="00F65D3A"/>
    <w:rsid w:val="00F6675A"/>
    <w:rsid w:val="00F66B5B"/>
    <w:rsid w:val="00F66FF3"/>
    <w:rsid w:val="00F67420"/>
    <w:rsid w:val="00F67E7D"/>
    <w:rsid w:val="00F70044"/>
    <w:rsid w:val="00F703DC"/>
    <w:rsid w:val="00F71050"/>
    <w:rsid w:val="00F7137C"/>
    <w:rsid w:val="00F7177D"/>
    <w:rsid w:val="00F717EA"/>
    <w:rsid w:val="00F72639"/>
    <w:rsid w:val="00F7264E"/>
    <w:rsid w:val="00F72AF3"/>
    <w:rsid w:val="00F72B3E"/>
    <w:rsid w:val="00F72BA6"/>
    <w:rsid w:val="00F72BC1"/>
    <w:rsid w:val="00F72DC0"/>
    <w:rsid w:val="00F73024"/>
    <w:rsid w:val="00F730BE"/>
    <w:rsid w:val="00F730E1"/>
    <w:rsid w:val="00F73211"/>
    <w:rsid w:val="00F73405"/>
    <w:rsid w:val="00F7340F"/>
    <w:rsid w:val="00F734E3"/>
    <w:rsid w:val="00F73AFC"/>
    <w:rsid w:val="00F73BF0"/>
    <w:rsid w:val="00F7409F"/>
    <w:rsid w:val="00F7451E"/>
    <w:rsid w:val="00F745CE"/>
    <w:rsid w:val="00F74D04"/>
    <w:rsid w:val="00F74D4B"/>
    <w:rsid w:val="00F74FC7"/>
    <w:rsid w:val="00F7561F"/>
    <w:rsid w:val="00F7578A"/>
    <w:rsid w:val="00F75CF0"/>
    <w:rsid w:val="00F7651F"/>
    <w:rsid w:val="00F77026"/>
    <w:rsid w:val="00F77138"/>
    <w:rsid w:val="00F772A3"/>
    <w:rsid w:val="00F77B38"/>
    <w:rsid w:val="00F77D2C"/>
    <w:rsid w:val="00F77EAD"/>
    <w:rsid w:val="00F77EC4"/>
    <w:rsid w:val="00F80E6C"/>
    <w:rsid w:val="00F80E76"/>
    <w:rsid w:val="00F81358"/>
    <w:rsid w:val="00F816C9"/>
    <w:rsid w:val="00F81BD8"/>
    <w:rsid w:val="00F8272E"/>
    <w:rsid w:val="00F828AB"/>
    <w:rsid w:val="00F8371C"/>
    <w:rsid w:val="00F83BD2"/>
    <w:rsid w:val="00F843B6"/>
    <w:rsid w:val="00F84449"/>
    <w:rsid w:val="00F84569"/>
    <w:rsid w:val="00F8509F"/>
    <w:rsid w:val="00F8543E"/>
    <w:rsid w:val="00F855C3"/>
    <w:rsid w:val="00F85B7A"/>
    <w:rsid w:val="00F85E9D"/>
    <w:rsid w:val="00F86385"/>
    <w:rsid w:val="00F87168"/>
    <w:rsid w:val="00F87A98"/>
    <w:rsid w:val="00F87AB5"/>
    <w:rsid w:val="00F87CA8"/>
    <w:rsid w:val="00F87DED"/>
    <w:rsid w:val="00F87E63"/>
    <w:rsid w:val="00F9083E"/>
    <w:rsid w:val="00F90C00"/>
    <w:rsid w:val="00F91321"/>
    <w:rsid w:val="00F91893"/>
    <w:rsid w:val="00F918D1"/>
    <w:rsid w:val="00F91AE0"/>
    <w:rsid w:val="00F91BDC"/>
    <w:rsid w:val="00F91FC9"/>
    <w:rsid w:val="00F9201C"/>
    <w:rsid w:val="00F920C8"/>
    <w:rsid w:val="00F925A3"/>
    <w:rsid w:val="00F9278E"/>
    <w:rsid w:val="00F9297F"/>
    <w:rsid w:val="00F92ABC"/>
    <w:rsid w:val="00F9313A"/>
    <w:rsid w:val="00F931E6"/>
    <w:rsid w:val="00F93CB5"/>
    <w:rsid w:val="00F93FC4"/>
    <w:rsid w:val="00F94DD5"/>
    <w:rsid w:val="00F94E32"/>
    <w:rsid w:val="00F952EE"/>
    <w:rsid w:val="00F95326"/>
    <w:rsid w:val="00F95BC8"/>
    <w:rsid w:val="00F962F7"/>
    <w:rsid w:val="00F96A28"/>
    <w:rsid w:val="00F96B2C"/>
    <w:rsid w:val="00F96BC2"/>
    <w:rsid w:val="00F96E28"/>
    <w:rsid w:val="00F972A0"/>
    <w:rsid w:val="00F972FF"/>
    <w:rsid w:val="00F973A6"/>
    <w:rsid w:val="00F97421"/>
    <w:rsid w:val="00F976ED"/>
    <w:rsid w:val="00F97CCE"/>
    <w:rsid w:val="00FA0178"/>
    <w:rsid w:val="00FA0384"/>
    <w:rsid w:val="00FA043C"/>
    <w:rsid w:val="00FA0476"/>
    <w:rsid w:val="00FA0703"/>
    <w:rsid w:val="00FA078A"/>
    <w:rsid w:val="00FA0801"/>
    <w:rsid w:val="00FA15D5"/>
    <w:rsid w:val="00FA15D7"/>
    <w:rsid w:val="00FA187B"/>
    <w:rsid w:val="00FA1FE8"/>
    <w:rsid w:val="00FA22C4"/>
    <w:rsid w:val="00FA22D4"/>
    <w:rsid w:val="00FA2837"/>
    <w:rsid w:val="00FA2AD4"/>
    <w:rsid w:val="00FA2BB7"/>
    <w:rsid w:val="00FA2C1D"/>
    <w:rsid w:val="00FA2C52"/>
    <w:rsid w:val="00FA323A"/>
    <w:rsid w:val="00FA3268"/>
    <w:rsid w:val="00FA3372"/>
    <w:rsid w:val="00FA3602"/>
    <w:rsid w:val="00FA3A4F"/>
    <w:rsid w:val="00FA3C26"/>
    <w:rsid w:val="00FA3EE6"/>
    <w:rsid w:val="00FA4061"/>
    <w:rsid w:val="00FA4516"/>
    <w:rsid w:val="00FA47E7"/>
    <w:rsid w:val="00FA4956"/>
    <w:rsid w:val="00FA4B91"/>
    <w:rsid w:val="00FA4BC0"/>
    <w:rsid w:val="00FA4BF5"/>
    <w:rsid w:val="00FA502B"/>
    <w:rsid w:val="00FA5259"/>
    <w:rsid w:val="00FA542A"/>
    <w:rsid w:val="00FA5C74"/>
    <w:rsid w:val="00FA6147"/>
    <w:rsid w:val="00FA6489"/>
    <w:rsid w:val="00FA67F7"/>
    <w:rsid w:val="00FA6A63"/>
    <w:rsid w:val="00FA71B7"/>
    <w:rsid w:val="00FA7565"/>
    <w:rsid w:val="00FA79BE"/>
    <w:rsid w:val="00FA7BB7"/>
    <w:rsid w:val="00FA7CB1"/>
    <w:rsid w:val="00FB017D"/>
    <w:rsid w:val="00FB02F2"/>
    <w:rsid w:val="00FB05F6"/>
    <w:rsid w:val="00FB06D9"/>
    <w:rsid w:val="00FB08D5"/>
    <w:rsid w:val="00FB0FBA"/>
    <w:rsid w:val="00FB1177"/>
    <w:rsid w:val="00FB1762"/>
    <w:rsid w:val="00FB1E4F"/>
    <w:rsid w:val="00FB223C"/>
    <w:rsid w:val="00FB2409"/>
    <w:rsid w:val="00FB2CDC"/>
    <w:rsid w:val="00FB2E7E"/>
    <w:rsid w:val="00FB332F"/>
    <w:rsid w:val="00FB3575"/>
    <w:rsid w:val="00FB37AE"/>
    <w:rsid w:val="00FB38E9"/>
    <w:rsid w:val="00FB3914"/>
    <w:rsid w:val="00FB396F"/>
    <w:rsid w:val="00FB3A3F"/>
    <w:rsid w:val="00FB3BAF"/>
    <w:rsid w:val="00FB3E60"/>
    <w:rsid w:val="00FB3EBA"/>
    <w:rsid w:val="00FB4487"/>
    <w:rsid w:val="00FB44DC"/>
    <w:rsid w:val="00FB482B"/>
    <w:rsid w:val="00FB483F"/>
    <w:rsid w:val="00FB4C9F"/>
    <w:rsid w:val="00FB4F33"/>
    <w:rsid w:val="00FB51B5"/>
    <w:rsid w:val="00FB5505"/>
    <w:rsid w:val="00FB566E"/>
    <w:rsid w:val="00FB56B3"/>
    <w:rsid w:val="00FB56C8"/>
    <w:rsid w:val="00FB5785"/>
    <w:rsid w:val="00FB57BF"/>
    <w:rsid w:val="00FB5F63"/>
    <w:rsid w:val="00FB661F"/>
    <w:rsid w:val="00FB6871"/>
    <w:rsid w:val="00FB71DC"/>
    <w:rsid w:val="00FB7403"/>
    <w:rsid w:val="00FB7A91"/>
    <w:rsid w:val="00FB7B4C"/>
    <w:rsid w:val="00FB7DE0"/>
    <w:rsid w:val="00FB7E0A"/>
    <w:rsid w:val="00FB7E46"/>
    <w:rsid w:val="00FC022E"/>
    <w:rsid w:val="00FC025C"/>
    <w:rsid w:val="00FC08AB"/>
    <w:rsid w:val="00FC1502"/>
    <w:rsid w:val="00FC1683"/>
    <w:rsid w:val="00FC16CA"/>
    <w:rsid w:val="00FC1A9B"/>
    <w:rsid w:val="00FC1B40"/>
    <w:rsid w:val="00FC1BE7"/>
    <w:rsid w:val="00FC1D95"/>
    <w:rsid w:val="00FC1DE3"/>
    <w:rsid w:val="00FC2090"/>
    <w:rsid w:val="00FC2327"/>
    <w:rsid w:val="00FC2423"/>
    <w:rsid w:val="00FC2548"/>
    <w:rsid w:val="00FC27F2"/>
    <w:rsid w:val="00FC2B31"/>
    <w:rsid w:val="00FC35D7"/>
    <w:rsid w:val="00FC3648"/>
    <w:rsid w:val="00FC37F1"/>
    <w:rsid w:val="00FC3853"/>
    <w:rsid w:val="00FC3EA2"/>
    <w:rsid w:val="00FC4388"/>
    <w:rsid w:val="00FC4762"/>
    <w:rsid w:val="00FC4BE0"/>
    <w:rsid w:val="00FC4FD0"/>
    <w:rsid w:val="00FC50F3"/>
    <w:rsid w:val="00FC52A5"/>
    <w:rsid w:val="00FC5497"/>
    <w:rsid w:val="00FC575B"/>
    <w:rsid w:val="00FC5E48"/>
    <w:rsid w:val="00FC5F4E"/>
    <w:rsid w:val="00FC6005"/>
    <w:rsid w:val="00FC64FC"/>
    <w:rsid w:val="00FC68E6"/>
    <w:rsid w:val="00FC68F9"/>
    <w:rsid w:val="00FC69AA"/>
    <w:rsid w:val="00FC7032"/>
    <w:rsid w:val="00FC73AF"/>
    <w:rsid w:val="00FC7615"/>
    <w:rsid w:val="00FC788F"/>
    <w:rsid w:val="00FC78C0"/>
    <w:rsid w:val="00FC79D0"/>
    <w:rsid w:val="00FC7A0D"/>
    <w:rsid w:val="00FC7DBC"/>
    <w:rsid w:val="00FC7DC5"/>
    <w:rsid w:val="00FC7FB6"/>
    <w:rsid w:val="00FD08D9"/>
    <w:rsid w:val="00FD0AD6"/>
    <w:rsid w:val="00FD111A"/>
    <w:rsid w:val="00FD11BC"/>
    <w:rsid w:val="00FD1AE6"/>
    <w:rsid w:val="00FD1C17"/>
    <w:rsid w:val="00FD2045"/>
    <w:rsid w:val="00FD2818"/>
    <w:rsid w:val="00FD28A6"/>
    <w:rsid w:val="00FD29F0"/>
    <w:rsid w:val="00FD31E0"/>
    <w:rsid w:val="00FD3B0B"/>
    <w:rsid w:val="00FD4275"/>
    <w:rsid w:val="00FD45DD"/>
    <w:rsid w:val="00FD48AA"/>
    <w:rsid w:val="00FD48AD"/>
    <w:rsid w:val="00FD4993"/>
    <w:rsid w:val="00FD4CE0"/>
    <w:rsid w:val="00FD53C8"/>
    <w:rsid w:val="00FD57A9"/>
    <w:rsid w:val="00FD596F"/>
    <w:rsid w:val="00FD6071"/>
    <w:rsid w:val="00FD6134"/>
    <w:rsid w:val="00FD619C"/>
    <w:rsid w:val="00FD62BE"/>
    <w:rsid w:val="00FD6A5D"/>
    <w:rsid w:val="00FD6A78"/>
    <w:rsid w:val="00FD6B5B"/>
    <w:rsid w:val="00FD6B61"/>
    <w:rsid w:val="00FD6F59"/>
    <w:rsid w:val="00FD6F6A"/>
    <w:rsid w:val="00FD729F"/>
    <w:rsid w:val="00FD73CE"/>
    <w:rsid w:val="00FD7A25"/>
    <w:rsid w:val="00FE0B3A"/>
    <w:rsid w:val="00FE0D13"/>
    <w:rsid w:val="00FE0FC6"/>
    <w:rsid w:val="00FE119C"/>
    <w:rsid w:val="00FE12A9"/>
    <w:rsid w:val="00FE1C6D"/>
    <w:rsid w:val="00FE1C7A"/>
    <w:rsid w:val="00FE1E61"/>
    <w:rsid w:val="00FE1FCC"/>
    <w:rsid w:val="00FE20E4"/>
    <w:rsid w:val="00FE2115"/>
    <w:rsid w:val="00FE2235"/>
    <w:rsid w:val="00FE23D9"/>
    <w:rsid w:val="00FE257F"/>
    <w:rsid w:val="00FE298C"/>
    <w:rsid w:val="00FE2DD1"/>
    <w:rsid w:val="00FE30FB"/>
    <w:rsid w:val="00FE3315"/>
    <w:rsid w:val="00FE3339"/>
    <w:rsid w:val="00FE3580"/>
    <w:rsid w:val="00FE3BC3"/>
    <w:rsid w:val="00FE4284"/>
    <w:rsid w:val="00FE4578"/>
    <w:rsid w:val="00FE465B"/>
    <w:rsid w:val="00FE4D5E"/>
    <w:rsid w:val="00FE4E2F"/>
    <w:rsid w:val="00FE5387"/>
    <w:rsid w:val="00FE538C"/>
    <w:rsid w:val="00FE6103"/>
    <w:rsid w:val="00FE6C08"/>
    <w:rsid w:val="00FE6F8C"/>
    <w:rsid w:val="00FE705F"/>
    <w:rsid w:val="00FE724C"/>
    <w:rsid w:val="00FE76E7"/>
    <w:rsid w:val="00FE7EC4"/>
    <w:rsid w:val="00FF0CD9"/>
    <w:rsid w:val="00FF0EDF"/>
    <w:rsid w:val="00FF0F81"/>
    <w:rsid w:val="00FF113A"/>
    <w:rsid w:val="00FF14BD"/>
    <w:rsid w:val="00FF1915"/>
    <w:rsid w:val="00FF2206"/>
    <w:rsid w:val="00FF22F2"/>
    <w:rsid w:val="00FF3236"/>
    <w:rsid w:val="00FF3D0F"/>
    <w:rsid w:val="00FF3FF8"/>
    <w:rsid w:val="00FF42C1"/>
    <w:rsid w:val="00FF4478"/>
    <w:rsid w:val="00FF478F"/>
    <w:rsid w:val="00FF4A07"/>
    <w:rsid w:val="00FF5042"/>
    <w:rsid w:val="00FF5583"/>
    <w:rsid w:val="00FF59B2"/>
    <w:rsid w:val="00FF60FE"/>
    <w:rsid w:val="00FF66FA"/>
    <w:rsid w:val="00FF6955"/>
    <w:rsid w:val="00FF73ED"/>
    <w:rsid w:val="00FF75E7"/>
    <w:rsid w:val="00FF76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D7031"/>
  <w15:docId w15:val="{D1CE25B6-7D6E-4A1A-B78D-4B1FE9AC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95"/>
    <w:pPr>
      <w:spacing w:line="360" w:lineRule="auto"/>
      <w:jc w:val="both"/>
    </w:pPr>
    <w:rPr>
      <w:rFonts w:ascii="Arial" w:hAnsi="Arial"/>
      <w:sz w:val="22"/>
      <w:szCs w:val="24"/>
    </w:rPr>
  </w:style>
  <w:style w:type="paragraph" w:styleId="Titre1">
    <w:name w:val="heading 1"/>
    <w:next w:val="Paragraphe"/>
    <w:link w:val="Titre1Car"/>
    <w:autoRedefine/>
    <w:qFormat/>
    <w:rsid w:val="00615873"/>
    <w:pPr>
      <w:keepNext/>
      <w:numPr>
        <w:numId w:val="1"/>
      </w:numPr>
      <w:spacing w:before="120" w:after="120"/>
      <w:outlineLvl w:val="0"/>
    </w:pPr>
    <w:rPr>
      <w:rFonts w:ascii="Arial" w:hAnsi="Arial"/>
      <w:b/>
      <w:bCs/>
      <w:caps/>
      <w:kern w:val="28"/>
      <w:sz w:val="22"/>
      <w:szCs w:val="22"/>
    </w:rPr>
  </w:style>
  <w:style w:type="paragraph" w:styleId="Titre2">
    <w:name w:val="heading 2"/>
    <w:basedOn w:val="Titre1"/>
    <w:next w:val="Paragraphe"/>
    <w:link w:val="Titre2Car"/>
    <w:autoRedefine/>
    <w:qFormat/>
    <w:rsid w:val="00615873"/>
    <w:pPr>
      <w:numPr>
        <w:ilvl w:val="1"/>
        <w:numId w:val="2"/>
      </w:numPr>
      <w:spacing w:before="240" w:after="240"/>
      <w:outlineLvl w:val="1"/>
    </w:pPr>
    <w:rPr>
      <w:rFonts w:ascii="Arial Gras" w:hAnsi="Arial Gras"/>
      <w:bCs w:val="0"/>
      <w:caps w:val="0"/>
    </w:rPr>
  </w:style>
  <w:style w:type="paragraph" w:styleId="Titre3">
    <w:name w:val="heading 3"/>
    <w:basedOn w:val="Titre2"/>
    <w:next w:val="Paragraphe"/>
    <w:link w:val="Titre3Car"/>
    <w:qFormat/>
    <w:rsid w:val="00EE3731"/>
    <w:pPr>
      <w:numPr>
        <w:ilvl w:val="2"/>
        <w:numId w:val="3"/>
      </w:numPr>
      <w:outlineLvl w:val="2"/>
    </w:pPr>
    <w:rPr>
      <w:b w:val="0"/>
      <w:bCs/>
      <w:i/>
      <w:iCs/>
    </w:rPr>
  </w:style>
  <w:style w:type="paragraph" w:styleId="Titre4">
    <w:name w:val="heading 4"/>
    <w:basedOn w:val="Titre3"/>
    <w:next w:val="Paragraphe"/>
    <w:link w:val="Titre4Car"/>
    <w:qFormat/>
    <w:rsid w:val="001176F9"/>
    <w:pPr>
      <w:numPr>
        <w:ilvl w:val="0"/>
        <w:numId w:val="8"/>
      </w:numPr>
      <w:ind w:left="709" w:hanging="709"/>
      <w:outlineLvl w:val="3"/>
    </w:pPr>
    <w:rPr>
      <w:b/>
      <w:i w:val="0"/>
      <w:iCs w:val="0"/>
      <w:caps/>
    </w:rPr>
  </w:style>
  <w:style w:type="paragraph" w:styleId="Titre5">
    <w:name w:val="heading 5"/>
    <w:basedOn w:val="Normal"/>
    <w:next w:val="Normal"/>
    <w:link w:val="Titre5Car"/>
    <w:qFormat/>
    <w:pPr>
      <w:numPr>
        <w:ilvl w:val="4"/>
        <w:numId w:val="4"/>
      </w:numPr>
      <w:spacing w:before="240" w:after="60"/>
      <w:outlineLvl w:val="4"/>
    </w:pPr>
    <w:rPr>
      <w:szCs w:val="22"/>
    </w:rPr>
  </w:style>
  <w:style w:type="paragraph" w:styleId="Titre6">
    <w:name w:val="heading 6"/>
    <w:basedOn w:val="Paragraphe"/>
    <w:next w:val="Normal"/>
    <w:link w:val="Titre6Car"/>
    <w:qFormat/>
    <w:rsid w:val="00710427"/>
    <w:pPr>
      <w:outlineLvl w:val="5"/>
    </w:pPr>
    <w:rPr>
      <w:rFonts w:eastAsia="Calibri"/>
    </w:rPr>
  </w:style>
  <w:style w:type="paragraph" w:styleId="Titre7">
    <w:name w:val="heading 7"/>
    <w:basedOn w:val="Normal"/>
    <w:next w:val="Normal"/>
    <w:link w:val="Titre7Car"/>
    <w:pPr>
      <w:numPr>
        <w:ilvl w:val="6"/>
        <w:numId w:val="5"/>
      </w:numPr>
      <w:spacing w:before="240" w:after="60"/>
      <w:outlineLvl w:val="6"/>
    </w:pPr>
    <w:rPr>
      <w:rFonts w:cs="Arial"/>
      <w:sz w:val="20"/>
      <w:szCs w:val="20"/>
    </w:rPr>
  </w:style>
  <w:style w:type="paragraph" w:styleId="Titre8">
    <w:name w:val="heading 8"/>
    <w:basedOn w:val="Normal"/>
    <w:next w:val="Normal"/>
    <w:link w:val="Titre8Car"/>
    <w:qFormat/>
    <w:pPr>
      <w:numPr>
        <w:ilvl w:val="7"/>
        <w:numId w:val="6"/>
      </w:numPr>
      <w:spacing w:before="240" w:after="60"/>
      <w:outlineLvl w:val="7"/>
    </w:pPr>
    <w:rPr>
      <w:rFonts w:cs="Arial"/>
      <w:i/>
      <w:iCs/>
      <w:sz w:val="20"/>
      <w:szCs w:val="20"/>
    </w:rPr>
  </w:style>
  <w:style w:type="paragraph" w:styleId="Titre9">
    <w:name w:val="heading 9"/>
    <w:basedOn w:val="Normal"/>
    <w:next w:val="Normal"/>
    <w:link w:val="Titre9Car"/>
    <w:pPr>
      <w:numPr>
        <w:ilvl w:val="8"/>
        <w:numId w:val="7"/>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qFormat/>
  </w:style>
  <w:style w:type="character" w:styleId="Appelnotedebasdep">
    <w:name w:val="footnote reference"/>
    <w:aliases w:val="Ref,de nota al pie,Appel note de bas de p,de nota al pie + (Asian) MS Mincho,11 pt,4_G"/>
    <w:basedOn w:val="Policepardfaut"/>
    <w:uiPriority w:val="99"/>
    <w:semiHidden/>
    <w:unhideWhenUsed/>
    <w:qFormat/>
    <w:rsid w:val="00227A1B"/>
    <w:rPr>
      <w:vertAlign w:val="superscript"/>
    </w:rPr>
  </w:style>
  <w:style w:type="paragraph" w:styleId="Citation">
    <w:name w:val="Quote"/>
    <w:next w:val="Paragraphe"/>
    <w:link w:val="CitationCar"/>
    <w:qFormat/>
    <w:rsid w:val="00176F7C"/>
    <w:pPr>
      <w:spacing w:before="120" w:after="120"/>
      <w:ind w:left="720" w:right="720"/>
    </w:pPr>
    <w:rPr>
      <w:rFonts w:ascii="Arial" w:hAnsi="Arial"/>
      <w:szCs w:val="22"/>
    </w:rPr>
  </w:style>
  <w:style w:type="paragraph" w:styleId="Titre">
    <w:name w:val="Title"/>
    <w:basedOn w:val="Normal"/>
    <w:next w:val="Normal"/>
    <w:link w:val="TitreCar"/>
    <w:qFormat/>
    <w:rsid w:val="007A1966"/>
    <w:pPr>
      <w:outlineLvl w:val="0"/>
    </w:pPr>
    <w:rPr>
      <w:b/>
      <w:bCs/>
      <w:caps/>
      <w:kern w:val="28"/>
      <w:szCs w:val="22"/>
    </w:rPr>
  </w:style>
  <w:style w:type="paragraph" w:styleId="En-tte">
    <w:name w:val="header"/>
    <w:basedOn w:val="Normal"/>
    <w:link w:val="En-tteCar"/>
    <w:uiPriority w:val="99"/>
    <w:pPr>
      <w:tabs>
        <w:tab w:val="center" w:pos="4320"/>
        <w:tab w:val="right" w:pos="8640"/>
      </w:tabs>
    </w:pPr>
  </w:style>
  <w:style w:type="paragraph" w:styleId="Corpsdetexte">
    <w:name w:val="Body Text"/>
    <w:basedOn w:val="Normal"/>
    <w:link w:val="CorpsdetexteCar"/>
    <w:semiHidden/>
    <w:unhideWhenUsed/>
    <w:rsid w:val="00381BDA"/>
    <w:pPr>
      <w:spacing w:after="120"/>
    </w:pPr>
  </w:style>
  <w:style w:type="paragraph" w:styleId="Textedebulles">
    <w:name w:val="Balloon Text"/>
    <w:basedOn w:val="Normal"/>
    <w:link w:val="TextedebullesCar"/>
    <w:semiHidden/>
    <w:rsid w:val="00212687"/>
    <w:rPr>
      <w:rFonts w:ascii="Tahoma" w:hAnsi="Tahoma" w:cs="Tahoma"/>
      <w:sz w:val="16"/>
      <w:szCs w:val="16"/>
    </w:rPr>
  </w:style>
  <w:style w:type="character" w:styleId="Lienhypertexte">
    <w:name w:val="Hyperlink"/>
    <w:uiPriority w:val="99"/>
    <w:rsid w:val="00D715D3"/>
    <w:rPr>
      <w:color w:val="0000FF"/>
      <w:u w:val="single"/>
    </w:rPr>
  </w:style>
  <w:style w:type="paragraph" w:styleId="Citationintense">
    <w:name w:val="Intense Quote"/>
    <w:basedOn w:val="Normal"/>
    <w:next w:val="Normal"/>
    <w:link w:val="CitationintenseCar"/>
    <w:uiPriority w:val="30"/>
    <w:qFormat/>
    <w:rsid w:val="0056553A"/>
    <w:pPr>
      <w:ind w:left="720" w:right="720"/>
      <w:jc w:val="left"/>
    </w:pPr>
    <w:rPr>
      <w:bCs/>
      <w:iCs/>
      <w:sz w:val="20"/>
    </w:rPr>
  </w:style>
  <w:style w:type="character" w:customStyle="1" w:styleId="CitationintenseCar">
    <w:name w:val="Citation intense Car"/>
    <w:link w:val="Citationintense"/>
    <w:uiPriority w:val="30"/>
    <w:rsid w:val="0056553A"/>
    <w:rPr>
      <w:rFonts w:ascii="Arial" w:hAnsi="Arial"/>
      <w:bCs/>
      <w:iCs/>
      <w:szCs w:val="24"/>
    </w:rPr>
  </w:style>
  <w:style w:type="numbering" w:customStyle="1" w:styleId="Aucuneliste1">
    <w:name w:val="Aucune liste1"/>
    <w:next w:val="Aucuneliste"/>
    <w:uiPriority w:val="99"/>
    <w:semiHidden/>
    <w:unhideWhenUsed/>
    <w:rsid w:val="00DE3F88"/>
  </w:style>
  <w:style w:type="character" w:customStyle="1" w:styleId="CorpsdetexteCar">
    <w:name w:val="Corps de texte Car"/>
    <w:basedOn w:val="Policepardfaut"/>
    <w:link w:val="Corpsdetexte"/>
    <w:semiHidden/>
    <w:rsid w:val="00381BDA"/>
    <w:rPr>
      <w:rFonts w:ascii="Arial" w:hAnsi="Arial"/>
      <w:sz w:val="22"/>
      <w:szCs w:val="24"/>
    </w:rPr>
  </w:style>
  <w:style w:type="character" w:customStyle="1" w:styleId="NotedebasdepageCar">
    <w:name w:val="Note de bas de page Car"/>
    <w:aliases w:val=" Car Car Car Car,Car Car Car Car Car, Car Car Car Car Car Car,Car Car Car Car1,Car Car Car Car Car Car Car1,Car Car,Note de bas de page1 Car,5_G Car,fn Car,Footnote ak Car,Footnotes Car,Footnote Text Char1 Car,fn Char Char Car"/>
    <w:link w:val="Notedebasdepage"/>
    <w:uiPriority w:val="99"/>
    <w:rsid w:val="00DE3F88"/>
    <w:rPr>
      <w:rFonts w:ascii="Gill Sans" w:hAnsi="Gill Sans"/>
      <w:sz w:val="24"/>
      <w:szCs w:val="24"/>
    </w:rPr>
  </w:style>
  <w:style w:type="paragraph" w:customStyle="1" w:styleId="TitreRecommandation">
    <w:name w:val="Titre Recommandation"/>
    <w:qFormat/>
    <w:rsid w:val="00227A1B"/>
    <w:pPr>
      <w:spacing w:after="120"/>
    </w:pPr>
    <w:rPr>
      <w:rFonts w:ascii="Arial Gras" w:hAnsi="Arial Gras"/>
      <w:b/>
      <w:caps/>
      <w:sz w:val="22"/>
      <w:szCs w:val="24"/>
    </w:rPr>
  </w:style>
  <w:style w:type="paragraph" w:customStyle="1" w:styleId="Texterecommandation">
    <w:name w:val="Texte recommandation"/>
    <w:next w:val="Paragraphe"/>
    <w:link w:val="TexterecommandationCar"/>
    <w:qFormat/>
    <w:rsid w:val="00227A1B"/>
    <w:pPr>
      <w:tabs>
        <w:tab w:val="left" w:pos="709"/>
      </w:tabs>
      <w:spacing w:after="120"/>
    </w:pPr>
    <w:rPr>
      <w:rFonts w:ascii="Arial Gras" w:eastAsia="Calibri" w:hAnsi="Arial Gras"/>
      <w:b/>
      <w:sz w:val="22"/>
      <w:szCs w:val="24"/>
    </w:rPr>
  </w:style>
  <w:style w:type="paragraph" w:styleId="TM1">
    <w:name w:val="toc 1"/>
    <w:next w:val="Paragraphe"/>
    <w:autoRedefine/>
    <w:uiPriority w:val="39"/>
    <w:unhideWhenUsed/>
    <w:rsid w:val="00D254F3"/>
    <w:pPr>
      <w:spacing w:after="100"/>
    </w:pPr>
    <w:rPr>
      <w:rFonts w:ascii="Arial Gras" w:hAnsi="Arial Gras"/>
      <w:b/>
      <w:caps/>
      <w:sz w:val="22"/>
      <w:szCs w:val="24"/>
    </w:rPr>
  </w:style>
  <w:style w:type="character" w:customStyle="1" w:styleId="TexterecommandationCar">
    <w:name w:val="Texte recommandation Car"/>
    <w:basedOn w:val="Policepardfaut"/>
    <w:link w:val="Texterecommandation"/>
    <w:rsid w:val="00227A1B"/>
    <w:rPr>
      <w:rFonts w:ascii="Arial Gras" w:eastAsia="Calibri" w:hAnsi="Arial Gras"/>
      <w:b/>
      <w:sz w:val="22"/>
      <w:szCs w:val="24"/>
    </w:rPr>
  </w:style>
  <w:style w:type="paragraph" w:styleId="TM2">
    <w:name w:val="toc 2"/>
    <w:basedOn w:val="Normal"/>
    <w:next w:val="Normal"/>
    <w:autoRedefine/>
    <w:uiPriority w:val="39"/>
    <w:unhideWhenUsed/>
    <w:rsid w:val="002821DB"/>
    <w:pPr>
      <w:tabs>
        <w:tab w:val="left" w:pos="709"/>
        <w:tab w:val="right" w:leader="dot" w:pos="9350"/>
      </w:tabs>
      <w:spacing w:after="100"/>
    </w:pPr>
    <w:rPr>
      <w:rFonts w:ascii="Arial Gras" w:hAnsi="Arial Gras"/>
      <w:b/>
      <w:noProof/>
    </w:rPr>
  </w:style>
  <w:style w:type="paragraph" w:styleId="En-ttedetabledesmatires">
    <w:name w:val="TOC Heading"/>
    <w:basedOn w:val="Titre1"/>
    <w:next w:val="Normal"/>
    <w:uiPriority w:val="39"/>
    <w:unhideWhenUsed/>
    <w:rsid w:val="0078286C"/>
    <w:pPr>
      <w:keepLines/>
      <w:numPr>
        <w:numId w:val="0"/>
      </w:numPr>
      <w:spacing w:before="480" w:line="276" w:lineRule="auto"/>
      <w:outlineLvl w:val="9"/>
    </w:pPr>
    <w:rPr>
      <w:rFonts w:ascii="Cambria" w:hAnsi="Cambria"/>
      <w:caps w:val="0"/>
      <w:color w:val="365F91"/>
      <w:kern w:val="0"/>
      <w:sz w:val="28"/>
      <w:szCs w:val="28"/>
    </w:rPr>
  </w:style>
  <w:style w:type="paragraph" w:styleId="TM3">
    <w:name w:val="toc 3"/>
    <w:basedOn w:val="Normal"/>
    <w:next w:val="Normal"/>
    <w:autoRedefine/>
    <w:uiPriority w:val="39"/>
    <w:unhideWhenUsed/>
    <w:rsid w:val="00F07CAA"/>
    <w:pPr>
      <w:tabs>
        <w:tab w:val="left" w:pos="1276"/>
        <w:tab w:val="right" w:leader="dot" w:pos="9350"/>
      </w:tabs>
      <w:spacing w:after="100"/>
      <w:ind w:left="709"/>
    </w:pPr>
  </w:style>
  <w:style w:type="paragraph" w:styleId="TM4">
    <w:name w:val="toc 4"/>
    <w:basedOn w:val="Normal"/>
    <w:next w:val="Normal"/>
    <w:autoRedefine/>
    <w:uiPriority w:val="39"/>
    <w:unhideWhenUsed/>
    <w:rsid w:val="00F07CAA"/>
    <w:pPr>
      <w:tabs>
        <w:tab w:val="left" w:pos="1276"/>
        <w:tab w:val="right" w:leader="dot" w:pos="9350"/>
      </w:tabs>
      <w:spacing w:after="100"/>
      <w:ind w:left="709"/>
    </w:pPr>
  </w:style>
  <w:style w:type="paragraph" w:styleId="Rvision">
    <w:name w:val="Revision"/>
    <w:hidden/>
    <w:uiPriority w:val="99"/>
    <w:semiHidden/>
    <w:rsid w:val="00B65F72"/>
    <w:rPr>
      <w:rFonts w:ascii="Gill Sans" w:hAnsi="Gill Sans"/>
      <w:sz w:val="24"/>
      <w:szCs w:val="24"/>
    </w:rPr>
  </w:style>
  <w:style w:type="paragraph" w:styleId="Notedefin">
    <w:name w:val="endnote text"/>
    <w:basedOn w:val="Normal"/>
    <w:link w:val="NotedefinCar"/>
    <w:uiPriority w:val="99"/>
    <w:semiHidden/>
    <w:unhideWhenUsed/>
    <w:rsid w:val="0058645A"/>
    <w:pPr>
      <w:jc w:val="left"/>
    </w:pPr>
    <w:rPr>
      <w:rFonts w:ascii="Calibri" w:eastAsia="Calibri" w:hAnsi="Calibri"/>
      <w:sz w:val="20"/>
      <w:szCs w:val="20"/>
      <w:lang w:val="en-US" w:eastAsia="en-US"/>
    </w:rPr>
  </w:style>
  <w:style w:type="character" w:customStyle="1" w:styleId="NotedefinCar">
    <w:name w:val="Note de fin Car"/>
    <w:link w:val="Notedefin"/>
    <w:uiPriority w:val="99"/>
    <w:semiHidden/>
    <w:rsid w:val="0058645A"/>
    <w:rPr>
      <w:rFonts w:ascii="Calibri" w:eastAsia="Calibri" w:hAnsi="Calibri" w:cs="Times New Roman"/>
      <w:lang w:val="en-US" w:eastAsia="en-US"/>
    </w:rPr>
  </w:style>
  <w:style w:type="character" w:styleId="Appeldenotedefin">
    <w:name w:val="endnote reference"/>
    <w:uiPriority w:val="99"/>
    <w:semiHidden/>
    <w:unhideWhenUsed/>
    <w:rsid w:val="0058645A"/>
    <w:rPr>
      <w:vertAlign w:val="superscript"/>
    </w:rPr>
  </w:style>
  <w:style w:type="numbering" w:customStyle="1" w:styleId="Aucuneliste2">
    <w:name w:val="Aucune liste2"/>
    <w:next w:val="Aucuneliste"/>
    <w:semiHidden/>
    <w:rsid w:val="00CE2297"/>
  </w:style>
  <w:style w:type="character" w:styleId="Marquedecommentaire">
    <w:name w:val="annotation reference"/>
    <w:uiPriority w:val="99"/>
    <w:semiHidden/>
    <w:rsid w:val="00CE2297"/>
    <w:rPr>
      <w:sz w:val="16"/>
      <w:szCs w:val="16"/>
    </w:rPr>
  </w:style>
  <w:style w:type="paragraph" w:styleId="Commentaire">
    <w:name w:val="annotation text"/>
    <w:basedOn w:val="Normal"/>
    <w:link w:val="CommentaireCar"/>
    <w:uiPriority w:val="99"/>
    <w:semiHidden/>
    <w:rsid w:val="00CE2297"/>
    <w:pPr>
      <w:jc w:val="left"/>
    </w:pPr>
    <w:rPr>
      <w:rFonts w:ascii="Times New Roman" w:hAnsi="Times New Roman"/>
      <w:sz w:val="20"/>
      <w:szCs w:val="20"/>
    </w:rPr>
  </w:style>
  <w:style w:type="character" w:customStyle="1" w:styleId="CommentaireCar">
    <w:name w:val="Commentaire Car"/>
    <w:basedOn w:val="Policepardfaut"/>
    <w:link w:val="Commentaire"/>
    <w:uiPriority w:val="99"/>
    <w:semiHidden/>
    <w:rsid w:val="00CE2297"/>
  </w:style>
  <w:style w:type="paragraph" w:styleId="Objetducommentaire">
    <w:name w:val="annotation subject"/>
    <w:basedOn w:val="Commentaire"/>
    <w:next w:val="Commentaire"/>
    <w:link w:val="ObjetducommentaireCar"/>
    <w:semiHidden/>
    <w:rsid w:val="00CE2297"/>
    <w:rPr>
      <w:b/>
      <w:bCs/>
    </w:rPr>
  </w:style>
  <w:style w:type="character" w:customStyle="1" w:styleId="ObjetducommentaireCar">
    <w:name w:val="Objet du commentaire Car"/>
    <w:link w:val="Objetducommentaire"/>
    <w:semiHidden/>
    <w:rsid w:val="00CE2297"/>
    <w:rPr>
      <w:b/>
      <w:bCs/>
    </w:rPr>
  </w:style>
  <w:style w:type="character" w:customStyle="1" w:styleId="En-tteCar">
    <w:name w:val="En-tête Car"/>
    <w:link w:val="En-tte"/>
    <w:uiPriority w:val="99"/>
    <w:rsid w:val="00CE2297"/>
    <w:rPr>
      <w:rFonts w:ascii="Gill Sans" w:hAnsi="Gill Sans"/>
      <w:sz w:val="24"/>
      <w:szCs w:val="24"/>
    </w:rPr>
  </w:style>
  <w:style w:type="character" w:customStyle="1" w:styleId="Titre1Car">
    <w:name w:val="Titre 1 Car"/>
    <w:link w:val="Titre1"/>
    <w:rsid w:val="00615873"/>
    <w:rPr>
      <w:rFonts w:ascii="Arial" w:hAnsi="Arial"/>
      <w:b/>
      <w:bCs/>
      <w:caps/>
      <w:kern w:val="28"/>
      <w:sz w:val="22"/>
      <w:szCs w:val="22"/>
    </w:rPr>
  </w:style>
  <w:style w:type="character" w:customStyle="1" w:styleId="Titre2Car">
    <w:name w:val="Titre 2 Car"/>
    <w:link w:val="Titre2"/>
    <w:rsid w:val="00615873"/>
    <w:rPr>
      <w:rFonts w:ascii="Arial Gras" w:hAnsi="Arial Gras"/>
      <w:b/>
      <w:kern w:val="28"/>
      <w:sz w:val="22"/>
      <w:szCs w:val="22"/>
    </w:rPr>
  </w:style>
  <w:style w:type="character" w:customStyle="1" w:styleId="Titre3Car">
    <w:name w:val="Titre 3 Car"/>
    <w:link w:val="Titre3"/>
    <w:rsid w:val="00227A1B"/>
    <w:rPr>
      <w:rFonts w:ascii="Arial Gras" w:hAnsi="Arial Gras"/>
      <w:bCs/>
      <w:i/>
      <w:iCs/>
      <w:kern w:val="28"/>
      <w:sz w:val="22"/>
      <w:szCs w:val="22"/>
    </w:rPr>
  </w:style>
  <w:style w:type="character" w:customStyle="1" w:styleId="Titre4Car">
    <w:name w:val="Titre 4 Car"/>
    <w:link w:val="Titre4"/>
    <w:rsid w:val="001176F9"/>
    <w:rPr>
      <w:rFonts w:ascii="Arial Gras" w:hAnsi="Arial Gras"/>
      <w:b/>
      <w:bCs/>
      <w:caps/>
      <w:kern w:val="28"/>
      <w:sz w:val="22"/>
      <w:szCs w:val="22"/>
    </w:rPr>
  </w:style>
  <w:style w:type="character" w:customStyle="1" w:styleId="Titre5Car">
    <w:name w:val="Titre 5 Car"/>
    <w:link w:val="Titre5"/>
    <w:rsid w:val="00CE2297"/>
    <w:rPr>
      <w:rFonts w:ascii="Arial" w:hAnsi="Arial"/>
      <w:sz w:val="22"/>
      <w:szCs w:val="22"/>
    </w:rPr>
  </w:style>
  <w:style w:type="character" w:customStyle="1" w:styleId="Titre6Car">
    <w:name w:val="Titre 6 Car"/>
    <w:link w:val="Titre6"/>
    <w:rsid w:val="00710427"/>
    <w:rPr>
      <w:rFonts w:ascii="Arial" w:eastAsia="Calibri" w:hAnsi="Arial" w:cs="Open Sans"/>
      <w:color w:val="000000"/>
      <w:sz w:val="22"/>
      <w:szCs w:val="21"/>
      <w:shd w:val="clear" w:color="auto" w:fill="FFFFFF"/>
      <w:lang w:val="en-CA"/>
    </w:rPr>
  </w:style>
  <w:style w:type="character" w:customStyle="1" w:styleId="Titre7Car">
    <w:name w:val="Titre 7 Car"/>
    <w:link w:val="Titre7"/>
    <w:rsid w:val="00CE2297"/>
    <w:rPr>
      <w:rFonts w:ascii="Arial" w:hAnsi="Arial" w:cs="Arial"/>
    </w:rPr>
  </w:style>
  <w:style w:type="character" w:customStyle="1" w:styleId="Titre8Car">
    <w:name w:val="Titre 8 Car"/>
    <w:link w:val="Titre8"/>
    <w:rsid w:val="00CE2297"/>
    <w:rPr>
      <w:rFonts w:ascii="Arial" w:hAnsi="Arial" w:cs="Arial"/>
      <w:i/>
      <w:iCs/>
    </w:rPr>
  </w:style>
  <w:style w:type="character" w:customStyle="1" w:styleId="Titre9Car">
    <w:name w:val="Titre 9 Car"/>
    <w:link w:val="Titre9"/>
    <w:rsid w:val="00CE2297"/>
    <w:rPr>
      <w:rFonts w:ascii="Arial" w:hAnsi="Arial" w:cs="Arial"/>
      <w:b/>
      <w:bCs/>
      <w:i/>
      <w:iCs/>
      <w:sz w:val="18"/>
      <w:szCs w:val="18"/>
    </w:rPr>
  </w:style>
  <w:style w:type="character" w:customStyle="1" w:styleId="CitationCar">
    <w:name w:val="Citation Car"/>
    <w:link w:val="Citation"/>
    <w:rsid w:val="00176F7C"/>
    <w:rPr>
      <w:rFonts w:ascii="Arial" w:hAnsi="Arial"/>
      <w:szCs w:val="22"/>
    </w:rPr>
  </w:style>
  <w:style w:type="character" w:customStyle="1" w:styleId="TitreCar">
    <w:name w:val="Titre Car"/>
    <w:link w:val="Titre"/>
    <w:rsid w:val="004619D3"/>
    <w:rPr>
      <w:rFonts w:ascii="Arial" w:hAnsi="Arial"/>
      <w:b/>
      <w:bCs/>
      <w:caps/>
      <w:kern w:val="28"/>
      <w:sz w:val="22"/>
      <w:szCs w:val="22"/>
    </w:rPr>
  </w:style>
  <w:style w:type="character" w:customStyle="1" w:styleId="TextedebullesCar">
    <w:name w:val="Texte de bulles Car"/>
    <w:link w:val="Textedebulles"/>
    <w:semiHidden/>
    <w:rsid w:val="004619D3"/>
    <w:rPr>
      <w:rFonts w:ascii="Tahoma" w:hAnsi="Tahoma" w:cs="Tahoma"/>
      <w:sz w:val="16"/>
      <w:szCs w:val="16"/>
    </w:rPr>
  </w:style>
  <w:style w:type="character" w:styleId="Textedelespacerserv">
    <w:name w:val="Placeholder Text"/>
    <w:uiPriority w:val="99"/>
    <w:semiHidden/>
    <w:rsid w:val="004619D3"/>
    <w:rPr>
      <w:color w:val="808080"/>
    </w:rPr>
  </w:style>
  <w:style w:type="character" w:styleId="Lienhypertextesuivivisit">
    <w:name w:val="FollowedHyperlink"/>
    <w:uiPriority w:val="99"/>
    <w:semiHidden/>
    <w:unhideWhenUsed/>
    <w:rsid w:val="004619D3"/>
    <w:rPr>
      <w:color w:val="800080"/>
      <w:u w:val="single"/>
    </w:rPr>
  </w:style>
  <w:style w:type="character" w:styleId="CitationHTML">
    <w:name w:val="HTML Cite"/>
    <w:uiPriority w:val="99"/>
    <w:semiHidden/>
    <w:unhideWhenUsed/>
    <w:rsid w:val="004619D3"/>
    <w:rPr>
      <w:i/>
      <w:iCs/>
    </w:rPr>
  </w:style>
  <w:style w:type="character" w:customStyle="1" w:styleId="NotedebasdepageCar1">
    <w:name w:val="Note de bas de page Car1"/>
    <w:aliases w:val="Note de bas de page Car Car,Car Car Car Car Car1,Car Car Car Car Car Car1,Car Car Car Car Car Car Car,Car Car Car Car1 Car,Car Car Car Car Car Car Car1 Car,Note de bas de page1 Car Car,5_G Car Car,fn Car Car"/>
    <w:uiPriority w:val="99"/>
    <w:semiHidden/>
    <w:rsid w:val="004619D3"/>
    <w:rPr>
      <w:rFonts w:ascii="Gill Sans" w:hAnsi="Gill Sans"/>
    </w:rPr>
  </w:style>
  <w:style w:type="paragraph" w:customStyle="1" w:styleId="En-ttepaireetimpaire">
    <w:name w:val="En-tête paire et impaire"/>
    <w:basedOn w:val="En-tte"/>
    <w:link w:val="En-ttepaireetimpaireCar"/>
    <w:qFormat/>
    <w:rsid w:val="00BE0C62"/>
    <w:pPr>
      <w:pBdr>
        <w:bottom w:val="single" w:sz="4" w:space="1" w:color="auto"/>
      </w:pBdr>
      <w:spacing w:line="240" w:lineRule="auto"/>
    </w:pPr>
    <w:rPr>
      <w:b/>
      <w:iCs/>
      <w:sz w:val="14"/>
      <w:szCs w:val="14"/>
    </w:rPr>
  </w:style>
  <w:style w:type="character" w:customStyle="1" w:styleId="Mentionnonrsolue1">
    <w:name w:val="Mention non résolue1"/>
    <w:basedOn w:val="Policepardfaut"/>
    <w:uiPriority w:val="99"/>
    <w:semiHidden/>
    <w:unhideWhenUsed/>
    <w:rsid w:val="00CE34A0"/>
    <w:rPr>
      <w:color w:val="605E5C"/>
      <w:shd w:val="clear" w:color="auto" w:fill="E1DFDD"/>
    </w:rPr>
  </w:style>
  <w:style w:type="paragraph" w:styleId="Listepuces">
    <w:name w:val="List Bullet"/>
    <w:basedOn w:val="Normal"/>
    <w:uiPriority w:val="99"/>
    <w:unhideWhenUsed/>
    <w:rsid w:val="001E6CB1"/>
    <w:pPr>
      <w:numPr>
        <w:numId w:val="9"/>
      </w:numPr>
      <w:tabs>
        <w:tab w:val="left" w:pos="709"/>
      </w:tabs>
      <w:spacing w:after="120" w:line="240" w:lineRule="auto"/>
      <w:ind w:left="357" w:hanging="357"/>
    </w:pPr>
  </w:style>
  <w:style w:type="character" w:styleId="Mentionnonrsolue">
    <w:name w:val="Unresolved Mention"/>
    <w:basedOn w:val="Policepardfaut"/>
    <w:uiPriority w:val="99"/>
    <w:semiHidden/>
    <w:unhideWhenUsed/>
    <w:rsid w:val="004501B1"/>
    <w:rPr>
      <w:color w:val="605E5C"/>
      <w:shd w:val="clear" w:color="auto" w:fill="E1DFDD"/>
    </w:rPr>
  </w:style>
  <w:style w:type="table" w:styleId="Grilledutableau">
    <w:name w:val="Table Grid"/>
    <w:basedOn w:val="TableauNormal"/>
    <w:uiPriority w:val="59"/>
    <w:rsid w:val="00EC45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aireetimpaireCar">
    <w:name w:val="En-tête paire et impaire Car"/>
    <w:basedOn w:val="En-tteCar"/>
    <w:link w:val="En-ttepaireetimpaire"/>
    <w:rsid w:val="00BE0C62"/>
    <w:rPr>
      <w:rFonts w:ascii="Arial" w:hAnsi="Arial"/>
      <w:b/>
      <w:iCs/>
      <w:sz w:val="14"/>
      <w:szCs w:val="14"/>
    </w:rPr>
  </w:style>
  <w:style w:type="paragraph" w:customStyle="1" w:styleId="Paragraphe">
    <w:name w:val="Paragraphe"/>
    <w:next w:val="Corpsdetexte"/>
    <w:link w:val="ParagrapheCar"/>
    <w:qFormat/>
    <w:rsid w:val="00E46945"/>
    <w:pPr>
      <w:shd w:val="clear" w:color="auto" w:fill="FFFFFF"/>
      <w:spacing w:before="240" w:after="240" w:line="360" w:lineRule="auto"/>
    </w:pPr>
    <w:rPr>
      <w:rFonts w:ascii="Arial" w:hAnsi="Arial" w:cs="Open Sans"/>
      <w:color w:val="000000"/>
      <w:sz w:val="22"/>
      <w:szCs w:val="21"/>
      <w:lang w:val="en-CA"/>
    </w:rPr>
  </w:style>
  <w:style w:type="character" w:customStyle="1" w:styleId="ParagrapheCar">
    <w:name w:val="Paragraphe Car"/>
    <w:basedOn w:val="Policepardfaut"/>
    <w:link w:val="Paragraphe"/>
    <w:rsid w:val="00E46945"/>
    <w:rPr>
      <w:rFonts w:ascii="Arial" w:hAnsi="Arial" w:cs="Open Sans"/>
      <w:color w:val="000000"/>
      <w:sz w:val="22"/>
      <w:szCs w:val="21"/>
      <w:shd w:val="clear" w:color="auto" w:fill="FFFFFF"/>
      <w:lang w:val="en-CA"/>
    </w:rPr>
  </w:style>
  <w:style w:type="paragraph" w:customStyle="1" w:styleId="Nbp">
    <w:name w:val="Nbp"/>
    <w:basedOn w:val="Notedebasdepage"/>
    <w:link w:val="NbpCar"/>
    <w:rsid w:val="006B1BA9"/>
    <w:pPr>
      <w:spacing w:after="120"/>
    </w:pPr>
    <w:rPr>
      <w:sz w:val="18"/>
    </w:rPr>
  </w:style>
  <w:style w:type="character" w:customStyle="1" w:styleId="NbpCar">
    <w:name w:val="Nbp Car"/>
    <w:basedOn w:val="NotedebasdepageCar"/>
    <w:link w:val="Nbp"/>
    <w:rsid w:val="006B1BA9"/>
    <w:rPr>
      <w:rFonts w:ascii="Arial" w:hAnsi="Arial"/>
      <w:sz w:val="18"/>
      <w:szCs w:val="24"/>
    </w:rPr>
  </w:style>
  <w:style w:type="paragraph" w:styleId="Pieddepage">
    <w:name w:val="footer"/>
    <w:basedOn w:val="Normal"/>
    <w:link w:val="PieddepageCar"/>
    <w:uiPriority w:val="99"/>
    <w:semiHidden/>
    <w:unhideWhenUsed/>
    <w:rsid w:val="00FA2BB7"/>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FA2BB7"/>
    <w:rPr>
      <w:rFonts w:ascii="Arial" w:hAnsi="Arial"/>
      <w:sz w:val="22"/>
      <w:szCs w:val="24"/>
    </w:rPr>
  </w:style>
  <w:style w:type="character" w:customStyle="1" w:styleId="ParagraphedelisteCar">
    <w:name w:val="Paragraphe de liste Car"/>
    <w:link w:val="Paragraphedeliste"/>
    <w:uiPriority w:val="34"/>
    <w:locked/>
    <w:rsid w:val="003B0FF8"/>
  </w:style>
  <w:style w:type="paragraph" w:styleId="Paragraphedeliste">
    <w:name w:val="List Paragraph"/>
    <w:basedOn w:val="Normal"/>
    <w:link w:val="ParagraphedelisteCar"/>
    <w:uiPriority w:val="34"/>
    <w:qFormat/>
    <w:rsid w:val="003B0FF8"/>
    <w:pPr>
      <w:spacing w:after="200" w:line="276" w:lineRule="auto"/>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694">
      <w:bodyDiv w:val="1"/>
      <w:marLeft w:val="0"/>
      <w:marRight w:val="0"/>
      <w:marTop w:val="0"/>
      <w:marBottom w:val="0"/>
      <w:divBdr>
        <w:top w:val="none" w:sz="0" w:space="0" w:color="auto"/>
        <w:left w:val="none" w:sz="0" w:space="0" w:color="auto"/>
        <w:bottom w:val="none" w:sz="0" w:space="0" w:color="auto"/>
        <w:right w:val="none" w:sz="0" w:space="0" w:color="auto"/>
      </w:divBdr>
    </w:div>
    <w:div w:id="30611567">
      <w:bodyDiv w:val="1"/>
      <w:marLeft w:val="0"/>
      <w:marRight w:val="0"/>
      <w:marTop w:val="0"/>
      <w:marBottom w:val="0"/>
      <w:divBdr>
        <w:top w:val="none" w:sz="0" w:space="0" w:color="auto"/>
        <w:left w:val="none" w:sz="0" w:space="0" w:color="auto"/>
        <w:bottom w:val="none" w:sz="0" w:space="0" w:color="auto"/>
        <w:right w:val="none" w:sz="0" w:space="0" w:color="auto"/>
      </w:divBdr>
    </w:div>
    <w:div w:id="38012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7077">
          <w:marLeft w:val="0"/>
          <w:marRight w:val="0"/>
          <w:marTop w:val="0"/>
          <w:marBottom w:val="0"/>
          <w:divBdr>
            <w:top w:val="none" w:sz="0" w:space="0" w:color="auto"/>
            <w:left w:val="none" w:sz="0" w:space="0" w:color="auto"/>
            <w:bottom w:val="none" w:sz="0" w:space="0" w:color="auto"/>
            <w:right w:val="none" w:sz="0" w:space="0" w:color="auto"/>
          </w:divBdr>
          <w:divsChild>
            <w:div w:id="1707414883">
              <w:marLeft w:val="0"/>
              <w:marRight w:val="0"/>
              <w:marTop w:val="0"/>
              <w:marBottom w:val="0"/>
              <w:divBdr>
                <w:top w:val="none" w:sz="0" w:space="0" w:color="auto"/>
                <w:left w:val="none" w:sz="0" w:space="0" w:color="auto"/>
                <w:bottom w:val="none" w:sz="0" w:space="0" w:color="auto"/>
                <w:right w:val="none" w:sz="0" w:space="0" w:color="auto"/>
              </w:divBdr>
              <w:divsChild>
                <w:div w:id="128520216">
                  <w:marLeft w:val="0"/>
                  <w:marRight w:val="0"/>
                  <w:marTop w:val="0"/>
                  <w:marBottom w:val="0"/>
                  <w:divBdr>
                    <w:top w:val="none" w:sz="0" w:space="0" w:color="auto"/>
                    <w:left w:val="none" w:sz="0" w:space="0" w:color="auto"/>
                    <w:bottom w:val="none" w:sz="0" w:space="0" w:color="auto"/>
                    <w:right w:val="none" w:sz="0" w:space="0" w:color="auto"/>
                  </w:divBdr>
                  <w:divsChild>
                    <w:div w:id="1791240365">
                      <w:marLeft w:val="0"/>
                      <w:marRight w:val="0"/>
                      <w:marTop w:val="0"/>
                      <w:marBottom w:val="0"/>
                      <w:divBdr>
                        <w:top w:val="none" w:sz="0" w:space="0" w:color="auto"/>
                        <w:left w:val="none" w:sz="0" w:space="0" w:color="auto"/>
                        <w:bottom w:val="none" w:sz="0" w:space="0" w:color="auto"/>
                        <w:right w:val="none" w:sz="0" w:space="0" w:color="auto"/>
                      </w:divBdr>
                      <w:divsChild>
                        <w:div w:id="1142578028">
                          <w:marLeft w:val="0"/>
                          <w:marRight w:val="0"/>
                          <w:marTop w:val="0"/>
                          <w:marBottom w:val="0"/>
                          <w:divBdr>
                            <w:top w:val="none" w:sz="0" w:space="0" w:color="auto"/>
                            <w:left w:val="none" w:sz="0" w:space="0" w:color="auto"/>
                            <w:bottom w:val="none" w:sz="0" w:space="0" w:color="auto"/>
                            <w:right w:val="none" w:sz="0" w:space="0" w:color="auto"/>
                          </w:divBdr>
                          <w:divsChild>
                            <w:div w:id="1048533253">
                              <w:marLeft w:val="0"/>
                              <w:marRight w:val="0"/>
                              <w:marTop w:val="0"/>
                              <w:marBottom w:val="0"/>
                              <w:divBdr>
                                <w:top w:val="none" w:sz="0" w:space="0" w:color="auto"/>
                                <w:left w:val="none" w:sz="0" w:space="0" w:color="auto"/>
                                <w:bottom w:val="none" w:sz="0" w:space="0" w:color="auto"/>
                                <w:right w:val="none" w:sz="0" w:space="0" w:color="auto"/>
                              </w:divBdr>
                              <w:divsChild>
                                <w:div w:id="1873806865">
                                  <w:marLeft w:val="0"/>
                                  <w:marRight w:val="0"/>
                                  <w:marTop w:val="0"/>
                                  <w:marBottom w:val="0"/>
                                  <w:divBdr>
                                    <w:top w:val="none" w:sz="0" w:space="0" w:color="auto"/>
                                    <w:left w:val="none" w:sz="0" w:space="0" w:color="auto"/>
                                    <w:bottom w:val="none" w:sz="0" w:space="0" w:color="auto"/>
                                    <w:right w:val="none" w:sz="0" w:space="0" w:color="auto"/>
                                  </w:divBdr>
                                  <w:divsChild>
                                    <w:div w:id="443502707">
                                      <w:marLeft w:val="0"/>
                                      <w:marRight w:val="0"/>
                                      <w:marTop w:val="219"/>
                                      <w:marBottom w:val="0"/>
                                      <w:divBdr>
                                        <w:top w:val="none" w:sz="0" w:space="0" w:color="auto"/>
                                        <w:left w:val="none" w:sz="0" w:space="0" w:color="auto"/>
                                        <w:bottom w:val="none" w:sz="0" w:space="0" w:color="auto"/>
                                        <w:right w:val="none" w:sz="0" w:space="0" w:color="auto"/>
                                      </w:divBdr>
                                      <w:divsChild>
                                        <w:div w:id="827983798">
                                          <w:marLeft w:val="0"/>
                                          <w:marRight w:val="0"/>
                                          <w:marTop w:val="260"/>
                                          <w:marBottom w:val="240"/>
                                          <w:divBdr>
                                            <w:top w:val="none" w:sz="0" w:space="0" w:color="auto"/>
                                            <w:left w:val="none" w:sz="0" w:space="0" w:color="auto"/>
                                            <w:bottom w:val="none" w:sz="0" w:space="0" w:color="auto"/>
                                            <w:right w:val="none" w:sz="0" w:space="0" w:color="auto"/>
                                          </w:divBdr>
                                        </w:div>
                                        <w:div w:id="15100949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6503">
      <w:bodyDiv w:val="1"/>
      <w:marLeft w:val="0"/>
      <w:marRight w:val="0"/>
      <w:marTop w:val="0"/>
      <w:marBottom w:val="0"/>
      <w:divBdr>
        <w:top w:val="none" w:sz="0" w:space="0" w:color="auto"/>
        <w:left w:val="none" w:sz="0" w:space="0" w:color="auto"/>
        <w:bottom w:val="none" w:sz="0" w:space="0" w:color="auto"/>
        <w:right w:val="none" w:sz="0" w:space="0" w:color="auto"/>
      </w:divBdr>
    </w:div>
    <w:div w:id="77673629">
      <w:bodyDiv w:val="1"/>
      <w:marLeft w:val="0"/>
      <w:marRight w:val="0"/>
      <w:marTop w:val="0"/>
      <w:marBottom w:val="0"/>
      <w:divBdr>
        <w:top w:val="none" w:sz="0" w:space="0" w:color="auto"/>
        <w:left w:val="none" w:sz="0" w:space="0" w:color="auto"/>
        <w:bottom w:val="none" w:sz="0" w:space="0" w:color="auto"/>
        <w:right w:val="none" w:sz="0" w:space="0" w:color="auto"/>
      </w:divBdr>
    </w:div>
    <w:div w:id="116607092">
      <w:bodyDiv w:val="1"/>
      <w:marLeft w:val="0"/>
      <w:marRight w:val="0"/>
      <w:marTop w:val="0"/>
      <w:marBottom w:val="0"/>
      <w:divBdr>
        <w:top w:val="none" w:sz="0" w:space="0" w:color="auto"/>
        <w:left w:val="none" w:sz="0" w:space="0" w:color="auto"/>
        <w:bottom w:val="none" w:sz="0" w:space="0" w:color="auto"/>
        <w:right w:val="none" w:sz="0" w:space="0" w:color="auto"/>
      </w:divBdr>
      <w:divsChild>
        <w:div w:id="540748359">
          <w:marLeft w:val="0"/>
          <w:marRight w:val="0"/>
          <w:marTop w:val="0"/>
          <w:marBottom w:val="0"/>
          <w:divBdr>
            <w:top w:val="none" w:sz="0" w:space="0" w:color="auto"/>
            <w:left w:val="none" w:sz="0" w:space="0" w:color="auto"/>
            <w:bottom w:val="none" w:sz="0" w:space="0" w:color="auto"/>
            <w:right w:val="none" w:sz="0" w:space="0" w:color="auto"/>
          </w:divBdr>
          <w:divsChild>
            <w:div w:id="459616524">
              <w:marLeft w:val="0"/>
              <w:marRight w:val="0"/>
              <w:marTop w:val="0"/>
              <w:marBottom w:val="0"/>
              <w:divBdr>
                <w:top w:val="single" w:sz="12" w:space="0" w:color="000000"/>
                <w:left w:val="none" w:sz="0" w:space="0" w:color="auto"/>
                <w:bottom w:val="none" w:sz="0" w:space="0" w:color="auto"/>
                <w:right w:val="none" w:sz="0" w:space="0" w:color="auto"/>
              </w:divBdr>
              <w:divsChild>
                <w:div w:id="407844268">
                  <w:marLeft w:val="0"/>
                  <w:marRight w:val="0"/>
                  <w:marTop w:val="0"/>
                  <w:marBottom w:val="0"/>
                  <w:divBdr>
                    <w:top w:val="none" w:sz="0" w:space="0" w:color="auto"/>
                    <w:left w:val="none" w:sz="0" w:space="0" w:color="auto"/>
                    <w:bottom w:val="none" w:sz="0" w:space="0" w:color="auto"/>
                    <w:right w:val="none" w:sz="0" w:space="0" w:color="auto"/>
                  </w:divBdr>
                  <w:divsChild>
                    <w:div w:id="1047533844">
                      <w:marLeft w:val="0"/>
                      <w:marRight w:val="0"/>
                      <w:marTop w:val="0"/>
                      <w:marBottom w:val="0"/>
                      <w:divBdr>
                        <w:top w:val="none" w:sz="0" w:space="0" w:color="auto"/>
                        <w:left w:val="none" w:sz="0" w:space="0" w:color="auto"/>
                        <w:bottom w:val="none" w:sz="0" w:space="0" w:color="auto"/>
                        <w:right w:val="none" w:sz="0" w:space="0" w:color="auto"/>
                      </w:divBdr>
                      <w:divsChild>
                        <w:div w:id="457801078">
                          <w:marLeft w:val="450"/>
                          <w:marRight w:val="0"/>
                          <w:marTop w:val="0"/>
                          <w:marBottom w:val="0"/>
                          <w:divBdr>
                            <w:top w:val="none" w:sz="0" w:space="0" w:color="auto"/>
                            <w:left w:val="none" w:sz="0" w:space="0" w:color="auto"/>
                            <w:bottom w:val="none" w:sz="0" w:space="0" w:color="auto"/>
                            <w:right w:val="none" w:sz="0" w:space="0" w:color="auto"/>
                          </w:divBdr>
                        </w:div>
                        <w:div w:id="1168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2565">
      <w:bodyDiv w:val="1"/>
      <w:marLeft w:val="0"/>
      <w:marRight w:val="0"/>
      <w:marTop w:val="0"/>
      <w:marBottom w:val="0"/>
      <w:divBdr>
        <w:top w:val="none" w:sz="0" w:space="0" w:color="auto"/>
        <w:left w:val="none" w:sz="0" w:space="0" w:color="auto"/>
        <w:bottom w:val="none" w:sz="0" w:space="0" w:color="auto"/>
        <w:right w:val="none" w:sz="0" w:space="0" w:color="auto"/>
      </w:divBdr>
    </w:div>
    <w:div w:id="222496704">
      <w:bodyDiv w:val="1"/>
      <w:marLeft w:val="0"/>
      <w:marRight w:val="0"/>
      <w:marTop w:val="0"/>
      <w:marBottom w:val="0"/>
      <w:divBdr>
        <w:top w:val="none" w:sz="0" w:space="0" w:color="auto"/>
        <w:left w:val="none" w:sz="0" w:space="0" w:color="auto"/>
        <w:bottom w:val="none" w:sz="0" w:space="0" w:color="auto"/>
        <w:right w:val="none" w:sz="0" w:space="0" w:color="auto"/>
      </w:divBdr>
      <w:divsChild>
        <w:div w:id="211307629">
          <w:marLeft w:val="0"/>
          <w:marRight w:val="0"/>
          <w:marTop w:val="0"/>
          <w:marBottom w:val="0"/>
          <w:divBdr>
            <w:top w:val="none" w:sz="0" w:space="0" w:color="auto"/>
            <w:left w:val="none" w:sz="0" w:space="0" w:color="auto"/>
            <w:bottom w:val="none" w:sz="0" w:space="0" w:color="auto"/>
            <w:right w:val="none" w:sz="0" w:space="0" w:color="auto"/>
          </w:divBdr>
          <w:divsChild>
            <w:div w:id="714623075">
              <w:marLeft w:val="0"/>
              <w:marRight w:val="0"/>
              <w:marTop w:val="0"/>
              <w:marBottom w:val="0"/>
              <w:divBdr>
                <w:top w:val="none" w:sz="0" w:space="0" w:color="auto"/>
                <w:left w:val="none" w:sz="0" w:space="0" w:color="auto"/>
                <w:bottom w:val="none" w:sz="0" w:space="0" w:color="auto"/>
                <w:right w:val="none" w:sz="0" w:space="0" w:color="auto"/>
              </w:divBdr>
              <w:divsChild>
                <w:div w:id="1231767458">
                  <w:marLeft w:val="0"/>
                  <w:marRight w:val="0"/>
                  <w:marTop w:val="0"/>
                  <w:marBottom w:val="0"/>
                  <w:divBdr>
                    <w:top w:val="none" w:sz="0" w:space="0" w:color="auto"/>
                    <w:left w:val="none" w:sz="0" w:space="0" w:color="auto"/>
                    <w:bottom w:val="none" w:sz="0" w:space="0" w:color="auto"/>
                    <w:right w:val="none" w:sz="0" w:space="0" w:color="auto"/>
                  </w:divBdr>
                  <w:divsChild>
                    <w:div w:id="1511796077">
                      <w:marLeft w:val="0"/>
                      <w:marRight w:val="0"/>
                      <w:marTop w:val="0"/>
                      <w:marBottom w:val="0"/>
                      <w:divBdr>
                        <w:top w:val="none" w:sz="0" w:space="0" w:color="auto"/>
                        <w:left w:val="none" w:sz="0" w:space="0" w:color="auto"/>
                        <w:bottom w:val="none" w:sz="0" w:space="0" w:color="auto"/>
                        <w:right w:val="none" w:sz="0" w:space="0" w:color="auto"/>
                      </w:divBdr>
                      <w:divsChild>
                        <w:div w:id="1159468733">
                          <w:marLeft w:val="0"/>
                          <w:marRight w:val="0"/>
                          <w:marTop w:val="0"/>
                          <w:marBottom w:val="0"/>
                          <w:divBdr>
                            <w:top w:val="none" w:sz="0" w:space="0" w:color="auto"/>
                            <w:left w:val="none" w:sz="0" w:space="0" w:color="auto"/>
                            <w:bottom w:val="none" w:sz="0" w:space="0" w:color="auto"/>
                            <w:right w:val="none" w:sz="0" w:space="0" w:color="auto"/>
                          </w:divBdr>
                          <w:divsChild>
                            <w:div w:id="597106612">
                              <w:marLeft w:val="0"/>
                              <w:marRight w:val="0"/>
                              <w:marTop w:val="0"/>
                              <w:marBottom w:val="0"/>
                              <w:divBdr>
                                <w:top w:val="none" w:sz="0" w:space="0" w:color="auto"/>
                                <w:left w:val="none" w:sz="0" w:space="0" w:color="auto"/>
                                <w:bottom w:val="none" w:sz="0" w:space="0" w:color="auto"/>
                                <w:right w:val="none" w:sz="0" w:space="0" w:color="auto"/>
                              </w:divBdr>
                              <w:divsChild>
                                <w:div w:id="732315183">
                                  <w:marLeft w:val="0"/>
                                  <w:marRight w:val="0"/>
                                  <w:marTop w:val="0"/>
                                  <w:marBottom w:val="0"/>
                                  <w:divBdr>
                                    <w:top w:val="none" w:sz="0" w:space="0" w:color="auto"/>
                                    <w:left w:val="none" w:sz="0" w:space="0" w:color="auto"/>
                                    <w:bottom w:val="none" w:sz="0" w:space="0" w:color="auto"/>
                                    <w:right w:val="none" w:sz="0" w:space="0" w:color="auto"/>
                                  </w:divBdr>
                                  <w:divsChild>
                                    <w:div w:id="1203666667">
                                      <w:marLeft w:val="0"/>
                                      <w:marRight w:val="0"/>
                                      <w:marTop w:val="0"/>
                                      <w:marBottom w:val="0"/>
                                      <w:divBdr>
                                        <w:top w:val="none" w:sz="0" w:space="0" w:color="auto"/>
                                        <w:left w:val="none" w:sz="0" w:space="0" w:color="auto"/>
                                        <w:bottom w:val="none" w:sz="0" w:space="0" w:color="auto"/>
                                        <w:right w:val="none" w:sz="0" w:space="0" w:color="auto"/>
                                      </w:divBdr>
                                      <w:divsChild>
                                        <w:div w:id="910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8322">
      <w:bodyDiv w:val="1"/>
      <w:marLeft w:val="0"/>
      <w:marRight w:val="0"/>
      <w:marTop w:val="0"/>
      <w:marBottom w:val="0"/>
      <w:divBdr>
        <w:top w:val="none" w:sz="0" w:space="0" w:color="auto"/>
        <w:left w:val="none" w:sz="0" w:space="0" w:color="auto"/>
        <w:bottom w:val="none" w:sz="0" w:space="0" w:color="auto"/>
        <w:right w:val="none" w:sz="0" w:space="0" w:color="auto"/>
      </w:divBdr>
    </w:div>
    <w:div w:id="268397008">
      <w:bodyDiv w:val="1"/>
      <w:marLeft w:val="0"/>
      <w:marRight w:val="0"/>
      <w:marTop w:val="0"/>
      <w:marBottom w:val="0"/>
      <w:divBdr>
        <w:top w:val="none" w:sz="0" w:space="0" w:color="auto"/>
        <w:left w:val="none" w:sz="0" w:space="0" w:color="auto"/>
        <w:bottom w:val="none" w:sz="0" w:space="0" w:color="auto"/>
        <w:right w:val="none" w:sz="0" w:space="0" w:color="auto"/>
      </w:divBdr>
      <w:divsChild>
        <w:div w:id="1883790071">
          <w:marLeft w:val="75"/>
          <w:marRight w:val="75"/>
          <w:marTop w:val="0"/>
          <w:marBottom w:val="0"/>
          <w:divBdr>
            <w:top w:val="none" w:sz="0" w:space="0" w:color="auto"/>
            <w:left w:val="none" w:sz="0" w:space="0" w:color="auto"/>
            <w:bottom w:val="none" w:sz="0" w:space="0" w:color="auto"/>
            <w:right w:val="none" w:sz="0" w:space="0" w:color="auto"/>
          </w:divBdr>
          <w:divsChild>
            <w:div w:id="469785242">
              <w:marLeft w:val="0"/>
              <w:marRight w:val="0"/>
              <w:marTop w:val="0"/>
              <w:marBottom w:val="210"/>
              <w:divBdr>
                <w:top w:val="none" w:sz="0" w:space="0" w:color="auto"/>
                <w:left w:val="none" w:sz="0" w:space="0" w:color="auto"/>
                <w:bottom w:val="none" w:sz="0" w:space="0" w:color="auto"/>
                <w:right w:val="none" w:sz="0" w:space="0" w:color="auto"/>
              </w:divBdr>
              <w:divsChild>
                <w:div w:id="812674180">
                  <w:marLeft w:val="0"/>
                  <w:marRight w:val="0"/>
                  <w:marTop w:val="210"/>
                  <w:marBottom w:val="0"/>
                  <w:divBdr>
                    <w:top w:val="none" w:sz="0" w:space="0" w:color="auto"/>
                    <w:left w:val="none" w:sz="0" w:space="0" w:color="auto"/>
                    <w:bottom w:val="none" w:sz="0" w:space="0" w:color="auto"/>
                    <w:right w:val="none" w:sz="0" w:space="0" w:color="auto"/>
                  </w:divBdr>
                  <w:divsChild>
                    <w:div w:id="1298756050">
                      <w:marLeft w:val="0"/>
                      <w:marRight w:val="0"/>
                      <w:marTop w:val="0"/>
                      <w:marBottom w:val="105"/>
                      <w:divBdr>
                        <w:top w:val="none" w:sz="0" w:space="0" w:color="auto"/>
                        <w:left w:val="none" w:sz="0" w:space="0" w:color="auto"/>
                        <w:bottom w:val="none" w:sz="0" w:space="0" w:color="auto"/>
                        <w:right w:val="none" w:sz="0" w:space="0" w:color="auto"/>
                      </w:divBdr>
                      <w:divsChild>
                        <w:div w:id="1186864372">
                          <w:marLeft w:val="0"/>
                          <w:marRight w:val="0"/>
                          <w:marTop w:val="105"/>
                          <w:marBottom w:val="0"/>
                          <w:divBdr>
                            <w:top w:val="none" w:sz="0" w:space="0" w:color="auto"/>
                            <w:left w:val="none" w:sz="0" w:space="0" w:color="auto"/>
                            <w:bottom w:val="none" w:sz="0" w:space="0" w:color="auto"/>
                            <w:right w:val="none" w:sz="0" w:space="0" w:color="auto"/>
                          </w:divBdr>
                          <w:divsChild>
                            <w:div w:id="470946882">
                              <w:marLeft w:val="0"/>
                              <w:marRight w:val="0"/>
                              <w:marTop w:val="0"/>
                              <w:marBottom w:val="105"/>
                              <w:divBdr>
                                <w:top w:val="none" w:sz="0" w:space="0" w:color="auto"/>
                                <w:left w:val="none" w:sz="0" w:space="0" w:color="auto"/>
                                <w:bottom w:val="none" w:sz="0" w:space="0" w:color="auto"/>
                                <w:right w:val="none" w:sz="0" w:space="0" w:color="auto"/>
                              </w:divBdr>
                              <w:divsChild>
                                <w:div w:id="1392657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8379">
      <w:bodyDiv w:val="1"/>
      <w:marLeft w:val="0"/>
      <w:marRight w:val="0"/>
      <w:marTop w:val="0"/>
      <w:marBottom w:val="0"/>
      <w:divBdr>
        <w:top w:val="none" w:sz="0" w:space="0" w:color="auto"/>
        <w:left w:val="none" w:sz="0" w:space="0" w:color="auto"/>
        <w:bottom w:val="none" w:sz="0" w:space="0" w:color="auto"/>
        <w:right w:val="none" w:sz="0" w:space="0" w:color="auto"/>
      </w:divBdr>
    </w:div>
    <w:div w:id="313686681">
      <w:bodyDiv w:val="1"/>
      <w:marLeft w:val="0"/>
      <w:marRight w:val="0"/>
      <w:marTop w:val="0"/>
      <w:marBottom w:val="0"/>
      <w:divBdr>
        <w:top w:val="none" w:sz="0" w:space="0" w:color="auto"/>
        <w:left w:val="none" w:sz="0" w:space="0" w:color="auto"/>
        <w:bottom w:val="none" w:sz="0" w:space="0" w:color="auto"/>
        <w:right w:val="none" w:sz="0" w:space="0" w:color="auto"/>
      </w:divBdr>
      <w:divsChild>
        <w:div w:id="1183208107">
          <w:marLeft w:val="0"/>
          <w:marRight w:val="0"/>
          <w:marTop w:val="0"/>
          <w:marBottom w:val="0"/>
          <w:divBdr>
            <w:top w:val="none" w:sz="0" w:space="0" w:color="auto"/>
            <w:left w:val="none" w:sz="0" w:space="0" w:color="auto"/>
            <w:bottom w:val="none" w:sz="0" w:space="0" w:color="auto"/>
            <w:right w:val="none" w:sz="0" w:space="0" w:color="auto"/>
          </w:divBdr>
          <w:divsChild>
            <w:div w:id="66654411">
              <w:marLeft w:val="0"/>
              <w:marRight w:val="0"/>
              <w:marTop w:val="0"/>
              <w:marBottom w:val="0"/>
              <w:divBdr>
                <w:top w:val="none" w:sz="0" w:space="0" w:color="auto"/>
                <w:left w:val="none" w:sz="0" w:space="0" w:color="auto"/>
                <w:bottom w:val="none" w:sz="0" w:space="0" w:color="auto"/>
                <w:right w:val="none" w:sz="0" w:space="0" w:color="auto"/>
              </w:divBdr>
              <w:divsChild>
                <w:div w:id="2061006706">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2354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9857">
      <w:bodyDiv w:val="1"/>
      <w:marLeft w:val="0"/>
      <w:marRight w:val="0"/>
      <w:marTop w:val="0"/>
      <w:marBottom w:val="0"/>
      <w:divBdr>
        <w:top w:val="none" w:sz="0" w:space="0" w:color="auto"/>
        <w:left w:val="none" w:sz="0" w:space="0" w:color="auto"/>
        <w:bottom w:val="none" w:sz="0" w:space="0" w:color="auto"/>
        <w:right w:val="none" w:sz="0" w:space="0" w:color="auto"/>
      </w:divBdr>
    </w:div>
    <w:div w:id="349991529">
      <w:bodyDiv w:val="1"/>
      <w:marLeft w:val="0"/>
      <w:marRight w:val="0"/>
      <w:marTop w:val="0"/>
      <w:marBottom w:val="0"/>
      <w:divBdr>
        <w:top w:val="none" w:sz="0" w:space="0" w:color="auto"/>
        <w:left w:val="none" w:sz="0" w:space="0" w:color="auto"/>
        <w:bottom w:val="none" w:sz="0" w:space="0" w:color="auto"/>
        <w:right w:val="none" w:sz="0" w:space="0" w:color="auto"/>
      </w:divBdr>
      <w:divsChild>
        <w:div w:id="2083328592">
          <w:marLeft w:val="0"/>
          <w:marRight w:val="0"/>
          <w:marTop w:val="0"/>
          <w:marBottom w:val="0"/>
          <w:divBdr>
            <w:top w:val="none" w:sz="0" w:space="0" w:color="auto"/>
            <w:left w:val="none" w:sz="0" w:space="0" w:color="auto"/>
            <w:bottom w:val="none" w:sz="0" w:space="0" w:color="auto"/>
            <w:right w:val="none" w:sz="0" w:space="0" w:color="auto"/>
          </w:divBdr>
          <w:divsChild>
            <w:div w:id="756249891">
              <w:marLeft w:val="0"/>
              <w:marRight w:val="0"/>
              <w:marTop w:val="0"/>
              <w:marBottom w:val="0"/>
              <w:divBdr>
                <w:top w:val="none" w:sz="0" w:space="0" w:color="auto"/>
                <w:left w:val="none" w:sz="0" w:space="0" w:color="auto"/>
                <w:bottom w:val="none" w:sz="0" w:space="0" w:color="auto"/>
                <w:right w:val="none" w:sz="0" w:space="0" w:color="auto"/>
              </w:divBdr>
              <w:divsChild>
                <w:div w:id="1567109228">
                  <w:marLeft w:val="0"/>
                  <w:marRight w:val="0"/>
                  <w:marTop w:val="0"/>
                  <w:marBottom w:val="0"/>
                  <w:divBdr>
                    <w:top w:val="none" w:sz="0" w:space="0" w:color="auto"/>
                    <w:left w:val="none" w:sz="0" w:space="0" w:color="auto"/>
                    <w:bottom w:val="none" w:sz="0" w:space="0" w:color="auto"/>
                    <w:right w:val="none" w:sz="0" w:space="0" w:color="auto"/>
                  </w:divBdr>
                  <w:divsChild>
                    <w:div w:id="2123259002">
                      <w:marLeft w:val="0"/>
                      <w:marRight w:val="0"/>
                      <w:marTop w:val="0"/>
                      <w:marBottom w:val="0"/>
                      <w:divBdr>
                        <w:top w:val="none" w:sz="0" w:space="0" w:color="auto"/>
                        <w:left w:val="none" w:sz="0" w:space="0" w:color="auto"/>
                        <w:bottom w:val="none" w:sz="0" w:space="0" w:color="auto"/>
                        <w:right w:val="none" w:sz="0" w:space="0" w:color="auto"/>
                      </w:divBdr>
                      <w:divsChild>
                        <w:div w:id="2144804105">
                          <w:marLeft w:val="0"/>
                          <w:marRight w:val="0"/>
                          <w:marTop w:val="0"/>
                          <w:marBottom w:val="0"/>
                          <w:divBdr>
                            <w:top w:val="none" w:sz="0" w:space="0" w:color="auto"/>
                            <w:left w:val="none" w:sz="0" w:space="0" w:color="auto"/>
                            <w:bottom w:val="none" w:sz="0" w:space="0" w:color="auto"/>
                            <w:right w:val="none" w:sz="0" w:space="0" w:color="auto"/>
                          </w:divBdr>
                          <w:divsChild>
                            <w:div w:id="1821071836">
                              <w:marLeft w:val="0"/>
                              <w:marRight w:val="0"/>
                              <w:marTop w:val="0"/>
                              <w:marBottom w:val="0"/>
                              <w:divBdr>
                                <w:top w:val="none" w:sz="0" w:space="0" w:color="auto"/>
                                <w:left w:val="none" w:sz="0" w:space="0" w:color="auto"/>
                                <w:bottom w:val="none" w:sz="0" w:space="0" w:color="auto"/>
                                <w:right w:val="none" w:sz="0" w:space="0" w:color="auto"/>
                              </w:divBdr>
                              <w:divsChild>
                                <w:div w:id="739131289">
                                  <w:marLeft w:val="0"/>
                                  <w:marRight w:val="0"/>
                                  <w:marTop w:val="0"/>
                                  <w:marBottom w:val="0"/>
                                  <w:divBdr>
                                    <w:top w:val="none" w:sz="0" w:space="0" w:color="auto"/>
                                    <w:left w:val="none" w:sz="0" w:space="0" w:color="auto"/>
                                    <w:bottom w:val="none" w:sz="0" w:space="0" w:color="auto"/>
                                    <w:right w:val="none" w:sz="0" w:space="0" w:color="auto"/>
                                  </w:divBdr>
                                  <w:divsChild>
                                    <w:div w:id="1974406229">
                                      <w:marLeft w:val="0"/>
                                      <w:marRight w:val="0"/>
                                      <w:marTop w:val="219"/>
                                      <w:marBottom w:val="0"/>
                                      <w:divBdr>
                                        <w:top w:val="none" w:sz="0" w:space="0" w:color="auto"/>
                                        <w:left w:val="none" w:sz="0" w:space="0" w:color="auto"/>
                                        <w:bottom w:val="none" w:sz="0" w:space="0" w:color="auto"/>
                                        <w:right w:val="none" w:sz="0" w:space="0" w:color="auto"/>
                                      </w:divBdr>
                                      <w:divsChild>
                                        <w:div w:id="408423967">
                                          <w:marLeft w:val="0"/>
                                          <w:marRight w:val="0"/>
                                          <w:marTop w:val="260"/>
                                          <w:marBottom w:val="240"/>
                                          <w:divBdr>
                                            <w:top w:val="none" w:sz="0" w:space="0" w:color="auto"/>
                                            <w:left w:val="none" w:sz="0" w:space="0" w:color="auto"/>
                                            <w:bottom w:val="none" w:sz="0" w:space="0" w:color="auto"/>
                                            <w:right w:val="none" w:sz="0" w:space="0" w:color="auto"/>
                                          </w:divBdr>
                                        </w:div>
                                        <w:div w:id="103877775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7051">
      <w:bodyDiv w:val="1"/>
      <w:marLeft w:val="0"/>
      <w:marRight w:val="0"/>
      <w:marTop w:val="0"/>
      <w:marBottom w:val="0"/>
      <w:divBdr>
        <w:top w:val="none" w:sz="0" w:space="0" w:color="auto"/>
        <w:left w:val="none" w:sz="0" w:space="0" w:color="auto"/>
        <w:bottom w:val="none" w:sz="0" w:space="0" w:color="auto"/>
        <w:right w:val="none" w:sz="0" w:space="0" w:color="auto"/>
      </w:divBdr>
    </w:div>
    <w:div w:id="409427106">
      <w:bodyDiv w:val="1"/>
      <w:marLeft w:val="0"/>
      <w:marRight w:val="0"/>
      <w:marTop w:val="0"/>
      <w:marBottom w:val="0"/>
      <w:divBdr>
        <w:top w:val="none" w:sz="0" w:space="0" w:color="auto"/>
        <w:left w:val="none" w:sz="0" w:space="0" w:color="auto"/>
        <w:bottom w:val="none" w:sz="0" w:space="0" w:color="auto"/>
        <w:right w:val="none" w:sz="0" w:space="0" w:color="auto"/>
      </w:divBdr>
    </w:div>
    <w:div w:id="486434692">
      <w:bodyDiv w:val="1"/>
      <w:marLeft w:val="0"/>
      <w:marRight w:val="0"/>
      <w:marTop w:val="0"/>
      <w:marBottom w:val="0"/>
      <w:divBdr>
        <w:top w:val="none" w:sz="0" w:space="0" w:color="auto"/>
        <w:left w:val="none" w:sz="0" w:space="0" w:color="auto"/>
        <w:bottom w:val="none" w:sz="0" w:space="0" w:color="auto"/>
        <w:right w:val="none" w:sz="0" w:space="0" w:color="auto"/>
      </w:divBdr>
    </w:div>
    <w:div w:id="606472176">
      <w:bodyDiv w:val="1"/>
      <w:marLeft w:val="0"/>
      <w:marRight w:val="0"/>
      <w:marTop w:val="0"/>
      <w:marBottom w:val="0"/>
      <w:divBdr>
        <w:top w:val="none" w:sz="0" w:space="0" w:color="auto"/>
        <w:left w:val="none" w:sz="0" w:space="0" w:color="auto"/>
        <w:bottom w:val="none" w:sz="0" w:space="0" w:color="auto"/>
        <w:right w:val="none" w:sz="0" w:space="0" w:color="auto"/>
      </w:divBdr>
    </w:div>
    <w:div w:id="615602746">
      <w:bodyDiv w:val="1"/>
      <w:marLeft w:val="0"/>
      <w:marRight w:val="0"/>
      <w:marTop w:val="0"/>
      <w:marBottom w:val="0"/>
      <w:divBdr>
        <w:top w:val="none" w:sz="0" w:space="0" w:color="auto"/>
        <w:left w:val="none" w:sz="0" w:space="0" w:color="auto"/>
        <w:bottom w:val="none" w:sz="0" w:space="0" w:color="auto"/>
        <w:right w:val="none" w:sz="0" w:space="0" w:color="auto"/>
      </w:divBdr>
    </w:div>
    <w:div w:id="64975242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10">
          <w:marLeft w:val="0"/>
          <w:marRight w:val="0"/>
          <w:marTop w:val="0"/>
          <w:marBottom w:val="0"/>
          <w:divBdr>
            <w:top w:val="none" w:sz="0" w:space="0" w:color="auto"/>
            <w:left w:val="none" w:sz="0" w:space="0" w:color="auto"/>
            <w:bottom w:val="none" w:sz="0" w:space="0" w:color="auto"/>
            <w:right w:val="none" w:sz="0" w:space="0" w:color="auto"/>
          </w:divBdr>
          <w:divsChild>
            <w:div w:id="286158485">
              <w:marLeft w:val="0"/>
              <w:marRight w:val="0"/>
              <w:marTop w:val="0"/>
              <w:marBottom w:val="0"/>
              <w:divBdr>
                <w:top w:val="single" w:sz="12" w:space="0" w:color="000000"/>
                <w:left w:val="none" w:sz="0" w:space="0" w:color="auto"/>
                <w:bottom w:val="none" w:sz="0" w:space="0" w:color="auto"/>
                <w:right w:val="none" w:sz="0" w:space="0" w:color="auto"/>
              </w:divBdr>
              <w:divsChild>
                <w:div w:id="991256703">
                  <w:marLeft w:val="0"/>
                  <w:marRight w:val="0"/>
                  <w:marTop w:val="0"/>
                  <w:marBottom w:val="0"/>
                  <w:divBdr>
                    <w:top w:val="none" w:sz="0" w:space="0" w:color="auto"/>
                    <w:left w:val="none" w:sz="0" w:space="0" w:color="auto"/>
                    <w:bottom w:val="none" w:sz="0" w:space="0" w:color="auto"/>
                    <w:right w:val="none" w:sz="0" w:space="0" w:color="auto"/>
                  </w:divBdr>
                  <w:divsChild>
                    <w:div w:id="1107190736">
                      <w:marLeft w:val="0"/>
                      <w:marRight w:val="0"/>
                      <w:marTop w:val="0"/>
                      <w:marBottom w:val="0"/>
                      <w:divBdr>
                        <w:top w:val="none" w:sz="0" w:space="0" w:color="auto"/>
                        <w:left w:val="none" w:sz="0" w:space="0" w:color="auto"/>
                        <w:bottom w:val="none" w:sz="0" w:space="0" w:color="auto"/>
                        <w:right w:val="none" w:sz="0" w:space="0" w:color="auto"/>
                      </w:divBdr>
                      <w:divsChild>
                        <w:div w:id="224027313">
                          <w:marLeft w:val="0"/>
                          <w:marRight w:val="0"/>
                          <w:marTop w:val="0"/>
                          <w:marBottom w:val="0"/>
                          <w:divBdr>
                            <w:top w:val="none" w:sz="0" w:space="0" w:color="auto"/>
                            <w:left w:val="none" w:sz="0" w:space="0" w:color="auto"/>
                            <w:bottom w:val="none" w:sz="0" w:space="0" w:color="auto"/>
                            <w:right w:val="none" w:sz="0" w:space="0" w:color="auto"/>
                          </w:divBdr>
                        </w:div>
                        <w:div w:id="16460060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826">
      <w:bodyDiv w:val="1"/>
      <w:marLeft w:val="0"/>
      <w:marRight w:val="0"/>
      <w:marTop w:val="0"/>
      <w:marBottom w:val="0"/>
      <w:divBdr>
        <w:top w:val="none" w:sz="0" w:space="0" w:color="auto"/>
        <w:left w:val="none" w:sz="0" w:space="0" w:color="auto"/>
        <w:bottom w:val="none" w:sz="0" w:space="0" w:color="auto"/>
        <w:right w:val="none" w:sz="0" w:space="0" w:color="auto"/>
      </w:divBdr>
    </w:div>
    <w:div w:id="708526488">
      <w:bodyDiv w:val="1"/>
      <w:marLeft w:val="0"/>
      <w:marRight w:val="0"/>
      <w:marTop w:val="0"/>
      <w:marBottom w:val="0"/>
      <w:divBdr>
        <w:top w:val="none" w:sz="0" w:space="0" w:color="auto"/>
        <w:left w:val="none" w:sz="0" w:space="0" w:color="auto"/>
        <w:bottom w:val="none" w:sz="0" w:space="0" w:color="auto"/>
        <w:right w:val="none" w:sz="0" w:space="0" w:color="auto"/>
      </w:divBdr>
    </w:div>
    <w:div w:id="742946887">
      <w:bodyDiv w:val="1"/>
      <w:marLeft w:val="0"/>
      <w:marRight w:val="0"/>
      <w:marTop w:val="0"/>
      <w:marBottom w:val="0"/>
      <w:divBdr>
        <w:top w:val="none" w:sz="0" w:space="0" w:color="auto"/>
        <w:left w:val="none" w:sz="0" w:space="0" w:color="auto"/>
        <w:bottom w:val="none" w:sz="0" w:space="0" w:color="auto"/>
        <w:right w:val="none" w:sz="0" w:space="0" w:color="auto"/>
      </w:divBdr>
      <w:divsChild>
        <w:div w:id="860510789">
          <w:marLeft w:val="0"/>
          <w:marRight w:val="0"/>
          <w:marTop w:val="0"/>
          <w:marBottom w:val="0"/>
          <w:divBdr>
            <w:top w:val="none" w:sz="0" w:space="0" w:color="auto"/>
            <w:left w:val="none" w:sz="0" w:space="0" w:color="auto"/>
            <w:bottom w:val="none" w:sz="0" w:space="0" w:color="auto"/>
            <w:right w:val="none" w:sz="0" w:space="0" w:color="auto"/>
          </w:divBdr>
          <w:divsChild>
            <w:div w:id="1343626236">
              <w:marLeft w:val="0"/>
              <w:marRight w:val="0"/>
              <w:marTop w:val="0"/>
              <w:marBottom w:val="0"/>
              <w:divBdr>
                <w:top w:val="none" w:sz="0" w:space="0" w:color="auto"/>
                <w:left w:val="none" w:sz="0" w:space="0" w:color="auto"/>
                <w:bottom w:val="none" w:sz="0" w:space="0" w:color="auto"/>
                <w:right w:val="none" w:sz="0" w:space="0" w:color="auto"/>
              </w:divBdr>
              <w:divsChild>
                <w:div w:id="336154341">
                  <w:marLeft w:val="0"/>
                  <w:marRight w:val="0"/>
                  <w:marTop w:val="0"/>
                  <w:marBottom w:val="0"/>
                  <w:divBdr>
                    <w:top w:val="none" w:sz="0" w:space="0" w:color="auto"/>
                    <w:left w:val="none" w:sz="0" w:space="0" w:color="auto"/>
                    <w:bottom w:val="none" w:sz="0" w:space="0" w:color="auto"/>
                    <w:right w:val="none" w:sz="0" w:space="0" w:color="auto"/>
                  </w:divBdr>
                  <w:divsChild>
                    <w:div w:id="346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782">
      <w:bodyDiv w:val="1"/>
      <w:marLeft w:val="0"/>
      <w:marRight w:val="0"/>
      <w:marTop w:val="0"/>
      <w:marBottom w:val="0"/>
      <w:divBdr>
        <w:top w:val="none" w:sz="0" w:space="0" w:color="auto"/>
        <w:left w:val="none" w:sz="0" w:space="0" w:color="auto"/>
        <w:bottom w:val="none" w:sz="0" w:space="0" w:color="auto"/>
        <w:right w:val="none" w:sz="0" w:space="0" w:color="auto"/>
      </w:divBdr>
      <w:divsChild>
        <w:div w:id="1136139251">
          <w:marLeft w:val="75"/>
          <w:marRight w:val="75"/>
          <w:marTop w:val="0"/>
          <w:marBottom w:val="0"/>
          <w:divBdr>
            <w:top w:val="none" w:sz="0" w:space="0" w:color="auto"/>
            <w:left w:val="none" w:sz="0" w:space="0" w:color="auto"/>
            <w:bottom w:val="none" w:sz="0" w:space="0" w:color="auto"/>
            <w:right w:val="none" w:sz="0" w:space="0" w:color="auto"/>
          </w:divBdr>
          <w:divsChild>
            <w:div w:id="1133518722">
              <w:marLeft w:val="0"/>
              <w:marRight w:val="0"/>
              <w:marTop w:val="0"/>
              <w:marBottom w:val="105"/>
              <w:divBdr>
                <w:top w:val="none" w:sz="0" w:space="0" w:color="auto"/>
                <w:left w:val="none" w:sz="0" w:space="0" w:color="auto"/>
                <w:bottom w:val="none" w:sz="0" w:space="0" w:color="auto"/>
                <w:right w:val="none" w:sz="0" w:space="0" w:color="auto"/>
              </w:divBdr>
              <w:divsChild>
                <w:div w:id="693385328">
                  <w:marLeft w:val="0"/>
                  <w:marRight w:val="0"/>
                  <w:marTop w:val="105"/>
                  <w:marBottom w:val="0"/>
                  <w:divBdr>
                    <w:top w:val="none" w:sz="0" w:space="0" w:color="auto"/>
                    <w:left w:val="none" w:sz="0" w:space="0" w:color="auto"/>
                    <w:bottom w:val="none" w:sz="0" w:space="0" w:color="auto"/>
                    <w:right w:val="none" w:sz="0" w:space="0" w:color="auto"/>
                  </w:divBdr>
                  <w:divsChild>
                    <w:div w:id="1127359084">
                      <w:marLeft w:val="0"/>
                      <w:marRight w:val="0"/>
                      <w:marTop w:val="0"/>
                      <w:marBottom w:val="105"/>
                      <w:divBdr>
                        <w:top w:val="none" w:sz="0" w:space="0" w:color="auto"/>
                        <w:left w:val="none" w:sz="0" w:space="0" w:color="auto"/>
                        <w:bottom w:val="none" w:sz="0" w:space="0" w:color="auto"/>
                        <w:right w:val="none" w:sz="0" w:space="0" w:color="auto"/>
                      </w:divBdr>
                      <w:divsChild>
                        <w:div w:id="6270492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2881">
      <w:bodyDiv w:val="1"/>
      <w:marLeft w:val="0"/>
      <w:marRight w:val="0"/>
      <w:marTop w:val="0"/>
      <w:marBottom w:val="0"/>
      <w:divBdr>
        <w:top w:val="none" w:sz="0" w:space="0" w:color="auto"/>
        <w:left w:val="none" w:sz="0" w:space="0" w:color="auto"/>
        <w:bottom w:val="none" w:sz="0" w:space="0" w:color="auto"/>
        <w:right w:val="none" w:sz="0" w:space="0" w:color="auto"/>
      </w:divBdr>
    </w:div>
    <w:div w:id="820804048">
      <w:bodyDiv w:val="1"/>
      <w:marLeft w:val="0"/>
      <w:marRight w:val="0"/>
      <w:marTop w:val="0"/>
      <w:marBottom w:val="0"/>
      <w:divBdr>
        <w:top w:val="none" w:sz="0" w:space="0" w:color="auto"/>
        <w:left w:val="none" w:sz="0" w:space="0" w:color="auto"/>
        <w:bottom w:val="none" w:sz="0" w:space="0" w:color="auto"/>
        <w:right w:val="none" w:sz="0" w:space="0" w:color="auto"/>
      </w:divBdr>
    </w:div>
    <w:div w:id="831260349">
      <w:bodyDiv w:val="1"/>
      <w:marLeft w:val="0"/>
      <w:marRight w:val="0"/>
      <w:marTop w:val="0"/>
      <w:marBottom w:val="0"/>
      <w:divBdr>
        <w:top w:val="none" w:sz="0" w:space="0" w:color="auto"/>
        <w:left w:val="none" w:sz="0" w:space="0" w:color="auto"/>
        <w:bottom w:val="none" w:sz="0" w:space="0" w:color="auto"/>
        <w:right w:val="none" w:sz="0" w:space="0" w:color="auto"/>
      </w:divBdr>
      <w:divsChild>
        <w:div w:id="34811666">
          <w:marLeft w:val="0"/>
          <w:marRight w:val="0"/>
          <w:marTop w:val="0"/>
          <w:marBottom w:val="0"/>
          <w:divBdr>
            <w:top w:val="none" w:sz="0" w:space="0" w:color="auto"/>
            <w:left w:val="none" w:sz="0" w:space="0" w:color="auto"/>
            <w:bottom w:val="none" w:sz="0" w:space="0" w:color="auto"/>
            <w:right w:val="none" w:sz="0" w:space="0" w:color="auto"/>
          </w:divBdr>
        </w:div>
        <w:div w:id="430204628">
          <w:marLeft w:val="0"/>
          <w:marRight w:val="0"/>
          <w:marTop w:val="0"/>
          <w:marBottom w:val="0"/>
          <w:divBdr>
            <w:top w:val="none" w:sz="0" w:space="0" w:color="auto"/>
            <w:left w:val="none" w:sz="0" w:space="0" w:color="auto"/>
            <w:bottom w:val="none" w:sz="0" w:space="0" w:color="auto"/>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
        <w:div w:id="715663943">
          <w:marLeft w:val="0"/>
          <w:marRight w:val="0"/>
          <w:marTop w:val="0"/>
          <w:marBottom w:val="0"/>
          <w:divBdr>
            <w:top w:val="none" w:sz="0" w:space="0" w:color="auto"/>
            <w:left w:val="none" w:sz="0" w:space="0" w:color="auto"/>
            <w:bottom w:val="none" w:sz="0" w:space="0" w:color="auto"/>
            <w:right w:val="none" w:sz="0" w:space="0" w:color="auto"/>
          </w:divBdr>
        </w:div>
        <w:div w:id="730269894">
          <w:marLeft w:val="0"/>
          <w:marRight w:val="0"/>
          <w:marTop w:val="0"/>
          <w:marBottom w:val="0"/>
          <w:divBdr>
            <w:top w:val="none" w:sz="0" w:space="0" w:color="auto"/>
            <w:left w:val="none" w:sz="0" w:space="0" w:color="auto"/>
            <w:bottom w:val="none" w:sz="0" w:space="0" w:color="auto"/>
            <w:right w:val="none" w:sz="0" w:space="0" w:color="auto"/>
          </w:divBdr>
        </w:div>
        <w:div w:id="842400125">
          <w:marLeft w:val="0"/>
          <w:marRight w:val="0"/>
          <w:marTop w:val="0"/>
          <w:marBottom w:val="0"/>
          <w:divBdr>
            <w:top w:val="none" w:sz="0" w:space="0" w:color="auto"/>
            <w:left w:val="none" w:sz="0" w:space="0" w:color="auto"/>
            <w:bottom w:val="none" w:sz="0" w:space="0" w:color="auto"/>
            <w:right w:val="none" w:sz="0" w:space="0" w:color="auto"/>
          </w:divBdr>
        </w:div>
        <w:div w:id="906498170">
          <w:marLeft w:val="0"/>
          <w:marRight w:val="0"/>
          <w:marTop w:val="0"/>
          <w:marBottom w:val="0"/>
          <w:divBdr>
            <w:top w:val="none" w:sz="0" w:space="0" w:color="auto"/>
            <w:left w:val="none" w:sz="0" w:space="0" w:color="auto"/>
            <w:bottom w:val="none" w:sz="0" w:space="0" w:color="auto"/>
            <w:right w:val="none" w:sz="0" w:space="0" w:color="auto"/>
          </w:divBdr>
        </w:div>
        <w:div w:id="1057515900">
          <w:marLeft w:val="0"/>
          <w:marRight w:val="0"/>
          <w:marTop w:val="0"/>
          <w:marBottom w:val="0"/>
          <w:divBdr>
            <w:top w:val="none" w:sz="0" w:space="0" w:color="auto"/>
            <w:left w:val="none" w:sz="0" w:space="0" w:color="auto"/>
            <w:bottom w:val="none" w:sz="0" w:space="0" w:color="auto"/>
            <w:right w:val="none" w:sz="0" w:space="0" w:color="auto"/>
          </w:divBdr>
        </w:div>
        <w:div w:id="1700281062">
          <w:marLeft w:val="0"/>
          <w:marRight w:val="0"/>
          <w:marTop w:val="0"/>
          <w:marBottom w:val="0"/>
          <w:divBdr>
            <w:top w:val="none" w:sz="0" w:space="0" w:color="auto"/>
            <w:left w:val="none" w:sz="0" w:space="0" w:color="auto"/>
            <w:bottom w:val="none" w:sz="0" w:space="0" w:color="auto"/>
            <w:right w:val="none" w:sz="0" w:space="0" w:color="auto"/>
          </w:divBdr>
        </w:div>
        <w:div w:id="1883133035">
          <w:marLeft w:val="0"/>
          <w:marRight w:val="0"/>
          <w:marTop w:val="0"/>
          <w:marBottom w:val="0"/>
          <w:divBdr>
            <w:top w:val="none" w:sz="0" w:space="0" w:color="auto"/>
            <w:left w:val="none" w:sz="0" w:space="0" w:color="auto"/>
            <w:bottom w:val="none" w:sz="0" w:space="0" w:color="auto"/>
            <w:right w:val="none" w:sz="0" w:space="0" w:color="auto"/>
          </w:divBdr>
        </w:div>
        <w:div w:id="2077120440">
          <w:marLeft w:val="0"/>
          <w:marRight w:val="0"/>
          <w:marTop w:val="0"/>
          <w:marBottom w:val="0"/>
          <w:divBdr>
            <w:top w:val="none" w:sz="0" w:space="0" w:color="auto"/>
            <w:left w:val="none" w:sz="0" w:space="0" w:color="auto"/>
            <w:bottom w:val="none" w:sz="0" w:space="0" w:color="auto"/>
            <w:right w:val="none" w:sz="0" w:space="0" w:color="auto"/>
          </w:divBdr>
        </w:div>
      </w:divsChild>
    </w:div>
    <w:div w:id="920793397">
      <w:bodyDiv w:val="1"/>
      <w:marLeft w:val="0"/>
      <w:marRight w:val="0"/>
      <w:marTop w:val="0"/>
      <w:marBottom w:val="0"/>
      <w:divBdr>
        <w:top w:val="none" w:sz="0" w:space="0" w:color="auto"/>
        <w:left w:val="none" w:sz="0" w:space="0" w:color="auto"/>
        <w:bottom w:val="none" w:sz="0" w:space="0" w:color="auto"/>
        <w:right w:val="none" w:sz="0" w:space="0" w:color="auto"/>
      </w:divBdr>
    </w:div>
    <w:div w:id="993874954">
      <w:bodyDiv w:val="1"/>
      <w:marLeft w:val="0"/>
      <w:marRight w:val="0"/>
      <w:marTop w:val="0"/>
      <w:marBottom w:val="0"/>
      <w:divBdr>
        <w:top w:val="none" w:sz="0" w:space="0" w:color="auto"/>
        <w:left w:val="none" w:sz="0" w:space="0" w:color="auto"/>
        <w:bottom w:val="none" w:sz="0" w:space="0" w:color="auto"/>
        <w:right w:val="none" w:sz="0" w:space="0" w:color="auto"/>
      </w:divBdr>
    </w:div>
    <w:div w:id="1037782387">
      <w:bodyDiv w:val="1"/>
      <w:marLeft w:val="0"/>
      <w:marRight w:val="0"/>
      <w:marTop w:val="0"/>
      <w:marBottom w:val="0"/>
      <w:divBdr>
        <w:top w:val="none" w:sz="0" w:space="0" w:color="auto"/>
        <w:left w:val="none" w:sz="0" w:space="0" w:color="auto"/>
        <w:bottom w:val="none" w:sz="0" w:space="0" w:color="auto"/>
        <w:right w:val="none" w:sz="0" w:space="0" w:color="auto"/>
      </w:divBdr>
    </w:div>
    <w:div w:id="1097869273">
      <w:bodyDiv w:val="1"/>
      <w:marLeft w:val="0"/>
      <w:marRight w:val="0"/>
      <w:marTop w:val="0"/>
      <w:marBottom w:val="0"/>
      <w:divBdr>
        <w:top w:val="none" w:sz="0" w:space="0" w:color="auto"/>
        <w:left w:val="none" w:sz="0" w:space="0" w:color="auto"/>
        <w:bottom w:val="none" w:sz="0" w:space="0" w:color="auto"/>
        <w:right w:val="none" w:sz="0" w:space="0" w:color="auto"/>
      </w:divBdr>
    </w:div>
    <w:div w:id="1125153506">
      <w:bodyDiv w:val="1"/>
      <w:marLeft w:val="0"/>
      <w:marRight w:val="0"/>
      <w:marTop w:val="0"/>
      <w:marBottom w:val="0"/>
      <w:divBdr>
        <w:top w:val="none" w:sz="0" w:space="0" w:color="auto"/>
        <w:left w:val="none" w:sz="0" w:space="0" w:color="auto"/>
        <w:bottom w:val="none" w:sz="0" w:space="0" w:color="auto"/>
        <w:right w:val="none" w:sz="0" w:space="0" w:color="auto"/>
      </w:divBdr>
    </w:div>
    <w:div w:id="1173104155">
      <w:bodyDiv w:val="1"/>
      <w:marLeft w:val="0"/>
      <w:marRight w:val="0"/>
      <w:marTop w:val="0"/>
      <w:marBottom w:val="0"/>
      <w:divBdr>
        <w:top w:val="none" w:sz="0" w:space="0" w:color="auto"/>
        <w:left w:val="none" w:sz="0" w:space="0" w:color="auto"/>
        <w:bottom w:val="none" w:sz="0" w:space="0" w:color="auto"/>
        <w:right w:val="none" w:sz="0" w:space="0" w:color="auto"/>
      </w:divBdr>
    </w:div>
    <w:div w:id="1193346141">
      <w:bodyDiv w:val="1"/>
      <w:marLeft w:val="0"/>
      <w:marRight w:val="0"/>
      <w:marTop w:val="0"/>
      <w:marBottom w:val="0"/>
      <w:divBdr>
        <w:top w:val="none" w:sz="0" w:space="0" w:color="auto"/>
        <w:left w:val="none" w:sz="0" w:space="0" w:color="auto"/>
        <w:bottom w:val="none" w:sz="0" w:space="0" w:color="auto"/>
        <w:right w:val="none" w:sz="0" w:space="0" w:color="auto"/>
      </w:divBdr>
    </w:div>
    <w:div w:id="1209806288">
      <w:bodyDiv w:val="1"/>
      <w:marLeft w:val="0"/>
      <w:marRight w:val="0"/>
      <w:marTop w:val="0"/>
      <w:marBottom w:val="0"/>
      <w:divBdr>
        <w:top w:val="none" w:sz="0" w:space="0" w:color="auto"/>
        <w:left w:val="none" w:sz="0" w:space="0" w:color="auto"/>
        <w:bottom w:val="none" w:sz="0" w:space="0" w:color="auto"/>
        <w:right w:val="none" w:sz="0" w:space="0" w:color="auto"/>
      </w:divBdr>
    </w:div>
    <w:div w:id="1239367500">
      <w:bodyDiv w:val="1"/>
      <w:marLeft w:val="0"/>
      <w:marRight w:val="0"/>
      <w:marTop w:val="0"/>
      <w:marBottom w:val="0"/>
      <w:divBdr>
        <w:top w:val="none" w:sz="0" w:space="0" w:color="auto"/>
        <w:left w:val="none" w:sz="0" w:space="0" w:color="auto"/>
        <w:bottom w:val="none" w:sz="0" w:space="0" w:color="auto"/>
        <w:right w:val="none" w:sz="0" w:space="0" w:color="auto"/>
      </w:divBdr>
    </w:div>
    <w:div w:id="1240334531">
      <w:bodyDiv w:val="1"/>
      <w:marLeft w:val="0"/>
      <w:marRight w:val="0"/>
      <w:marTop w:val="0"/>
      <w:marBottom w:val="0"/>
      <w:divBdr>
        <w:top w:val="none" w:sz="0" w:space="0" w:color="auto"/>
        <w:left w:val="none" w:sz="0" w:space="0" w:color="auto"/>
        <w:bottom w:val="none" w:sz="0" w:space="0" w:color="auto"/>
        <w:right w:val="none" w:sz="0" w:space="0" w:color="auto"/>
      </w:divBdr>
    </w:div>
    <w:div w:id="1251431080">
      <w:bodyDiv w:val="1"/>
      <w:marLeft w:val="0"/>
      <w:marRight w:val="0"/>
      <w:marTop w:val="0"/>
      <w:marBottom w:val="0"/>
      <w:divBdr>
        <w:top w:val="none" w:sz="0" w:space="0" w:color="auto"/>
        <w:left w:val="none" w:sz="0" w:space="0" w:color="auto"/>
        <w:bottom w:val="none" w:sz="0" w:space="0" w:color="auto"/>
        <w:right w:val="none" w:sz="0" w:space="0" w:color="auto"/>
      </w:divBdr>
    </w:div>
    <w:div w:id="1281297414">
      <w:bodyDiv w:val="1"/>
      <w:marLeft w:val="0"/>
      <w:marRight w:val="0"/>
      <w:marTop w:val="0"/>
      <w:marBottom w:val="0"/>
      <w:divBdr>
        <w:top w:val="none" w:sz="0" w:space="0" w:color="auto"/>
        <w:left w:val="none" w:sz="0" w:space="0" w:color="auto"/>
        <w:bottom w:val="none" w:sz="0" w:space="0" w:color="auto"/>
        <w:right w:val="none" w:sz="0" w:space="0" w:color="auto"/>
      </w:divBdr>
      <w:divsChild>
        <w:div w:id="1826974053">
          <w:marLeft w:val="0"/>
          <w:marRight w:val="0"/>
          <w:marTop w:val="0"/>
          <w:marBottom w:val="0"/>
          <w:divBdr>
            <w:top w:val="none" w:sz="0" w:space="0" w:color="auto"/>
            <w:left w:val="none" w:sz="0" w:space="0" w:color="auto"/>
            <w:bottom w:val="none" w:sz="0" w:space="0" w:color="auto"/>
            <w:right w:val="none" w:sz="0" w:space="0" w:color="auto"/>
          </w:divBdr>
        </w:div>
        <w:div w:id="1847986635">
          <w:marLeft w:val="0"/>
          <w:marRight w:val="0"/>
          <w:marTop w:val="0"/>
          <w:marBottom w:val="0"/>
          <w:divBdr>
            <w:top w:val="none" w:sz="0" w:space="0" w:color="auto"/>
            <w:left w:val="none" w:sz="0" w:space="0" w:color="auto"/>
            <w:bottom w:val="none" w:sz="0" w:space="0" w:color="auto"/>
            <w:right w:val="none" w:sz="0" w:space="0" w:color="auto"/>
          </w:divBdr>
        </w:div>
      </w:divsChild>
    </w:div>
    <w:div w:id="1289315117">
      <w:bodyDiv w:val="1"/>
      <w:marLeft w:val="0"/>
      <w:marRight w:val="0"/>
      <w:marTop w:val="0"/>
      <w:marBottom w:val="0"/>
      <w:divBdr>
        <w:top w:val="none" w:sz="0" w:space="0" w:color="auto"/>
        <w:left w:val="none" w:sz="0" w:space="0" w:color="auto"/>
        <w:bottom w:val="none" w:sz="0" w:space="0" w:color="auto"/>
        <w:right w:val="none" w:sz="0" w:space="0" w:color="auto"/>
      </w:divBdr>
    </w:div>
    <w:div w:id="1334458104">
      <w:bodyDiv w:val="1"/>
      <w:marLeft w:val="0"/>
      <w:marRight w:val="0"/>
      <w:marTop w:val="0"/>
      <w:marBottom w:val="0"/>
      <w:divBdr>
        <w:top w:val="none" w:sz="0" w:space="0" w:color="auto"/>
        <w:left w:val="none" w:sz="0" w:space="0" w:color="auto"/>
        <w:bottom w:val="none" w:sz="0" w:space="0" w:color="auto"/>
        <w:right w:val="none" w:sz="0" w:space="0" w:color="auto"/>
      </w:divBdr>
    </w:div>
    <w:div w:id="1378236560">
      <w:bodyDiv w:val="1"/>
      <w:marLeft w:val="0"/>
      <w:marRight w:val="0"/>
      <w:marTop w:val="0"/>
      <w:marBottom w:val="0"/>
      <w:divBdr>
        <w:top w:val="none" w:sz="0" w:space="0" w:color="auto"/>
        <w:left w:val="none" w:sz="0" w:space="0" w:color="auto"/>
        <w:bottom w:val="none" w:sz="0" w:space="0" w:color="auto"/>
        <w:right w:val="none" w:sz="0" w:space="0" w:color="auto"/>
      </w:divBdr>
    </w:div>
    <w:div w:id="1420371775">
      <w:bodyDiv w:val="1"/>
      <w:marLeft w:val="0"/>
      <w:marRight w:val="0"/>
      <w:marTop w:val="0"/>
      <w:marBottom w:val="0"/>
      <w:divBdr>
        <w:top w:val="none" w:sz="0" w:space="0" w:color="auto"/>
        <w:left w:val="none" w:sz="0" w:space="0" w:color="auto"/>
        <w:bottom w:val="none" w:sz="0" w:space="0" w:color="auto"/>
        <w:right w:val="none" w:sz="0" w:space="0" w:color="auto"/>
      </w:divBdr>
    </w:div>
    <w:div w:id="1436637242">
      <w:bodyDiv w:val="1"/>
      <w:marLeft w:val="0"/>
      <w:marRight w:val="0"/>
      <w:marTop w:val="0"/>
      <w:marBottom w:val="0"/>
      <w:divBdr>
        <w:top w:val="none" w:sz="0" w:space="0" w:color="auto"/>
        <w:left w:val="none" w:sz="0" w:space="0" w:color="auto"/>
        <w:bottom w:val="none" w:sz="0" w:space="0" w:color="auto"/>
        <w:right w:val="none" w:sz="0" w:space="0" w:color="auto"/>
      </w:divBdr>
    </w:div>
    <w:div w:id="1468859766">
      <w:bodyDiv w:val="1"/>
      <w:marLeft w:val="0"/>
      <w:marRight w:val="0"/>
      <w:marTop w:val="0"/>
      <w:marBottom w:val="0"/>
      <w:divBdr>
        <w:top w:val="none" w:sz="0" w:space="0" w:color="auto"/>
        <w:left w:val="none" w:sz="0" w:space="0" w:color="auto"/>
        <w:bottom w:val="none" w:sz="0" w:space="0" w:color="auto"/>
        <w:right w:val="none" w:sz="0" w:space="0" w:color="auto"/>
      </w:divBdr>
    </w:div>
    <w:div w:id="1496796571">
      <w:bodyDiv w:val="1"/>
      <w:marLeft w:val="0"/>
      <w:marRight w:val="0"/>
      <w:marTop w:val="0"/>
      <w:marBottom w:val="0"/>
      <w:divBdr>
        <w:top w:val="none" w:sz="0" w:space="0" w:color="auto"/>
        <w:left w:val="none" w:sz="0" w:space="0" w:color="auto"/>
        <w:bottom w:val="none" w:sz="0" w:space="0" w:color="auto"/>
        <w:right w:val="none" w:sz="0" w:space="0" w:color="auto"/>
      </w:divBdr>
      <w:divsChild>
        <w:div w:id="1028719235">
          <w:marLeft w:val="0"/>
          <w:marRight w:val="0"/>
          <w:marTop w:val="0"/>
          <w:marBottom w:val="0"/>
          <w:divBdr>
            <w:top w:val="none" w:sz="0" w:space="0" w:color="auto"/>
            <w:left w:val="none" w:sz="0" w:space="0" w:color="auto"/>
            <w:bottom w:val="none" w:sz="0" w:space="0" w:color="auto"/>
            <w:right w:val="none" w:sz="0" w:space="0" w:color="auto"/>
          </w:divBdr>
          <w:divsChild>
            <w:div w:id="1698921292">
              <w:marLeft w:val="0"/>
              <w:marRight w:val="0"/>
              <w:marTop w:val="0"/>
              <w:marBottom w:val="0"/>
              <w:divBdr>
                <w:top w:val="none" w:sz="0" w:space="0" w:color="auto"/>
                <w:left w:val="none" w:sz="0" w:space="0" w:color="auto"/>
                <w:bottom w:val="none" w:sz="0" w:space="0" w:color="auto"/>
                <w:right w:val="none" w:sz="0" w:space="0" w:color="auto"/>
              </w:divBdr>
              <w:divsChild>
                <w:div w:id="222526061">
                  <w:marLeft w:val="0"/>
                  <w:marRight w:val="0"/>
                  <w:marTop w:val="0"/>
                  <w:marBottom w:val="0"/>
                  <w:divBdr>
                    <w:top w:val="none" w:sz="0" w:space="0" w:color="auto"/>
                    <w:left w:val="none" w:sz="0" w:space="0" w:color="auto"/>
                    <w:bottom w:val="none" w:sz="0" w:space="0" w:color="auto"/>
                    <w:right w:val="none" w:sz="0" w:space="0" w:color="auto"/>
                  </w:divBdr>
                  <w:divsChild>
                    <w:div w:id="1555388352">
                      <w:marLeft w:val="0"/>
                      <w:marRight w:val="0"/>
                      <w:marTop w:val="0"/>
                      <w:marBottom w:val="0"/>
                      <w:divBdr>
                        <w:top w:val="none" w:sz="0" w:space="0" w:color="auto"/>
                        <w:left w:val="none" w:sz="0" w:space="0" w:color="auto"/>
                        <w:bottom w:val="none" w:sz="0" w:space="0" w:color="auto"/>
                        <w:right w:val="none" w:sz="0" w:space="0" w:color="auto"/>
                      </w:divBdr>
                      <w:divsChild>
                        <w:div w:id="137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9774">
      <w:bodyDiv w:val="1"/>
      <w:marLeft w:val="0"/>
      <w:marRight w:val="0"/>
      <w:marTop w:val="0"/>
      <w:marBottom w:val="0"/>
      <w:divBdr>
        <w:top w:val="none" w:sz="0" w:space="0" w:color="auto"/>
        <w:left w:val="none" w:sz="0" w:space="0" w:color="auto"/>
        <w:bottom w:val="none" w:sz="0" w:space="0" w:color="auto"/>
        <w:right w:val="none" w:sz="0" w:space="0" w:color="auto"/>
      </w:divBdr>
    </w:div>
    <w:div w:id="1622151039">
      <w:bodyDiv w:val="1"/>
      <w:marLeft w:val="0"/>
      <w:marRight w:val="0"/>
      <w:marTop w:val="0"/>
      <w:marBottom w:val="0"/>
      <w:divBdr>
        <w:top w:val="none" w:sz="0" w:space="0" w:color="auto"/>
        <w:left w:val="none" w:sz="0" w:space="0" w:color="auto"/>
        <w:bottom w:val="none" w:sz="0" w:space="0" w:color="auto"/>
        <w:right w:val="none" w:sz="0" w:space="0" w:color="auto"/>
      </w:divBdr>
    </w:div>
    <w:div w:id="1627201683">
      <w:bodyDiv w:val="1"/>
      <w:marLeft w:val="0"/>
      <w:marRight w:val="0"/>
      <w:marTop w:val="0"/>
      <w:marBottom w:val="0"/>
      <w:divBdr>
        <w:top w:val="none" w:sz="0" w:space="0" w:color="auto"/>
        <w:left w:val="none" w:sz="0" w:space="0" w:color="auto"/>
        <w:bottom w:val="none" w:sz="0" w:space="0" w:color="auto"/>
        <w:right w:val="none" w:sz="0" w:space="0" w:color="auto"/>
      </w:divBdr>
    </w:div>
    <w:div w:id="1630933877">
      <w:bodyDiv w:val="1"/>
      <w:marLeft w:val="0"/>
      <w:marRight w:val="0"/>
      <w:marTop w:val="0"/>
      <w:marBottom w:val="0"/>
      <w:divBdr>
        <w:top w:val="none" w:sz="0" w:space="0" w:color="auto"/>
        <w:left w:val="none" w:sz="0" w:space="0" w:color="auto"/>
        <w:bottom w:val="none" w:sz="0" w:space="0" w:color="auto"/>
        <w:right w:val="none" w:sz="0" w:space="0" w:color="auto"/>
      </w:divBdr>
    </w:div>
    <w:div w:id="1668829584">
      <w:bodyDiv w:val="1"/>
      <w:marLeft w:val="0"/>
      <w:marRight w:val="0"/>
      <w:marTop w:val="0"/>
      <w:marBottom w:val="0"/>
      <w:divBdr>
        <w:top w:val="none" w:sz="0" w:space="0" w:color="auto"/>
        <w:left w:val="none" w:sz="0" w:space="0" w:color="auto"/>
        <w:bottom w:val="none" w:sz="0" w:space="0" w:color="auto"/>
        <w:right w:val="none" w:sz="0" w:space="0" w:color="auto"/>
      </w:divBdr>
    </w:div>
    <w:div w:id="1691636340">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4">
          <w:marLeft w:val="0"/>
          <w:marRight w:val="0"/>
          <w:marTop w:val="0"/>
          <w:marBottom w:val="0"/>
          <w:divBdr>
            <w:top w:val="none" w:sz="0" w:space="0" w:color="auto"/>
            <w:left w:val="none" w:sz="0" w:space="0" w:color="auto"/>
            <w:bottom w:val="none" w:sz="0" w:space="0" w:color="auto"/>
            <w:right w:val="none" w:sz="0" w:space="0" w:color="auto"/>
          </w:divBdr>
          <w:divsChild>
            <w:div w:id="1068267551">
              <w:marLeft w:val="3000"/>
              <w:marRight w:val="0"/>
              <w:marTop w:val="0"/>
              <w:marBottom w:val="0"/>
              <w:divBdr>
                <w:top w:val="single" w:sz="12" w:space="0" w:color="000000"/>
                <w:left w:val="none" w:sz="0" w:space="0" w:color="auto"/>
                <w:bottom w:val="none" w:sz="0" w:space="0" w:color="auto"/>
                <w:right w:val="none" w:sz="0" w:space="0" w:color="auto"/>
              </w:divBdr>
              <w:divsChild>
                <w:div w:id="956563548">
                  <w:marLeft w:val="0"/>
                  <w:marRight w:val="0"/>
                  <w:marTop w:val="0"/>
                  <w:marBottom w:val="0"/>
                  <w:divBdr>
                    <w:top w:val="none" w:sz="0" w:space="0" w:color="auto"/>
                    <w:left w:val="none" w:sz="0" w:space="0" w:color="auto"/>
                    <w:bottom w:val="none" w:sz="0" w:space="0" w:color="auto"/>
                    <w:right w:val="none" w:sz="0" w:space="0" w:color="auto"/>
                  </w:divBdr>
                  <w:divsChild>
                    <w:div w:id="2136482123">
                      <w:marLeft w:val="0"/>
                      <w:marRight w:val="0"/>
                      <w:marTop w:val="0"/>
                      <w:marBottom w:val="0"/>
                      <w:divBdr>
                        <w:top w:val="single" w:sz="12" w:space="12" w:color="000000"/>
                        <w:left w:val="none" w:sz="0" w:space="0" w:color="auto"/>
                        <w:bottom w:val="single" w:sz="12" w:space="12" w:color="000000"/>
                        <w:right w:val="none" w:sz="0" w:space="0" w:color="auto"/>
                      </w:divBdr>
                      <w:divsChild>
                        <w:div w:id="14668971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3296">
      <w:bodyDiv w:val="1"/>
      <w:marLeft w:val="0"/>
      <w:marRight w:val="0"/>
      <w:marTop w:val="0"/>
      <w:marBottom w:val="0"/>
      <w:divBdr>
        <w:top w:val="none" w:sz="0" w:space="0" w:color="auto"/>
        <w:left w:val="none" w:sz="0" w:space="0" w:color="auto"/>
        <w:bottom w:val="none" w:sz="0" w:space="0" w:color="auto"/>
        <w:right w:val="none" w:sz="0" w:space="0" w:color="auto"/>
      </w:divBdr>
    </w:div>
    <w:div w:id="1730765725">
      <w:bodyDiv w:val="1"/>
      <w:marLeft w:val="0"/>
      <w:marRight w:val="0"/>
      <w:marTop w:val="0"/>
      <w:marBottom w:val="0"/>
      <w:divBdr>
        <w:top w:val="none" w:sz="0" w:space="0" w:color="auto"/>
        <w:left w:val="none" w:sz="0" w:space="0" w:color="auto"/>
        <w:bottom w:val="none" w:sz="0" w:space="0" w:color="auto"/>
        <w:right w:val="none" w:sz="0" w:space="0" w:color="auto"/>
      </w:divBdr>
    </w:div>
    <w:div w:id="1763915415">
      <w:bodyDiv w:val="1"/>
      <w:marLeft w:val="0"/>
      <w:marRight w:val="0"/>
      <w:marTop w:val="0"/>
      <w:marBottom w:val="0"/>
      <w:divBdr>
        <w:top w:val="none" w:sz="0" w:space="0" w:color="auto"/>
        <w:left w:val="none" w:sz="0" w:space="0" w:color="auto"/>
        <w:bottom w:val="none" w:sz="0" w:space="0" w:color="auto"/>
        <w:right w:val="none" w:sz="0" w:space="0" w:color="auto"/>
      </w:divBdr>
    </w:div>
    <w:div w:id="1797093589">
      <w:bodyDiv w:val="1"/>
      <w:marLeft w:val="0"/>
      <w:marRight w:val="0"/>
      <w:marTop w:val="0"/>
      <w:marBottom w:val="0"/>
      <w:divBdr>
        <w:top w:val="none" w:sz="0" w:space="0" w:color="auto"/>
        <w:left w:val="none" w:sz="0" w:space="0" w:color="auto"/>
        <w:bottom w:val="none" w:sz="0" w:space="0" w:color="auto"/>
        <w:right w:val="none" w:sz="0" w:space="0" w:color="auto"/>
      </w:divBdr>
    </w:div>
    <w:div w:id="1850095884">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7">
          <w:marLeft w:val="0"/>
          <w:marRight w:val="0"/>
          <w:marTop w:val="0"/>
          <w:marBottom w:val="0"/>
          <w:divBdr>
            <w:top w:val="none" w:sz="0" w:space="0" w:color="auto"/>
            <w:left w:val="none" w:sz="0" w:space="0" w:color="auto"/>
            <w:bottom w:val="none" w:sz="0" w:space="0" w:color="auto"/>
            <w:right w:val="none" w:sz="0" w:space="0" w:color="auto"/>
          </w:divBdr>
          <w:divsChild>
            <w:div w:id="730421663">
              <w:marLeft w:val="0"/>
              <w:marRight w:val="0"/>
              <w:marTop w:val="0"/>
              <w:marBottom w:val="0"/>
              <w:divBdr>
                <w:top w:val="none" w:sz="0" w:space="0" w:color="auto"/>
                <w:left w:val="none" w:sz="0" w:space="0" w:color="auto"/>
                <w:bottom w:val="none" w:sz="0" w:space="0" w:color="auto"/>
                <w:right w:val="none" w:sz="0" w:space="0" w:color="auto"/>
              </w:divBdr>
              <w:divsChild>
                <w:div w:id="540672865">
                  <w:marLeft w:val="0"/>
                  <w:marRight w:val="0"/>
                  <w:marTop w:val="0"/>
                  <w:marBottom w:val="0"/>
                  <w:divBdr>
                    <w:top w:val="none" w:sz="0" w:space="0" w:color="auto"/>
                    <w:left w:val="none" w:sz="0" w:space="0" w:color="auto"/>
                    <w:bottom w:val="none" w:sz="0" w:space="0" w:color="auto"/>
                    <w:right w:val="none" w:sz="0" w:space="0" w:color="auto"/>
                  </w:divBdr>
                  <w:divsChild>
                    <w:div w:id="9803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3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9759">
          <w:marLeft w:val="75"/>
          <w:marRight w:val="75"/>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210"/>
              <w:divBdr>
                <w:top w:val="none" w:sz="0" w:space="0" w:color="auto"/>
                <w:left w:val="none" w:sz="0" w:space="0" w:color="auto"/>
                <w:bottom w:val="none" w:sz="0" w:space="0" w:color="auto"/>
                <w:right w:val="none" w:sz="0" w:space="0" w:color="auto"/>
              </w:divBdr>
              <w:divsChild>
                <w:div w:id="52311956">
                  <w:marLeft w:val="0"/>
                  <w:marRight w:val="0"/>
                  <w:marTop w:val="210"/>
                  <w:marBottom w:val="0"/>
                  <w:divBdr>
                    <w:top w:val="none" w:sz="0" w:space="0" w:color="auto"/>
                    <w:left w:val="none" w:sz="0" w:space="0" w:color="auto"/>
                    <w:bottom w:val="none" w:sz="0" w:space="0" w:color="auto"/>
                    <w:right w:val="none" w:sz="0" w:space="0" w:color="auto"/>
                  </w:divBdr>
                  <w:divsChild>
                    <w:div w:id="258610598">
                      <w:marLeft w:val="0"/>
                      <w:marRight w:val="0"/>
                      <w:marTop w:val="0"/>
                      <w:marBottom w:val="105"/>
                      <w:divBdr>
                        <w:top w:val="none" w:sz="0" w:space="0" w:color="auto"/>
                        <w:left w:val="none" w:sz="0" w:space="0" w:color="auto"/>
                        <w:bottom w:val="none" w:sz="0" w:space="0" w:color="auto"/>
                        <w:right w:val="none" w:sz="0" w:space="0" w:color="auto"/>
                      </w:divBdr>
                      <w:divsChild>
                        <w:div w:id="260332517">
                          <w:marLeft w:val="0"/>
                          <w:marRight w:val="0"/>
                          <w:marTop w:val="105"/>
                          <w:marBottom w:val="0"/>
                          <w:divBdr>
                            <w:top w:val="none" w:sz="0" w:space="0" w:color="auto"/>
                            <w:left w:val="none" w:sz="0" w:space="0" w:color="auto"/>
                            <w:bottom w:val="none" w:sz="0" w:space="0" w:color="auto"/>
                            <w:right w:val="none" w:sz="0" w:space="0" w:color="auto"/>
                          </w:divBdr>
                          <w:divsChild>
                            <w:div w:id="423957502">
                              <w:marLeft w:val="0"/>
                              <w:marRight w:val="0"/>
                              <w:marTop w:val="0"/>
                              <w:marBottom w:val="105"/>
                              <w:divBdr>
                                <w:top w:val="none" w:sz="0" w:space="0" w:color="auto"/>
                                <w:left w:val="none" w:sz="0" w:space="0" w:color="auto"/>
                                <w:bottom w:val="none" w:sz="0" w:space="0" w:color="auto"/>
                                <w:right w:val="none" w:sz="0" w:space="0" w:color="auto"/>
                              </w:divBdr>
                              <w:divsChild>
                                <w:div w:id="12812290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5288">
      <w:bodyDiv w:val="1"/>
      <w:marLeft w:val="0"/>
      <w:marRight w:val="0"/>
      <w:marTop w:val="0"/>
      <w:marBottom w:val="0"/>
      <w:divBdr>
        <w:top w:val="none" w:sz="0" w:space="0" w:color="auto"/>
        <w:left w:val="none" w:sz="0" w:space="0" w:color="auto"/>
        <w:bottom w:val="none" w:sz="0" w:space="0" w:color="auto"/>
        <w:right w:val="none" w:sz="0" w:space="0" w:color="auto"/>
      </w:divBdr>
      <w:divsChild>
        <w:div w:id="1224950408">
          <w:marLeft w:val="0"/>
          <w:marRight w:val="0"/>
          <w:marTop w:val="0"/>
          <w:marBottom w:val="0"/>
          <w:divBdr>
            <w:top w:val="none" w:sz="0" w:space="0" w:color="auto"/>
            <w:left w:val="none" w:sz="0" w:space="0" w:color="auto"/>
            <w:bottom w:val="none" w:sz="0" w:space="0" w:color="auto"/>
            <w:right w:val="none" w:sz="0" w:space="0" w:color="auto"/>
          </w:divBdr>
          <w:divsChild>
            <w:div w:id="1606300931">
              <w:marLeft w:val="3000"/>
              <w:marRight w:val="0"/>
              <w:marTop w:val="0"/>
              <w:marBottom w:val="0"/>
              <w:divBdr>
                <w:top w:val="single" w:sz="12" w:space="0" w:color="000000"/>
                <w:left w:val="none" w:sz="0" w:space="0" w:color="auto"/>
                <w:bottom w:val="none" w:sz="0" w:space="0" w:color="auto"/>
                <w:right w:val="none" w:sz="0" w:space="0" w:color="auto"/>
              </w:divBdr>
              <w:divsChild>
                <w:div w:id="1631394440">
                  <w:marLeft w:val="0"/>
                  <w:marRight w:val="0"/>
                  <w:marTop w:val="0"/>
                  <w:marBottom w:val="0"/>
                  <w:divBdr>
                    <w:top w:val="none" w:sz="0" w:space="0" w:color="auto"/>
                    <w:left w:val="none" w:sz="0" w:space="0" w:color="auto"/>
                    <w:bottom w:val="none" w:sz="0" w:space="0" w:color="auto"/>
                    <w:right w:val="none" w:sz="0" w:space="0" w:color="auto"/>
                  </w:divBdr>
                  <w:divsChild>
                    <w:div w:id="1322778706">
                      <w:marLeft w:val="0"/>
                      <w:marRight w:val="0"/>
                      <w:marTop w:val="0"/>
                      <w:marBottom w:val="0"/>
                      <w:divBdr>
                        <w:top w:val="single" w:sz="12" w:space="12" w:color="000000"/>
                        <w:left w:val="none" w:sz="0" w:space="0" w:color="auto"/>
                        <w:bottom w:val="single" w:sz="12" w:space="12" w:color="000000"/>
                        <w:right w:val="none" w:sz="0" w:space="0" w:color="auto"/>
                      </w:divBdr>
                      <w:divsChild>
                        <w:div w:id="7661989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78526">
      <w:bodyDiv w:val="1"/>
      <w:marLeft w:val="0"/>
      <w:marRight w:val="0"/>
      <w:marTop w:val="0"/>
      <w:marBottom w:val="0"/>
      <w:divBdr>
        <w:top w:val="none" w:sz="0" w:space="0" w:color="auto"/>
        <w:left w:val="none" w:sz="0" w:space="0" w:color="auto"/>
        <w:bottom w:val="none" w:sz="0" w:space="0" w:color="auto"/>
        <w:right w:val="none" w:sz="0" w:space="0" w:color="auto"/>
      </w:divBdr>
      <w:divsChild>
        <w:div w:id="497186964">
          <w:marLeft w:val="0"/>
          <w:marRight w:val="0"/>
          <w:marTop w:val="0"/>
          <w:marBottom w:val="600"/>
          <w:divBdr>
            <w:top w:val="none" w:sz="0" w:space="0" w:color="auto"/>
            <w:left w:val="none" w:sz="0" w:space="0" w:color="auto"/>
            <w:bottom w:val="none" w:sz="0" w:space="0" w:color="auto"/>
            <w:right w:val="none" w:sz="0" w:space="0" w:color="auto"/>
          </w:divBdr>
          <w:divsChild>
            <w:div w:id="1653487434">
              <w:marLeft w:val="0"/>
              <w:marRight w:val="0"/>
              <w:marTop w:val="450"/>
              <w:marBottom w:val="0"/>
              <w:divBdr>
                <w:top w:val="none" w:sz="0" w:space="0" w:color="auto"/>
                <w:left w:val="none" w:sz="0" w:space="0" w:color="auto"/>
                <w:bottom w:val="none" w:sz="0" w:space="0" w:color="auto"/>
                <w:right w:val="none" w:sz="0" w:space="0" w:color="auto"/>
              </w:divBdr>
              <w:divsChild>
                <w:div w:id="2013485021">
                  <w:marLeft w:val="0"/>
                  <w:marRight w:val="0"/>
                  <w:marTop w:val="0"/>
                  <w:marBottom w:val="0"/>
                  <w:divBdr>
                    <w:top w:val="none" w:sz="0" w:space="0" w:color="auto"/>
                    <w:left w:val="none" w:sz="0" w:space="0" w:color="auto"/>
                    <w:bottom w:val="none" w:sz="0" w:space="0" w:color="auto"/>
                    <w:right w:val="none" w:sz="0" w:space="0" w:color="auto"/>
                  </w:divBdr>
                  <w:divsChild>
                    <w:div w:id="109277885">
                      <w:marLeft w:val="225"/>
                      <w:marRight w:val="225"/>
                      <w:marTop w:val="180"/>
                      <w:marBottom w:val="180"/>
                      <w:divBdr>
                        <w:top w:val="none" w:sz="0" w:space="0" w:color="auto"/>
                        <w:left w:val="none" w:sz="0" w:space="0" w:color="auto"/>
                        <w:bottom w:val="none" w:sz="0" w:space="0" w:color="auto"/>
                        <w:right w:val="none" w:sz="0" w:space="0" w:color="auto"/>
                      </w:divBdr>
                      <w:divsChild>
                        <w:div w:id="1862428563">
                          <w:marLeft w:val="0"/>
                          <w:marRight w:val="0"/>
                          <w:marTop w:val="0"/>
                          <w:marBottom w:val="0"/>
                          <w:divBdr>
                            <w:top w:val="none" w:sz="0" w:space="0" w:color="auto"/>
                            <w:left w:val="none" w:sz="0" w:space="0" w:color="auto"/>
                            <w:bottom w:val="none" w:sz="0" w:space="0" w:color="auto"/>
                            <w:right w:val="none" w:sz="0" w:space="0" w:color="auto"/>
                          </w:divBdr>
                          <w:divsChild>
                            <w:div w:id="1999073164">
                              <w:marLeft w:val="0"/>
                              <w:marRight w:val="0"/>
                              <w:marTop w:val="0"/>
                              <w:marBottom w:val="0"/>
                              <w:divBdr>
                                <w:top w:val="none" w:sz="0" w:space="0" w:color="auto"/>
                                <w:left w:val="none" w:sz="0" w:space="0" w:color="auto"/>
                                <w:bottom w:val="none" w:sz="0" w:space="0" w:color="auto"/>
                                <w:right w:val="none" w:sz="0" w:space="0" w:color="auto"/>
                              </w:divBdr>
                              <w:divsChild>
                                <w:div w:id="461464886">
                                  <w:marLeft w:val="0"/>
                                  <w:marRight w:val="0"/>
                                  <w:marTop w:val="0"/>
                                  <w:marBottom w:val="0"/>
                                  <w:divBdr>
                                    <w:top w:val="none" w:sz="0" w:space="0" w:color="auto"/>
                                    <w:left w:val="none" w:sz="0" w:space="0" w:color="auto"/>
                                    <w:bottom w:val="none" w:sz="0" w:space="0" w:color="auto"/>
                                    <w:right w:val="none" w:sz="0" w:space="0" w:color="auto"/>
                                  </w:divBdr>
                                  <w:divsChild>
                                    <w:div w:id="5518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cdpdj.qc.ca/Publications/commentaires_reglement-aide-personnes-famille.pdf" TargetMode="External"/><Relationship Id="rId13" Type="http://schemas.openxmlformats.org/officeDocument/2006/relationships/hyperlink" Target="https://www.cdpdj.qc.ca/storage/app/media/publications/memoire_PL5_maternelle-4ans.pdf" TargetMode="External"/><Relationship Id="rId18" Type="http://schemas.openxmlformats.org/officeDocument/2006/relationships/hyperlink" Target="https://www.cdpdj.qc.ca/storage/app/media/publications/etude_inclusion_EHDAA.pdf" TargetMode="External"/><Relationship Id="rId26" Type="http://schemas.openxmlformats.org/officeDocument/2006/relationships/hyperlink" Target="https://cdn-contenu.quebec.ca/cdn-contenu/adm/min/travail-emploi-solidarite-sociale/cepe/publications/RA_avis_prejuges_CEPE.pdf?164374657" TargetMode="External"/><Relationship Id="rId3" Type="http://schemas.openxmlformats.org/officeDocument/2006/relationships/hyperlink" Target="http://www.ohchr.org/Documents/Publications/HR_P_PT_12_NHRI_fr.pdf" TargetMode="External"/><Relationship Id="rId21" Type="http://schemas.openxmlformats.org/officeDocument/2006/relationships/hyperlink" Target="https://apps.who.int/iris/handle/10665/44083" TargetMode="External"/><Relationship Id="rId34" Type="http://schemas.openxmlformats.org/officeDocument/2006/relationships/hyperlink" Target="https://www.cdpdj.qc.ca/fr/actualites/la-mobilisation-et-la-collaboration-de-tous-les-acteurs-doivent-etre-au-coeur-de-la-reponse-la-crise-au-nunavik-insiste-la-cdpdj" TargetMode="External"/><Relationship Id="rId7" Type="http://schemas.openxmlformats.org/officeDocument/2006/relationships/hyperlink" Target="http://www.cdpdj.qc.ca/Publications/commentaires_aide-sociale.pdf" TargetMode="External"/><Relationship Id="rId12" Type="http://schemas.openxmlformats.org/officeDocument/2006/relationships/hyperlink" Target="http://www.cclp.gouv.qc.ca/publications/index.asp?categorie=1500301" TargetMode="External"/><Relationship Id="rId17" Type="http://schemas.openxmlformats.org/officeDocument/2006/relationships/hyperlink" Target="https://www.cdpdj.qc.ca/storage/app/media/publications/memoire_PL40_instruction-publique.pdf" TargetMode="External"/><Relationship Id="rId25" Type="http://schemas.openxmlformats.org/officeDocument/2006/relationships/hyperlink" Target="https://www.cdpdj.qc.ca/storage/app/media/publications/pauvrete_declaration_2010.pdf" TargetMode="External"/><Relationship Id="rId33" Type="http://schemas.openxmlformats.org/officeDocument/2006/relationships/hyperlink" Target="https://www.cdpdj.qc.ca/storage/app/media/publications/Orientations_Autochtones.pdf" TargetMode="External"/><Relationship Id="rId2" Type="http://schemas.openxmlformats.org/officeDocument/2006/relationships/hyperlink" Target="https://www.cdpdj.qc.ca/storage/app/media/publications/memoire_PL_70_emploi_pauvrete.pdf" TargetMode="External"/><Relationship Id="rId16" Type="http://schemas.openxmlformats.org/officeDocument/2006/relationships/hyperlink" Target="https://cdpdj.qc.ca/storage/app/media/publications/commentaires_PL12_frais-scolaires.pdf" TargetMode="External"/><Relationship Id="rId20" Type="http://schemas.openxmlformats.org/officeDocument/2006/relationships/hyperlink" Target="https://www.cdpdj.qc.ca/storage/app/media/publications/memoire_PL_15_sante_services_sociaux.pdf" TargetMode="External"/><Relationship Id="rId29" Type="http://schemas.openxmlformats.org/officeDocument/2006/relationships/hyperlink" Target="https://www.cdpdj.qc.ca/storage/app/media/publications/memoire_PL_32_justice-penale.pdf" TargetMode="External"/><Relationship Id="rId1" Type="http://schemas.openxmlformats.org/officeDocument/2006/relationships/hyperlink" Target="https://www.cdpdj.qc.ca/storage/app/media/publications/memoire_consultation_pauvrete.pdf" TargetMode="External"/><Relationship Id="rId6" Type="http://schemas.openxmlformats.org/officeDocument/2006/relationships/hyperlink" Target="https://www.cdpdj.qc.ca/storage/app/media/publications/memoire_OCPM_racisme-systemique.pdf" TargetMode="External"/><Relationship Id="rId11" Type="http://schemas.openxmlformats.org/officeDocument/2006/relationships/hyperlink" Target="https://cdpdj.qc.ca/storage/app/media/publications/Rapport_triennal_PAE_2016_2019.pdf" TargetMode="External"/><Relationship Id="rId24" Type="http://schemas.openxmlformats.org/officeDocument/2006/relationships/hyperlink" Target="https://www.cdpdj.qc.ca/storage/app/media/publications/logement_social_memoire.pdf" TargetMode="External"/><Relationship Id="rId32" Type="http://schemas.openxmlformats.org/officeDocument/2006/relationships/hyperlink" Target="https://www.cdpdj.qc.ca/storage/app/media/publications/itinerance_avis.pdf" TargetMode="External"/><Relationship Id="rId5" Type="http://schemas.openxmlformats.org/officeDocument/2006/relationships/hyperlink" Target="http://www.mess.gouv.qc.ca/publications/pdf/CEPE_2015_Indicateurs_exclusion_sociale.pdf" TargetMode="External"/><Relationship Id="rId15" Type="http://schemas.openxmlformats.org/officeDocument/2006/relationships/hyperlink" Target="https://cdpdj.qc.ca/storage/app/media/publications/memoire_PL_86_gouvernance_com_scolaires.pdf" TargetMode="External"/><Relationship Id="rId23" Type="http://schemas.openxmlformats.org/officeDocument/2006/relationships/hyperlink" Target="https://www.cdpdj.qc.ca/fr/actualites/lettre-droit-au-logement" TargetMode="External"/><Relationship Id="rId28" Type="http://schemas.openxmlformats.org/officeDocument/2006/relationships/hyperlink" Target="http://www.cdpdj.qc.ca/Publications/Profilage_rapport_FR.pdf" TargetMode="External"/><Relationship Id="rId36" Type="http://schemas.openxmlformats.org/officeDocument/2006/relationships/hyperlink" Target="http://www.cdpdj.qc.ca/Publications/Rapport_suivi_Nunavik_2010.pdf" TargetMode="External"/><Relationship Id="rId10" Type="http://schemas.openxmlformats.org/officeDocument/2006/relationships/hyperlink" Target="https://www.cdpdj.qc.ca/storage/app/media/publications/memoire_commission-laurent.pdf" TargetMode="External"/><Relationship Id="rId19" Type="http://schemas.openxmlformats.org/officeDocument/2006/relationships/hyperlink" Target="https://www.cdpdj.qc.ca/storage/app/media/publications/bilan-profilage-racial.pdf" TargetMode="External"/><Relationship Id="rId31" Type="http://schemas.openxmlformats.org/officeDocument/2006/relationships/hyperlink" Target="http://edjep.ca/wpcontent/uploads/2019/11/Consultez-le-rapport-en-cliquant-ici.pdf" TargetMode="External"/><Relationship Id="rId4" Type="http://schemas.openxmlformats.org/officeDocument/2006/relationships/hyperlink" Target="https://www.refworld.org/docid/46ceaef92.html" TargetMode="External"/><Relationship Id="rId9" Type="http://schemas.openxmlformats.org/officeDocument/2006/relationships/hyperlink" Target="http://www.cdpdj.qc.ca/Publications/memoire_pl186.pdf" TargetMode="External"/><Relationship Id="rId14" Type="http://schemas.openxmlformats.org/officeDocument/2006/relationships/hyperlink" Target="https://www.cdpdj.qc.ca/storage/app/media/publications/memoire_reussite_educative.pdf" TargetMode="External"/><Relationship Id="rId22" Type="http://schemas.openxmlformats.org/officeDocument/2006/relationships/hyperlink" Target="https://www.cmhc-schl.gc.ca/fr/strategie-nationale-sur-le-logement/questce-que-la-strategie/strategie-nationale-sur-le-logement--glossaire-des-termes-courants" TargetMode="External"/><Relationship Id="rId27" Type="http://schemas.openxmlformats.org/officeDocument/2006/relationships/hyperlink" Target="https://www.crdp.umontreal.ca/files/sites/101/2016/01/Rapport_Final_Diversite_Droits_Commission_2016.pdf" TargetMode="External"/><Relationship Id="rId30" Type="http://schemas.openxmlformats.org/officeDocument/2006/relationships/hyperlink" Target="https://www.cerp.gouv.qc.ca/fileadmin/Fichiers_clients/Rapport/Rapport_final.pdf" TargetMode="External"/><Relationship Id="rId35" Type="http://schemas.openxmlformats.org/officeDocument/2006/relationships/hyperlink" Target="http://www.cdpdj.qc.ca/fr/medias/Pages/Communique.aspx?showitem=8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Ch\AppData\Roaming\Microsoft\Templates\Avis_memoire_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Document xmlns="3cc706f8-daeb-4c57-a93c-fdf45da762a7" xsi:nil="true"/>
    <m676632b177a439a97fe6d7269451e6d xmlns="3cc706f8-daeb-4c57-a93c-fdf45da762a7">
      <Terms xmlns="http://schemas.microsoft.com/office/infopath/2007/PartnerControls">
        <TermInfo xmlns="http://schemas.microsoft.com/office/infopath/2007/PartnerControls">
          <TermName xmlns="http://schemas.microsoft.com/office/infopath/2007/PartnerControls">Commentaire</TermName>
          <TermId xmlns="http://schemas.microsoft.com/office/infopath/2007/PartnerControls">5ef13400-a384-4285-943c-be535851bf0b</TermId>
        </TermInfo>
      </Term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07000 Recherche</TermName>
          <TermId xmlns="http://schemas.microsoft.com/office/infopath/2007/PartnerControls">2618f2aa-03a9-481d-9d8a-5768ec9a8c2a</TermId>
        </TermInfo>
      </Terms>
    </if89c33f4f2c46ec9c8e5a9ac9138037>
    <TaxCatchAll xmlns="3cc706f8-daeb-4c57-a93c-fdf45da762a7">
      <Value>129</Value>
    </TaxCatchAll>
  </documentManagement>
</p:properties>
</file>

<file path=customXml/item2.xml><?xml version="1.0" encoding="utf-8"?>
<?mso-contentType ?>
<SharedContentType xmlns="Microsoft.SharePoint.Taxonomy.ContentTypeSync" SourceId="3b66c5a5-9349-45f3-a35d-93d4de43bb68" ContentTypeId="0x0101005B31C1E327F24A4395DD83803DF5CBEC27" PreviousValue="false"/>
</file>

<file path=customXml/item3.xml><?xml version="1.0" encoding="utf-8"?>
<ct:contentTypeSchema xmlns:ct="http://schemas.microsoft.com/office/2006/metadata/contentType" xmlns:ma="http://schemas.microsoft.com/office/2006/metadata/properties/metaAttributes" ct:_="" ma:_="" ma:contentTypeName="Document Formulaires et modèle" ma:contentTypeID="0x0101005B31C1E327F24A4395DD83803DF5CBEC2700DA2A9E84EED6C947A14C66290AC44F8A" ma:contentTypeVersion="27" ma:contentTypeDescription="" ma:contentTypeScope="" ma:versionID="a7253eea013d944a064b2d2d8d1f2446">
  <xsd:schema xmlns:xsd="http://www.w3.org/2001/XMLSchema" xmlns:xs="http://www.w3.org/2001/XMLSchema" xmlns:p="http://schemas.microsoft.com/office/2006/metadata/properties" xmlns:ns2="3cc706f8-daeb-4c57-a93c-fdf45da762a7" targetNamespace="http://schemas.microsoft.com/office/2006/metadata/properties" ma:root="true" ma:fieldsID="adf06c4d2497b9c365bc97c39f4b415a"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DateDocument"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9b80b7-7485-4f98-abd9-77aff0a002a8}"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9b80b7-7485-4f98-abd9-77aff0a002a8}"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DateDocument" ma:index="12" nillable="true" ma:displayName="Date du document" ma:format="DateOnly" ma:internalName="DateDocument">
      <xsd:simpleType>
        <xsd:restriction base="dms:DateTime"/>
      </xsd:simpleType>
    </xsd:element>
    <xsd:element name="if89c33f4f2c46ec9c8e5a9ac9138037" ma:index="13" nillable="true" ma:taxonomy="true" ma:internalName="if89c33f4f2c46ec9c8e5a9ac9138037" ma:taxonomyFieldName="HUBClassification" ma:displayName="Plan de classification" ma:default=""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F5C2E-79CB-445A-BC29-CF3F8BF4E118}">
  <ds:schemaRefs>
    <ds:schemaRef ds:uri="http://schemas.openxmlformats.org/package/2006/metadata/core-properties"/>
    <ds:schemaRef ds:uri="http://purl.org/dc/dcmitype/"/>
    <ds:schemaRef ds:uri="http://schemas.microsoft.com/office/infopath/2007/PartnerControls"/>
    <ds:schemaRef ds:uri="3cc706f8-daeb-4c57-a93c-fdf45da762a7"/>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5241F2-B799-4A36-9C03-5D52F740D483}">
  <ds:schemaRefs>
    <ds:schemaRef ds:uri="Microsoft.SharePoint.Taxonomy.ContentTypeSync"/>
  </ds:schemaRefs>
</ds:datastoreItem>
</file>

<file path=customXml/itemProps3.xml><?xml version="1.0" encoding="utf-8"?>
<ds:datastoreItem xmlns:ds="http://schemas.openxmlformats.org/officeDocument/2006/customXml" ds:itemID="{C1D772D1-DC2B-4444-826F-042EBB7A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254C5-AF4E-4B39-8EAC-8DFE54F5A2B8}">
  <ds:schemaRefs>
    <ds:schemaRef ds:uri="http://schemas.openxmlformats.org/officeDocument/2006/bibliography"/>
  </ds:schemaRefs>
</ds:datastoreItem>
</file>

<file path=customXml/itemProps5.xml><?xml version="1.0" encoding="utf-8"?>
<ds:datastoreItem xmlns:ds="http://schemas.openxmlformats.org/officeDocument/2006/customXml" ds:itemID="{77A4FA4D-E177-40DA-8A79-7AA8C3BC6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Avis_memoire_etude</Template>
  <TotalTime>2</TotalTime>
  <Pages>32</Pages>
  <Words>8388</Words>
  <Characters>46134</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Commentaires dans le cadre de la Consultation publique pour l’élaboration du quatrième plan d’action gouvernemental en matière de lutte contre la pauvreté et l’exclusion sociale</vt:lpstr>
    </vt:vector>
  </TitlesOfParts>
  <Company>CDPDJ</Company>
  <LinksUpToDate>false</LinksUpToDate>
  <CharactersWithSpaces>54414</CharactersWithSpaces>
  <SharedDoc>false</SharedDoc>
  <HLinks>
    <vt:vector size="36" baseType="variant">
      <vt:variant>
        <vt:i4>1048627</vt:i4>
      </vt:variant>
      <vt:variant>
        <vt:i4>32</vt:i4>
      </vt:variant>
      <vt:variant>
        <vt:i4>0</vt:i4>
      </vt:variant>
      <vt:variant>
        <vt:i4>5</vt:i4>
      </vt:variant>
      <vt:variant>
        <vt:lpwstr/>
      </vt:variant>
      <vt:variant>
        <vt:lpwstr>_Toc98163980</vt:lpwstr>
      </vt:variant>
      <vt:variant>
        <vt:i4>1638460</vt:i4>
      </vt:variant>
      <vt:variant>
        <vt:i4>26</vt:i4>
      </vt:variant>
      <vt:variant>
        <vt:i4>0</vt:i4>
      </vt:variant>
      <vt:variant>
        <vt:i4>5</vt:i4>
      </vt:variant>
      <vt:variant>
        <vt:lpwstr/>
      </vt:variant>
      <vt:variant>
        <vt:lpwstr>_Toc98163979</vt:lpwstr>
      </vt:variant>
      <vt:variant>
        <vt:i4>1572924</vt:i4>
      </vt:variant>
      <vt:variant>
        <vt:i4>20</vt:i4>
      </vt:variant>
      <vt:variant>
        <vt:i4>0</vt:i4>
      </vt:variant>
      <vt:variant>
        <vt:i4>5</vt:i4>
      </vt:variant>
      <vt:variant>
        <vt:lpwstr/>
      </vt:variant>
      <vt:variant>
        <vt:lpwstr>_Toc98163978</vt:lpwstr>
      </vt:variant>
      <vt:variant>
        <vt:i4>1507388</vt:i4>
      </vt:variant>
      <vt:variant>
        <vt:i4>14</vt:i4>
      </vt:variant>
      <vt:variant>
        <vt:i4>0</vt:i4>
      </vt:variant>
      <vt:variant>
        <vt:i4>5</vt:i4>
      </vt:variant>
      <vt:variant>
        <vt:lpwstr/>
      </vt:variant>
      <vt:variant>
        <vt:lpwstr>_Toc98163977</vt:lpwstr>
      </vt:variant>
      <vt:variant>
        <vt:i4>1441852</vt:i4>
      </vt:variant>
      <vt:variant>
        <vt:i4>8</vt:i4>
      </vt:variant>
      <vt:variant>
        <vt:i4>0</vt:i4>
      </vt:variant>
      <vt:variant>
        <vt:i4>5</vt:i4>
      </vt:variant>
      <vt:variant>
        <vt:lpwstr/>
      </vt:variant>
      <vt:variant>
        <vt:lpwstr>_Toc98163976</vt:lpwstr>
      </vt:variant>
      <vt:variant>
        <vt:i4>1376316</vt:i4>
      </vt:variant>
      <vt:variant>
        <vt:i4>2</vt:i4>
      </vt:variant>
      <vt:variant>
        <vt:i4>0</vt:i4>
      </vt:variant>
      <vt:variant>
        <vt:i4>5</vt:i4>
      </vt:variant>
      <vt:variant>
        <vt:lpwstr/>
      </vt:variant>
      <vt:variant>
        <vt:lpwstr>_Toc98163975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dans le cadre de la Consultation publique pour l’élaboration du quatrième plan d’action gouvernemental en matière de lutte contre la pauvreté et l’exclusion sociale</dc:title>
  <dc:subject>La Commission a produit ces commentaires dans le cadre de la consultation publique pour l’élaboration du quatrième plan d’action gouvernemental en matière de lutte contre la pauvreté et l’exclusion sociale. Elle rappelle que la pauvreté constitue une entrave à l’exercice de tous les droits de la personne protégés par la Charte, voire un déni de ceux-ci. Soulignant que l’approche retenue pour lutter contre la pauvreté et l’exclusion sociale doit être fondée sur la reconnaissance et le respect de l’ensemble de ces droits, la Commission y réitère plusieurs recommandations portant sur les différents thèmes de la consultation.</dc:subject>
  <dc:creator>Commission des des droits de la personne et des droits de la jeunesse</dc:creator>
  <cp:keywords>Art 39 Protection de l’enfant ; Art 40 Instruction publique gratuite ; Art 45 Mesures financières et sociales, Art. 45 Logement ; Art 48 Santé ; Condition sociale, Administration publique, Itinérance, Pauvreté, Prestation d’aide sociale, Revenus</cp:keywords>
  <cp:lastModifiedBy>Sophie Ambrosi</cp:lastModifiedBy>
  <cp:revision>3</cp:revision>
  <cp:lastPrinted>2023-07-13T20:41:00Z</cp:lastPrinted>
  <dcterms:created xsi:type="dcterms:W3CDTF">2023-08-14T15:49:00Z</dcterms:created>
  <dcterms:modified xsi:type="dcterms:W3CDTF">2023-08-14T15:50:00Z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0x0101005B31C1E327F24A4395DD83803DF5CBEC2700DA2A9E84EED6C947A14C66290AC44F8A</vt:lpwstr>
  </property>
  <property fmtid="{D5CDD505-2E9C-101B-9397-08002B2CF9AE}" pid="3" name="HUBClassification">
    <vt:lpwstr>129;#U04 Formulaire et modèle|27cfb357-5dc8-430f-84d3-0884bd18bef4</vt:lpwstr>
  </property>
  <property fmtid="{D5CDD505-2E9C-101B-9397-08002B2CF9AE}" pid="4" name="TypeDocument">
    <vt:lpwstr/>
  </property>
</Properties>
</file>