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EDD2" w14:textId="66F92366" w:rsidR="00513322" w:rsidRPr="003814DF" w:rsidRDefault="00513322" w:rsidP="00513322">
      <w:pPr>
        <w:spacing w:before="240" w:after="30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individuelle en droits de la jeunesse – </w:t>
      </w:r>
      <w:r w:rsidR="00B02D6D">
        <w:rPr>
          <w:rStyle w:val="TitreCar"/>
        </w:rPr>
        <w:t>Laval</w:t>
      </w:r>
    </w:p>
    <w:bookmarkEnd w:id="0"/>
    <w:p w14:paraId="25CDC81D" w14:textId="0D01E2E2" w:rsidR="00B02D6D" w:rsidRDefault="00D118CF" w:rsidP="003814DF">
      <w:pPr>
        <w:pStyle w:val="Titre2"/>
        <w:rPr>
          <w:rFonts w:cs="Arial"/>
          <w:b w:val="0"/>
          <w:color w:val="000000"/>
          <w:sz w:val="22"/>
          <w:szCs w:val="22"/>
          <w:lang w:eastAsia="en-US"/>
        </w:rPr>
      </w:pPr>
      <w:r>
        <w:rPr>
          <w:rFonts w:cs="Arial"/>
          <w:b w:val="0"/>
          <w:bCs w:val="0"/>
          <w:color w:val="000000" w:themeColor="text1"/>
          <w:sz w:val="22"/>
          <w:szCs w:val="22"/>
          <w:lang w:eastAsia="en-US"/>
        </w:rPr>
        <w:t>Comité</w:t>
      </w:r>
      <w:r w:rsidR="004071D4">
        <w:rPr>
          <w:rFonts w:cs="Arial"/>
          <w:b w:val="0"/>
          <w:bCs w:val="0"/>
          <w:color w:val="000000" w:themeColor="text1"/>
          <w:sz w:val="22"/>
          <w:szCs w:val="22"/>
          <w:lang w:eastAsia="en-US"/>
        </w:rPr>
        <w:t xml:space="preserve"> des enquêtes</w:t>
      </w:r>
      <w:r>
        <w:rPr>
          <w:rFonts w:cs="Arial"/>
          <w:b w:val="0"/>
          <w:bCs w:val="0"/>
          <w:color w:val="000000" w:themeColor="text1"/>
          <w:sz w:val="22"/>
          <w:szCs w:val="22"/>
          <w:lang w:eastAsia="en-US"/>
        </w:rPr>
        <w:t>, séance du</w:t>
      </w:r>
      <w:r w:rsidR="00E9184E">
        <w:rPr>
          <w:rFonts w:cs="Arial"/>
          <w:b w:val="0"/>
          <w:bCs w:val="0"/>
          <w:color w:val="000000" w:themeColor="text1"/>
          <w:sz w:val="22"/>
          <w:szCs w:val="22"/>
          <w:lang w:eastAsia="en-US"/>
        </w:rPr>
        <w:t xml:space="preserve"> </w:t>
      </w:r>
      <w:r w:rsidR="00B02D6D" w:rsidRPr="2BA290BC">
        <w:rPr>
          <w:rFonts w:cs="Arial"/>
          <w:b w:val="0"/>
          <w:color w:val="000000" w:themeColor="text1"/>
          <w:sz w:val="22"/>
          <w:szCs w:val="22"/>
          <w:lang w:eastAsia="en-US"/>
        </w:rPr>
        <w:t>24</w:t>
      </w:r>
      <w:r w:rsidR="00E12E79">
        <w:rPr>
          <w:rFonts w:cs="Arial"/>
          <w:b w:val="0"/>
          <w:color w:val="000000" w:themeColor="text1"/>
          <w:sz w:val="22"/>
          <w:szCs w:val="22"/>
          <w:lang w:eastAsia="en-US"/>
        </w:rPr>
        <w:t> </w:t>
      </w:r>
      <w:r w:rsidR="00B02D6D" w:rsidRPr="2BA290BC">
        <w:rPr>
          <w:rFonts w:cs="Arial"/>
          <w:b w:val="0"/>
          <w:color w:val="000000" w:themeColor="text1"/>
          <w:sz w:val="22"/>
          <w:szCs w:val="22"/>
          <w:lang w:eastAsia="en-US"/>
        </w:rPr>
        <w:t xml:space="preserve">octobre 2024 </w:t>
      </w:r>
    </w:p>
    <w:p w14:paraId="69057D3E" w14:textId="736C88EC" w:rsidR="00513322" w:rsidRPr="003814DF" w:rsidRDefault="00513322" w:rsidP="003814DF">
      <w:pPr>
        <w:pStyle w:val="Titre2"/>
      </w:pPr>
      <w:r w:rsidRPr="003814DF">
        <w:t>Résumé de l’enquête</w:t>
      </w:r>
    </w:p>
    <w:p w14:paraId="4105FD27" w14:textId="1EBCA95C" w:rsidR="00B02D6D" w:rsidRPr="001F4082" w:rsidRDefault="00B02D6D" w:rsidP="00B02D6D">
      <w:pPr>
        <w:pStyle w:val="Paragraphedeliste"/>
        <w:widowControl w:val="0"/>
        <w:numPr>
          <w:ilvl w:val="0"/>
          <w:numId w:val="3"/>
        </w:numPr>
        <w:suppressAutoHyphens w:val="0"/>
        <w:adjustRightInd/>
        <w:spacing w:after="0" w:line="240" w:lineRule="auto"/>
        <w:textAlignment w:val="auto"/>
        <w:rPr>
          <w:rFonts w:eastAsia="Aptos" w:cs="Aptos"/>
          <w:color w:val="auto"/>
          <w:lang w:eastAsia="fr-CA"/>
          <w14:ligatures w14:val="none"/>
        </w:rPr>
      </w:pPr>
      <w:r w:rsidRPr="3AF28AD6">
        <w:rPr>
          <w:rFonts w:eastAsia="Aptos" w:cs="Aptos"/>
          <w:color w:val="auto"/>
          <w:lang w:eastAsia="fr-CA"/>
          <w14:ligatures w14:val="none"/>
        </w:rPr>
        <w:t>Le 19</w:t>
      </w:r>
      <w:r w:rsidR="00E12E79">
        <w:rPr>
          <w:rFonts w:eastAsia="Aptos" w:cs="Aptos"/>
          <w:color w:val="auto"/>
          <w:lang w:eastAsia="fr-CA"/>
          <w14:ligatures w14:val="none"/>
        </w:rPr>
        <w:t> </w:t>
      </w:r>
      <w:r w:rsidRPr="3AF28AD6">
        <w:rPr>
          <w:rFonts w:eastAsia="Aptos" w:cs="Aptos"/>
          <w:color w:val="auto"/>
          <w:lang w:eastAsia="fr-CA"/>
          <w14:ligatures w14:val="none"/>
        </w:rPr>
        <w:t xml:space="preserve">octobre 2023, la Commission </w:t>
      </w:r>
      <w:r w:rsidR="4C0A1FA2" w:rsidRPr="3AF28AD6">
        <w:rPr>
          <w:rFonts w:eastAsia="Aptos" w:cs="Aptos"/>
          <w:color w:val="auto"/>
          <w:lang w:eastAsia="fr-CA"/>
          <w14:ligatures w14:val="none"/>
        </w:rPr>
        <w:t xml:space="preserve">a </w:t>
      </w:r>
      <w:r w:rsidR="566288D9" w:rsidRPr="3AF28AD6">
        <w:rPr>
          <w:rFonts w:eastAsia="Aptos" w:cs="Aptos"/>
          <w:color w:val="auto"/>
          <w:lang w:eastAsia="fr-CA"/>
          <w14:ligatures w14:val="none"/>
        </w:rPr>
        <w:t xml:space="preserve">ouvert </w:t>
      </w:r>
      <w:r w:rsidRPr="3AF28AD6">
        <w:rPr>
          <w:rFonts w:eastAsia="Aptos" w:cs="Aptos"/>
          <w:color w:val="auto"/>
          <w:lang w:eastAsia="fr-CA"/>
          <w14:ligatures w14:val="none"/>
        </w:rPr>
        <w:t xml:space="preserve">une enquête de sa propre initiative concernant l’intervention du DPJ du CISSS de Laval à la suite de deux signalements pour abus sexuel en avril et en juillet 2021. Un avis d’enquête </w:t>
      </w:r>
      <w:r w:rsidR="6A8A8FB5" w:rsidRPr="3AF28AD6">
        <w:rPr>
          <w:rFonts w:eastAsia="Aptos" w:cs="Aptos"/>
          <w:color w:val="auto"/>
          <w:lang w:eastAsia="fr-CA"/>
          <w14:ligatures w14:val="none"/>
        </w:rPr>
        <w:t>a alors été</w:t>
      </w:r>
      <w:r w:rsidRPr="3AF28AD6">
        <w:rPr>
          <w:rFonts w:eastAsia="Aptos" w:cs="Aptos"/>
          <w:color w:val="auto"/>
          <w:lang w:eastAsia="fr-CA"/>
          <w14:ligatures w14:val="none"/>
        </w:rPr>
        <w:t xml:space="preserve"> transmis </w:t>
      </w:r>
      <w:r w:rsidR="00186EFD" w:rsidRPr="3AF28AD6">
        <w:rPr>
          <w:rFonts w:eastAsia="Aptos" w:cs="Aptos"/>
          <w:color w:val="auto"/>
          <w:lang w:eastAsia="fr-CA"/>
          <w14:ligatures w14:val="none"/>
        </w:rPr>
        <w:t>au</w:t>
      </w:r>
      <w:r w:rsidRPr="3AF28AD6">
        <w:rPr>
          <w:rFonts w:eastAsia="Aptos" w:cs="Aptos"/>
          <w:color w:val="auto"/>
          <w:lang w:eastAsia="fr-CA"/>
          <w14:ligatures w14:val="none"/>
        </w:rPr>
        <w:t xml:space="preserve"> Directeur de la protection de la jeunesse (« DPJ ») du CISSS de Laval.</w:t>
      </w:r>
    </w:p>
    <w:p w14:paraId="56E214AF" w14:textId="66DC468A" w:rsidR="00BC61FE" w:rsidRPr="00BC61FE" w:rsidRDefault="00B02D6D" w:rsidP="00BC61FE">
      <w:pPr>
        <w:pStyle w:val="Paragraphedeliste"/>
        <w:widowControl w:val="0"/>
        <w:numPr>
          <w:ilvl w:val="0"/>
          <w:numId w:val="3"/>
        </w:numPr>
        <w:suppressAutoHyphens w:val="0"/>
        <w:adjustRightInd/>
        <w:spacing w:after="0" w:line="240" w:lineRule="auto"/>
        <w:textAlignment w:val="auto"/>
        <w:rPr>
          <w:rFonts w:eastAsia="Aptos" w:cs="Aptos"/>
          <w:color w:val="auto"/>
          <w:lang w:eastAsia="fr-CA"/>
          <w14:ligatures w14:val="none"/>
        </w:rPr>
      </w:pPr>
      <w:r w:rsidRPr="00BC61FE">
        <w:rPr>
          <w:rFonts w:eastAsia="Aptos" w:cs="Aptos"/>
          <w:color w:val="auto"/>
          <w:lang w:eastAsia="fr-CA"/>
          <w14:ligatures w14:val="none"/>
        </w:rPr>
        <w:t>Le 29</w:t>
      </w:r>
      <w:r w:rsidR="00E12E79">
        <w:rPr>
          <w:rFonts w:eastAsia="Aptos" w:cs="Aptos"/>
          <w:color w:val="auto"/>
          <w:lang w:eastAsia="fr-CA"/>
          <w14:ligatures w14:val="none"/>
        </w:rPr>
        <w:t> </w:t>
      </w:r>
      <w:r w:rsidRPr="00BC61FE">
        <w:rPr>
          <w:rFonts w:eastAsia="Aptos" w:cs="Aptos"/>
          <w:color w:val="auto"/>
          <w:lang w:eastAsia="fr-CA"/>
          <w14:ligatures w14:val="none"/>
        </w:rPr>
        <w:t xml:space="preserve">janvier 2024, la Commission </w:t>
      </w:r>
      <w:r w:rsidR="55446792" w:rsidRPr="00BC61FE">
        <w:rPr>
          <w:rFonts w:eastAsia="Aptos" w:cs="Aptos"/>
          <w:color w:val="auto"/>
          <w:lang w:eastAsia="fr-CA"/>
          <w14:ligatures w14:val="none"/>
        </w:rPr>
        <w:t>a transmis</w:t>
      </w:r>
      <w:r w:rsidRPr="00BC61FE">
        <w:rPr>
          <w:rFonts w:eastAsia="Aptos" w:cs="Aptos"/>
          <w:color w:val="auto"/>
          <w:lang w:eastAsia="fr-CA"/>
          <w14:ligatures w14:val="none"/>
        </w:rPr>
        <w:t xml:space="preserve"> l’exposé factuel </w:t>
      </w:r>
      <w:r w:rsidR="00186EFD" w:rsidRPr="00BC61FE">
        <w:rPr>
          <w:rFonts w:eastAsia="Aptos" w:cs="Aptos"/>
          <w:color w:val="auto"/>
          <w:lang w:eastAsia="fr-CA"/>
          <w14:ligatures w14:val="none"/>
        </w:rPr>
        <w:t>aux parties afin</w:t>
      </w:r>
      <w:r w:rsidRPr="00BC61FE">
        <w:rPr>
          <w:rFonts w:eastAsia="Aptos" w:cs="Aptos"/>
          <w:color w:val="auto"/>
          <w:lang w:eastAsia="fr-CA"/>
          <w14:ligatures w14:val="none"/>
        </w:rPr>
        <w:t xml:space="preserve"> d’obtenir leurs</w:t>
      </w:r>
      <w:r w:rsidR="00426792" w:rsidRPr="00BC61FE">
        <w:rPr>
          <w:rFonts w:eastAsia="Aptos" w:cs="Aptos"/>
          <w:color w:val="auto"/>
          <w:lang w:eastAsia="fr-CA"/>
          <w14:ligatures w14:val="none"/>
        </w:rPr>
        <w:t xml:space="preserve"> derniers</w:t>
      </w:r>
      <w:r w:rsidRPr="00BC61FE">
        <w:rPr>
          <w:rFonts w:eastAsia="Aptos" w:cs="Aptos"/>
          <w:color w:val="auto"/>
          <w:lang w:eastAsia="fr-CA"/>
          <w14:ligatures w14:val="none"/>
        </w:rPr>
        <w:t xml:space="preserve"> commentaires.</w:t>
      </w:r>
    </w:p>
    <w:p w14:paraId="19099057" w14:textId="10E516C6" w:rsidR="00EC67C7" w:rsidRPr="00BC61FE" w:rsidRDefault="00BC61FE" w:rsidP="00BC61FE">
      <w:pPr>
        <w:pStyle w:val="Paragraphedeliste"/>
        <w:widowControl w:val="0"/>
        <w:numPr>
          <w:ilvl w:val="0"/>
          <w:numId w:val="3"/>
        </w:numPr>
        <w:suppressAutoHyphens w:val="0"/>
        <w:adjustRightInd/>
        <w:spacing w:after="0" w:line="240" w:lineRule="auto"/>
        <w:textAlignment w:val="auto"/>
        <w:rPr>
          <w:rFonts w:eastAsia="Aptos" w:cs="Aptos"/>
          <w:color w:val="auto"/>
          <w:lang w:eastAsia="fr-CA"/>
          <w14:ligatures w14:val="none"/>
        </w:rPr>
      </w:pPr>
      <w:r w:rsidRPr="424DFFD1">
        <w:rPr>
          <w:rFonts w:eastAsia="Aptos" w:cs="Aptos"/>
          <w:color w:val="auto"/>
          <w:lang w:eastAsia="fr-CA"/>
          <w14:ligatures w14:val="none"/>
        </w:rPr>
        <w:t xml:space="preserve">Le </w:t>
      </w:r>
      <w:r w:rsidR="00065DED" w:rsidRPr="00BC61FE">
        <w:rPr>
          <w:rFonts w:eastAsia="Aptos" w:cs="Aptos"/>
          <w:color w:val="auto"/>
          <w:lang w:eastAsia="fr-CA"/>
          <w14:ligatures w14:val="none"/>
        </w:rPr>
        <w:t>11</w:t>
      </w:r>
      <w:r w:rsidR="00E12E79">
        <w:rPr>
          <w:rFonts w:eastAsia="Aptos" w:cs="Aptos"/>
          <w:color w:val="auto"/>
          <w:lang w:eastAsia="fr-CA"/>
          <w14:ligatures w14:val="none"/>
        </w:rPr>
        <w:t> </w:t>
      </w:r>
      <w:r w:rsidR="00065DED" w:rsidRPr="00BC61FE">
        <w:rPr>
          <w:rFonts w:eastAsia="Aptos" w:cs="Aptos"/>
          <w:color w:val="auto"/>
          <w:lang w:eastAsia="fr-CA"/>
          <w14:ligatures w14:val="none"/>
        </w:rPr>
        <w:t>avril 2024</w:t>
      </w:r>
      <w:r w:rsidR="4F88B695" w:rsidRPr="00BC61FE">
        <w:rPr>
          <w:rFonts w:eastAsia="Aptos" w:cs="Aptos"/>
          <w:color w:val="auto"/>
          <w:lang w:eastAsia="fr-CA"/>
          <w14:ligatures w14:val="none"/>
        </w:rPr>
        <w:t>,</w:t>
      </w:r>
      <w:r w:rsidR="4749DB62" w:rsidRPr="00BC61FE">
        <w:rPr>
          <w:rFonts w:eastAsia="Aptos" w:cs="Aptos"/>
          <w:color w:val="auto"/>
          <w:lang w:eastAsia="fr-CA"/>
          <w14:ligatures w14:val="none"/>
        </w:rPr>
        <w:t xml:space="preserve"> </w:t>
      </w:r>
      <w:r w:rsidR="65AD4C12" w:rsidRPr="00BC61FE">
        <w:rPr>
          <w:rFonts w:eastAsia="Aptos" w:cs="Aptos"/>
          <w:color w:val="auto"/>
          <w:lang w:eastAsia="fr-CA"/>
          <w14:ligatures w14:val="none"/>
        </w:rPr>
        <w:t>l</w:t>
      </w:r>
      <w:r w:rsidR="00065DED" w:rsidRPr="00BC61FE">
        <w:rPr>
          <w:rFonts w:eastAsia="Aptos" w:cs="Aptos"/>
          <w:color w:val="auto"/>
          <w:lang w:eastAsia="fr-CA"/>
          <w14:ligatures w14:val="none"/>
        </w:rPr>
        <w:t xml:space="preserve">’avis de </w:t>
      </w:r>
      <w:r w:rsidR="002E5E83" w:rsidRPr="00BC61FE">
        <w:rPr>
          <w:rFonts w:eastAsia="Aptos" w:cs="Aptos"/>
          <w:color w:val="auto"/>
          <w:lang w:eastAsia="fr-CA"/>
          <w14:ligatures w14:val="none"/>
        </w:rPr>
        <w:t>fin d’enquête</w:t>
      </w:r>
      <w:r w:rsidR="68271129" w:rsidRPr="00BC61FE">
        <w:rPr>
          <w:rFonts w:eastAsia="Aptos" w:cs="Aptos"/>
          <w:color w:val="auto"/>
          <w:lang w:eastAsia="fr-CA"/>
          <w14:ligatures w14:val="none"/>
        </w:rPr>
        <w:t xml:space="preserve"> a été envoyé</w:t>
      </w:r>
      <w:r>
        <w:rPr>
          <w:rFonts w:eastAsia="Aptos" w:cs="Aptos"/>
          <w:color w:val="auto"/>
          <w:lang w:eastAsia="fr-CA"/>
          <w14:ligatures w14:val="none"/>
        </w:rPr>
        <w:t xml:space="preserve"> aux parties</w:t>
      </w:r>
    </w:p>
    <w:p w14:paraId="75E31FDD" w14:textId="77777777" w:rsidR="00513322" w:rsidRPr="003814DF" w:rsidRDefault="00513322" w:rsidP="003814DF">
      <w:pPr>
        <w:pStyle w:val="Titre2"/>
      </w:pPr>
      <w:r w:rsidRPr="003814DF">
        <w:t xml:space="preserve">Conclusions </w:t>
      </w:r>
    </w:p>
    <w:p w14:paraId="0E199B83" w14:textId="7942B408" w:rsidR="00B02D6D" w:rsidRDefault="00513322" w:rsidP="00B02D6D">
      <w:pPr>
        <w:spacing w:before="180" w:after="90" w:line="260" w:lineRule="atLeast"/>
        <w:outlineLvl w:val="2"/>
        <w:rPr>
          <w:rFonts w:eastAsia="Calibri" w:cs="Aptos"/>
          <w:b/>
          <w:bCs/>
          <w:caps/>
          <w:szCs w:val="22"/>
        </w:rPr>
      </w:pPr>
      <w:r w:rsidRPr="003814DF">
        <w:rPr>
          <w:rFonts w:eastAsia="Calibri" w:cs="Aptos"/>
          <w:b/>
          <w:bCs/>
          <w:caps/>
          <w:szCs w:val="22"/>
        </w:rPr>
        <w:t>CONSID</w:t>
      </w:r>
      <w:r w:rsidR="00C33EBB">
        <w:rPr>
          <w:rFonts w:eastAsia="Calibri" w:cs="Aptos"/>
          <w:b/>
          <w:bCs/>
          <w:caps/>
          <w:szCs w:val="22"/>
        </w:rPr>
        <w:t>É</w:t>
      </w:r>
      <w:r w:rsidRPr="003814DF">
        <w:rPr>
          <w:rFonts w:eastAsia="Calibri" w:cs="Aptos"/>
          <w:b/>
          <w:bCs/>
          <w:caps/>
          <w:szCs w:val="22"/>
        </w:rPr>
        <w:t xml:space="preserve">RANT </w:t>
      </w:r>
    </w:p>
    <w:p w14:paraId="551CFB46" w14:textId="3DBEE275" w:rsidR="00B02D6D" w:rsidRPr="00B02D6D" w:rsidRDefault="005F21D2" w:rsidP="00B02D6D">
      <w:pPr>
        <w:pStyle w:val="Paragraphedeliste"/>
        <w:numPr>
          <w:ilvl w:val="0"/>
          <w:numId w:val="4"/>
        </w:numPr>
        <w:spacing w:before="180" w:after="90" w:line="260" w:lineRule="atLeast"/>
        <w:outlineLvl w:val="2"/>
        <w:rPr>
          <w:rFonts w:eastAsia="Calibri" w:cs="Aptos"/>
          <w:b/>
          <w:bCs/>
          <w:caps/>
          <w:szCs w:val="22"/>
        </w:rPr>
      </w:pPr>
      <w:r w:rsidRPr="002E0546">
        <w:rPr>
          <w:lang w:eastAsia="fr-CA"/>
        </w:rPr>
        <w:t>L’analyse</w:t>
      </w:r>
      <w:r w:rsidR="00B02D6D">
        <w:rPr>
          <w:lang w:eastAsia="fr-CA"/>
        </w:rPr>
        <w:t xml:space="preserve"> incomplète et erronée de la situation d’abus sexuel en vertu des critères de l’article</w:t>
      </w:r>
      <w:r w:rsidR="00E12E79">
        <w:rPr>
          <w:lang w:eastAsia="fr-CA"/>
        </w:rPr>
        <w:t> </w:t>
      </w:r>
      <w:r w:rsidR="00B02D6D">
        <w:rPr>
          <w:lang w:eastAsia="fr-CA"/>
        </w:rPr>
        <w:t xml:space="preserve">38.2 de la </w:t>
      </w:r>
      <w:r w:rsidR="00B02D6D" w:rsidRPr="00B02D6D">
        <w:rPr>
          <w:i/>
          <w:iCs/>
          <w:lang w:eastAsia="fr-CA"/>
        </w:rPr>
        <w:t>Loi sur la protection de la jeunesse</w:t>
      </w:r>
      <w:r w:rsidR="00B02D6D">
        <w:rPr>
          <w:lang w:eastAsia="fr-CA"/>
        </w:rPr>
        <w:t>;</w:t>
      </w:r>
    </w:p>
    <w:p w14:paraId="4DE182F7" w14:textId="7BF91E31" w:rsidR="00B02D6D" w:rsidRDefault="005F21D2" w:rsidP="00B02D6D">
      <w:pPr>
        <w:pStyle w:val="Paragraphedeliste"/>
        <w:numPr>
          <w:ilvl w:val="0"/>
          <w:numId w:val="4"/>
        </w:numPr>
        <w:rPr>
          <w:lang w:eastAsia="fr-CA"/>
        </w:rPr>
      </w:pPr>
      <w:r>
        <w:rPr>
          <w:lang w:eastAsia="fr-CA"/>
        </w:rPr>
        <w:t>Le</w:t>
      </w:r>
      <w:r w:rsidR="00B02D6D">
        <w:rPr>
          <w:lang w:eastAsia="fr-CA"/>
        </w:rPr>
        <w:t xml:space="preserve"> non-respect des processus légaux en vertu de l’article</w:t>
      </w:r>
      <w:r w:rsidR="00E12E79">
        <w:rPr>
          <w:lang w:eastAsia="fr-CA"/>
        </w:rPr>
        <w:t> </w:t>
      </w:r>
      <w:r w:rsidR="00B02D6D">
        <w:rPr>
          <w:lang w:eastAsia="fr-CA"/>
        </w:rPr>
        <w:t xml:space="preserve">47.1 de la </w:t>
      </w:r>
      <w:r w:rsidR="00B02D6D" w:rsidRPr="00B02D6D">
        <w:rPr>
          <w:i/>
          <w:iCs/>
          <w:lang w:eastAsia="fr-CA"/>
        </w:rPr>
        <w:t>Loi sur la protection de la jeunesse</w:t>
      </w:r>
      <w:r w:rsidR="00B02D6D">
        <w:rPr>
          <w:lang w:eastAsia="fr-CA"/>
        </w:rPr>
        <w:t>;</w:t>
      </w:r>
    </w:p>
    <w:p w14:paraId="1C91D56D" w14:textId="42EF75E6" w:rsidR="00B02D6D" w:rsidRDefault="005F21D2" w:rsidP="00B02D6D">
      <w:pPr>
        <w:pStyle w:val="Paragraphedeliste"/>
        <w:numPr>
          <w:ilvl w:val="0"/>
          <w:numId w:val="4"/>
        </w:numPr>
        <w:rPr>
          <w:lang w:eastAsia="fr-CA"/>
        </w:rPr>
      </w:pPr>
      <w:r>
        <w:rPr>
          <w:lang w:eastAsia="fr-CA"/>
        </w:rPr>
        <w:t>Le</w:t>
      </w:r>
      <w:r w:rsidR="00B02D6D">
        <w:rPr>
          <w:lang w:eastAsia="fr-CA"/>
        </w:rPr>
        <w:t xml:space="preserve"> non-respect de l’obligation de communiquer régulièrement avec l’enfant et ainsi lui offrir un suivi social adéquat;</w:t>
      </w:r>
    </w:p>
    <w:p w14:paraId="5CBD51CE" w14:textId="7B179DBA" w:rsidR="00B02D6D" w:rsidRDefault="005F21D2" w:rsidP="00B02D6D">
      <w:pPr>
        <w:pStyle w:val="Paragraphedeliste"/>
        <w:numPr>
          <w:ilvl w:val="0"/>
          <w:numId w:val="4"/>
        </w:numPr>
        <w:rPr>
          <w:lang w:eastAsia="fr-CA"/>
        </w:rPr>
      </w:pPr>
      <w:r>
        <w:rPr>
          <w:lang w:eastAsia="fr-CA"/>
        </w:rPr>
        <w:t>Le</w:t>
      </w:r>
      <w:r w:rsidR="00B02D6D">
        <w:rPr>
          <w:lang w:eastAsia="fr-CA"/>
        </w:rPr>
        <w:t xml:space="preserve"> non-respect des critères d’urgence en matière de protection de la jeunesse;</w:t>
      </w:r>
    </w:p>
    <w:p w14:paraId="56F45F47" w14:textId="4732EC72" w:rsidR="00B02D6D" w:rsidRDefault="005F21D2" w:rsidP="00B02D6D">
      <w:pPr>
        <w:pStyle w:val="Paragraphedeliste"/>
        <w:numPr>
          <w:ilvl w:val="0"/>
          <w:numId w:val="4"/>
        </w:numPr>
        <w:rPr>
          <w:lang w:eastAsia="fr-CA"/>
        </w:rPr>
      </w:pPr>
      <w:r>
        <w:rPr>
          <w:lang w:eastAsia="fr-CA"/>
        </w:rPr>
        <w:t>L’absence</w:t>
      </w:r>
      <w:r w:rsidR="00B02D6D">
        <w:rPr>
          <w:lang w:eastAsia="fr-CA"/>
        </w:rPr>
        <w:t xml:space="preserve"> de diligence à plusieurs moments de l’intervention du DPJ du CISSS de Laval;</w:t>
      </w:r>
    </w:p>
    <w:p w14:paraId="15B64A6E" w14:textId="13890704" w:rsidR="00B02D6D" w:rsidRDefault="005F21D2" w:rsidP="00B02D6D">
      <w:pPr>
        <w:pStyle w:val="Paragraphedeliste"/>
        <w:numPr>
          <w:ilvl w:val="0"/>
          <w:numId w:val="4"/>
        </w:numPr>
        <w:rPr>
          <w:lang w:eastAsia="fr-CA"/>
        </w:rPr>
      </w:pPr>
      <w:r>
        <w:rPr>
          <w:lang w:eastAsia="fr-CA"/>
        </w:rPr>
        <w:t>L’omission</w:t>
      </w:r>
      <w:r w:rsidR="00B02D6D">
        <w:rPr>
          <w:lang w:eastAsia="fr-CA"/>
        </w:rPr>
        <w:t xml:space="preserve"> du DPJ du CISSS de Laval de prioriser l’intérêt de l’enfant et d’assurer sa protection du 9 avril 2021 au 5</w:t>
      </w:r>
      <w:r w:rsidR="00E12E79">
        <w:rPr>
          <w:lang w:eastAsia="fr-CA"/>
        </w:rPr>
        <w:t> </w:t>
      </w:r>
      <w:r w:rsidR="00B02D6D">
        <w:rPr>
          <w:lang w:eastAsia="fr-CA"/>
        </w:rPr>
        <w:t>juillet 2021</w:t>
      </w:r>
      <w:r w:rsidR="001F4082">
        <w:rPr>
          <w:lang w:eastAsia="fr-CA"/>
        </w:rPr>
        <w:t>.</w:t>
      </w:r>
    </w:p>
    <w:p w14:paraId="07CC9512" w14:textId="3FE1F420" w:rsidR="00B02D6D" w:rsidRPr="00B02D6D" w:rsidRDefault="00B02D6D" w:rsidP="00B02D6D">
      <w:pPr>
        <w:rPr>
          <w:rFonts w:eastAsia="Calibri" w:cs="Aptos"/>
          <w:b/>
          <w:bCs/>
          <w:caps/>
          <w:szCs w:val="22"/>
        </w:rPr>
      </w:pPr>
      <w:r w:rsidRPr="00B02D6D">
        <w:rPr>
          <w:rFonts w:eastAsia="Calibri" w:cs="Aptos"/>
          <w:b/>
          <w:bCs/>
          <w:caps/>
          <w:szCs w:val="22"/>
        </w:rPr>
        <w:t>par ailleurs, considérant</w:t>
      </w:r>
    </w:p>
    <w:p w14:paraId="246A79B6" w14:textId="2E70ABA5" w:rsidR="00B02D6D" w:rsidRPr="00B02D6D" w:rsidRDefault="005F21D2" w:rsidP="00B02D6D">
      <w:pPr>
        <w:pStyle w:val="Paragraphedeliste"/>
        <w:numPr>
          <w:ilvl w:val="0"/>
          <w:numId w:val="5"/>
        </w:numPr>
        <w:rPr>
          <w:smallCaps/>
          <w:lang w:eastAsia="fr-CA"/>
        </w:rPr>
      </w:pPr>
      <w:r w:rsidRPr="00C2229D">
        <w:rPr>
          <w:lang w:eastAsia="fr-CA"/>
        </w:rPr>
        <w:t>Que</w:t>
      </w:r>
      <w:r w:rsidR="00B02D6D" w:rsidRPr="00C2229D">
        <w:rPr>
          <w:lang w:eastAsia="fr-CA"/>
        </w:rPr>
        <w:t xml:space="preserve"> le DPJ </w:t>
      </w:r>
      <w:r w:rsidR="00B02D6D">
        <w:rPr>
          <w:lang w:eastAsia="fr-CA"/>
        </w:rPr>
        <w:t xml:space="preserve">du CISSS de Laval a proposé en cours d’enquête diverses mesures à mettre en place pour les équipes du service d’évaluation/orientation; </w:t>
      </w:r>
    </w:p>
    <w:p w14:paraId="23CBF138" w14:textId="22E62D6F" w:rsidR="001F4082" w:rsidRDefault="005F21D2" w:rsidP="00B02D6D">
      <w:pPr>
        <w:pStyle w:val="Paragraphedeliste"/>
        <w:numPr>
          <w:ilvl w:val="0"/>
          <w:numId w:val="5"/>
        </w:numPr>
        <w:rPr>
          <w:lang w:eastAsia="fr-CA"/>
        </w:rPr>
      </w:pPr>
      <w:r>
        <w:rPr>
          <w:lang w:eastAsia="fr-CA"/>
        </w:rPr>
        <w:t>Que</w:t>
      </w:r>
      <w:r w:rsidR="00B02D6D">
        <w:rPr>
          <w:lang w:eastAsia="fr-CA"/>
        </w:rPr>
        <w:t xml:space="preserve"> le DPJ du CISSS de Laval s’est engagé que lors d’une rencontre avec tous les cadres travaillant pour l’urgence sociale prévue le 28</w:t>
      </w:r>
      <w:r w:rsidR="00E12E79">
        <w:rPr>
          <w:lang w:eastAsia="fr-CA"/>
        </w:rPr>
        <w:t> </w:t>
      </w:r>
      <w:r w:rsidR="00B02D6D">
        <w:rPr>
          <w:lang w:eastAsia="fr-CA"/>
        </w:rPr>
        <w:t>mars 2024, un rappel y serait fait relativement aux critères d’urgence en contexte d’intervention en protection de la jeunesse</w:t>
      </w:r>
      <w:r w:rsidR="001F4082">
        <w:rPr>
          <w:lang w:eastAsia="fr-CA"/>
        </w:rPr>
        <w:t>.</w:t>
      </w:r>
    </w:p>
    <w:p w14:paraId="61F1AA5D" w14:textId="0131BFDE" w:rsidR="00B02D6D" w:rsidRPr="00B02D6D" w:rsidRDefault="00B02D6D" w:rsidP="00B02D6D">
      <w:pPr>
        <w:rPr>
          <w:rFonts w:eastAsia="Calibri" w:cs="Aptos"/>
          <w:b/>
          <w:bCs/>
          <w:caps/>
          <w:szCs w:val="22"/>
        </w:rPr>
      </w:pPr>
      <w:r w:rsidRPr="00B02D6D">
        <w:rPr>
          <w:rFonts w:eastAsia="Calibri" w:cs="Aptos"/>
          <w:b/>
          <w:bCs/>
          <w:caps/>
          <w:szCs w:val="22"/>
        </w:rPr>
        <w:t>Pour ces motifs,</w:t>
      </w:r>
    </w:p>
    <w:p w14:paraId="0F219465" w14:textId="1284DFFB" w:rsidR="00B02D6D" w:rsidRDefault="00B02D6D" w:rsidP="00B02D6D">
      <w:pPr>
        <w:rPr>
          <w:lang w:eastAsia="fr-CA"/>
        </w:rPr>
      </w:pPr>
      <w:r>
        <w:rPr>
          <w:lang w:eastAsia="fr-CA"/>
        </w:rPr>
        <w:t xml:space="preserve">La Commission </w:t>
      </w:r>
      <w:r w:rsidRPr="005C2005">
        <w:rPr>
          <w:smallCaps/>
          <w:lang w:eastAsia="fr-CA"/>
        </w:rPr>
        <w:t>A RAISON DE CROIRE</w:t>
      </w:r>
      <w:r>
        <w:rPr>
          <w:lang w:eastAsia="fr-CA"/>
        </w:rPr>
        <w:t xml:space="preserve"> que les droits </w:t>
      </w:r>
      <w:r w:rsidR="00186EFD">
        <w:rPr>
          <w:lang w:eastAsia="fr-CA"/>
        </w:rPr>
        <w:t>de l’enfant</w:t>
      </w:r>
      <w:r>
        <w:rPr>
          <w:lang w:eastAsia="fr-CA"/>
        </w:rPr>
        <w:t xml:space="preserve"> prévus aux articles 2 al. 1, 3</w:t>
      </w:r>
      <w:r w:rsidRPr="00C22C1E">
        <w:rPr>
          <w:lang w:eastAsia="fr-CA"/>
        </w:rPr>
        <w:t>, 4.4 al. 1 b), 8,</w:t>
      </w:r>
      <w:r>
        <w:rPr>
          <w:lang w:eastAsia="fr-CA"/>
        </w:rPr>
        <w:t xml:space="preserve"> 38.2, 47.</w:t>
      </w:r>
      <w:r w:rsidRPr="00C22C1E">
        <w:rPr>
          <w:lang w:eastAsia="fr-CA"/>
        </w:rPr>
        <w:t>1 et 69 de</w:t>
      </w:r>
      <w:r>
        <w:rPr>
          <w:lang w:eastAsia="fr-CA"/>
        </w:rPr>
        <w:t xml:space="preserve"> la </w:t>
      </w:r>
      <w:r>
        <w:rPr>
          <w:i/>
          <w:iCs/>
          <w:lang w:eastAsia="fr-CA"/>
        </w:rPr>
        <w:t>Loi sur la protection de la jeunesse</w:t>
      </w:r>
      <w:r>
        <w:rPr>
          <w:lang w:eastAsia="fr-CA"/>
        </w:rPr>
        <w:t xml:space="preserve">, </w:t>
      </w:r>
      <w:r w:rsidRPr="005C2005">
        <w:rPr>
          <w:smallCaps/>
          <w:lang w:eastAsia="fr-CA"/>
        </w:rPr>
        <w:t>ONT ÉTÉ LÉSÉS</w:t>
      </w:r>
      <w:r>
        <w:rPr>
          <w:lang w:eastAsia="fr-CA"/>
        </w:rPr>
        <w:t xml:space="preserve"> par le DPJ du CISSS de Laval.</w:t>
      </w:r>
    </w:p>
    <w:p w14:paraId="56F53650" w14:textId="77777777" w:rsidR="00B02D6D" w:rsidRPr="003814DF" w:rsidRDefault="00B02D6D" w:rsidP="00513322">
      <w:pPr>
        <w:spacing w:before="180" w:after="90" w:line="260" w:lineRule="atLeast"/>
        <w:outlineLvl w:val="2"/>
        <w:rPr>
          <w:rFonts w:eastAsia="Calibri" w:cs="Aptos"/>
          <w:b/>
          <w:bCs/>
          <w:caps/>
          <w:szCs w:val="22"/>
        </w:rPr>
      </w:pPr>
    </w:p>
    <w:p w14:paraId="32C3FE23" w14:textId="77777777" w:rsidR="00513322" w:rsidRPr="00513322" w:rsidRDefault="00513322" w:rsidP="003814DF">
      <w:pPr>
        <w:pStyle w:val="Titre2"/>
      </w:pPr>
      <w:r w:rsidRPr="00513322">
        <w:t>Recommandations</w:t>
      </w:r>
    </w:p>
    <w:p w14:paraId="77D580D8" w14:textId="1AB01B41" w:rsidR="00B02D6D" w:rsidRPr="00B02D6D" w:rsidRDefault="00B02D6D" w:rsidP="00B02D6D">
      <w:pPr>
        <w:spacing w:before="240" w:after="90" w:line="280" w:lineRule="atLeast"/>
        <w:rPr>
          <w:rFonts w:eastAsia="Calibri"/>
        </w:rPr>
      </w:pPr>
      <w:r w:rsidRPr="00B02D6D">
        <w:rPr>
          <w:rFonts w:eastAsia="Calibri"/>
        </w:rPr>
        <w:t>La Commission RECOMMANDE au DPJ du CISSS de Laval :</w:t>
      </w:r>
      <w:r w:rsidR="001F4082">
        <w:rPr>
          <w:rFonts w:eastAsia="Calibri"/>
        </w:rPr>
        <w:br/>
      </w:r>
    </w:p>
    <w:p w14:paraId="54BCC68B" w14:textId="18BE4F71" w:rsidR="00B02D6D" w:rsidRPr="00B02D6D" w:rsidRDefault="00B02D6D" w:rsidP="00B02D6D">
      <w:pPr>
        <w:spacing w:after="90" w:line="280" w:lineRule="atLeast"/>
        <w:rPr>
          <w:rFonts w:eastAsia="Calibri"/>
          <w:b/>
          <w:bCs/>
        </w:rPr>
      </w:pPr>
      <w:r w:rsidRPr="00B02D6D">
        <w:rPr>
          <w:rFonts w:eastAsia="Calibri"/>
          <w:b/>
          <w:bCs/>
        </w:rPr>
        <w:t>RECOMMANDATION</w:t>
      </w:r>
      <w:r w:rsidR="00E12E79">
        <w:rPr>
          <w:rFonts w:eastAsia="Calibri"/>
          <w:b/>
          <w:bCs/>
        </w:rPr>
        <w:t> </w:t>
      </w:r>
      <w:r w:rsidRPr="00B02D6D">
        <w:rPr>
          <w:rFonts w:eastAsia="Calibri"/>
          <w:b/>
          <w:bCs/>
        </w:rPr>
        <w:t>1</w:t>
      </w:r>
    </w:p>
    <w:p w14:paraId="6919A7DF" w14:textId="0E916AD1" w:rsidR="00B02D6D" w:rsidRPr="00B02D6D" w:rsidRDefault="00B02D6D" w:rsidP="00B02D6D">
      <w:pPr>
        <w:spacing w:after="90" w:line="280" w:lineRule="atLeast"/>
        <w:rPr>
          <w:rFonts w:eastAsia="Calibri"/>
        </w:rPr>
      </w:pPr>
      <w:r w:rsidRPr="00B02D6D">
        <w:rPr>
          <w:rFonts w:eastAsia="Calibri"/>
        </w:rPr>
        <w:t>METTRE EN PLACE dans les six (6) mois de la réception de la décision les mesures suivantes:</w:t>
      </w:r>
    </w:p>
    <w:p w14:paraId="184A0D00" w14:textId="3CEEA857" w:rsidR="00B02D6D" w:rsidRPr="00B02D6D" w:rsidRDefault="00B02D6D" w:rsidP="00B02D6D">
      <w:pPr>
        <w:spacing w:after="90" w:line="280" w:lineRule="atLeast"/>
        <w:rPr>
          <w:rFonts w:eastAsia="Calibri"/>
          <w:b/>
          <w:bCs/>
          <w:i/>
          <w:iCs/>
        </w:rPr>
      </w:pPr>
      <w:r w:rsidRPr="00B02D6D">
        <w:rPr>
          <w:rFonts w:eastAsia="Calibri"/>
          <w:b/>
          <w:bCs/>
          <w:i/>
          <w:iCs/>
        </w:rPr>
        <w:t>Mesure</w:t>
      </w:r>
      <w:r w:rsidR="00E12E79">
        <w:rPr>
          <w:rFonts w:eastAsia="Calibri"/>
          <w:b/>
          <w:bCs/>
          <w:i/>
          <w:iCs/>
        </w:rPr>
        <w:t> </w:t>
      </w:r>
      <w:r w:rsidRPr="00B02D6D">
        <w:rPr>
          <w:rFonts w:eastAsia="Calibri"/>
          <w:b/>
          <w:bCs/>
          <w:i/>
          <w:iCs/>
        </w:rPr>
        <w:t>1</w:t>
      </w:r>
    </w:p>
    <w:p w14:paraId="6BE17D8F" w14:textId="77777777" w:rsidR="00B02D6D" w:rsidRPr="00B02D6D" w:rsidRDefault="00B02D6D" w:rsidP="00B02D6D">
      <w:pPr>
        <w:spacing w:after="90" w:line="280" w:lineRule="atLeast"/>
        <w:rPr>
          <w:rFonts w:eastAsia="Calibri"/>
        </w:rPr>
      </w:pPr>
      <w:r w:rsidRPr="00B02D6D">
        <w:rPr>
          <w:rFonts w:eastAsia="Calibri"/>
        </w:rPr>
        <w:t>OFFRIR une formation continue pour les équipes d’évaluation/orientation relativement à l’intervention dans les situations d’abus sexuel.</w:t>
      </w:r>
    </w:p>
    <w:p w14:paraId="449AB882" w14:textId="2C4DE9D6" w:rsidR="00B02D6D" w:rsidRPr="00B02D6D" w:rsidRDefault="00B02D6D" w:rsidP="00B02D6D">
      <w:pPr>
        <w:spacing w:after="90" w:line="280" w:lineRule="atLeast"/>
        <w:rPr>
          <w:rFonts w:eastAsia="Calibri"/>
          <w:b/>
          <w:bCs/>
          <w:i/>
          <w:iCs/>
        </w:rPr>
      </w:pPr>
      <w:r w:rsidRPr="00B02D6D">
        <w:rPr>
          <w:rFonts w:eastAsia="Calibri"/>
          <w:b/>
          <w:bCs/>
          <w:i/>
          <w:iCs/>
        </w:rPr>
        <w:t>Mesure</w:t>
      </w:r>
      <w:r w:rsidR="00E12E79">
        <w:rPr>
          <w:rFonts w:eastAsia="Calibri"/>
          <w:b/>
          <w:bCs/>
          <w:i/>
          <w:iCs/>
        </w:rPr>
        <w:t> </w:t>
      </w:r>
      <w:r w:rsidRPr="00B02D6D">
        <w:rPr>
          <w:rFonts w:eastAsia="Calibri"/>
          <w:b/>
          <w:bCs/>
          <w:i/>
          <w:iCs/>
        </w:rPr>
        <w:t>2</w:t>
      </w:r>
    </w:p>
    <w:p w14:paraId="7EA519E1" w14:textId="77777777" w:rsidR="00B02D6D" w:rsidRPr="00B02D6D" w:rsidRDefault="00B02D6D" w:rsidP="00B02D6D">
      <w:pPr>
        <w:spacing w:after="90" w:line="280" w:lineRule="atLeast"/>
        <w:rPr>
          <w:rFonts w:eastAsia="Calibri"/>
        </w:rPr>
      </w:pPr>
      <w:r w:rsidRPr="00B02D6D">
        <w:rPr>
          <w:rFonts w:eastAsia="Calibri"/>
        </w:rPr>
        <w:t>RÉVISER l’ensemble de ses pratiques en matière d’intervention dans les situations d’abus sexuel et d’assurer la diffusion de celles-ci aux équipes d’évaluation/orientation.</w:t>
      </w:r>
    </w:p>
    <w:p w14:paraId="1EDED7F5" w14:textId="4B1FCEF2" w:rsidR="00B02D6D" w:rsidRPr="00B02D6D" w:rsidRDefault="00B02D6D" w:rsidP="00B02D6D">
      <w:pPr>
        <w:spacing w:after="90" w:line="280" w:lineRule="atLeast"/>
        <w:rPr>
          <w:rFonts w:eastAsia="Calibri"/>
          <w:b/>
          <w:bCs/>
          <w:i/>
          <w:iCs/>
        </w:rPr>
      </w:pPr>
      <w:r w:rsidRPr="00B02D6D">
        <w:rPr>
          <w:rFonts w:eastAsia="Calibri"/>
          <w:b/>
          <w:bCs/>
          <w:i/>
          <w:iCs/>
        </w:rPr>
        <w:t>Mesure</w:t>
      </w:r>
      <w:r w:rsidR="00E12E79">
        <w:rPr>
          <w:rFonts w:eastAsia="Calibri"/>
          <w:b/>
          <w:bCs/>
          <w:i/>
          <w:iCs/>
        </w:rPr>
        <w:t> </w:t>
      </w:r>
      <w:r w:rsidRPr="00B02D6D">
        <w:rPr>
          <w:rFonts w:eastAsia="Calibri"/>
          <w:b/>
          <w:bCs/>
          <w:i/>
          <w:iCs/>
        </w:rPr>
        <w:t>3</w:t>
      </w:r>
    </w:p>
    <w:p w14:paraId="660F985C" w14:textId="77777777" w:rsidR="00B02D6D" w:rsidRPr="00B02D6D" w:rsidRDefault="00B02D6D" w:rsidP="00B02D6D">
      <w:pPr>
        <w:spacing w:after="90" w:line="280" w:lineRule="atLeast"/>
        <w:rPr>
          <w:rFonts w:eastAsia="Calibri"/>
        </w:rPr>
      </w:pPr>
      <w:r w:rsidRPr="00B02D6D">
        <w:rPr>
          <w:rFonts w:eastAsia="Calibri"/>
        </w:rPr>
        <w:t>CRÉER des outils visant à soutenir les équipes d’évaluation/orientation dans leur intervention dans des situations d’abus sexuels.</w:t>
      </w:r>
    </w:p>
    <w:p w14:paraId="7F54F0C3" w14:textId="71101141" w:rsidR="00B02D6D" w:rsidRPr="00B02D6D" w:rsidRDefault="00B02D6D" w:rsidP="00B02D6D">
      <w:pPr>
        <w:spacing w:after="90" w:line="280" w:lineRule="atLeast"/>
        <w:rPr>
          <w:rFonts w:eastAsia="Calibri"/>
          <w:b/>
          <w:bCs/>
          <w:i/>
          <w:iCs/>
        </w:rPr>
      </w:pPr>
      <w:r w:rsidRPr="00B02D6D">
        <w:rPr>
          <w:rFonts w:eastAsia="Calibri"/>
          <w:b/>
          <w:bCs/>
          <w:i/>
          <w:iCs/>
        </w:rPr>
        <w:t>Mesure</w:t>
      </w:r>
      <w:r w:rsidR="00E12E79">
        <w:rPr>
          <w:rFonts w:eastAsia="Calibri"/>
          <w:b/>
          <w:bCs/>
          <w:i/>
          <w:iCs/>
        </w:rPr>
        <w:t> </w:t>
      </w:r>
      <w:r w:rsidRPr="00B02D6D">
        <w:rPr>
          <w:rFonts w:eastAsia="Calibri"/>
          <w:b/>
          <w:bCs/>
          <w:i/>
          <w:iCs/>
        </w:rPr>
        <w:t>4</w:t>
      </w:r>
    </w:p>
    <w:p w14:paraId="78A565E4" w14:textId="77777777" w:rsidR="00B02D6D" w:rsidRPr="00B02D6D" w:rsidRDefault="00B02D6D" w:rsidP="00B02D6D">
      <w:pPr>
        <w:spacing w:after="90" w:line="280" w:lineRule="atLeast"/>
        <w:rPr>
          <w:rFonts w:eastAsia="Calibri"/>
        </w:rPr>
      </w:pPr>
      <w:r w:rsidRPr="00B02D6D">
        <w:rPr>
          <w:rFonts w:eastAsia="Calibri"/>
        </w:rPr>
        <w:t>PRENDRE LES MOYENS pour S’ASSURER d’une bonne compréhension des équipes au service de réception et traitement des signalements (RTS), incluant l’urgence sociale, de la priorisation des situations pour lesquelles un signalement a été retenu.</w:t>
      </w:r>
    </w:p>
    <w:p w14:paraId="7C42E22C" w14:textId="225114FD" w:rsidR="00B02D6D" w:rsidRPr="00B02D6D" w:rsidRDefault="00B02D6D" w:rsidP="00B02D6D">
      <w:pPr>
        <w:spacing w:after="90" w:line="280" w:lineRule="atLeast"/>
        <w:rPr>
          <w:rFonts w:eastAsia="Calibri"/>
          <w:b/>
          <w:bCs/>
          <w:i/>
          <w:iCs/>
        </w:rPr>
      </w:pPr>
      <w:r w:rsidRPr="00B02D6D">
        <w:rPr>
          <w:rFonts w:eastAsia="Calibri"/>
          <w:b/>
          <w:bCs/>
          <w:i/>
          <w:iCs/>
        </w:rPr>
        <w:t>Mesure</w:t>
      </w:r>
      <w:r w:rsidR="00E12E79">
        <w:rPr>
          <w:rFonts w:eastAsia="Calibri"/>
          <w:b/>
          <w:bCs/>
          <w:i/>
          <w:iCs/>
        </w:rPr>
        <w:t> </w:t>
      </w:r>
      <w:r w:rsidRPr="00B02D6D">
        <w:rPr>
          <w:rFonts w:eastAsia="Calibri"/>
          <w:b/>
          <w:bCs/>
          <w:i/>
          <w:iCs/>
        </w:rPr>
        <w:t>5</w:t>
      </w:r>
    </w:p>
    <w:p w14:paraId="2CEBA60D" w14:textId="77777777" w:rsidR="00B02D6D" w:rsidRPr="00B02D6D" w:rsidRDefault="00B02D6D" w:rsidP="00B02D6D">
      <w:pPr>
        <w:spacing w:after="90" w:line="280" w:lineRule="atLeast"/>
        <w:rPr>
          <w:rFonts w:eastAsia="Calibri"/>
        </w:rPr>
      </w:pPr>
      <w:r w:rsidRPr="00B02D6D">
        <w:rPr>
          <w:rFonts w:eastAsia="Calibri"/>
        </w:rPr>
        <w:t>EFFECTUER UN RAPPEL aux équipes d’évaluation/orientation quant :</w:t>
      </w:r>
    </w:p>
    <w:p w14:paraId="674E0222" w14:textId="3DA8D18E" w:rsidR="00B02D6D" w:rsidRPr="00B02D6D" w:rsidRDefault="00B02D6D" w:rsidP="00B02D6D">
      <w:pPr>
        <w:pStyle w:val="Paragraphedeliste"/>
        <w:numPr>
          <w:ilvl w:val="0"/>
          <w:numId w:val="6"/>
        </w:numPr>
        <w:spacing w:after="90" w:line="280" w:lineRule="atLeast"/>
        <w:rPr>
          <w:rFonts w:eastAsia="Calibri"/>
        </w:rPr>
      </w:pPr>
      <w:r w:rsidRPr="00B02D6D">
        <w:rPr>
          <w:rFonts w:eastAsia="Calibri"/>
        </w:rPr>
        <w:t>Aux balises et la durée maximale des ententes provisoires prévues conclues en vertu de l’article</w:t>
      </w:r>
      <w:r w:rsidR="00E12E79">
        <w:rPr>
          <w:rFonts w:eastAsia="Calibri"/>
        </w:rPr>
        <w:t> </w:t>
      </w:r>
      <w:r w:rsidRPr="00B02D6D">
        <w:rPr>
          <w:rFonts w:eastAsia="Calibri"/>
        </w:rPr>
        <w:t>47.1 de la Loi sur la protection de la jeunesse; et</w:t>
      </w:r>
    </w:p>
    <w:p w14:paraId="36B4C225" w14:textId="723693FB" w:rsidR="00B02D6D" w:rsidRPr="00B02D6D" w:rsidRDefault="00B02D6D" w:rsidP="00B02D6D">
      <w:pPr>
        <w:pStyle w:val="Paragraphedeliste"/>
        <w:numPr>
          <w:ilvl w:val="0"/>
          <w:numId w:val="6"/>
        </w:numPr>
        <w:spacing w:after="90" w:line="280" w:lineRule="atLeast"/>
        <w:rPr>
          <w:rFonts w:eastAsia="Calibri"/>
        </w:rPr>
      </w:pPr>
      <w:r w:rsidRPr="00B02D6D">
        <w:rPr>
          <w:rFonts w:eastAsia="Calibri"/>
        </w:rPr>
        <w:t>Aux attentes minimales concernant les communications régulières avec l’enfant et sa famille pour s’assurer des conditions de vie de l’enfant en se rendant sur les lieux.</w:t>
      </w:r>
    </w:p>
    <w:p w14:paraId="48C8C760" w14:textId="43CA3590" w:rsidR="00513322" w:rsidRPr="00513322" w:rsidRDefault="00513322" w:rsidP="00513322">
      <w:pPr>
        <w:spacing w:after="90" w:line="280" w:lineRule="atLeast"/>
        <w:rPr>
          <w:rFonts w:eastAsia="Calibri"/>
        </w:rPr>
      </w:pPr>
      <w:r w:rsidRPr="00513322">
        <w:rPr>
          <w:rFonts w:eastAsia="Calibri"/>
        </w:rPr>
        <w:br w:type="page"/>
      </w:r>
    </w:p>
    <w:p w14:paraId="58398C83" w14:textId="68946812" w:rsidR="00513322" w:rsidRPr="00513322" w:rsidRDefault="00513322" w:rsidP="00EC67C7">
      <w:pPr>
        <w:pStyle w:val="Titre2"/>
      </w:pPr>
      <w:r w:rsidRPr="00513322">
        <w:lastRenderedPageBreak/>
        <w:t>A</w:t>
      </w:r>
      <w:r w:rsidR="005B261D">
        <w:t>NNEXE</w:t>
      </w:r>
      <w:r w:rsidRPr="00513322">
        <w:t xml:space="preserve"> </w:t>
      </w:r>
    </w:p>
    <w:p w14:paraId="0234B4E8" w14:textId="07562187" w:rsidR="00513322" w:rsidRPr="00F360BE" w:rsidRDefault="00513322" w:rsidP="00F360BE">
      <w:pPr>
        <w:spacing w:after="90" w:line="280" w:lineRule="atLeast"/>
        <w:rPr>
          <w:rFonts w:eastAsia="Calibri"/>
        </w:rPr>
      </w:pPr>
      <w:r w:rsidRPr="00513322">
        <w:rPr>
          <w:rFonts w:eastAsia="Calibri"/>
        </w:rPr>
        <w:t>chapitre P-34.1</w:t>
      </w:r>
      <w:r w:rsidR="00F360BE">
        <w:rPr>
          <w:rFonts w:eastAsia="Calibri"/>
        </w:rPr>
        <w:br/>
      </w:r>
      <w:r w:rsidRPr="00F360BE">
        <w:rPr>
          <w:rFonts w:eastAsia="Calibri" w:cs="Aptos"/>
          <w:b/>
          <w:bCs/>
          <w:caps/>
          <w:szCs w:val="22"/>
        </w:rPr>
        <w:t>LOI SUR LA PROTECTION DE LA JEUNESSE (Extraits)</w:t>
      </w:r>
    </w:p>
    <w:p w14:paraId="6400A639" w14:textId="77777777" w:rsidR="001F4082" w:rsidRDefault="00F360BE" w:rsidP="001F4082">
      <w:pPr>
        <w:spacing w:before="120" w:line="240" w:lineRule="auto"/>
        <w:rPr>
          <w:b/>
          <w:bCs/>
          <w:lang w:eastAsia="fr-CA"/>
        </w:rPr>
      </w:pPr>
      <w:r>
        <w:rPr>
          <w:rFonts w:eastAsia="Calibri"/>
          <w:b/>
          <w:bCs/>
        </w:rPr>
        <w:br/>
      </w:r>
      <w:r w:rsidR="001F4082" w:rsidRPr="00355B6A">
        <w:rPr>
          <w:b/>
          <w:bCs/>
          <w:lang w:eastAsia="fr-CA"/>
        </w:rPr>
        <w:t>CHAPITRE I</w:t>
      </w:r>
      <w:r w:rsidR="001F4082">
        <w:rPr>
          <w:b/>
          <w:bCs/>
          <w:lang w:eastAsia="fr-CA"/>
        </w:rPr>
        <w:t xml:space="preserve"> </w:t>
      </w:r>
    </w:p>
    <w:p w14:paraId="2EF24E01" w14:textId="71123ED0" w:rsidR="001F4082" w:rsidRPr="001F4082" w:rsidRDefault="001F4082" w:rsidP="001F4082">
      <w:pPr>
        <w:spacing w:before="120" w:line="240" w:lineRule="auto"/>
        <w:rPr>
          <w:b/>
          <w:bCs/>
          <w:lang w:eastAsia="fr-CA"/>
        </w:rPr>
      </w:pPr>
      <w:r w:rsidRPr="00355B6A">
        <w:rPr>
          <w:lang w:eastAsia="fr-CA"/>
        </w:rPr>
        <w:t>INTERPRÉTATION ET APPLICATION</w:t>
      </w:r>
    </w:p>
    <w:p w14:paraId="20A7559B" w14:textId="77777777" w:rsidR="001F4082" w:rsidRPr="00355B6A" w:rsidRDefault="001F4082" w:rsidP="001F4082">
      <w:pPr>
        <w:spacing w:before="120" w:line="240" w:lineRule="auto"/>
        <w:rPr>
          <w:lang w:eastAsia="fr-CA"/>
        </w:rPr>
      </w:pPr>
      <w:hyperlink r:id="rId12" w:anchor="se:2" w:history="1">
        <w:r w:rsidRPr="00355B6A">
          <w:rPr>
            <w:rStyle w:val="Lienhypertexte"/>
            <w:b/>
            <w:bCs/>
            <w:lang w:eastAsia="fr-CA"/>
          </w:rPr>
          <w:t>2.</w:t>
        </w:r>
      </w:hyperlink>
      <w:r w:rsidRPr="00355B6A">
        <w:rPr>
          <w:lang w:eastAsia="fr-CA"/>
        </w:rPr>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4E8BDB99" w14:textId="77777777" w:rsidR="001F4082" w:rsidRPr="00355B6A" w:rsidRDefault="001F4082" w:rsidP="001F4082">
      <w:pPr>
        <w:spacing w:before="120" w:line="240" w:lineRule="auto"/>
        <w:rPr>
          <w:lang w:eastAsia="fr-CA"/>
        </w:rPr>
      </w:pPr>
      <w:r>
        <w:rPr>
          <w:lang w:eastAsia="fr-CA"/>
        </w:rPr>
        <w:t>(…)</w:t>
      </w:r>
    </w:p>
    <w:p w14:paraId="66745093" w14:textId="77777777" w:rsidR="001F4082" w:rsidRPr="00355B6A" w:rsidRDefault="001F4082" w:rsidP="001F4082">
      <w:pPr>
        <w:spacing w:before="120" w:line="240" w:lineRule="auto"/>
        <w:rPr>
          <w:b/>
          <w:bCs/>
          <w:lang w:eastAsia="fr-CA"/>
        </w:rPr>
      </w:pPr>
      <w:r w:rsidRPr="00355B6A">
        <w:rPr>
          <w:b/>
          <w:bCs/>
          <w:lang w:eastAsia="fr-CA"/>
        </w:rPr>
        <w:t>CHAPITRE II</w:t>
      </w:r>
    </w:p>
    <w:p w14:paraId="174408FF" w14:textId="77777777" w:rsidR="001F4082" w:rsidRPr="00355B6A" w:rsidRDefault="001F4082" w:rsidP="001F4082">
      <w:pPr>
        <w:spacing w:before="120" w:line="240" w:lineRule="auto"/>
        <w:rPr>
          <w:lang w:eastAsia="fr-CA"/>
        </w:rPr>
      </w:pPr>
      <w:r w:rsidRPr="00355B6A">
        <w:rPr>
          <w:lang w:eastAsia="fr-CA"/>
        </w:rPr>
        <w:t>PRINCIPES GÉNÉRAUX, DROITS DE L’ENFANT ET DE SES PARENTS ET RESPONSABILITÉS DES PARENTS</w:t>
      </w:r>
    </w:p>
    <w:p w14:paraId="2819E033" w14:textId="77777777" w:rsidR="001F4082" w:rsidRPr="00355B6A" w:rsidRDefault="001F4082" w:rsidP="001F4082">
      <w:pPr>
        <w:spacing w:before="120" w:line="240" w:lineRule="auto"/>
        <w:rPr>
          <w:lang w:eastAsia="fr-CA"/>
        </w:rPr>
      </w:pPr>
      <w:r w:rsidRPr="00355B6A">
        <w:rPr>
          <w:b/>
          <w:bCs/>
          <w:lang w:eastAsia="fr-CA"/>
        </w:rPr>
        <w:t>SECTION I</w:t>
      </w:r>
    </w:p>
    <w:p w14:paraId="03BADBE6" w14:textId="77777777" w:rsidR="001F4082" w:rsidRPr="00355B6A" w:rsidRDefault="001F4082" w:rsidP="001F4082">
      <w:pPr>
        <w:spacing w:before="120" w:line="240" w:lineRule="auto"/>
        <w:rPr>
          <w:lang w:eastAsia="fr-CA"/>
        </w:rPr>
      </w:pPr>
      <w:r w:rsidRPr="00355B6A">
        <w:rPr>
          <w:lang w:eastAsia="fr-CA"/>
        </w:rPr>
        <w:t>PRINCIPES GÉNÉRAUX</w:t>
      </w:r>
    </w:p>
    <w:p w14:paraId="3292B217" w14:textId="77777777" w:rsidR="001F4082" w:rsidRPr="00355B6A" w:rsidRDefault="001F4082" w:rsidP="001F4082">
      <w:pPr>
        <w:spacing w:before="120" w:line="240" w:lineRule="auto"/>
        <w:rPr>
          <w:lang w:eastAsia="fr-CA"/>
        </w:rPr>
      </w:pPr>
      <w:hyperlink r:id="rId13" w:anchor="se:3" w:history="1">
        <w:r w:rsidRPr="00355B6A">
          <w:rPr>
            <w:rStyle w:val="Lienhypertexte"/>
            <w:b/>
            <w:bCs/>
            <w:lang w:eastAsia="fr-CA"/>
          </w:rPr>
          <w:t>3.</w:t>
        </w:r>
      </w:hyperlink>
      <w:r w:rsidRPr="00355B6A">
        <w:rPr>
          <w:lang w:eastAsia="fr-CA"/>
        </w:rPr>
        <w:t> L’intérêt de l’enfant est la considération primordiale dans l’application de la présente loi. Les décisions prises en vertu de celle-ci doivent l’être dans l’intérêt de l’enfant et dans le respect de ses droits.</w:t>
      </w:r>
    </w:p>
    <w:p w14:paraId="40C6E449" w14:textId="77777777" w:rsidR="001F4082" w:rsidRPr="00355B6A" w:rsidRDefault="001F4082" w:rsidP="001F4082">
      <w:pPr>
        <w:spacing w:before="120" w:line="240" w:lineRule="auto"/>
        <w:rPr>
          <w:lang w:eastAsia="fr-CA"/>
        </w:rPr>
      </w:pPr>
      <w:r w:rsidRPr="00355B6A">
        <w:rPr>
          <w:lang w:eastAsia="fr-CA"/>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2930ACBF" w14:textId="77777777" w:rsidR="001F4082" w:rsidRDefault="001F4082" w:rsidP="001F4082">
      <w:pPr>
        <w:spacing w:before="120" w:line="240" w:lineRule="auto"/>
      </w:pPr>
      <w:r>
        <w:rPr>
          <w:lang w:eastAsia="fr-CA"/>
        </w:rPr>
        <w:t>8, 38.2 et 69</w:t>
      </w:r>
    </w:p>
    <w:p w14:paraId="4B5FE843" w14:textId="77777777" w:rsidR="001F4082" w:rsidRPr="00355B6A" w:rsidRDefault="001F4082" w:rsidP="001F4082">
      <w:pPr>
        <w:spacing w:before="120" w:line="240" w:lineRule="auto"/>
      </w:pPr>
      <w:hyperlink r:id="rId14" w:anchor="se:4_4" w:history="1">
        <w:r w:rsidRPr="00355B6A">
          <w:rPr>
            <w:rStyle w:val="Lienhypertexte"/>
            <w:b/>
            <w:bCs/>
          </w:rPr>
          <w:t>4.4.</w:t>
        </w:r>
      </w:hyperlink>
      <w:r w:rsidRPr="00355B6A">
        <w:t> Les personnes à qui la présente loi confie des responsabilités envers l’enfant ainsi que celles appelées à prendre des décisions à son sujet en vertu de cette loi doivent, lors de leurs interventions:</w:t>
      </w:r>
    </w:p>
    <w:p w14:paraId="395E3A1E" w14:textId="77777777" w:rsidR="001F4082" w:rsidRDefault="001F4082" w:rsidP="001F4082">
      <w:pPr>
        <w:spacing w:before="120" w:line="240" w:lineRule="auto"/>
      </w:pPr>
      <w:r>
        <w:t>(…)</w:t>
      </w:r>
    </w:p>
    <w:p w14:paraId="6EE85A53" w14:textId="77777777" w:rsidR="001F4082" w:rsidRPr="00355B6A" w:rsidRDefault="001F4082" w:rsidP="001F4082">
      <w:pPr>
        <w:spacing w:before="120" w:line="240" w:lineRule="auto"/>
      </w:pPr>
      <w:r w:rsidRPr="00355B6A">
        <w:rPr>
          <w:i/>
          <w:iCs/>
        </w:rPr>
        <w:t>b</w:t>
      </w:r>
      <w:r w:rsidRPr="00355B6A">
        <w:t>) </w:t>
      </w:r>
      <w:r w:rsidRPr="00355B6A">
        <w:rPr>
          <w:i/>
          <w:iCs/>
        </w:rPr>
        <w:t> </w:t>
      </w:r>
      <w:r w:rsidRPr="00355B6A">
        <w:t>agir avec diligence pour assurer la sécurité ou le développement de l’enfant, compte tenu que la notion de temps chez l’enfant est différente de celle des adultes;</w:t>
      </w:r>
    </w:p>
    <w:p w14:paraId="62DE22A7" w14:textId="77777777" w:rsidR="001F4082" w:rsidRDefault="001F4082" w:rsidP="001F4082">
      <w:pPr>
        <w:spacing w:before="120" w:line="240" w:lineRule="auto"/>
      </w:pPr>
      <w:r>
        <w:t>(…)</w:t>
      </w:r>
    </w:p>
    <w:p w14:paraId="7EE44E49" w14:textId="77777777" w:rsidR="001F4082" w:rsidRPr="00355B6A" w:rsidRDefault="001F4082" w:rsidP="001F4082">
      <w:pPr>
        <w:spacing w:before="120" w:line="240" w:lineRule="auto"/>
      </w:pPr>
      <w:r w:rsidRPr="00355B6A">
        <w:rPr>
          <w:b/>
          <w:bCs/>
        </w:rPr>
        <w:t>SECTION II</w:t>
      </w:r>
    </w:p>
    <w:p w14:paraId="179C3CC2" w14:textId="77777777" w:rsidR="001F4082" w:rsidRPr="00355B6A" w:rsidRDefault="001F4082" w:rsidP="001F4082">
      <w:pPr>
        <w:spacing w:before="120" w:line="240" w:lineRule="auto"/>
      </w:pPr>
      <w:r w:rsidRPr="00355B6A">
        <w:t>DROITS DE L’ENFANT ET DE SES PARENTS</w:t>
      </w:r>
    </w:p>
    <w:p w14:paraId="5FD3AA3A" w14:textId="77777777" w:rsidR="001F4082" w:rsidRDefault="001F4082" w:rsidP="001F4082">
      <w:pPr>
        <w:spacing w:before="120" w:line="240" w:lineRule="auto"/>
      </w:pPr>
      <w:hyperlink r:id="rId15" w:anchor="se:8" w:history="1">
        <w:r w:rsidRPr="00355B6A">
          <w:rPr>
            <w:rStyle w:val="Lienhypertexte"/>
            <w:b/>
            <w:bCs/>
          </w:rPr>
          <w:t>8.</w:t>
        </w:r>
      </w:hyperlink>
      <w:r w:rsidRPr="00355B6A">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04A23340" w14:textId="77777777" w:rsidR="001F4082" w:rsidRDefault="001F4082">
      <w:pPr>
        <w:suppressAutoHyphens w:val="0"/>
        <w:autoSpaceDE/>
        <w:autoSpaceDN/>
        <w:adjustRightInd/>
        <w:spacing w:after="160" w:line="259" w:lineRule="auto"/>
        <w:textAlignment w:val="auto"/>
        <w:rPr>
          <w:b/>
          <w:bCs/>
        </w:rPr>
      </w:pPr>
      <w:r>
        <w:rPr>
          <w:b/>
          <w:bCs/>
        </w:rPr>
        <w:br w:type="page"/>
      </w:r>
    </w:p>
    <w:p w14:paraId="56366569" w14:textId="35B53AEC" w:rsidR="001F4082" w:rsidRPr="007C65A2" w:rsidRDefault="001F4082" w:rsidP="001F4082">
      <w:pPr>
        <w:keepNext/>
        <w:keepLines/>
        <w:spacing w:before="120" w:line="240" w:lineRule="auto"/>
        <w:rPr>
          <w:b/>
          <w:bCs/>
        </w:rPr>
      </w:pPr>
      <w:r w:rsidRPr="007C65A2">
        <w:rPr>
          <w:b/>
          <w:bCs/>
        </w:rPr>
        <w:lastRenderedPageBreak/>
        <w:t>CHAPITRE IV</w:t>
      </w:r>
    </w:p>
    <w:p w14:paraId="7FDD4E06" w14:textId="77777777" w:rsidR="001F4082" w:rsidRPr="007C65A2" w:rsidRDefault="001F4082" w:rsidP="001F4082">
      <w:pPr>
        <w:spacing w:before="120" w:line="240" w:lineRule="auto"/>
      </w:pPr>
      <w:r w:rsidRPr="007C65A2">
        <w:t>INTERVENTION SOCIALE</w:t>
      </w:r>
    </w:p>
    <w:p w14:paraId="6807370F" w14:textId="77777777" w:rsidR="001F4082" w:rsidRPr="007C65A2" w:rsidRDefault="001F4082" w:rsidP="001F4082">
      <w:pPr>
        <w:spacing w:before="120" w:line="240" w:lineRule="auto"/>
      </w:pPr>
      <w:r w:rsidRPr="007C65A2">
        <w:rPr>
          <w:b/>
          <w:bCs/>
        </w:rPr>
        <w:t>SECTION I</w:t>
      </w:r>
    </w:p>
    <w:p w14:paraId="77D83674" w14:textId="77777777" w:rsidR="001F4082" w:rsidRPr="007C65A2" w:rsidRDefault="001F4082" w:rsidP="001F4082">
      <w:pPr>
        <w:spacing w:before="120" w:line="240" w:lineRule="auto"/>
      </w:pPr>
      <w:r w:rsidRPr="007C65A2">
        <w:t>SÉCURITÉ ET DÉVELOPPEMENT D’UN ENFANT</w:t>
      </w:r>
    </w:p>
    <w:p w14:paraId="3CADF195" w14:textId="77777777" w:rsidR="001F4082" w:rsidRPr="007C65A2" w:rsidRDefault="001F4082" w:rsidP="001F4082">
      <w:pPr>
        <w:spacing w:before="120" w:line="240" w:lineRule="auto"/>
      </w:pPr>
      <w:hyperlink r:id="rId16" w:anchor="se:38_2" w:history="1">
        <w:r w:rsidRPr="007C65A2">
          <w:rPr>
            <w:rStyle w:val="Lienhypertexte"/>
            <w:b/>
            <w:bCs/>
          </w:rPr>
          <w:t>38.2.</w:t>
        </w:r>
      </w:hyperlink>
      <w:r w:rsidRPr="007C65A2">
        <w:t> Toute décision visant à déterminer si un signalement doit être retenu pour évaluation ou si la sécurité ou le développement d’un enfant est compromis doit notamment prendre en considération les facteurs suivants:</w:t>
      </w:r>
    </w:p>
    <w:p w14:paraId="7819BB44" w14:textId="77777777" w:rsidR="001F4082" w:rsidRPr="007C65A2" w:rsidRDefault="001F4082" w:rsidP="001F4082">
      <w:pPr>
        <w:spacing w:before="120" w:line="240" w:lineRule="auto"/>
      </w:pPr>
      <w:r w:rsidRPr="007C65A2">
        <w:rPr>
          <w:i/>
          <w:iCs/>
        </w:rPr>
        <w:t>a</w:t>
      </w:r>
      <w:r w:rsidRPr="007C65A2">
        <w:t>) </w:t>
      </w:r>
      <w:r w:rsidRPr="007C65A2">
        <w:rPr>
          <w:i/>
          <w:iCs/>
        </w:rPr>
        <w:t> </w:t>
      </w:r>
      <w:r w:rsidRPr="007C65A2">
        <w:t>la nature, la gravité, la chronicité et la fréquence des faits signalés;</w:t>
      </w:r>
    </w:p>
    <w:p w14:paraId="0E320D40" w14:textId="77777777" w:rsidR="001F4082" w:rsidRPr="007C65A2" w:rsidRDefault="001F4082" w:rsidP="001F4082">
      <w:pPr>
        <w:spacing w:before="120" w:line="240" w:lineRule="auto"/>
      </w:pPr>
      <w:r w:rsidRPr="007C65A2">
        <w:rPr>
          <w:i/>
          <w:iCs/>
        </w:rPr>
        <w:t>b</w:t>
      </w:r>
      <w:r w:rsidRPr="007C65A2">
        <w:t>) </w:t>
      </w:r>
      <w:r w:rsidRPr="007C65A2">
        <w:rPr>
          <w:i/>
          <w:iCs/>
        </w:rPr>
        <w:t> </w:t>
      </w:r>
      <w:r w:rsidRPr="007C65A2">
        <w:t>l’âge et les caractéristiques personnelles de l’enfant;</w:t>
      </w:r>
    </w:p>
    <w:p w14:paraId="3133194E" w14:textId="77777777" w:rsidR="001F4082" w:rsidRPr="007C65A2" w:rsidRDefault="001F4082" w:rsidP="001F4082">
      <w:pPr>
        <w:spacing w:before="120" w:line="240" w:lineRule="auto"/>
      </w:pPr>
      <w:r w:rsidRPr="007C65A2">
        <w:rPr>
          <w:i/>
          <w:iCs/>
        </w:rPr>
        <w:t>c</w:t>
      </w:r>
      <w:r w:rsidRPr="007C65A2">
        <w:t>) </w:t>
      </w:r>
      <w:r w:rsidRPr="007C65A2">
        <w:rPr>
          <w:i/>
          <w:iCs/>
        </w:rPr>
        <w:t> </w:t>
      </w:r>
      <w:r w:rsidRPr="007C65A2">
        <w:t>la capacité et la volonté des parents de mettre fin à la situation qui compromet la sécurité ou le développement de l’enfant;</w:t>
      </w:r>
    </w:p>
    <w:p w14:paraId="105EA300" w14:textId="77777777" w:rsidR="001F4082" w:rsidRPr="007C65A2" w:rsidRDefault="001F4082" w:rsidP="001F4082">
      <w:pPr>
        <w:spacing w:before="120" w:line="240" w:lineRule="auto"/>
      </w:pPr>
      <w:r w:rsidRPr="007C65A2">
        <w:rPr>
          <w:i/>
          <w:iCs/>
        </w:rPr>
        <w:t>d</w:t>
      </w:r>
      <w:r w:rsidRPr="007C65A2">
        <w:t>) </w:t>
      </w:r>
      <w:r w:rsidRPr="007C65A2">
        <w:rPr>
          <w:i/>
          <w:iCs/>
        </w:rPr>
        <w:t> </w:t>
      </w:r>
      <w:r w:rsidRPr="007C65A2">
        <w:t>les ressources du milieu pour venir en aide à l’enfant et à ses parents.</w:t>
      </w:r>
    </w:p>
    <w:p w14:paraId="199FEC6D" w14:textId="77777777" w:rsidR="001F4082" w:rsidRPr="007C65A2" w:rsidRDefault="001F4082" w:rsidP="001F4082">
      <w:pPr>
        <w:spacing w:before="120" w:line="240" w:lineRule="auto"/>
      </w:pPr>
      <w:r w:rsidRPr="007C65A2">
        <w:rPr>
          <w:b/>
          <w:bCs/>
        </w:rPr>
        <w:t>SECTION II.1</w:t>
      </w:r>
    </w:p>
    <w:p w14:paraId="273DD8A2" w14:textId="77777777" w:rsidR="001F4082" w:rsidRPr="007C65A2" w:rsidRDefault="001F4082" w:rsidP="001F4082">
      <w:pPr>
        <w:spacing w:before="120" w:line="240" w:lineRule="auto"/>
      </w:pPr>
      <w:r w:rsidRPr="007C65A2">
        <w:t>MESURES DE PROTECTION IMMÉDIATE</w:t>
      </w:r>
    </w:p>
    <w:p w14:paraId="0AAC79D3" w14:textId="77777777" w:rsidR="001F4082" w:rsidRPr="007C65A2" w:rsidRDefault="001F4082" w:rsidP="001F4082">
      <w:pPr>
        <w:spacing w:before="120" w:line="240" w:lineRule="auto"/>
      </w:pPr>
      <w:hyperlink r:id="rId17" w:anchor="se:47_1" w:history="1">
        <w:r w:rsidRPr="007C65A2">
          <w:rPr>
            <w:rStyle w:val="Lienhypertexte"/>
            <w:b/>
            <w:bCs/>
          </w:rPr>
          <w:t>47.1.</w:t>
        </w:r>
      </w:hyperlink>
      <w:r w:rsidRPr="007C65A2">
        <w:t> Si les parents et l’enfant de 14 ans et plus ne s’opposent pas à la prolongation des mesures de protection immédiate, le directeur peut leur proposer l’application d’une entente provisoire jusqu’à ce qu’il décide si la sécurité ou le développement de l’enfant est compromis et, le cas échéant, qu’il convienne avec eux d’une entente sur une intervention de courte durée ou sur les mesures volontaires ou encore qu’il saisisse le tribunal.</w:t>
      </w:r>
    </w:p>
    <w:p w14:paraId="15CA4542" w14:textId="270A8DDA" w:rsidR="001F4082" w:rsidRPr="007C65A2" w:rsidRDefault="001F4082" w:rsidP="001F4082">
      <w:pPr>
        <w:spacing w:before="120" w:line="240" w:lineRule="auto"/>
      </w:pPr>
      <w:r w:rsidRPr="007C65A2">
        <w:t>L’entente provisoire ne peut excéder 30 jours, incluant le délai de 10 jours prévu à l’article</w:t>
      </w:r>
      <w:r w:rsidR="00E12E79">
        <w:t> </w:t>
      </w:r>
      <w:r w:rsidRPr="007C65A2">
        <w:t>52. Elle peut toutefois être prolongée pour une période maximale de 30 jours lorsque la situation le requiert, auquel cas le délai de 10 jours prévu à l’article</w:t>
      </w:r>
      <w:r w:rsidR="00E12E79">
        <w:t> </w:t>
      </w:r>
      <w:r w:rsidRPr="007C65A2">
        <w:t>52 ne s’applique qu’à la prolongation de l’entente.</w:t>
      </w:r>
    </w:p>
    <w:p w14:paraId="0BCFB1E6" w14:textId="77777777" w:rsidR="001F4082" w:rsidRPr="007C65A2" w:rsidRDefault="001F4082" w:rsidP="001F4082">
      <w:pPr>
        <w:spacing w:before="120" w:line="240" w:lineRule="auto"/>
      </w:pPr>
      <w:r w:rsidRPr="007C65A2">
        <w:t>Les modalités de cette entente peuvent être modifiées en tout temps avec le consentement des parties.</w:t>
      </w:r>
    </w:p>
    <w:p w14:paraId="39E86B85" w14:textId="77777777" w:rsidR="001F4082" w:rsidRPr="007C65A2" w:rsidRDefault="001F4082" w:rsidP="001F4082">
      <w:pPr>
        <w:spacing w:before="120" w:line="240" w:lineRule="auto"/>
      </w:pPr>
      <w:r w:rsidRPr="007C65A2">
        <w:rPr>
          <w:b/>
          <w:bCs/>
        </w:rPr>
        <w:t>SECTION VI</w:t>
      </w:r>
    </w:p>
    <w:p w14:paraId="2471922D" w14:textId="77777777" w:rsidR="001F4082" w:rsidRPr="007C65A2" w:rsidRDefault="001F4082" w:rsidP="001F4082">
      <w:pPr>
        <w:spacing w:before="120" w:after="0" w:line="240" w:lineRule="auto"/>
      </w:pPr>
      <w:r w:rsidRPr="007C65A2">
        <w:t>CONTINUATION DES MESURES DE PROTECTION</w:t>
      </w:r>
    </w:p>
    <w:p w14:paraId="34019F6A" w14:textId="07F5D1DF" w:rsidR="001F4082" w:rsidRPr="00F26414" w:rsidRDefault="001F4082" w:rsidP="001F4082">
      <w:pPr>
        <w:spacing w:before="240" w:line="240" w:lineRule="auto"/>
      </w:pPr>
      <w:hyperlink r:id="rId18" w:anchor="se:69" w:history="1">
        <w:r w:rsidRPr="007C65A2">
          <w:rPr>
            <w:rStyle w:val="Lienhypertexte"/>
            <w:b/>
            <w:bCs/>
          </w:rPr>
          <w:t>69.</w:t>
        </w:r>
      </w:hyperlink>
      <w:r w:rsidRPr="007C65A2">
        <w:t> Pour remplir adéquatement ses fonctions, le directeur doit communiquer régulièrement avec l’enfant et sa famille et s’assurer une connaissance des conditions de vie de l’enfant en se rendant sur les lieux le plus souvent possible.</w:t>
      </w:r>
    </w:p>
    <w:p w14:paraId="78F22CFF" w14:textId="3D4D81E5" w:rsidR="000D6967" w:rsidRPr="003B08F5" w:rsidRDefault="000D6967" w:rsidP="001F4082">
      <w:pPr>
        <w:spacing w:before="240" w:after="0" w:line="280" w:lineRule="atLeast"/>
        <w:rPr>
          <w:rFonts w:asciiTheme="minorHAnsi" w:hAnsiTheme="minorHAnsi"/>
          <w:szCs w:val="22"/>
        </w:rPr>
      </w:pPr>
    </w:p>
    <w:sectPr w:rsidR="000D6967" w:rsidRPr="003B08F5" w:rsidSect="001F4082">
      <w:headerReference w:type="even" r:id="rId19"/>
      <w:headerReference w:type="default" r:id="rId20"/>
      <w:footerReference w:type="even" r:id="rId21"/>
      <w:footerReference w:type="default" r:id="rId22"/>
      <w:headerReference w:type="first" r:id="rId23"/>
      <w:footerReference w:type="first" r:id="rId24"/>
      <w:pgSz w:w="12240" w:h="15840"/>
      <w:pgMar w:top="1860" w:right="1077" w:bottom="1843" w:left="1077"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DAE" w14:textId="77777777" w:rsidR="00787256" w:rsidRDefault="00787256">
      <w:pPr>
        <w:spacing w:after="0" w:line="240" w:lineRule="auto"/>
      </w:pPr>
      <w:r>
        <w:separator/>
      </w:r>
    </w:p>
  </w:endnote>
  <w:endnote w:type="continuationSeparator" w:id="0">
    <w:p w14:paraId="2D3FE8D3" w14:textId="77777777" w:rsidR="00787256" w:rsidRDefault="00787256">
      <w:pPr>
        <w:spacing w:after="0" w:line="240" w:lineRule="auto"/>
      </w:pPr>
      <w:r>
        <w:continuationSeparator/>
      </w:r>
    </w:p>
  </w:endnote>
  <w:endnote w:type="continuationNotice" w:id="1">
    <w:p w14:paraId="61C5F0DB" w14:textId="77777777" w:rsidR="00787256" w:rsidRDefault="00787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0E362F0B" w:rsidR="00513322" w:rsidRDefault="00513322">
        <w:pPr>
          <w:pStyle w:val="Pieddepage"/>
        </w:pPr>
        <w:r w:rsidRPr="00C71794">
          <w:t>Résumé des conclusions et recommandations</w:t>
        </w:r>
        <w:r w:rsidR="00A85364">
          <w:t xml:space="preserve"> </w:t>
        </w:r>
        <w:r w:rsidRPr="00C71794">
          <w:t xml:space="preserve">- </w:t>
        </w:r>
        <w:r w:rsidRPr="00E557D9">
          <w:t xml:space="preserve">Enquête individuelle </w:t>
        </w:r>
        <w:r>
          <w:t>–</w:t>
        </w:r>
        <w:r w:rsidRPr="00E557D9">
          <w:t xml:space="preserve"> </w:t>
        </w:r>
        <w:r w:rsidR="001F4082">
          <w:t>Laval</w:t>
        </w:r>
      </w:p>
      <w:p w14:paraId="14F48734" w14:textId="4B26921F" w:rsidR="00513322" w:rsidRDefault="00513322">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81FB" w14:textId="77777777" w:rsidR="00C33EBB" w:rsidRDefault="00C33E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AC79" w14:textId="77777777" w:rsidR="00787256" w:rsidRDefault="00787256">
      <w:pPr>
        <w:spacing w:after="0" w:line="240" w:lineRule="auto"/>
      </w:pPr>
      <w:r>
        <w:separator/>
      </w:r>
    </w:p>
  </w:footnote>
  <w:footnote w:type="continuationSeparator" w:id="0">
    <w:p w14:paraId="4B45469D" w14:textId="77777777" w:rsidR="00787256" w:rsidRDefault="00787256">
      <w:pPr>
        <w:spacing w:after="0" w:line="240" w:lineRule="auto"/>
      </w:pPr>
      <w:r>
        <w:continuationSeparator/>
      </w:r>
    </w:p>
  </w:footnote>
  <w:footnote w:type="continuationNotice" w:id="1">
    <w:p w14:paraId="56247422" w14:textId="77777777" w:rsidR="00787256" w:rsidRDefault="00787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0EFB" w14:textId="77777777" w:rsidR="00C33EBB" w:rsidRDefault="00C33E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pPr>
      <w:pStyle w:val="En-tte"/>
      <w:ind w:left="993"/>
    </w:pPr>
    <w:r>
      <w:rPr>
        <w:noProof/>
      </w:rPr>
      <w:drawing>
        <wp:anchor distT="0" distB="0" distL="114300" distR="114300" simplePos="0" relativeHeight="251658240" behindDoc="1" locked="0" layoutInCell="1" allowOverlap="1" wp14:anchorId="5CC9A06B" wp14:editId="18734B1E">
          <wp:simplePos x="0" y="0"/>
          <wp:positionH relativeFrom="column">
            <wp:posOffset>11990</wp:posOffset>
          </wp:positionH>
          <wp:positionV relativeFrom="paragraph">
            <wp:posOffset>-32825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pPr>
      <w:pStyle w:val="En-tte"/>
      <w:ind w:left="-142"/>
    </w:pPr>
    <w:r>
      <w:rPr>
        <w:noProof/>
      </w:rPr>
      <w:drawing>
        <wp:inline distT="0" distB="0" distL="0" distR="0" wp14:anchorId="5721A970" wp14:editId="0F9A605E">
          <wp:extent cx="1803338" cy="724930"/>
          <wp:effectExtent l="0" t="0" r="6985" b="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7C"/>
    <w:multiLevelType w:val="hybridMultilevel"/>
    <w:tmpl w:val="110688E0"/>
    <w:lvl w:ilvl="0" w:tplc="0C0C0001">
      <w:start w:val="1"/>
      <w:numFmt w:val="bullet"/>
      <w:lvlText w:val=""/>
      <w:lvlJc w:val="left"/>
      <w:pPr>
        <w:ind w:left="720" w:hanging="360"/>
      </w:pPr>
      <w:rPr>
        <w:rFonts w:ascii="Symbol" w:hAnsi="Symbol" w:hint="default"/>
      </w:rPr>
    </w:lvl>
    <w:lvl w:ilvl="1" w:tplc="622004F2">
      <w:numFmt w:val="bullet"/>
      <w:lvlText w:val="•"/>
      <w:lvlJc w:val="left"/>
      <w:pPr>
        <w:ind w:left="1785" w:hanging="705"/>
      </w:pPr>
      <w:rPr>
        <w:rFonts w:ascii="Aptos" w:eastAsia="Calibri" w:hAnsi="Aptos" w:cs="Aptos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5866CAE"/>
    <w:multiLevelType w:val="hybridMultilevel"/>
    <w:tmpl w:val="6980D1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AC26935"/>
    <w:multiLevelType w:val="hybridMultilevel"/>
    <w:tmpl w:val="D96698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6B334A0A"/>
    <w:multiLevelType w:val="hybridMultilevel"/>
    <w:tmpl w:val="63E6FE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0457458">
    <w:abstractNumId w:val="1"/>
  </w:num>
  <w:num w:numId="2" w16cid:durableId="1320574884">
    <w:abstractNumId w:val="5"/>
  </w:num>
  <w:num w:numId="3" w16cid:durableId="1631747438">
    <w:abstractNumId w:val="2"/>
  </w:num>
  <w:num w:numId="4" w16cid:durableId="950667954">
    <w:abstractNumId w:val="0"/>
  </w:num>
  <w:num w:numId="5" w16cid:durableId="296959345">
    <w:abstractNumId w:val="4"/>
  </w:num>
  <w:num w:numId="6" w16cid:durableId="53400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enforcement="1" w:cryptProviderType="rsaAES" w:cryptAlgorithmClass="hash" w:cryptAlgorithmType="typeAny" w:cryptAlgorithmSid="14" w:cryptSpinCount="100000" w:hash="Qmf8W1PyEWeBPtnKZzgh3T1Z2oxrJf9br2Te5dGjuFBcEhTyNTzpQB/dKppkaacNW9oahXJ9AWSbvRdJD064Rg==" w:salt="gVXZqJ9rPuHRbhVIScKBx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27D7C"/>
    <w:rsid w:val="00032C67"/>
    <w:rsid w:val="00065DED"/>
    <w:rsid w:val="00074CF1"/>
    <w:rsid w:val="00085479"/>
    <w:rsid w:val="00095614"/>
    <w:rsid w:val="000D6967"/>
    <w:rsid w:val="001001AF"/>
    <w:rsid w:val="00157688"/>
    <w:rsid w:val="00186EFD"/>
    <w:rsid w:val="001907FA"/>
    <w:rsid w:val="001B4467"/>
    <w:rsid w:val="001C3392"/>
    <w:rsid w:val="001F4082"/>
    <w:rsid w:val="00211167"/>
    <w:rsid w:val="00213CFE"/>
    <w:rsid w:val="00215016"/>
    <w:rsid w:val="0023030D"/>
    <w:rsid w:val="002529A8"/>
    <w:rsid w:val="00271E01"/>
    <w:rsid w:val="002E5E83"/>
    <w:rsid w:val="003803D2"/>
    <w:rsid w:val="003814DF"/>
    <w:rsid w:val="0039296C"/>
    <w:rsid w:val="003B08F5"/>
    <w:rsid w:val="003B5EBB"/>
    <w:rsid w:val="004067EC"/>
    <w:rsid w:val="004071D4"/>
    <w:rsid w:val="00426792"/>
    <w:rsid w:val="00432411"/>
    <w:rsid w:val="00450D41"/>
    <w:rsid w:val="00457CA5"/>
    <w:rsid w:val="004B1FB0"/>
    <w:rsid w:val="004C60FC"/>
    <w:rsid w:val="00513322"/>
    <w:rsid w:val="00561483"/>
    <w:rsid w:val="005628BE"/>
    <w:rsid w:val="00571355"/>
    <w:rsid w:val="005B261D"/>
    <w:rsid w:val="005F21D2"/>
    <w:rsid w:val="006175D2"/>
    <w:rsid w:val="00665447"/>
    <w:rsid w:val="00665DDE"/>
    <w:rsid w:val="006D1612"/>
    <w:rsid w:val="007149B9"/>
    <w:rsid w:val="007204DB"/>
    <w:rsid w:val="00726BF1"/>
    <w:rsid w:val="00742FC8"/>
    <w:rsid w:val="00747551"/>
    <w:rsid w:val="00756632"/>
    <w:rsid w:val="00787256"/>
    <w:rsid w:val="00787FD0"/>
    <w:rsid w:val="00797CF5"/>
    <w:rsid w:val="007B37AB"/>
    <w:rsid w:val="007E1F09"/>
    <w:rsid w:val="008A7567"/>
    <w:rsid w:val="008C761E"/>
    <w:rsid w:val="008D137F"/>
    <w:rsid w:val="0094285F"/>
    <w:rsid w:val="009576C4"/>
    <w:rsid w:val="009E55FA"/>
    <w:rsid w:val="009E57E0"/>
    <w:rsid w:val="00A55926"/>
    <w:rsid w:val="00A80276"/>
    <w:rsid w:val="00A85364"/>
    <w:rsid w:val="00A9188E"/>
    <w:rsid w:val="00B02D6D"/>
    <w:rsid w:val="00B223A1"/>
    <w:rsid w:val="00B3623D"/>
    <w:rsid w:val="00B85E3A"/>
    <w:rsid w:val="00BC61FE"/>
    <w:rsid w:val="00C05BFD"/>
    <w:rsid w:val="00C33EBB"/>
    <w:rsid w:val="00C746AB"/>
    <w:rsid w:val="00C849F4"/>
    <w:rsid w:val="00C84D98"/>
    <w:rsid w:val="00CB0BC3"/>
    <w:rsid w:val="00D02952"/>
    <w:rsid w:val="00D06B9E"/>
    <w:rsid w:val="00D118CF"/>
    <w:rsid w:val="00D26C0D"/>
    <w:rsid w:val="00D45B39"/>
    <w:rsid w:val="00D65627"/>
    <w:rsid w:val="00E12E79"/>
    <w:rsid w:val="00E1569B"/>
    <w:rsid w:val="00E3531A"/>
    <w:rsid w:val="00E9184E"/>
    <w:rsid w:val="00EC1D0C"/>
    <w:rsid w:val="00EC67C7"/>
    <w:rsid w:val="00F360BE"/>
    <w:rsid w:val="00F61964"/>
    <w:rsid w:val="00F82EDC"/>
    <w:rsid w:val="00F8749B"/>
    <w:rsid w:val="00F931F4"/>
    <w:rsid w:val="00FD6D93"/>
    <w:rsid w:val="0C767DEC"/>
    <w:rsid w:val="286AC01C"/>
    <w:rsid w:val="2A389F63"/>
    <w:rsid w:val="2BA290BC"/>
    <w:rsid w:val="3670BA5B"/>
    <w:rsid w:val="37250BC3"/>
    <w:rsid w:val="3AF28AD6"/>
    <w:rsid w:val="424DFFD1"/>
    <w:rsid w:val="4749DB62"/>
    <w:rsid w:val="4C0A1FA2"/>
    <w:rsid w:val="4F88B695"/>
    <w:rsid w:val="55446792"/>
    <w:rsid w:val="566288D9"/>
    <w:rsid w:val="5ED3FACE"/>
    <w:rsid w:val="65AD4C12"/>
    <w:rsid w:val="68271129"/>
    <w:rsid w:val="6A8A8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993581FB-7066-44C7-BD17-55F5E4DD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semiHidden/>
    <w:unhideWhenUsed/>
    <w:qFormat/>
    <w:rsid w:val="005133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semiHidden/>
    <w:rsid w:val="00513322"/>
    <w:rPr>
      <w:rFonts w:eastAsiaTheme="majorEastAsia" w:cstheme="majorBidi"/>
      <w:color w:val="0F4761" w:themeColor="accent1" w:themeShade="BF"/>
      <w:kern w:val="0"/>
      <w:sz w:val="28"/>
      <w:szCs w:val="28"/>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Commentaire">
    <w:name w:val="annotation text"/>
    <w:basedOn w:val="Normal"/>
    <w:link w:val="CommentaireCar"/>
    <w:uiPriority w:val="99"/>
    <w:semiHidden/>
    <w:unhideWhenUsed/>
    <w:rsid w:val="00D65627"/>
    <w:pPr>
      <w:spacing w:line="240" w:lineRule="auto"/>
    </w:pPr>
    <w:rPr>
      <w:sz w:val="20"/>
    </w:rPr>
  </w:style>
  <w:style w:type="character" w:customStyle="1" w:styleId="CommentaireCar">
    <w:name w:val="Commentaire Car"/>
    <w:basedOn w:val="Policepardfaut"/>
    <w:link w:val="Commentaire"/>
    <w:uiPriority w:val="99"/>
    <w:semiHidden/>
    <w:rsid w:val="00D65627"/>
    <w:rPr>
      <w:rFonts w:ascii="Aptos" w:hAnsi="Aptos" w:cs="Aptos Light"/>
      <w:color w:val="000000"/>
      <w:kern w:val="0"/>
      <w:sz w:val="20"/>
      <w:szCs w:val="20"/>
    </w:rPr>
  </w:style>
  <w:style w:type="character" w:styleId="Marquedecommentaire">
    <w:name w:val="annotation reference"/>
    <w:basedOn w:val="Policepardfaut"/>
    <w:uiPriority w:val="99"/>
    <w:semiHidden/>
    <w:unhideWhenUsed/>
    <w:rsid w:val="00D65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yperlink" Target="https://www.legisquebec.gouv.qc.ca/fr/document/lc/P-34.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yperlink" Target="https://www.legisquebec.gouv.qc.ca/fr/document/lc/P-3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Publications" ma:contentTypeID="0x0101005B31C1E327F24A4395DD83803DF5CBECC20099919CE2F4AC0447A66C2705E1F8CB8F" ma:contentTypeVersion="10" ma:contentTypeDescription="" ma:contentTypeScope="" ma:versionID="a0b951ee5aae52e1d9869a851bf31793">
  <xsd:schema xmlns:xsd="http://www.w3.org/2001/XMLSchema" xmlns:xs="http://www.w3.org/2001/XMLSchema" xmlns:p="http://schemas.microsoft.com/office/2006/metadata/properties" xmlns:ns2="3cc706f8-daeb-4c57-a93c-fdf45da762a7" targetNamespace="http://schemas.microsoft.com/office/2006/metadata/properties" ma:root="true" ma:fieldsID="53a2b0b95aca4a07a4ea4f44f812eab5"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66c5a5-9349-45f3-a35d-93d4de43bb68" ContentTypeId="0x0101005B31C1E327F24A4395DD83803DF5CBECC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2.xml><?xml version="1.0" encoding="utf-8"?>
<ds:datastoreItem xmlns:ds="http://schemas.openxmlformats.org/officeDocument/2006/customXml" ds:itemID="{31FEB2C6-0FC7-48F4-BC19-FFBC73AE76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c706f8-daeb-4c57-a93c-fdf45da762a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C045D1-64AD-4665-8220-1157BF16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D63FD-CA88-43CA-8404-E34E1DAFCCAF}">
  <ds:schemaRefs>
    <ds:schemaRef ds:uri="Microsoft.SharePoint.Taxonomy.ContentTypeSync"/>
  </ds:schemaRefs>
</ds:datastoreItem>
</file>

<file path=customXml/itemProps5.xml><?xml version="1.0" encoding="utf-8"?>
<ds:datastoreItem xmlns:ds="http://schemas.openxmlformats.org/officeDocument/2006/customXml" ds:itemID="{1D7A9608-F101-4878-8EF6-3C673C02B23F}">
  <ds:schemaRefs>
    <ds:schemaRef ds:uri="http://schemas.microsoft.com/sharepoint/v3/contenttype/forms"/>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6490</Characters>
  <Application>Microsoft Office Word</Application>
  <DocSecurity>10</DocSecurity>
  <Lines>54</Lines>
  <Paragraphs>15</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–Laval</vt:lpstr>
    </vt:vector>
  </TitlesOfParts>
  <Company/>
  <LinksUpToDate>false</LinksUpToDate>
  <CharactersWithSpaces>7655</CharactersWithSpaces>
  <SharedDoc>false</SharedDoc>
  <HLinks>
    <vt:vector size="42" baseType="variant">
      <vt:variant>
        <vt:i4>4587585</vt:i4>
      </vt:variant>
      <vt:variant>
        <vt:i4>18</vt:i4>
      </vt:variant>
      <vt:variant>
        <vt:i4>0</vt:i4>
      </vt:variant>
      <vt:variant>
        <vt:i4>5</vt:i4>
      </vt:variant>
      <vt:variant>
        <vt:lpwstr>https://www.legisquebec.gouv.qc.ca/fr/document/lc/P-34.1</vt:lpwstr>
      </vt:variant>
      <vt:variant>
        <vt:lpwstr>se:69</vt:lpwstr>
      </vt:variant>
      <vt:variant>
        <vt:i4>1769590</vt:i4>
      </vt:variant>
      <vt:variant>
        <vt:i4>15</vt:i4>
      </vt:variant>
      <vt:variant>
        <vt:i4>0</vt:i4>
      </vt:variant>
      <vt:variant>
        <vt:i4>5</vt:i4>
      </vt:variant>
      <vt:variant>
        <vt:lpwstr>https://www.legisquebec.gouv.qc.ca/fr/document/lc/P-34.1</vt:lpwstr>
      </vt:variant>
      <vt:variant>
        <vt:lpwstr>se:47_1</vt:lpwstr>
      </vt:variant>
      <vt:variant>
        <vt:i4>1835129</vt:i4>
      </vt:variant>
      <vt:variant>
        <vt:i4>12</vt:i4>
      </vt:variant>
      <vt:variant>
        <vt:i4>0</vt:i4>
      </vt:variant>
      <vt:variant>
        <vt:i4>5</vt:i4>
      </vt:variant>
      <vt:variant>
        <vt:lpwstr>https://www.legisquebec.gouv.qc.ca/fr/document/lc/P-34.1</vt:lpwstr>
      </vt:variant>
      <vt:variant>
        <vt:lpwstr>se:38_2</vt:lpwstr>
      </vt:variant>
      <vt:variant>
        <vt:i4>4718657</vt:i4>
      </vt:variant>
      <vt:variant>
        <vt:i4>9</vt:i4>
      </vt:variant>
      <vt:variant>
        <vt:i4>0</vt:i4>
      </vt:variant>
      <vt:variant>
        <vt:i4>5</vt:i4>
      </vt:variant>
      <vt:variant>
        <vt:lpwstr>https://www.legisquebec.gouv.qc.ca/fr/document/lc/P-34.1</vt:lpwstr>
      </vt:variant>
      <vt:variant>
        <vt:lpwstr>se:8</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–Laval</dc:title>
  <dc:subject/>
  <dc:creator>Commission des droits de la personne et des droits de la jeunesse</dc:creator>
  <cp:keywords>Lésion de droits; Enquête; LPJ, Loi sur la protection de la jeunesse; Enfant; Jeune;</cp:keywords>
  <dc:description/>
  <cp:lastModifiedBy>Sophie Ambrosi</cp:lastModifiedBy>
  <cp:revision>3</cp:revision>
  <cp:lastPrinted>2025-02-18T18:29:00Z</cp:lastPrinted>
  <dcterms:created xsi:type="dcterms:W3CDTF">2025-02-18T18:34:00Z</dcterms:created>
  <dcterms:modified xsi:type="dcterms:W3CDTF">2025-02-20T22:35:00Z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0x0101005B31C1E327F24A4395DD83803DF5CBECC20099919CE2F4AC0447A66C2705E1F8CB8F</vt:lpwstr>
  </property>
  <property fmtid="{D5CDD505-2E9C-101B-9397-08002B2CF9AE}" pid="3" name="MediaServiceImageTags">
    <vt:lpwstr/>
  </property>
  <property fmtid="{D5CDD505-2E9C-101B-9397-08002B2CF9AE}" pid="4" name="TypeDocument">
    <vt:lpwstr/>
  </property>
  <property fmtid="{D5CDD505-2E9C-101B-9397-08002B2CF9AE}" pid="5" name="HUBClassification">
    <vt:lpwstr>2077;#05540 Publications|827bc47f-7d09-4c7e-a290-0638818232c6</vt:lpwstr>
  </property>
  <property fmtid="{D5CDD505-2E9C-101B-9397-08002B2CF9AE}" pid="6" name="Support">
    <vt:lpwstr/>
  </property>
  <property fmtid="{D5CDD505-2E9C-101B-9397-08002B2CF9AE}" pid="7" name="e9ece69abe164a1095a5fd7a129dbff3">
    <vt:lpwstr/>
  </property>
  <property fmtid="{D5CDD505-2E9C-101B-9397-08002B2CF9AE}" pid="8" name="lcf76f155ced4ddcb4097134ff3c332f">
    <vt:lpwstr/>
  </property>
</Properties>
</file>