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492F" w14:textId="49E1991E" w:rsidR="00513322" w:rsidRPr="0088107A" w:rsidRDefault="00513322" w:rsidP="0088107A">
      <w:pPr>
        <w:spacing w:before="240" w:after="300" w:line="540" w:lineRule="atLeast"/>
        <w:outlineLvl w:val="0"/>
        <w:rPr>
          <w:rFonts w:eastAsia="Calibri" w:cs="Aptos"/>
          <w:b/>
          <w:bCs/>
          <w:color w:val="00002B"/>
          <w:sz w:val="40"/>
          <w:szCs w:val="40"/>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Enquête individuelle en droits de la jeunesse – Nord-du-Québec</w:t>
      </w:r>
      <w:bookmarkEnd w:id="0"/>
      <w:r w:rsidR="0088107A">
        <w:rPr>
          <w:rStyle w:val="TitreCar"/>
        </w:rPr>
        <w:br/>
      </w:r>
      <w:r w:rsidR="002425CE">
        <w:rPr>
          <w:rFonts w:eastAsia="Calibri" w:cs="Arial"/>
        </w:rPr>
        <w:t>Décision du comité des enquêtes</w:t>
      </w:r>
      <w:r w:rsidR="0022762A">
        <w:rPr>
          <w:rFonts w:eastAsia="Calibri" w:cs="Arial"/>
        </w:rPr>
        <w:t xml:space="preserve">, </w:t>
      </w:r>
      <w:r w:rsidR="002425CE">
        <w:rPr>
          <w:rFonts w:eastAsia="Calibri" w:cs="Arial"/>
        </w:rPr>
        <w:t xml:space="preserve">séance du </w:t>
      </w:r>
      <w:r w:rsidRPr="00513322">
        <w:rPr>
          <w:rFonts w:eastAsia="Calibri" w:cs="Arial"/>
        </w:rPr>
        <w:t>22</w:t>
      </w:r>
      <w:r w:rsidR="00B81241">
        <w:rPr>
          <w:rFonts w:eastAsia="Calibri" w:cs="Arial"/>
        </w:rPr>
        <w:t> </w:t>
      </w:r>
      <w:r w:rsidRPr="00513322">
        <w:rPr>
          <w:rFonts w:eastAsia="Calibri" w:cs="Arial"/>
        </w:rPr>
        <w:t>août 2024</w:t>
      </w:r>
    </w:p>
    <w:p w14:paraId="69057D3E" w14:textId="77777777" w:rsidR="00513322" w:rsidRPr="003814DF" w:rsidRDefault="00513322" w:rsidP="003814DF">
      <w:pPr>
        <w:pStyle w:val="Titre2"/>
      </w:pPr>
      <w:r w:rsidRPr="003814DF">
        <w:t>Résumé de l’enquête</w:t>
      </w:r>
    </w:p>
    <w:p w14:paraId="12A2A664" w14:textId="335F0839" w:rsidR="00513322" w:rsidRPr="00513322" w:rsidRDefault="00513322" w:rsidP="00513322">
      <w:pPr>
        <w:widowControl w:val="0"/>
        <w:numPr>
          <w:ilvl w:val="0"/>
          <w:numId w:val="1"/>
        </w:numPr>
        <w:suppressAutoHyphens w:val="0"/>
        <w:adjustRightInd/>
        <w:spacing w:after="0" w:line="240" w:lineRule="auto"/>
        <w:textAlignment w:val="auto"/>
        <w:rPr>
          <w:rFonts w:eastAsia="Aptos" w:cs="Aptos"/>
          <w:color w:val="auto"/>
          <w:szCs w:val="22"/>
          <w:lang w:eastAsia="fr-CA"/>
          <w14:ligatures w14:val="none"/>
        </w:rPr>
      </w:pPr>
      <w:r w:rsidRPr="00513322">
        <w:rPr>
          <w:rFonts w:eastAsia="Aptos" w:cs="Aptos"/>
          <w:color w:val="auto"/>
          <w:szCs w:val="22"/>
          <w:lang w:eastAsia="fr-CA"/>
          <w14:ligatures w14:val="none"/>
        </w:rPr>
        <w:t>Le 22</w:t>
      </w:r>
      <w:r w:rsidR="00B81241">
        <w:rPr>
          <w:rFonts w:eastAsia="Aptos" w:cs="Aptos"/>
          <w:color w:val="auto"/>
          <w:szCs w:val="22"/>
          <w:lang w:eastAsia="fr-CA"/>
          <w14:ligatures w14:val="none"/>
        </w:rPr>
        <w:t> </w:t>
      </w:r>
      <w:r w:rsidRPr="00513322">
        <w:rPr>
          <w:rFonts w:eastAsia="Aptos" w:cs="Aptos"/>
          <w:color w:val="auto"/>
          <w:szCs w:val="22"/>
          <w:lang w:eastAsia="fr-CA"/>
          <w14:ligatures w14:val="none"/>
        </w:rPr>
        <w:t>août 2023, la Commission transmet un avis d'enquête à la Directrice de la protection de la jeunesse/Directrice provinciale du Conseil Cri de la santé et de services sociaux de la Baie-James et à la Directrice générale du Centre de santé Inuulitsivik, mises en cause;</w:t>
      </w:r>
    </w:p>
    <w:p w14:paraId="23145B60" w14:textId="52698E62" w:rsidR="00513322" w:rsidRPr="00513322" w:rsidRDefault="00513322" w:rsidP="00513322">
      <w:pPr>
        <w:widowControl w:val="0"/>
        <w:numPr>
          <w:ilvl w:val="0"/>
          <w:numId w:val="1"/>
        </w:numPr>
        <w:suppressAutoHyphens w:val="0"/>
        <w:adjustRightInd/>
        <w:spacing w:after="0" w:line="240" w:lineRule="auto"/>
        <w:textAlignment w:val="auto"/>
        <w:rPr>
          <w:rFonts w:eastAsia="Aptos" w:cs="Aptos"/>
          <w:color w:val="auto"/>
          <w:szCs w:val="22"/>
          <w:lang w:eastAsia="fr-CA"/>
          <w14:ligatures w14:val="none"/>
        </w:rPr>
      </w:pPr>
      <w:r w:rsidRPr="00513322">
        <w:rPr>
          <w:rFonts w:eastAsia="Aptos" w:cs="Aptos"/>
          <w:color w:val="auto"/>
          <w:szCs w:val="22"/>
          <w:lang w:eastAsia="fr-CA"/>
          <w14:ligatures w14:val="none"/>
        </w:rPr>
        <w:t>Le 13</w:t>
      </w:r>
      <w:r w:rsidR="00B81241">
        <w:rPr>
          <w:rFonts w:eastAsia="Aptos" w:cs="Aptos"/>
          <w:color w:val="auto"/>
          <w:szCs w:val="22"/>
          <w:lang w:eastAsia="fr-CA"/>
          <w14:ligatures w14:val="none"/>
        </w:rPr>
        <w:t> </w:t>
      </w:r>
      <w:r w:rsidRPr="00513322">
        <w:rPr>
          <w:rFonts w:eastAsia="Aptos" w:cs="Aptos"/>
          <w:color w:val="auto"/>
          <w:szCs w:val="22"/>
          <w:lang w:eastAsia="fr-CA"/>
          <w14:ligatures w14:val="none"/>
        </w:rPr>
        <w:t>février 2024, la Commission transmet l’exposé factuel et l’avis de fin d’enquête à la DPJ et au Directeur général du Conseil Cri de la santé et des services sociaux de la Baie-James.</w:t>
      </w:r>
      <w:r w:rsidR="0088107A">
        <w:rPr>
          <w:rFonts w:eastAsia="Aptos" w:cs="Aptos"/>
          <w:color w:val="auto"/>
          <w:szCs w:val="22"/>
          <w:lang w:eastAsia="fr-CA"/>
          <w14:ligatures w14:val="none"/>
        </w:rPr>
        <w:br/>
      </w:r>
    </w:p>
    <w:p w14:paraId="75E31FDD" w14:textId="77777777" w:rsidR="00513322" w:rsidRPr="003814DF" w:rsidRDefault="00513322" w:rsidP="003814DF">
      <w:pPr>
        <w:pStyle w:val="Titre2"/>
      </w:pPr>
      <w:r w:rsidRPr="003814DF">
        <w:t xml:space="preserve">Conclusions </w:t>
      </w:r>
    </w:p>
    <w:p w14:paraId="254A6ADB" w14:textId="28968DD4" w:rsidR="00513322" w:rsidRPr="003814DF" w:rsidRDefault="00513322" w:rsidP="00513322">
      <w:pPr>
        <w:spacing w:before="180" w:after="90" w:line="260" w:lineRule="atLeast"/>
        <w:outlineLvl w:val="2"/>
        <w:rPr>
          <w:rFonts w:eastAsia="Calibri" w:cs="Aptos"/>
          <w:b/>
          <w:bCs/>
          <w:caps/>
          <w:szCs w:val="22"/>
        </w:rPr>
      </w:pPr>
      <w:r w:rsidRPr="003814DF">
        <w:rPr>
          <w:rFonts w:eastAsia="Calibri" w:cs="Aptos"/>
          <w:b/>
          <w:bCs/>
          <w:caps/>
          <w:szCs w:val="22"/>
        </w:rPr>
        <w:t>CONSID</w:t>
      </w:r>
      <w:r w:rsidR="00FD0A69">
        <w:rPr>
          <w:rFonts w:eastAsia="Calibri" w:cs="Aptos"/>
          <w:b/>
          <w:bCs/>
          <w:caps/>
          <w:szCs w:val="22"/>
        </w:rPr>
        <w:t>É</w:t>
      </w:r>
      <w:r w:rsidRPr="003814DF">
        <w:rPr>
          <w:rFonts w:eastAsia="Calibri" w:cs="Aptos"/>
          <w:b/>
          <w:bCs/>
          <w:caps/>
          <w:szCs w:val="22"/>
        </w:rPr>
        <w:t xml:space="preserve">RANT </w:t>
      </w:r>
    </w:p>
    <w:p w14:paraId="32F219EB" w14:textId="2210A260" w:rsidR="00513322" w:rsidRPr="00513322" w:rsidRDefault="00FD0A69" w:rsidP="00513322">
      <w:pPr>
        <w:numPr>
          <w:ilvl w:val="0"/>
          <w:numId w:val="2"/>
        </w:numPr>
        <w:spacing w:before="120" w:after="90" w:line="280" w:lineRule="atLeast"/>
        <w:contextualSpacing/>
        <w:rPr>
          <w:rFonts w:eastAsia="Calibri"/>
        </w:rPr>
      </w:pPr>
      <w:r>
        <w:rPr>
          <w:rFonts w:eastAsia="Calibri"/>
        </w:rPr>
        <w:t>Q</w:t>
      </w:r>
      <w:r w:rsidR="00513322" w:rsidRPr="00513322">
        <w:rPr>
          <w:rFonts w:eastAsia="Calibri"/>
        </w:rPr>
        <w:t xml:space="preserve">ue l’enquête démontre un suivi social </w:t>
      </w:r>
      <w:r w:rsidR="005D129F">
        <w:rPr>
          <w:rFonts w:eastAsia="Calibri"/>
        </w:rPr>
        <w:t>qui ne répond</w:t>
      </w:r>
      <w:r w:rsidR="00513322" w:rsidRPr="00513322">
        <w:rPr>
          <w:rFonts w:eastAsia="Calibri"/>
        </w:rPr>
        <w:t xml:space="preserve"> pas aux normes ministérielles et à la législation en vigueur depuis le 19</w:t>
      </w:r>
      <w:r w:rsidR="00B81241">
        <w:rPr>
          <w:rFonts w:eastAsia="Calibri"/>
        </w:rPr>
        <w:t> </w:t>
      </w:r>
      <w:r w:rsidR="00513322" w:rsidRPr="00513322">
        <w:rPr>
          <w:rFonts w:eastAsia="Calibri"/>
        </w:rPr>
        <w:t>juillet 2023, tant au niveau des rencontres avec l’enfant qu’au niveau de la rédaction du plan d’intervention ;</w:t>
      </w:r>
    </w:p>
    <w:p w14:paraId="0CD9155B" w14:textId="77777777" w:rsidR="00513322" w:rsidRPr="00513322" w:rsidRDefault="00513322" w:rsidP="00513322">
      <w:pPr>
        <w:numPr>
          <w:ilvl w:val="0"/>
          <w:numId w:val="2"/>
        </w:numPr>
        <w:spacing w:before="120" w:after="90" w:line="280" w:lineRule="atLeast"/>
        <w:contextualSpacing/>
        <w:rPr>
          <w:rFonts w:eastAsia="Calibri"/>
        </w:rPr>
      </w:pPr>
      <w:r w:rsidRPr="00513322">
        <w:rPr>
          <w:rFonts w:eastAsia="Calibri"/>
        </w:rPr>
        <w:t>que les suivis d’activités ne permettent pas de démontrer les actions entreprises par la DPJ pour aider la famille à mettre fin à la situation de compromission;</w:t>
      </w:r>
    </w:p>
    <w:p w14:paraId="7F14F462" w14:textId="43C615B5" w:rsidR="00513322" w:rsidRPr="00513322" w:rsidRDefault="00513322" w:rsidP="00513322">
      <w:pPr>
        <w:numPr>
          <w:ilvl w:val="0"/>
          <w:numId w:val="2"/>
        </w:numPr>
        <w:spacing w:before="120" w:after="90" w:line="280" w:lineRule="atLeast"/>
        <w:contextualSpacing/>
        <w:rPr>
          <w:rFonts w:eastAsia="Calibri"/>
        </w:rPr>
      </w:pPr>
      <w:r w:rsidRPr="00513322">
        <w:rPr>
          <w:rFonts w:eastAsia="Calibri"/>
        </w:rPr>
        <w:t>que la DPJ admet avoir consulté l’enfant à une reprise, avant un transfert, alors que celui-ci a été placé dans cinq familles d’accueil différentes depuis janvier 2023, en plus d’admettre ne jamais avoir ni informé ni consulté les parents avant chaque transfert;</w:t>
      </w:r>
    </w:p>
    <w:p w14:paraId="61F059DF" w14:textId="77777777" w:rsidR="00513322" w:rsidRPr="00513322" w:rsidRDefault="00513322" w:rsidP="00513322">
      <w:pPr>
        <w:numPr>
          <w:ilvl w:val="0"/>
          <w:numId w:val="2"/>
        </w:numPr>
        <w:spacing w:before="120" w:after="90" w:line="280" w:lineRule="atLeast"/>
        <w:contextualSpacing/>
        <w:rPr>
          <w:rFonts w:eastAsia="Calibri"/>
        </w:rPr>
      </w:pPr>
      <w:r w:rsidRPr="00513322">
        <w:rPr>
          <w:rFonts w:eastAsia="Calibri"/>
        </w:rPr>
        <w:t>que l’absence de suivi social ne permette pas la transmission de l’information à l’enfant;</w:t>
      </w:r>
    </w:p>
    <w:p w14:paraId="5CB4AD08" w14:textId="0036D3D7" w:rsidR="00513322" w:rsidRPr="00513322" w:rsidRDefault="00513322" w:rsidP="00513322">
      <w:pPr>
        <w:numPr>
          <w:ilvl w:val="0"/>
          <w:numId w:val="2"/>
        </w:numPr>
        <w:spacing w:before="120" w:after="90" w:line="280" w:lineRule="atLeast"/>
        <w:contextualSpacing/>
        <w:rPr>
          <w:rFonts w:eastAsia="Calibri"/>
        </w:rPr>
      </w:pPr>
      <w:r w:rsidRPr="00513322">
        <w:rPr>
          <w:rFonts w:eastAsia="Calibri"/>
        </w:rPr>
        <w:t>que la DPJ admet que certains contacts sont initiés directement entre le père et la famille d’accueil et qu’ils ne sont pas encadrés par elle;</w:t>
      </w:r>
    </w:p>
    <w:p w14:paraId="1A5EF0C3" w14:textId="77777777" w:rsidR="00513322" w:rsidRPr="003814DF" w:rsidRDefault="00513322" w:rsidP="00513322">
      <w:pPr>
        <w:spacing w:before="180" w:after="90" w:line="260" w:lineRule="atLeast"/>
        <w:outlineLvl w:val="2"/>
        <w:rPr>
          <w:rFonts w:eastAsia="Calibri" w:cs="Aptos"/>
          <w:b/>
          <w:bCs/>
          <w:caps/>
          <w:szCs w:val="22"/>
          <w:lang w:eastAsia="fr-CA"/>
        </w:rPr>
      </w:pPr>
      <w:r w:rsidRPr="003814DF">
        <w:rPr>
          <w:rFonts w:eastAsia="Calibri" w:cs="Aptos"/>
          <w:b/>
          <w:bCs/>
          <w:caps/>
          <w:szCs w:val="22"/>
          <w:lang w:eastAsia="fr-CA"/>
        </w:rPr>
        <w:t>Pour ces motifs,</w:t>
      </w:r>
    </w:p>
    <w:p w14:paraId="47472F0C" w14:textId="41DA3631" w:rsidR="00513322" w:rsidRPr="00513322" w:rsidRDefault="00513322" w:rsidP="00513322">
      <w:pPr>
        <w:spacing w:after="90" w:line="280" w:lineRule="atLeast"/>
        <w:rPr>
          <w:rFonts w:eastAsia="Calibri"/>
          <w:lang w:eastAsia="fr-CA"/>
        </w:rPr>
      </w:pPr>
      <w:r w:rsidRPr="00513322">
        <w:rPr>
          <w:rFonts w:eastAsia="Calibri"/>
          <w:lang w:eastAsia="fr-CA"/>
        </w:rPr>
        <w:t xml:space="preserve">La Commission </w:t>
      </w:r>
      <w:r w:rsidR="00EA7E9D">
        <w:rPr>
          <w:rFonts w:eastAsia="Calibri"/>
          <w:lang w:eastAsia="fr-CA"/>
        </w:rPr>
        <w:t xml:space="preserve">a raison de croire </w:t>
      </w:r>
      <w:r w:rsidRPr="00513322">
        <w:rPr>
          <w:rFonts w:eastAsia="Calibri"/>
          <w:lang w:eastAsia="fr-CA"/>
        </w:rPr>
        <w:t xml:space="preserve">que les droits de l’enfant prévus aux articles 2, 3, 4.4 al. 1 b), 4.5 al. 1 a), 7, 8 et 69 de la </w:t>
      </w:r>
      <w:r w:rsidRPr="00513322">
        <w:rPr>
          <w:rFonts w:eastAsia="Calibri"/>
          <w:i/>
          <w:iCs/>
          <w:lang w:eastAsia="fr-CA"/>
        </w:rPr>
        <w:t xml:space="preserve">Loi sur la protection de la jeunesse </w:t>
      </w:r>
      <w:r w:rsidR="00EA7E9D">
        <w:rPr>
          <w:rFonts w:eastAsia="Calibri"/>
          <w:lang w:eastAsia="fr-CA"/>
        </w:rPr>
        <w:t>ont été lésés</w:t>
      </w:r>
      <w:r w:rsidRPr="00513322">
        <w:rPr>
          <w:rFonts w:eastAsia="Calibri"/>
          <w:lang w:eastAsia="fr-CA"/>
        </w:rPr>
        <w:t xml:space="preserve"> par les mis en cause.</w:t>
      </w:r>
    </w:p>
    <w:p w14:paraId="10E4C0C5" w14:textId="375BF9DB" w:rsidR="00513322" w:rsidRPr="00513322" w:rsidRDefault="00513322" w:rsidP="00513322">
      <w:pPr>
        <w:spacing w:after="90" w:line="280" w:lineRule="atLeast"/>
        <w:rPr>
          <w:rFonts w:eastAsia="Calibri"/>
          <w:lang w:eastAsia="fr-CA"/>
        </w:rPr>
      </w:pPr>
      <w:r w:rsidRPr="00513322">
        <w:rPr>
          <w:rFonts w:eastAsia="Calibri"/>
          <w:lang w:eastAsia="fr-CA"/>
        </w:rPr>
        <w:t xml:space="preserve">De plus, la Commission A </w:t>
      </w:r>
      <w:r w:rsidR="00EA7E9D">
        <w:rPr>
          <w:rFonts w:eastAsia="Calibri"/>
          <w:lang w:eastAsia="fr-CA"/>
        </w:rPr>
        <w:t>des raisons de croire</w:t>
      </w:r>
      <w:r w:rsidRPr="00513322">
        <w:rPr>
          <w:rFonts w:eastAsia="Calibri"/>
          <w:lang w:eastAsia="fr-CA"/>
        </w:rPr>
        <w:t xml:space="preserve"> que les droits prévus à l’article</w:t>
      </w:r>
      <w:r w:rsidR="00B81241">
        <w:rPr>
          <w:rFonts w:eastAsia="Calibri"/>
          <w:lang w:eastAsia="fr-CA"/>
        </w:rPr>
        <w:t> </w:t>
      </w:r>
      <w:r w:rsidRPr="00513322">
        <w:rPr>
          <w:rFonts w:eastAsia="Calibri"/>
          <w:lang w:eastAsia="fr-CA"/>
        </w:rPr>
        <w:t>4</w:t>
      </w:r>
      <w:r w:rsidR="00B81241">
        <w:rPr>
          <w:rFonts w:eastAsia="Calibri"/>
          <w:lang w:eastAsia="fr-CA"/>
        </w:rPr>
        <w:t> </w:t>
      </w:r>
      <w:r w:rsidRPr="00513322">
        <w:rPr>
          <w:rFonts w:eastAsia="Calibri"/>
          <w:lang w:eastAsia="fr-CA"/>
        </w:rPr>
        <w:t xml:space="preserve">al.1 de la </w:t>
      </w:r>
      <w:r w:rsidRPr="00513322">
        <w:rPr>
          <w:rFonts w:eastAsia="Calibri"/>
          <w:i/>
          <w:iCs/>
          <w:lang w:eastAsia="fr-CA"/>
        </w:rPr>
        <w:t xml:space="preserve">Loi sur la protection de la jeunesse </w:t>
      </w:r>
      <w:r w:rsidR="00EA7E9D">
        <w:rPr>
          <w:rFonts w:eastAsia="Calibri"/>
          <w:lang w:eastAsia="fr-CA"/>
        </w:rPr>
        <w:t xml:space="preserve">ont également été lésés </w:t>
      </w:r>
      <w:r w:rsidRPr="00513322">
        <w:rPr>
          <w:rFonts w:eastAsia="Calibri"/>
          <w:lang w:eastAsia="fr-CA"/>
        </w:rPr>
        <w:t>par la DPJ du Conseil Cri de la santé et des services sociaux de la Baie-James.</w:t>
      </w:r>
    </w:p>
    <w:p w14:paraId="0CA4E157" w14:textId="77777777" w:rsidR="0088107A" w:rsidRDefault="0088107A">
      <w:pPr>
        <w:suppressAutoHyphens w:val="0"/>
        <w:autoSpaceDE/>
        <w:autoSpaceDN/>
        <w:adjustRightInd/>
        <w:spacing w:after="160" w:line="259" w:lineRule="auto"/>
        <w:textAlignment w:val="auto"/>
        <w:rPr>
          <w:rFonts w:eastAsia="Calibri" w:cs="Aptos"/>
          <w:b/>
          <w:bCs/>
          <w:color w:val="953D89"/>
          <w:sz w:val="28"/>
          <w:szCs w:val="28"/>
          <w:lang w:eastAsia="fr-CA"/>
        </w:rPr>
      </w:pPr>
      <w:r>
        <w:br w:type="page"/>
      </w:r>
    </w:p>
    <w:p w14:paraId="32C3FE23" w14:textId="3C791845" w:rsidR="00513322" w:rsidRPr="00513322" w:rsidRDefault="00513322" w:rsidP="003814DF">
      <w:pPr>
        <w:pStyle w:val="Titre2"/>
      </w:pPr>
      <w:r w:rsidRPr="00513322">
        <w:lastRenderedPageBreak/>
        <w:t>Recommandations</w:t>
      </w:r>
    </w:p>
    <w:p w14:paraId="23F963E0" w14:textId="22359ACD" w:rsidR="00513322" w:rsidRPr="00513322" w:rsidRDefault="00513322" w:rsidP="00513322">
      <w:pPr>
        <w:spacing w:after="200" w:line="280" w:lineRule="atLeast"/>
        <w:ind w:right="567"/>
        <w:rPr>
          <w:rFonts w:eastAsia="Yu Gothic Light" w:cs="Times New Roman"/>
          <w:bCs/>
          <w:lang w:eastAsia="fr-CA"/>
        </w:rPr>
      </w:pPr>
      <w:r w:rsidRPr="00513322">
        <w:rPr>
          <w:rFonts w:eastAsia="Yu Gothic Light" w:cs="Times New Roman"/>
          <w:bCs/>
          <w:lang w:eastAsia="fr-CA"/>
        </w:rPr>
        <w:t>La Commission RECOMMANDE à la DPJ et au Directeur général du Conseil Cri de la santé et des services sociaux de la Baie-James ce qui suit</w:t>
      </w:r>
      <w:r w:rsidR="0016660F">
        <w:rPr>
          <w:rFonts w:eastAsia="Yu Gothic Light" w:cs="Times New Roman"/>
          <w:bCs/>
          <w:lang w:eastAsia="fr-CA"/>
        </w:rPr>
        <w:t> </w:t>
      </w:r>
      <w:r w:rsidRPr="00513322">
        <w:rPr>
          <w:rFonts w:eastAsia="Yu Gothic Light" w:cs="Times New Roman"/>
          <w:bCs/>
          <w:lang w:eastAsia="fr-CA"/>
        </w:rPr>
        <w:t>:</w:t>
      </w:r>
    </w:p>
    <w:p w14:paraId="5D1F42C5" w14:textId="33E155F8" w:rsidR="00513322" w:rsidRPr="00513322" w:rsidRDefault="00513322" w:rsidP="00D50292">
      <w:pPr>
        <w:spacing w:after="90" w:line="280" w:lineRule="atLeast"/>
        <w:rPr>
          <w:rFonts w:eastAsia="Calibri"/>
        </w:rPr>
      </w:pPr>
      <w:r w:rsidRPr="00513322">
        <w:rPr>
          <w:rFonts w:eastAsia="Calibri"/>
        </w:rPr>
        <w:t xml:space="preserve">DE S’ENGAGER à S’ASSURER que le suivi social offert à </w:t>
      </w:r>
      <w:r w:rsidR="00D50292">
        <w:rPr>
          <w:rFonts w:eastAsia="Calibri"/>
        </w:rPr>
        <w:t xml:space="preserve">l’enfant </w:t>
      </w:r>
      <w:r w:rsidRPr="00513322">
        <w:rPr>
          <w:rFonts w:eastAsia="Calibri"/>
        </w:rPr>
        <w:t>et à ses parents soit conforme à la Loi et aux orientations ministérielles</w:t>
      </w:r>
      <w:r w:rsidR="00D50292">
        <w:rPr>
          <w:rFonts w:eastAsia="Calibri"/>
        </w:rPr>
        <w:t>.</w:t>
      </w:r>
    </w:p>
    <w:p w14:paraId="338954D3" w14:textId="411F7F42" w:rsidR="00513322" w:rsidRPr="00513322" w:rsidRDefault="00513322" w:rsidP="00513322">
      <w:pPr>
        <w:spacing w:after="90" w:line="280" w:lineRule="atLeast"/>
        <w:rPr>
          <w:rFonts w:eastAsia="Calibri"/>
        </w:rPr>
      </w:pPr>
      <w:r w:rsidRPr="00513322">
        <w:rPr>
          <w:rFonts w:eastAsia="Calibri"/>
        </w:rPr>
        <w:t>DE S’ENGAGER à RÉDIGER une note de service destinée aux intervenants à l’application des mesures contenant les éléments suivants</w:t>
      </w:r>
      <w:r w:rsidR="0016660F">
        <w:rPr>
          <w:rFonts w:eastAsia="Calibri"/>
        </w:rPr>
        <w:t> </w:t>
      </w:r>
      <w:r w:rsidRPr="00513322">
        <w:rPr>
          <w:rFonts w:eastAsia="Calibri"/>
        </w:rPr>
        <w:t>:</w:t>
      </w:r>
    </w:p>
    <w:p w14:paraId="3687EF15" w14:textId="77777777" w:rsidR="00513322" w:rsidRPr="00513322" w:rsidRDefault="00513322" w:rsidP="00513322">
      <w:pPr>
        <w:spacing w:after="90" w:line="280" w:lineRule="atLeast"/>
        <w:ind w:left="851"/>
        <w:rPr>
          <w:rFonts w:eastAsia="Calibri"/>
        </w:rPr>
      </w:pPr>
      <w:r w:rsidRPr="00513322">
        <w:rPr>
          <w:rFonts w:eastAsia="Calibri"/>
        </w:rPr>
        <w:t>ii. La nécessité de consulter les enfants, qui sont en mesure de comprendre, avant de les transférer d’un milieu de vie à un autre.</w:t>
      </w:r>
    </w:p>
    <w:p w14:paraId="17EBB699" w14:textId="77777777" w:rsidR="00513322" w:rsidRPr="00513322" w:rsidRDefault="00513322" w:rsidP="00513322">
      <w:pPr>
        <w:spacing w:after="90" w:line="280" w:lineRule="atLeast"/>
        <w:ind w:left="851"/>
        <w:rPr>
          <w:rFonts w:eastAsia="Calibri"/>
        </w:rPr>
      </w:pPr>
      <w:r w:rsidRPr="00513322">
        <w:rPr>
          <w:rFonts w:eastAsia="Calibri"/>
        </w:rPr>
        <w:t>iii. La nécessité de consulter les parents avant de transférer un enfant d’un milieu de vie à un autre.</w:t>
      </w:r>
    </w:p>
    <w:p w14:paraId="48C8C760" w14:textId="60C9D653" w:rsidR="00513322" w:rsidRPr="00513322" w:rsidRDefault="00513322" w:rsidP="00513322">
      <w:pPr>
        <w:spacing w:after="90" w:line="280" w:lineRule="atLeast"/>
        <w:rPr>
          <w:rFonts w:eastAsia="Calibri"/>
        </w:rPr>
      </w:pPr>
      <w:r w:rsidRPr="00513322">
        <w:rPr>
          <w:rFonts w:eastAsia="Calibri"/>
        </w:rPr>
        <w:t xml:space="preserve">INFORMER la Commission de la mise en </w:t>
      </w:r>
      <w:r w:rsidR="00F81AFC">
        <w:rPr>
          <w:rFonts w:eastAsia="Calibri"/>
        </w:rPr>
        <w:t>œ</w:t>
      </w:r>
      <w:r w:rsidRPr="00513322">
        <w:rPr>
          <w:rFonts w:eastAsia="Calibri"/>
        </w:rPr>
        <w:t>uvre dans les trois (3) mois de la réception des recommandations.</w:t>
      </w:r>
      <w:r w:rsidRPr="00513322">
        <w:rPr>
          <w:rFonts w:eastAsia="Calibri"/>
        </w:rPr>
        <w:br w:type="page"/>
      </w:r>
    </w:p>
    <w:p w14:paraId="58398C83" w14:textId="68946812" w:rsidR="00513322" w:rsidRPr="00513322" w:rsidRDefault="00513322" w:rsidP="00EC67C7">
      <w:pPr>
        <w:pStyle w:val="Titre2"/>
      </w:pPr>
      <w:r w:rsidRPr="00513322">
        <w:lastRenderedPageBreak/>
        <w:t>A</w:t>
      </w:r>
      <w:r w:rsidR="005B261D">
        <w:t>NNEXE</w:t>
      </w:r>
      <w:r w:rsidRPr="00513322">
        <w:t xml:space="preserve"> </w:t>
      </w:r>
    </w:p>
    <w:p w14:paraId="0234B4E8" w14:textId="667A023A" w:rsidR="00513322" w:rsidRPr="00F360BE" w:rsidRDefault="00513322" w:rsidP="00F360BE">
      <w:pPr>
        <w:spacing w:after="90" w:line="280" w:lineRule="atLeast"/>
        <w:rPr>
          <w:rFonts w:eastAsia="Calibri"/>
        </w:rPr>
      </w:pPr>
      <w:r w:rsidRPr="00513322">
        <w:rPr>
          <w:rFonts w:eastAsia="Calibri"/>
        </w:rPr>
        <w:t>chapitre</w:t>
      </w:r>
      <w:r w:rsidR="00B81241">
        <w:rPr>
          <w:rFonts w:eastAsia="Calibri"/>
        </w:rPr>
        <w:t> </w:t>
      </w:r>
      <w:r w:rsidRPr="00513322">
        <w:rPr>
          <w:rFonts w:eastAsia="Calibri"/>
        </w:rPr>
        <w:t>P-34.1</w:t>
      </w:r>
      <w:r w:rsidR="00F360BE">
        <w:rPr>
          <w:rFonts w:eastAsia="Calibri"/>
        </w:rPr>
        <w:br/>
      </w:r>
      <w:r w:rsidRPr="00F360BE">
        <w:rPr>
          <w:rFonts w:eastAsia="Calibri" w:cs="Aptos"/>
          <w:b/>
          <w:bCs/>
          <w:caps/>
          <w:szCs w:val="22"/>
        </w:rPr>
        <w:t>LOI SUR LA PROTECTION DE LA JEUNESSE (Extraits)</w:t>
      </w:r>
    </w:p>
    <w:p w14:paraId="3B0CDC82" w14:textId="0E50DEEF" w:rsidR="00513322" w:rsidRPr="003B08F5" w:rsidRDefault="00F360BE" w:rsidP="00513322">
      <w:pPr>
        <w:spacing w:after="0" w:line="280" w:lineRule="atLeast"/>
        <w:rPr>
          <w:rFonts w:asciiTheme="minorHAnsi" w:eastAsia="Calibri" w:hAnsiTheme="minorHAnsi"/>
          <w:b/>
          <w:bCs/>
          <w:szCs w:val="22"/>
        </w:rPr>
      </w:pPr>
      <w:r>
        <w:rPr>
          <w:rFonts w:eastAsia="Calibri"/>
          <w:b/>
          <w:bCs/>
        </w:rPr>
        <w:br/>
      </w:r>
      <w:r w:rsidR="00513322" w:rsidRPr="003B08F5">
        <w:rPr>
          <w:rFonts w:asciiTheme="minorHAnsi" w:eastAsia="Calibri" w:hAnsiTheme="minorHAnsi"/>
          <w:b/>
          <w:bCs/>
          <w:szCs w:val="22"/>
        </w:rPr>
        <w:t xml:space="preserve">CHAPITRE I </w:t>
      </w:r>
      <w:r w:rsidR="00513322" w:rsidRPr="003B08F5">
        <w:rPr>
          <w:rFonts w:asciiTheme="minorHAnsi" w:eastAsia="Calibri" w:hAnsiTheme="minorHAnsi"/>
          <w:szCs w:val="22"/>
        </w:rPr>
        <w:t>INTERPRÉTATION ET APPLICATION</w:t>
      </w:r>
    </w:p>
    <w:p w14:paraId="777431DB" w14:textId="073584EE" w:rsidR="00513322" w:rsidRPr="003B08F5" w:rsidRDefault="00513322" w:rsidP="00513322">
      <w:pPr>
        <w:spacing w:before="120" w:after="0" w:line="280" w:lineRule="atLeast"/>
        <w:rPr>
          <w:rFonts w:asciiTheme="minorHAnsi" w:eastAsia="Calibri" w:hAnsiTheme="minorHAnsi"/>
          <w:szCs w:val="22"/>
        </w:rPr>
      </w:pPr>
      <w:hyperlink r:id="rId12" w:anchor="se:2" w:history="1">
        <w:r w:rsidRPr="003B08F5">
          <w:rPr>
            <w:rFonts w:asciiTheme="minorHAnsi" w:eastAsia="Calibri" w:hAnsiTheme="minorHAnsi"/>
            <w:b/>
            <w:bCs/>
            <w:color w:val="0563C1"/>
            <w:szCs w:val="22"/>
            <w:u w:val="single"/>
          </w:rPr>
          <w:t>2.</w:t>
        </w:r>
      </w:hyperlink>
      <w:r w:rsidRPr="003B08F5">
        <w:rPr>
          <w:rFonts w:asciiTheme="minorHAnsi" w:eastAsia="Calibri" w:hAnsiTheme="minorHAnsi"/>
          <w:szCs w:val="22"/>
        </w:rPr>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3FA98C1B" w14:textId="77777777" w:rsidR="00513322" w:rsidRPr="003B08F5" w:rsidRDefault="00513322" w:rsidP="00513322">
      <w:pPr>
        <w:spacing w:before="120" w:line="280" w:lineRule="atLeast"/>
        <w:rPr>
          <w:rFonts w:asciiTheme="minorHAnsi" w:eastAsia="Calibri" w:hAnsiTheme="minorHAnsi"/>
          <w:szCs w:val="22"/>
        </w:rPr>
      </w:pPr>
      <w:r w:rsidRPr="003B08F5">
        <w:rPr>
          <w:rFonts w:asciiTheme="minorHAnsi" w:eastAsia="Calibri" w:hAnsiTheme="minorHAnsi"/>
          <w:szCs w:val="22"/>
        </w:rPr>
        <w:t>En outre, elle complète les dispositions du Code civil portant sur l’adoption d’un enfant domicilié au Québec ou hors du Québec.</w:t>
      </w:r>
    </w:p>
    <w:p w14:paraId="6670B0DD" w14:textId="2D0661D5" w:rsidR="00513322" w:rsidRPr="003B08F5" w:rsidRDefault="00513322" w:rsidP="00513322">
      <w:pPr>
        <w:spacing w:after="0" w:line="280" w:lineRule="atLeast"/>
        <w:rPr>
          <w:rFonts w:asciiTheme="minorHAnsi" w:eastAsia="Calibri" w:hAnsiTheme="minorHAnsi"/>
          <w:szCs w:val="22"/>
        </w:rPr>
      </w:pPr>
      <w:r w:rsidRPr="003B08F5">
        <w:rPr>
          <w:rFonts w:asciiTheme="minorHAnsi" w:eastAsia="Calibri" w:hAnsiTheme="minorHAnsi"/>
          <w:szCs w:val="22"/>
        </w:rPr>
        <w:t>Enfin, en ces matières, la présente loi prévoit, au chapitre</w:t>
      </w:r>
      <w:r w:rsidR="00B81241">
        <w:rPr>
          <w:rFonts w:asciiTheme="minorHAnsi" w:eastAsia="Calibri" w:hAnsiTheme="minorHAnsi"/>
          <w:szCs w:val="22"/>
        </w:rPr>
        <w:t> </w:t>
      </w:r>
      <w:r w:rsidRPr="003B08F5">
        <w:rPr>
          <w:rFonts w:asciiTheme="minorHAnsi" w:eastAsia="Calibri" w:hAnsiTheme="minorHAnsi"/>
          <w:szCs w:val="22"/>
        </w:rPr>
        <w:t>V.1, des dispositions particulières aux autochtones, lesquelles ajoutent ou dérogent à ses autres dispositions.</w:t>
      </w:r>
    </w:p>
    <w:p w14:paraId="1F5DCC85" w14:textId="77777777" w:rsidR="00095614" w:rsidRPr="003B08F5" w:rsidRDefault="00095614" w:rsidP="00513322">
      <w:pPr>
        <w:spacing w:after="0" w:line="280" w:lineRule="atLeast"/>
        <w:rPr>
          <w:rFonts w:asciiTheme="minorHAnsi" w:eastAsia="Calibri" w:hAnsiTheme="minorHAnsi"/>
          <w:szCs w:val="22"/>
        </w:rPr>
      </w:pPr>
    </w:p>
    <w:p w14:paraId="0C3DEBF3" w14:textId="77777777" w:rsidR="00513322" w:rsidRPr="003B08F5" w:rsidRDefault="00513322" w:rsidP="00513322">
      <w:pPr>
        <w:spacing w:line="280" w:lineRule="atLeast"/>
        <w:rPr>
          <w:rFonts w:asciiTheme="minorHAnsi" w:eastAsia="Calibri" w:hAnsiTheme="minorHAnsi"/>
          <w:b/>
          <w:bCs/>
          <w:szCs w:val="22"/>
        </w:rPr>
      </w:pPr>
      <w:r w:rsidRPr="003B08F5">
        <w:rPr>
          <w:rFonts w:asciiTheme="minorHAnsi" w:eastAsia="Calibri" w:hAnsiTheme="minorHAnsi"/>
          <w:b/>
          <w:bCs/>
          <w:szCs w:val="22"/>
        </w:rPr>
        <w:t xml:space="preserve">CHAPITRE II </w:t>
      </w:r>
      <w:r w:rsidRPr="003B08F5">
        <w:rPr>
          <w:rFonts w:asciiTheme="minorHAnsi" w:eastAsia="Calibri" w:hAnsiTheme="minorHAnsi"/>
          <w:szCs w:val="22"/>
        </w:rPr>
        <w:t>PRINCIPES GÉNÉRAUX, DROITS DE L’ENFANT ET DE SES PARENTS ET RESPONSABILITÉS DES PARENTS</w:t>
      </w:r>
    </w:p>
    <w:p w14:paraId="3E917EB4" w14:textId="77777777" w:rsidR="00513322" w:rsidRPr="003B08F5" w:rsidRDefault="00513322" w:rsidP="00513322">
      <w:pPr>
        <w:spacing w:after="0" w:line="280" w:lineRule="atLeast"/>
        <w:rPr>
          <w:rFonts w:asciiTheme="minorHAnsi" w:eastAsia="Calibri" w:hAnsiTheme="minorHAnsi"/>
          <w:szCs w:val="22"/>
        </w:rPr>
      </w:pPr>
      <w:r w:rsidRPr="003B08F5">
        <w:rPr>
          <w:rFonts w:asciiTheme="minorHAnsi" w:eastAsia="Calibri" w:hAnsiTheme="minorHAnsi"/>
          <w:b/>
          <w:bCs/>
          <w:szCs w:val="22"/>
        </w:rPr>
        <w:t>SECTION I</w:t>
      </w:r>
      <w:r w:rsidRPr="003B08F5">
        <w:rPr>
          <w:rFonts w:asciiTheme="minorHAnsi" w:eastAsia="Calibri" w:hAnsiTheme="minorHAnsi"/>
          <w:szCs w:val="22"/>
        </w:rPr>
        <w:t xml:space="preserve"> PRINCIPES GÉNÉRAUX</w:t>
      </w:r>
    </w:p>
    <w:p w14:paraId="6EB6866C" w14:textId="77777777" w:rsidR="00513322" w:rsidRPr="003B08F5" w:rsidRDefault="00513322" w:rsidP="003B08F5">
      <w:pPr>
        <w:spacing w:after="0" w:line="280" w:lineRule="atLeast"/>
        <w:rPr>
          <w:rFonts w:asciiTheme="minorHAnsi" w:eastAsia="Calibri" w:hAnsiTheme="minorHAnsi"/>
          <w:szCs w:val="22"/>
        </w:rPr>
      </w:pPr>
      <w:hyperlink r:id="rId13" w:anchor="se:3" w:history="1">
        <w:r w:rsidRPr="003B08F5">
          <w:rPr>
            <w:rFonts w:asciiTheme="minorHAnsi" w:eastAsia="Calibri" w:hAnsiTheme="minorHAnsi"/>
            <w:b/>
            <w:bCs/>
            <w:color w:val="0563C1"/>
            <w:szCs w:val="22"/>
            <w:u w:val="single"/>
          </w:rPr>
          <w:t>3.</w:t>
        </w:r>
      </w:hyperlink>
      <w:r w:rsidRPr="003B08F5">
        <w:rPr>
          <w:rFonts w:asciiTheme="minorHAnsi" w:eastAsia="Calibri" w:hAnsiTheme="minorHAnsi"/>
          <w:szCs w:val="22"/>
        </w:rPr>
        <w:t> L’intérêt de l’enfant est la considération primordiale dans l’application de la présente loi. Les décisions prises en vertu de celle-ci doivent l’être dans l’intérêt de l’enfant et dans le respect de ses droits.</w:t>
      </w:r>
    </w:p>
    <w:p w14:paraId="6B4FBE90" w14:textId="77777777" w:rsidR="00513322" w:rsidRPr="003B08F5" w:rsidRDefault="00513322" w:rsidP="00513322">
      <w:pPr>
        <w:spacing w:before="120" w:line="280" w:lineRule="atLeast"/>
        <w:rPr>
          <w:rFonts w:asciiTheme="minorHAnsi" w:eastAsia="Calibri" w:hAnsiTheme="minorHAnsi"/>
          <w:szCs w:val="22"/>
        </w:rPr>
      </w:pPr>
      <w:r w:rsidRPr="003B08F5">
        <w:rPr>
          <w:rFonts w:asciiTheme="minorHAnsi" w:eastAsia="Calibri" w:hAnsiTheme="minorHAnsi"/>
          <w:szCs w:val="22"/>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0B5B2527" w14:textId="18ADAA81" w:rsidR="00513322" w:rsidRPr="003B08F5" w:rsidRDefault="00513322" w:rsidP="00513322">
      <w:pPr>
        <w:spacing w:before="120" w:line="280" w:lineRule="atLeast"/>
        <w:rPr>
          <w:rFonts w:asciiTheme="minorHAnsi" w:eastAsia="Calibri" w:hAnsiTheme="minorHAnsi"/>
          <w:szCs w:val="22"/>
        </w:rPr>
      </w:pPr>
      <w:hyperlink r:id="rId14" w:anchor="se:4" w:history="1">
        <w:r w:rsidRPr="007204DB">
          <w:rPr>
            <w:rFonts w:asciiTheme="minorHAnsi" w:eastAsia="Calibri" w:hAnsiTheme="minorHAnsi"/>
            <w:b/>
            <w:bCs/>
            <w:color w:val="0563C1"/>
            <w:szCs w:val="22"/>
            <w:u w:val="single"/>
          </w:rPr>
          <w:t>4</w:t>
        </w:r>
      </w:hyperlink>
      <w:r w:rsidRPr="007204DB">
        <w:rPr>
          <w:rFonts w:asciiTheme="minorHAnsi" w:eastAsia="Calibri" w:hAnsiTheme="minorHAnsi"/>
          <w:b/>
          <w:bCs/>
          <w:color w:val="0563C1"/>
          <w:szCs w:val="22"/>
          <w:u w:val="single"/>
        </w:rPr>
        <w:t>.</w:t>
      </w:r>
      <w:r w:rsidRPr="003B08F5">
        <w:rPr>
          <w:rFonts w:asciiTheme="minorHAnsi" w:eastAsia="Calibri" w:hAnsiTheme="minorHAnsi"/>
          <w:b/>
          <w:bCs/>
          <w:szCs w:val="22"/>
        </w:rPr>
        <w:t xml:space="preserve"> </w:t>
      </w:r>
      <w:r w:rsidRPr="003B08F5">
        <w:rPr>
          <w:rFonts w:asciiTheme="minorHAnsi" w:eastAsia="Calibri" w:hAnsiTheme="minorHAnsi"/>
          <w:szCs w:val="22"/>
        </w:rPr>
        <w:t>Toute décision prise en vertu de la présente loi doit viser la continuité des soins ainsi que la</w:t>
      </w:r>
      <w:r w:rsidR="003B08F5">
        <w:rPr>
          <w:rFonts w:asciiTheme="minorHAnsi" w:eastAsia="Calibri" w:hAnsiTheme="minorHAnsi"/>
          <w:szCs w:val="22"/>
        </w:rPr>
        <w:t xml:space="preserve"> </w:t>
      </w:r>
      <w:r w:rsidRPr="003B08F5">
        <w:rPr>
          <w:rFonts w:asciiTheme="minorHAnsi" w:eastAsia="Calibri" w:hAnsiTheme="minorHAnsi"/>
          <w:szCs w:val="22"/>
        </w:rPr>
        <w:t>stabilité des liens d’un enfant et des conditions de vie appropriées à ses besoins et à son âge.</w:t>
      </w:r>
      <w:r w:rsidR="003B08F5">
        <w:rPr>
          <w:rFonts w:asciiTheme="minorHAnsi" w:eastAsia="Calibri" w:hAnsiTheme="minorHAnsi"/>
          <w:szCs w:val="22"/>
        </w:rPr>
        <w:t xml:space="preserve"> </w:t>
      </w:r>
      <w:r w:rsidRPr="003B08F5">
        <w:rPr>
          <w:rFonts w:asciiTheme="minorHAnsi" w:eastAsia="Calibri" w:hAnsiTheme="minorHAnsi"/>
          <w:szCs w:val="22"/>
        </w:rPr>
        <w:t>En conséquence, le maintien de l’enfant dans son milieu familial doit être privilégié à condition</w:t>
      </w:r>
      <w:r w:rsidR="003B08F5">
        <w:rPr>
          <w:rFonts w:asciiTheme="minorHAnsi" w:eastAsia="Calibri" w:hAnsiTheme="minorHAnsi"/>
          <w:szCs w:val="22"/>
        </w:rPr>
        <w:t xml:space="preserve"> </w:t>
      </w:r>
      <w:r w:rsidRPr="003B08F5">
        <w:rPr>
          <w:rFonts w:asciiTheme="minorHAnsi" w:eastAsia="Calibri" w:hAnsiTheme="minorHAnsi"/>
          <w:szCs w:val="22"/>
        </w:rPr>
        <w:t>qu’il soit dans l’intérêt de cet enfant.</w:t>
      </w:r>
    </w:p>
    <w:p w14:paraId="42ACF992" w14:textId="77777777" w:rsidR="00513322" w:rsidRPr="003B08F5" w:rsidRDefault="00513322" w:rsidP="00513322">
      <w:pPr>
        <w:spacing w:before="120" w:line="280" w:lineRule="atLeast"/>
        <w:rPr>
          <w:rFonts w:asciiTheme="minorHAnsi" w:eastAsia="Calibri" w:hAnsiTheme="minorHAnsi"/>
          <w:szCs w:val="22"/>
        </w:rPr>
      </w:pPr>
      <w:r w:rsidRPr="003B08F5">
        <w:rPr>
          <w:rFonts w:asciiTheme="minorHAnsi" w:eastAsia="Calibri" w:hAnsiTheme="minorHAnsi"/>
          <w:szCs w:val="22"/>
        </w:rPr>
        <w:t>(…)</w:t>
      </w:r>
    </w:p>
    <w:p w14:paraId="00EF3CEB" w14:textId="7061EB01" w:rsidR="00513322" w:rsidRPr="003B08F5" w:rsidRDefault="00513322" w:rsidP="00513322">
      <w:pPr>
        <w:spacing w:before="120" w:line="280" w:lineRule="atLeast"/>
        <w:rPr>
          <w:rFonts w:asciiTheme="minorHAnsi" w:eastAsia="Calibri" w:hAnsiTheme="minorHAnsi"/>
          <w:szCs w:val="22"/>
        </w:rPr>
      </w:pPr>
      <w:hyperlink r:id="rId15" w:anchor="se:4_4" w:history="1">
        <w:r w:rsidRPr="003B08F5">
          <w:rPr>
            <w:rFonts w:asciiTheme="minorHAnsi" w:eastAsia="Calibri" w:hAnsiTheme="minorHAnsi"/>
            <w:b/>
            <w:bCs/>
            <w:color w:val="0563C1"/>
            <w:szCs w:val="22"/>
            <w:u w:val="single"/>
          </w:rPr>
          <w:t>4.4.</w:t>
        </w:r>
      </w:hyperlink>
      <w:r w:rsidRPr="003B08F5">
        <w:rPr>
          <w:rFonts w:asciiTheme="minorHAnsi" w:eastAsia="Calibri" w:hAnsiTheme="minorHAnsi"/>
          <w:szCs w:val="22"/>
        </w:rPr>
        <w:t> Les personnes à qui la présente loi confie des responsabilités envers l’enfant ainsi que celles appelées à prendre des décisions à son sujet en vertu de cette loi doivent, lors de leurs interventions</w:t>
      </w:r>
      <w:r w:rsidR="0016660F">
        <w:rPr>
          <w:rFonts w:asciiTheme="minorHAnsi" w:eastAsia="Calibri" w:hAnsiTheme="minorHAnsi"/>
          <w:szCs w:val="22"/>
        </w:rPr>
        <w:t> </w:t>
      </w:r>
      <w:r w:rsidRPr="003B08F5">
        <w:rPr>
          <w:rFonts w:asciiTheme="minorHAnsi" w:eastAsia="Calibri" w:hAnsiTheme="minorHAnsi"/>
          <w:szCs w:val="22"/>
        </w:rPr>
        <w:t>: (…)</w:t>
      </w:r>
    </w:p>
    <w:p w14:paraId="0DAB8AAC" w14:textId="77777777" w:rsidR="00085479" w:rsidRDefault="00513322" w:rsidP="00513322">
      <w:pPr>
        <w:spacing w:line="280" w:lineRule="atLeast"/>
        <w:rPr>
          <w:rFonts w:asciiTheme="minorHAnsi" w:eastAsia="Calibri" w:hAnsiTheme="minorHAnsi"/>
          <w:szCs w:val="22"/>
        </w:rPr>
      </w:pPr>
      <w:r w:rsidRPr="003B08F5">
        <w:rPr>
          <w:rFonts w:asciiTheme="minorHAnsi" w:eastAsia="Calibri" w:hAnsiTheme="minorHAnsi"/>
          <w:i/>
          <w:iCs/>
          <w:szCs w:val="22"/>
        </w:rPr>
        <w:t>b</w:t>
      </w:r>
      <w:r w:rsidRPr="003B08F5">
        <w:rPr>
          <w:rFonts w:asciiTheme="minorHAnsi" w:eastAsia="Calibri" w:hAnsiTheme="minorHAnsi"/>
          <w:szCs w:val="22"/>
        </w:rPr>
        <w:t>) </w:t>
      </w:r>
      <w:r w:rsidRPr="003B08F5">
        <w:rPr>
          <w:rFonts w:asciiTheme="minorHAnsi" w:eastAsia="Calibri" w:hAnsiTheme="minorHAnsi"/>
          <w:i/>
          <w:iCs/>
          <w:szCs w:val="22"/>
        </w:rPr>
        <w:t> </w:t>
      </w:r>
      <w:r w:rsidRPr="003B08F5">
        <w:rPr>
          <w:rFonts w:asciiTheme="minorHAnsi" w:eastAsia="Calibri" w:hAnsiTheme="minorHAnsi"/>
          <w:szCs w:val="22"/>
        </w:rPr>
        <w:t>agir avec diligence pour assurer la sécurité ou le développement de l’enfant, compte tenu que la notion de temps chez l’enfant est différente de celle des adultes;(…)</w:t>
      </w:r>
    </w:p>
    <w:p w14:paraId="39B53A83" w14:textId="2012D614" w:rsidR="00513322" w:rsidRPr="003B08F5" w:rsidRDefault="00513322" w:rsidP="00513322">
      <w:pPr>
        <w:spacing w:line="280" w:lineRule="atLeast"/>
        <w:rPr>
          <w:rFonts w:asciiTheme="minorHAnsi" w:eastAsia="Calibri" w:hAnsiTheme="minorHAnsi"/>
          <w:szCs w:val="22"/>
        </w:rPr>
      </w:pPr>
      <w:r w:rsidRPr="003B08F5">
        <w:rPr>
          <w:rFonts w:asciiTheme="minorHAnsi" w:eastAsia="Calibri" w:hAnsiTheme="minorHAnsi"/>
          <w:szCs w:val="22"/>
        </w:rPr>
        <w:t>(…)</w:t>
      </w:r>
    </w:p>
    <w:p w14:paraId="08061B15" w14:textId="77817202" w:rsidR="00513322" w:rsidRPr="003B08F5" w:rsidRDefault="00513322" w:rsidP="00513322">
      <w:pPr>
        <w:spacing w:line="280" w:lineRule="atLeast"/>
        <w:rPr>
          <w:rFonts w:asciiTheme="minorHAnsi" w:eastAsia="Calibri" w:hAnsiTheme="minorHAnsi"/>
          <w:szCs w:val="22"/>
        </w:rPr>
      </w:pPr>
      <w:hyperlink r:id="rId16" w:anchor="se:4_5" w:history="1">
        <w:r w:rsidRPr="00F8749B">
          <w:rPr>
            <w:b/>
            <w:bCs/>
            <w:color w:val="0563C1"/>
            <w:u w:val="single"/>
          </w:rPr>
          <w:t>4.5</w:t>
        </w:r>
      </w:hyperlink>
      <w:r w:rsidRPr="00F8749B">
        <w:rPr>
          <w:rFonts w:asciiTheme="minorHAnsi" w:eastAsia="Calibri" w:hAnsiTheme="minorHAnsi"/>
          <w:b/>
          <w:bCs/>
          <w:color w:val="0563C1"/>
          <w:szCs w:val="22"/>
          <w:u w:val="single"/>
        </w:rPr>
        <w:t>.</w:t>
      </w:r>
      <w:r w:rsidRPr="007204DB">
        <w:rPr>
          <w:rFonts w:asciiTheme="minorHAnsi" w:eastAsia="Calibri" w:hAnsiTheme="minorHAnsi"/>
          <w:b/>
          <w:bCs/>
          <w:color w:val="0563C1"/>
          <w:szCs w:val="22"/>
          <w:u w:val="single"/>
        </w:rPr>
        <w:t xml:space="preserve"> </w:t>
      </w:r>
      <w:r w:rsidRPr="003B08F5">
        <w:rPr>
          <w:rFonts w:asciiTheme="minorHAnsi" w:eastAsia="Calibri" w:hAnsiTheme="minorHAnsi"/>
          <w:szCs w:val="22"/>
        </w:rPr>
        <w:t>Les établissements, les organismes et les personnes à qui la présente loi confie des</w:t>
      </w:r>
      <w:r w:rsidR="003B08F5">
        <w:rPr>
          <w:rFonts w:asciiTheme="minorHAnsi" w:eastAsia="Calibri" w:hAnsiTheme="minorHAnsi"/>
          <w:szCs w:val="22"/>
        </w:rPr>
        <w:t xml:space="preserve"> </w:t>
      </w:r>
      <w:r w:rsidRPr="003B08F5">
        <w:rPr>
          <w:rFonts w:asciiTheme="minorHAnsi" w:eastAsia="Calibri" w:hAnsiTheme="minorHAnsi"/>
          <w:szCs w:val="22"/>
        </w:rPr>
        <w:t>responsabilités envers l’enfant ainsi que celles appelées à prendre des décisions à son sujet en</w:t>
      </w:r>
      <w:r w:rsidR="003B08F5">
        <w:rPr>
          <w:rFonts w:asciiTheme="minorHAnsi" w:eastAsia="Calibri" w:hAnsiTheme="minorHAnsi"/>
          <w:szCs w:val="22"/>
        </w:rPr>
        <w:t xml:space="preserve"> </w:t>
      </w:r>
      <w:r w:rsidRPr="003B08F5">
        <w:rPr>
          <w:rFonts w:asciiTheme="minorHAnsi" w:eastAsia="Calibri" w:hAnsiTheme="minorHAnsi"/>
          <w:szCs w:val="22"/>
        </w:rPr>
        <w:t>vertu de cette loi doivent</w:t>
      </w:r>
      <w:r w:rsidR="0016660F">
        <w:rPr>
          <w:rFonts w:asciiTheme="minorHAnsi" w:eastAsia="Calibri" w:hAnsiTheme="minorHAnsi"/>
          <w:szCs w:val="22"/>
        </w:rPr>
        <w:t> </w:t>
      </w:r>
      <w:r w:rsidRPr="003B08F5">
        <w:rPr>
          <w:rFonts w:asciiTheme="minorHAnsi" w:eastAsia="Calibri" w:hAnsiTheme="minorHAnsi"/>
          <w:szCs w:val="22"/>
        </w:rPr>
        <w:t>:</w:t>
      </w:r>
    </w:p>
    <w:p w14:paraId="3EDF78AD" w14:textId="3CAAB2C6" w:rsidR="00513322" w:rsidRPr="003B08F5" w:rsidRDefault="00513322" w:rsidP="00513322">
      <w:pPr>
        <w:spacing w:line="280" w:lineRule="atLeast"/>
        <w:rPr>
          <w:rFonts w:asciiTheme="minorHAnsi" w:eastAsia="Calibri" w:hAnsiTheme="minorHAnsi"/>
          <w:szCs w:val="22"/>
        </w:rPr>
      </w:pPr>
      <w:r w:rsidRPr="003B08F5">
        <w:rPr>
          <w:rFonts w:asciiTheme="minorHAnsi" w:eastAsia="Calibri" w:hAnsiTheme="minorHAnsi"/>
          <w:szCs w:val="22"/>
        </w:rPr>
        <w:t>a) favoriser la participation de l’enfant et de ses parents ainsi que l’implication de la communauté;(…)</w:t>
      </w:r>
    </w:p>
    <w:p w14:paraId="459A1344" w14:textId="77777777" w:rsidR="003B08F5" w:rsidRDefault="003B08F5">
      <w:pPr>
        <w:suppressAutoHyphens w:val="0"/>
        <w:autoSpaceDE/>
        <w:autoSpaceDN/>
        <w:adjustRightInd/>
        <w:spacing w:after="160" w:line="259" w:lineRule="auto"/>
        <w:textAlignment w:val="auto"/>
        <w:rPr>
          <w:rFonts w:asciiTheme="minorHAnsi" w:eastAsia="Calibri" w:hAnsiTheme="minorHAnsi"/>
          <w:b/>
          <w:bCs/>
          <w:szCs w:val="22"/>
        </w:rPr>
      </w:pPr>
      <w:r>
        <w:rPr>
          <w:rFonts w:asciiTheme="minorHAnsi" w:eastAsia="Calibri" w:hAnsiTheme="minorHAnsi"/>
          <w:b/>
          <w:bCs/>
          <w:szCs w:val="22"/>
        </w:rPr>
        <w:br w:type="page"/>
      </w:r>
    </w:p>
    <w:p w14:paraId="1E256C53" w14:textId="09C42A5E" w:rsidR="00513322" w:rsidRPr="003B08F5" w:rsidRDefault="00513322" w:rsidP="00513322">
      <w:pPr>
        <w:spacing w:after="0" w:line="280" w:lineRule="atLeast"/>
        <w:rPr>
          <w:rFonts w:asciiTheme="minorHAnsi" w:eastAsia="Calibri" w:hAnsiTheme="minorHAnsi"/>
          <w:szCs w:val="22"/>
        </w:rPr>
      </w:pPr>
      <w:r w:rsidRPr="003B08F5">
        <w:rPr>
          <w:rFonts w:asciiTheme="minorHAnsi" w:eastAsia="Calibri" w:hAnsiTheme="minorHAnsi"/>
          <w:b/>
          <w:bCs/>
          <w:szCs w:val="22"/>
        </w:rPr>
        <w:lastRenderedPageBreak/>
        <w:t>SECTION II</w:t>
      </w:r>
      <w:r w:rsidRPr="003B08F5">
        <w:rPr>
          <w:rFonts w:asciiTheme="minorHAnsi" w:eastAsia="Calibri" w:hAnsiTheme="minorHAnsi"/>
          <w:szCs w:val="22"/>
        </w:rPr>
        <w:t xml:space="preserve"> DROITS DE L’ENFANT ET DE SES PARENTS</w:t>
      </w:r>
    </w:p>
    <w:p w14:paraId="3BD16EEA" w14:textId="0ABF1213" w:rsidR="00513322" w:rsidRPr="003B08F5" w:rsidRDefault="00513322" w:rsidP="003B08F5">
      <w:pPr>
        <w:spacing w:after="0" w:line="280" w:lineRule="atLeast"/>
        <w:rPr>
          <w:rFonts w:asciiTheme="minorHAnsi" w:eastAsia="Calibri" w:hAnsiTheme="minorHAnsi"/>
          <w:szCs w:val="22"/>
        </w:rPr>
      </w:pPr>
      <w:hyperlink r:id="rId17" w:anchor="se:7" w:history="1">
        <w:r w:rsidRPr="00F8749B">
          <w:rPr>
            <w:b/>
            <w:bCs/>
            <w:color w:val="0563C1"/>
          </w:rPr>
          <w:t>7</w:t>
        </w:r>
      </w:hyperlink>
      <w:r w:rsidRPr="00F8749B">
        <w:rPr>
          <w:rFonts w:asciiTheme="minorHAnsi" w:eastAsia="Calibri" w:hAnsiTheme="minorHAnsi"/>
          <w:b/>
          <w:bCs/>
          <w:color w:val="0563C1"/>
          <w:szCs w:val="22"/>
          <w:u w:val="single"/>
        </w:rPr>
        <w:t xml:space="preserve">. </w:t>
      </w:r>
      <w:r w:rsidRPr="003B08F5">
        <w:rPr>
          <w:rFonts w:asciiTheme="minorHAnsi" w:eastAsia="Calibri" w:hAnsiTheme="minorHAnsi"/>
          <w:szCs w:val="22"/>
        </w:rPr>
        <w:t>Avant qu’un enfant ne soit transféré d’un milieu de vie substitut à un autre, les parents de</w:t>
      </w:r>
      <w:r w:rsidR="003B08F5">
        <w:rPr>
          <w:rFonts w:asciiTheme="minorHAnsi" w:eastAsia="Calibri" w:hAnsiTheme="minorHAnsi"/>
          <w:szCs w:val="22"/>
        </w:rPr>
        <w:t xml:space="preserve"> </w:t>
      </w:r>
      <w:r w:rsidRPr="003B08F5">
        <w:rPr>
          <w:rFonts w:asciiTheme="minorHAnsi" w:eastAsia="Calibri" w:hAnsiTheme="minorHAnsi"/>
          <w:szCs w:val="22"/>
        </w:rPr>
        <w:t>l’enfant et celui-ci, s’il est en mesure de comprendre, doivent être consultés.</w:t>
      </w:r>
      <w:r w:rsidR="003B08F5">
        <w:rPr>
          <w:rFonts w:asciiTheme="minorHAnsi" w:eastAsia="Calibri" w:hAnsiTheme="minorHAnsi"/>
          <w:szCs w:val="22"/>
        </w:rPr>
        <w:t xml:space="preserve"> </w:t>
      </w:r>
      <w:r w:rsidRPr="003B08F5">
        <w:rPr>
          <w:rFonts w:asciiTheme="minorHAnsi" w:eastAsia="Calibri" w:hAnsiTheme="minorHAnsi"/>
          <w:szCs w:val="22"/>
        </w:rPr>
        <w:t>L’enfant doit recevoir l’information et la préparation nécessaires à son transfert.</w:t>
      </w:r>
      <w:r w:rsidR="003B08F5">
        <w:rPr>
          <w:rFonts w:asciiTheme="minorHAnsi" w:eastAsia="Calibri" w:hAnsiTheme="minorHAnsi"/>
          <w:szCs w:val="22"/>
        </w:rPr>
        <w:t xml:space="preserve"> </w:t>
      </w:r>
      <w:r w:rsidRPr="003B08F5">
        <w:rPr>
          <w:rFonts w:asciiTheme="minorHAnsi" w:eastAsia="Calibri" w:hAnsiTheme="minorHAnsi"/>
          <w:szCs w:val="22"/>
        </w:rPr>
        <w:t>Le milieu de vie substitut à qui l’enfant est confié est également consulté, à moins que cela ne</w:t>
      </w:r>
      <w:r w:rsidR="003B08F5">
        <w:rPr>
          <w:rFonts w:asciiTheme="minorHAnsi" w:eastAsia="Calibri" w:hAnsiTheme="minorHAnsi"/>
          <w:szCs w:val="22"/>
        </w:rPr>
        <w:t xml:space="preserve"> </w:t>
      </w:r>
      <w:r w:rsidRPr="003B08F5">
        <w:rPr>
          <w:rFonts w:asciiTheme="minorHAnsi" w:eastAsia="Calibri" w:hAnsiTheme="minorHAnsi"/>
          <w:szCs w:val="22"/>
        </w:rPr>
        <w:t>soit contraire à l’intérêt de l’enfant.</w:t>
      </w:r>
    </w:p>
    <w:p w14:paraId="6C98E38B" w14:textId="77777777" w:rsidR="00513322" w:rsidRPr="003B08F5" w:rsidRDefault="00513322" w:rsidP="00513322">
      <w:pPr>
        <w:spacing w:before="120" w:after="0" w:line="280" w:lineRule="atLeast"/>
        <w:rPr>
          <w:rFonts w:asciiTheme="minorHAnsi" w:eastAsia="Calibri" w:hAnsiTheme="minorHAnsi"/>
          <w:szCs w:val="22"/>
        </w:rPr>
      </w:pPr>
      <w:hyperlink r:id="rId18" w:anchor="se:8" w:history="1">
        <w:r w:rsidRPr="003B08F5">
          <w:rPr>
            <w:rFonts w:asciiTheme="minorHAnsi" w:eastAsia="Calibri" w:hAnsiTheme="minorHAnsi"/>
            <w:b/>
            <w:bCs/>
            <w:color w:val="0563C1"/>
            <w:szCs w:val="22"/>
            <w:u w:val="single"/>
          </w:rPr>
          <w:t>8.</w:t>
        </w:r>
      </w:hyperlink>
      <w:r w:rsidRPr="003B08F5">
        <w:rPr>
          <w:rFonts w:asciiTheme="minorHAnsi" w:eastAsia="Calibri" w:hAnsiTheme="minorHAnsi"/>
          <w:szCs w:val="22"/>
        </w:rPr>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405E31D9" w14:textId="77777777" w:rsidR="00513322" w:rsidRPr="003B08F5" w:rsidRDefault="00513322" w:rsidP="00513322">
      <w:pPr>
        <w:spacing w:before="120" w:after="0" w:line="280" w:lineRule="atLeast"/>
        <w:rPr>
          <w:rFonts w:asciiTheme="minorHAnsi" w:eastAsia="Calibri" w:hAnsiTheme="minorHAnsi"/>
          <w:szCs w:val="22"/>
        </w:rPr>
      </w:pPr>
    </w:p>
    <w:p w14:paraId="78AB3077" w14:textId="77777777" w:rsidR="00513322" w:rsidRPr="003B08F5" w:rsidRDefault="00513322" w:rsidP="00513322">
      <w:pPr>
        <w:spacing w:after="0" w:line="280" w:lineRule="atLeast"/>
        <w:rPr>
          <w:rFonts w:asciiTheme="minorHAnsi" w:eastAsia="Calibri" w:hAnsiTheme="minorHAnsi"/>
          <w:szCs w:val="22"/>
        </w:rPr>
      </w:pPr>
      <w:r w:rsidRPr="003B08F5">
        <w:rPr>
          <w:rFonts w:asciiTheme="minorHAnsi" w:eastAsia="Calibri" w:hAnsiTheme="minorHAnsi"/>
          <w:b/>
          <w:bCs/>
          <w:szCs w:val="22"/>
        </w:rPr>
        <w:t>SECTION VI</w:t>
      </w:r>
      <w:r w:rsidRPr="003B08F5">
        <w:rPr>
          <w:rFonts w:asciiTheme="minorHAnsi" w:eastAsia="Calibri" w:hAnsiTheme="minorHAnsi"/>
          <w:szCs w:val="22"/>
        </w:rPr>
        <w:t xml:space="preserve"> CONTINUATION DES MESURES DE PROTECTION</w:t>
      </w:r>
    </w:p>
    <w:p w14:paraId="5A6F2EE1" w14:textId="77777777" w:rsidR="00513322" w:rsidRPr="003B08F5" w:rsidRDefault="00513322" w:rsidP="003B08F5">
      <w:pPr>
        <w:spacing w:after="0" w:line="280" w:lineRule="atLeast"/>
        <w:rPr>
          <w:rFonts w:asciiTheme="minorHAnsi" w:eastAsia="Calibri" w:hAnsiTheme="minorHAnsi"/>
          <w:szCs w:val="22"/>
        </w:rPr>
      </w:pPr>
      <w:hyperlink r:id="rId19" w:anchor="se:69" w:history="1">
        <w:r w:rsidRPr="003B08F5">
          <w:rPr>
            <w:rFonts w:asciiTheme="minorHAnsi" w:eastAsia="Calibri" w:hAnsiTheme="minorHAnsi"/>
            <w:b/>
            <w:bCs/>
            <w:color w:val="0563C1"/>
            <w:szCs w:val="22"/>
            <w:u w:val="single"/>
          </w:rPr>
          <w:t>69.</w:t>
        </w:r>
      </w:hyperlink>
      <w:r w:rsidRPr="003B08F5">
        <w:rPr>
          <w:rFonts w:asciiTheme="minorHAnsi" w:eastAsia="Calibri" w:hAnsiTheme="minorHAnsi"/>
          <w:szCs w:val="22"/>
        </w:rPr>
        <w:t> Pour remplir adéquatement ses fonctions, le directeur doit communiquer régulièrement avec l’enfant et sa famille et s’assurer une connaissance des conditions de vie de l’enfant en se rendant sur les lieux le plus souvent possible.</w:t>
      </w:r>
    </w:p>
    <w:p w14:paraId="76664C12" w14:textId="77777777" w:rsidR="00513322" w:rsidRPr="003B08F5" w:rsidRDefault="00513322" w:rsidP="003B08F5">
      <w:pPr>
        <w:spacing w:line="280" w:lineRule="atLeast"/>
        <w:rPr>
          <w:rFonts w:asciiTheme="minorHAnsi" w:eastAsia="Calibri" w:hAnsiTheme="minorHAnsi"/>
          <w:szCs w:val="22"/>
        </w:rPr>
      </w:pPr>
    </w:p>
    <w:p w14:paraId="78F22CFF" w14:textId="77777777" w:rsidR="000D6967" w:rsidRPr="003B08F5" w:rsidRDefault="000D6967">
      <w:pPr>
        <w:rPr>
          <w:rFonts w:asciiTheme="minorHAnsi" w:hAnsiTheme="minorHAnsi"/>
          <w:szCs w:val="22"/>
        </w:rPr>
      </w:pPr>
    </w:p>
    <w:sectPr w:rsidR="000D6967" w:rsidRPr="003B08F5" w:rsidSect="00513322">
      <w:headerReference w:type="even" r:id="rId20"/>
      <w:headerReference w:type="default" r:id="rId21"/>
      <w:footerReference w:type="even" r:id="rId22"/>
      <w:footerReference w:type="default" r:id="rId23"/>
      <w:headerReference w:type="first" r:id="rId24"/>
      <w:footerReference w:type="first" r:id="rId25"/>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DEA5" w14:textId="77777777" w:rsidR="009B3B38" w:rsidRDefault="009B3B38">
      <w:pPr>
        <w:spacing w:after="0" w:line="240" w:lineRule="auto"/>
      </w:pPr>
      <w:r>
        <w:separator/>
      </w:r>
    </w:p>
  </w:endnote>
  <w:endnote w:type="continuationSeparator" w:id="0">
    <w:p w14:paraId="730853DF" w14:textId="77777777" w:rsidR="009B3B38" w:rsidRDefault="009B3B38">
      <w:pPr>
        <w:spacing w:after="0" w:line="240" w:lineRule="auto"/>
      </w:pPr>
      <w:r>
        <w:continuationSeparator/>
      </w:r>
    </w:p>
  </w:endnote>
  <w:endnote w:type="continuationNotice" w:id="1">
    <w:p w14:paraId="4208E0B6" w14:textId="77777777" w:rsidR="009B3B38" w:rsidRDefault="009B3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4A4CA351"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individuelle </w:t>
        </w:r>
        <w:r>
          <w:t>–</w:t>
        </w:r>
        <w:r w:rsidRPr="00E557D9">
          <w:t xml:space="preserve"> </w:t>
        </w:r>
        <w:r>
          <w:t>Nord-du-Québec</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1A11" w14:textId="77777777" w:rsidR="008D447E" w:rsidRDefault="008D44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D97B" w14:textId="77777777" w:rsidR="009B3B38" w:rsidRDefault="009B3B38">
      <w:pPr>
        <w:spacing w:after="0" w:line="240" w:lineRule="auto"/>
      </w:pPr>
      <w:r>
        <w:separator/>
      </w:r>
    </w:p>
  </w:footnote>
  <w:footnote w:type="continuationSeparator" w:id="0">
    <w:p w14:paraId="1B337DC8" w14:textId="77777777" w:rsidR="009B3B38" w:rsidRDefault="009B3B38">
      <w:pPr>
        <w:spacing w:after="0" w:line="240" w:lineRule="auto"/>
      </w:pPr>
      <w:r>
        <w:continuationSeparator/>
      </w:r>
    </w:p>
  </w:footnote>
  <w:footnote w:type="continuationNotice" w:id="1">
    <w:p w14:paraId="73FE066C" w14:textId="77777777" w:rsidR="009B3B38" w:rsidRDefault="009B3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9F3C" w14:textId="77777777" w:rsidR="008D447E" w:rsidRDefault="008D44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5CBCB65E">
          <wp:simplePos x="0" y="0"/>
          <wp:positionH relativeFrom="margin">
            <wp:align>left</wp:align>
          </wp:positionH>
          <wp:positionV relativeFrom="paragraph">
            <wp:posOffset>10375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0F9A605E">
          <wp:extent cx="1803338" cy="724930"/>
          <wp:effectExtent l="0" t="0" r="6985" b="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0457458">
    <w:abstractNumId w:val="0"/>
  </w:num>
  <w:num w:numId="2" w16cid:durableId="132057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enforcement="1" w:cryptProviderType="rsaAES" w:cryptAlgorithmClass="hash" w:cryptAlgorithmType="typeAny" w:cryptAlgorithmSid="14" w:cryptSpinCount="100000" w:hash="0qxDvsGD5rRuacb6YJM8wXcWDAIVnJmhYLy0ESV5rM4rPdK9WqTlwxMoeKQ1RG3nIo6khQJnyjyRPcG7eg7IGg==" w:salt="N8mYnE2TUYmvtSAMHd3//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24194"/>
    <w:rsid w:val="00060D64"/>
    <w:rsid w:val="00085479"/>
    <w:rsid w:val="00095614"/>
    <w:rsid w:val="000D6967"/>
    <w:rsid w:val="0016660F"/>
    <w:rsid w:val="001C65CF"/>
    <w:rsid w:val="0020008D"/>
    <w:rsid w:val="0021737A"/>
    <w:rsid w:val="0022762A"/>
    <w:rsid w:val="002425CE"/>
    <w:rsid w:val="002615E9"/>
    <w:rsid w:val="0031371E"/>
    <w:rsid w:val="003814DF"/>
    <w:rsid w:val="003B08F5"/>
    <w:rsid w:val="003B7770"/>
    <w:rsid w:val="00432411"/>
    <w:rsid w:val="0049729B"/>
    <w:rsid w:val="004B1FB0"/>
    <w:rsid w:val="004C60FC"/>
    <w:rsid w:val="00513322"/>
    <w:rsid w:val="005B261D"/>
    <w:rsid w:val="005D129F"/>
    <w:rsid w:val="006128E8"/>
    <w:rsid w:val="0066166B"/>
    <w:rsid w:val="006D1612"/>
    <w:rsid w:val="007149B9"/>
    <w:rsid w:val="007204DB"/>
    <w:rsid w:val="00742FC8"/>
    <w:rsid w:val="00747551"/>
    <w:rsid w:val="007778EC"/>
    <w:rsid w:val="00787FD0"/>
    <w:rsid w:val="007B37AB"/>
    <w:rsid w:val="007C6FA8"/>
    <w:rsid w:val="007D0917"/>
    <w:rsid w:val="007D450A"/>
    <w:rsid w:val="007E1F09"/>
    <w:rsid w:val="00866E02"/>
    <w:rsid w:val="0088107A"/>
    <w:rsid w:val="008D447E"/>
    <w:rsid w:val="009576C4"/>
    <w:rsid w:val="009B3B38"/>
    <w:rsid w:val="009F3472"/>
    <w:rsid w:val="00A85364"/>
    <w:rsid w:val="00B3623D"/>
    <w:rsid w:val="00B81241"/>
    <w:rsid w:val="00B91314"/>
    <w:rsid w:val="00BD05E6"/>
    <w:rsid w:val="00BF454E"/>
    <w:rsid w:val="00C426F4"/>
    <w:rsid w:val="00C84D98"/>
    <w:rsid w:val="00CA7603"/>
    <w:rsid w:val="00CB0BC3"/>
    <w:rsid w:val="00D40198"/>
    <w:rsid w:val="00D50292"/>
    <w:rsid w:val="00E117B3"/>
    <w:rsid w:val="00E1569B"/>
    <w:rsid w:val="00EA7E9D"/>
    <w:rsid w:val="00EC1D0C"/>
    <w:rsid w:val="00EC67C7"/>
    <w:rsid w:val="00EE1C2A"/>
    <w:rsid w:val="00F360BE"/>
    <w:rsid w:val="00F40880"/>
    <w:rsid w:val="00F81AFC"/>
    <w:rsid w:val="00F82EDC"/>
    <w:rsid w:val="00F8749B"/>
    <w:rsid w:val="00F931F4"/>
    <w:rsid w:val="00FD0A69"/>
    <w:rsid w:val="00FD6D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semiHidden/>
    <w:unhideWhenUsed/>
    <w:qFormat/>
    <w:rsid w:val="005133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semiHidden/>
    <w:rsid w:val="00513322"/>
    <w:rPr>
      <w:rFonts w:eastAsiaTheme="majorEastAsia" w:cstheme="majorBidi"/>
      <w:color w:val="0F4761" w:themeColor="accent1" w:themeShade="BF"/>
      <w:kern w:val="0"/>
      <w:sz w:val="28"/>
      <w:szCs w:val="28"/>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yperlink" Target="https://www.legisquebec.gouv.qc.ca/fr/document/lc/P-34.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yperlink" Target="https://www.legisquebec.gouv.qc.ca/fr/document/lc/P-34.1?langCont=f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legisquebec.gouv.qc.ca/fr/document/lc/P-3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langCont=e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Publications" ma:contentTypeID="0x0101005B31C1E327F24A4395DD83803DF5CBECC20099919CE2F4AC0447A66C2705E1F8CB8F" ma:contentTypeVersion="10" ma:contentTypeDescription="" ma:contentTypeScope="" ma:versionID="a0b951ee5aae52e1d9869a851bf31793">
  <xsd:schema xmlns:xsd="http://www.w3.org/2001/XMLSchema" xmlns:xs="http://www.w3.org/2001/XMLSchema" xmlns:p="http://schemas.microsoft.com/office/2006/metadata/properties" xmlns:ns2="3cc706f8-daeb-4c57-a93c-fdf45da762a7" targetNamespace="http://schemas.microsoft.com/office/2006/metadata/properties" ma:root="true" ma:fieldsID="53a2b0b95aca4a07a4ea4f44f812eab5"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66c5a5-9349-45f3-a35d-93d4de43bb68" ContentTypeId="0x0101005B31C1E327F24A4395DD83803DF5CBECC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documentManagement>
</p:properties>
</file>

<file path=customXml/itemProps1.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2.xml><?xml version="1.0" encoding="utf-8"?>
<ds:datastoreItem xmlns:ds="http://schemas.openxmlformats.org/officeDocument/2006/customXml" ds:itemID="{275B8689-39B5-49B7-9BA8-CBAF4198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86829-C757-4439-AF17-74ADDF4882E7}">
  <ds:schemaRefs>
    <ds:schemaRef ds:uri="Microsoft.SharePoint.Taxonomy.ContentTypeSync"/>
  </ds:schemaRefs>
</ds:datastoreItem>
</file>

<file path=customXml/itemProps4.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5.xml><?xml version="1.0" encoding="utf-8"?>
<ds:datastoreItem xmlns:ds="http://schemas.openxmlformats.org/officeDocument/2006/customXml" ds:itemID="{3030352C-C84C-4D98-9E4E-333EAF30ADB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cc706f8-daeb-4c57-a93c-fdf45da762a7"/>
    <ds:schemaRef ds:uri="http://schemas.microsoft.com/office/2006/metadata/properties"/>
    <ds:schemaRef ds:uri="http://purl.org/dc/elements/1.1/"/>
    <ds:schemaRef ds:uri="http://www.w3.org/XML/1998/namespace"/>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5957</Characters>
  <Application>Microsoft Office Word</Application>
  <DocSecurity>10</DocSecurity>
  <Lines>49</Lines>
  <Paragraphs>14</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Nord-du-Québec</vt:lpstr>
    </vt:vector>
  </TitlesOfParts>
  <Company/>
  <LinksUpToDate>false</LinksUpToDate>
  <CharactersWithSpaces>7026</CharactersWithSpaces>
  <SharedDoc>false</SharedDoc>
  <HLinks>
    <vt:vector size="48" baseType="variant">
      <vt:variant>
        <vt:i4>4587585</vt:i4>
      </vt:variant>
      <vt:variant>
        <vt:i4>21</vt:i4>
      </vt:variant>
      <vt:variant>
        <vt:i4>0</vt:i4>
      </vt:variant>
      <vt:variant>
        <vt:i4>5</vt:i4>
      </vt:variant>
      <vt:variant>
        <vt:lpwstr>https://www.legisquebec.gouv.qc.ca/fr/document/lc/P-34.1</vt:lpwstr>
      </vt:variant>
      <vt:variant>
        <vt:lpwstr>se:69</vt:lpwstr>
      </vt:variant>
      <vt:variant>
        <vt:i4>4718657</vt:i4>
      </vt:variant>
      <vt:variant>
        <vt:i4>18</vt:i4>
      </vt:variant>
      <vt:variant>
        <vt:i4>0</vt:i4>
      </vt:variant>
      <vt:variant>
        <vt:i4>5</vt:i4>
      </vt:variant>
      <vt:variant>
        <vt:lpwstr>https://www.legisquebec.gouv.qc.ca/fr/document/lc/P-34.1</vt:lpwstr>
      </vt:variant>
      <vt:variant>
        <vt:lpwstr>se:8</vt:lpwstr>
      </vt:variant>
      <vt:variant>
        <vt:i4>458757</vt:i4>
      </vt:variant>
      <vt:variant>
        <vt:i4>15</vt:i4>
      </vt:variant>
      <vt:variant>
        <vt:i4>0</vt:i4>
      </vt:variant>
      <vt:variant>
        <vt:i4>5</vt:i4>
      </vt:variant>
      <vt:variant>
        <vt:lpwstr>https://www.legisquebec.gouv.qc.ca/fr/document/lc/P-34.1?langCont=fr</vt:lpwstr>
      </vt:variant>
      <vt:variant>
        <vt:lpwstr>se:7</vt:lpwstr>
      </vt:variant>
      <vt:variant>
        <vt:i4>7405598</vt:i4>
      </vt:variant>
      <vt:variant>
        <vt:i4>12</vt:i4>
      </vt:variant>
      <vt:variant>
        <vt:i4>0</vt:i4>
      </vt:variant>
      <vt:variant>
        <vt:i4>5</vt:i4>
      </vt:variant>
      <vt:variant>
        <vt:lpwstr>https://www.legisquebec.gouv.qc.ca/fr/document/lc/P-34.1</vt:lpwstr>
      </vt:variant>
      <vt:variant>
        <vt:lpwstr>se:4_5</vt:lpwstr>
      </vt:variant>
      <vt:variant>
        <vt:i4>7340062</vt:i4>
      </vt:variant>
      <vt:variant>
        <vt:i4>9</vt:i4>
      </vt:variant>
      <vt:variant>
        <vt:i4>0</vt:i4>
      </vt:variant>
      <vt:variant>
        <vt:i4>5</vt:i4>
      </vt:variant>
      <vt:variant>
        <vt:lpwstr>https://www.legisquebec.gouv.qc.ca/fr/document/lc/P-34.1</vt:lpwstr>
      </vt:variant>
      <vt:variant>
        <vt:lpwstr>se:4_4</vt:lpwstr>
      </vt:variant>
      <vt:variant>
        <vt:i4>1572870</vt:i4>
      </vt:variant>
      <vt:variant>
        <vt:i4>6</vt:i4>
      </vt:variant>
      <vt:variant>
        <vt:i4>0</vt:i4>
      </vt:variant>
      <vt:variant>
        <vt:i4>5</vt:i4>
      </vt:variant>
      <vt:variant>
        <vt:lpwstr>https://www.legisquebec.gouv.qc.ca/fr/document/lc/P-34.1?langCont=en</vt:lpwstr>
      </vt:variant>
      <vt:variant>
        <vt:lpwstr>se:4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Nord-du-Québec</dc:title>
  <dc:subject/>
  <dc:creator>Commission des droits de la personne et des droits de la jeunesse</dc:creator>
  <cp:keywords>Lésion de droits; Enquête; LPJ, Loi sur la protection de la jeunesse; Enfant; Jeune;</cp:keywords>
  <dc:description/>
  <cp:lastModifiedBy>Sophie Ambrosi</cp:lastModifiedBy>
  <cp:revision>4</cp:revision>
  <cp:lastPrinted>2025-02-18T18:30:00Z</cp:lastPrinted>
  <dcterms:created xsi:type="dcterms:W3CDTF">2025-02-18T18:37:00Z</dcterms:created>
  <dcterms:modified xsi:type="dcterms:W3CDTF">2025-02-20T22:34:00Z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0x0101005B31C1E327F24A4395DD83803DF5CBECC20099919CE2F4AC0447A66C2705E1F8CB8F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2077;#05540 Publications|827bc47f-7d09-4c7e-a290-0638818232c6</vt:lpwstr>
  </property>
  <property fmtid="{D5CDD505-2E9C-101B-9397-08002B2CF9AE}" pid="7" name="Support">
    <vt:lpwstr/>
  </property>
  <property fmtid="{D5CDD505-2E9C-101B-9397-08002B2CF9AE}" pid="8" name="e9ece69abe164a1095a5fd7a129dbff3">
    <vt:lpwstr/>
  </property>
</Properties>
</file>