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D003" w14:textId="10D665FC" w:rsidR="002C656C" w:rsidRPr="001A4A5B" w:rsidRDefault="002C656C" w:rsidP="006C52DC">
      <w:pPr>
        <w:jc w:val="right"/>
      </w:pPr>
      <w:bookmarkStart w:id="0" w:name="_Toc347842335"/>
      <w:r w:rsidRPr="001A4A5B">
        <w:t>Cat. 2</w:t>
      </w:r>
      <w:r w:rsidR="00D33A53" w:rsidRPr="001A4A5B">
        <w:t>.</w:t>
      </w:r>
      <w:r w:rsidR="00533C04">
        <w:t xml:space="preserve"> 412.</w:t>
      </w:r>
      <w:r w:rsidR="001729F4">
        <w:t>120</w:t>
      </w:r>
      <w:r w:rsidR="00B77117">
        <w:t>.1</w:t>
      </w:r>
    </w:p>
    <w:p w14:paraId="1BD41B68" w14:textId="7433C1D2" w:rsidR="002C656C" w:rsidRPr="001A4A5B" w:rsidRDefault="002C656C" w:rsidP="00D40AC7"/>
    <w:p w14:paraId="009F980B" w14:textId="77777777" w:rsidR="00ED1B90" w:rsidRPr="001A4A5B" w:rsidRDefault="00ED1B90" w:rsidP="00D40AC7"/>
    <w:p w14:paraId="332C1809" w14:textId="263F63F1" w:rsidR="002C656C" w:rsidRPr="001A4A5B" w:rsidRDefault="002C656C" w:rsidP="00D40AC7"/>
    <w:p w14:paraId="68E9CC98" w14:textId="304BD319" w:rsidR="00612D68" w:rsidRPr="001A4A5B" w:rsidRDefault="00612D68" w:rsidP="00D40AC7"/>
    <w:p w14:paraId="67EE453D" w14:textId="77777777" w:rsidR="00C964F1" w:rsidRPr="001A4A5B" w:rsidRDefault="00C964F1" w:rsidP="00D40AC7"/>
    <w:p w14:paraId="4276A532" w14:textId="4D63BE78" w:rsidR="004C64DD" w:rsidRPr="001A4A5B" w:rsidRDefault="002C656C" w:rsidP="004C64DD">
      <w:pPr>
        <w:jc w:val="center"/>
        <w:rPr>
          <w:b/>
        </w:rPr>
      </w:pPr>
      <w:r w:rsidRPr="001A4A5B">
        <w:rPr>
          <w:b/>
        </w:rPr>
        <w:t xml:space="preserve">MÉMOIRE À LA COMMISSION </w:t>
      </w:r>
      <w:r w:rsidR="004E3C76" w:rsidRPr="001A4A5B">
        <w:rPr>
          <w:b/>
        </w:rPr>
        <w:t>DES INSTITUTIONS</w:t>
      </w:r>
      <w:r w:rsidR="00381BDA" w:rsidRPr="001A4A5B">
        <w:rPr>
          <w:b/>
        </w:rPr>
        <w:br/>
      </w:r>
      <w:r w:rsidRPr="001A4A5B">
        <w:rPr>
          <w:b/>
        </w:rPr>
        <w:t>DE L</w:t>
      </w:r>
      <w:r w:rsidR="00791FD4" w:rsidRPr="001A4A5B">
        <w:rPr>
          <w:b/>
        </w:rPr>
        <w:t>’</w:t>
      </w:r>
      <w:r w:rsidRPr="001A4A5B">
        <w:rPr>
          <w:b/>
        </w:rPr>
        <w:t>ASSEMBLÉE NATIONALE</w:t>
      </w:r>
      <w:r w:rsidR="00381BDA" w:rsidRPr="001A4A5B">
        <w:rPr>
          <w:b/>
        </w:rPr>
        <w:br/>
      </w:r>
      <w:r w:rsidR="00381BDA" w:rsidRPr="001A4A5B">
        <w:rPr>
          <w:b/>
        </w:rPr>
        <w:br/>
      </w:r>
      <w:r w:rsidR="008E4E7F" w:rsidRPr="001A4A5B">
        <w:rPr>
          <w:b/>
          <w:smallCaps/>
        </w:rPr>
        <w:t>P</w:t>
      </w:r>
      <w:r w:rsidR="008B022B" w:rsidRPr="001A4A5B">
        <w:rPr>
          <w:b/>
          <w:smallCaps/>
        </w:rPr>
        <w:t xml:space="preserve">rojet de loi n° </w:t>
      </w:r>
      <w:r w:rsidR="004C64DD" w:rsidRPr="001A4A5B">
        <w:rPr>
          <w:b/>
          <w:smallCaps/>
        </w:rPr>
        <w:t>32</w:t>
      </w:r>
      <w:r w:rsidR="008B022B" w:rsidRPr="001A4A5B">
        <w:rPr>
          <w:b/>
          <w:smallCaps/>
        </w:rPr>
        <w:t>,</w:t>
      </w:r>
      <w:r w:rsidR="00381BDA" w:rsidRPr="001A4A5B">
        <w:rPr>
          <w:b/>
          <w:smallCaps/>
        </w:rPr>
        <w:br/>
      </w:r>
    </w:p>
    <w:p w14:paraId="57FDA343" w14:textId="4F4840B1" w:rsidR="008379C6" w:rsidRPr="001A4A5B" w:rsidRDefault="004C64DD" w:rsidP="004C64DD">
      <w:pPr>
        <w:jc w:val="center"/>
        <w:rPr>
          <w:rFonts w:eastAsia="Calibri"/>
          <w:b/>
          <w:i/>
          <w:lang w:eastAsia="en-US"/>
        </w:rPr>
      </w:pPr>
      <w:r w:rsidRPr="001A4A5B">
        <w:rPr>
          <w:b/>
          <w:i/>
        </w:rPr>
        <w:t xml:space="preserve">Loi instaurant l’approche de sécurisation culturelle au sein du </w:t>
      </w:r>
      <w:r w:rsidR="00E41816" w:rsidRPr="001A4A5B">
        <w:rPr>
          <w:b/>
        </w:rPr>
        <w:br/>
      </w:r>
      <w:r w:rsidR="006C2EB3">
        <w:rPr>
          <w:b/>
          <w:i/>
        </w:rPr>
        <w:t>R</w:t>
      </w:r>
      <w:r w:rsidRPr="001A4A5B">
        <w:rPr>
          <w:b/>
          <w:i/>
        </w:rPr>
        <w:t>éseau de la santé et des services sociaux</w:t>
      </w:r>
      <w:r w:rsidR="00381BDA" w:rsidRPr="001A4A5B">
        <w:rPr>
          <w:b/>
          <w:i/>
        </w:rPr>
        <w:br/>
      </w:r>
    </w:p>
    <w:p w14:paraId="4F000B21" w14:textId="77777777" w:rsidR="008379C6" w:rsidRPr="001A4A5B" w:rsidRDefault="008379C6" w:rsidP="00381BDA">
      <w:pPr>
        <w:pStyle w:val="Paragraphe"/>
        <w:rPr>
          <w:rFonts w:eastAsia="Calibri"/>
          <w:color w:val="auto"/>
          <w:lang w:val="fr-CA" w:eastAsia="en-US"/>
        </w:rPr>
      </w:pPr>
    </w:p>
    <w:p w14:paraId="1739BF4E" w14:textId="1D6CC17F" w:rsidR="00E228C1" w:rsidRPr="001A4A5B" w:rsidRDefault="00E228C1" w:rsidP="00381BDA">
      <w:pPr>
        <w:pStyle w:val="Paragraphe"/>
        <w:rPr>
          <w:rFonts w:eastAsia="Calibri"/>
          <w:color w:val="auto"/>
          <w:lang w:val="fr-CA" w:eastAsia="en-US"/>
        </w:rPr>
      </w:pPr>
    </w:p>
    <w:p w14:paraId="534FDACD" w14:textId="77777777" w:rsidR="004E3C76" w:rsidRPr="001A4A5B" w:rsidRDefault="004E3C76" w:rsidP="004E3C76">
      <w:pPr>
        <w:pStyle w:val="Corpsdetexte"/>
        <w:rPr>
          <w:rFonts w:eastAsia="Calibri"/>
          <w:lang w:eastAsia="en-US"/>
        </w:rPr>
      </w:pPr>
    </w:p>
    <w:p w14:paraId="7573A046" w14:textId="77777777" w:rsidR="004E3C76" w:rsidRPr="001A4A5B" w:rsidRDefault="004E3C76" w:rsidP="004E3C76">
      <w:pPr>
        <w:pStyle w:val="Corpsdetexte"/>
        <w:rPr>
          <w:rFonts w:eastAsia="Calibri"/>
          <w:lang w:eastAsia="en-US"/>
        </w:rPr>
      </w:pPr>
    </w:p>
    <w:p w14:paraId="63D68503" w14:textId="77777777" w:rsidR="004E3C76" w:rsidRPr="001A4A5B" w:rsidRDefault="004E3C76" w:rsidP="004E3C76">
      <w:pPr>
        <w:pStyle w:val="Corpsdetexte"/>
        <w:rPr>
          <w:rFonts w:eastAsia="Calibri"/>
          <w:lang w:eastAsia="en-US"/>
        </w:rPr>
      </w:pPr>
    </w:p>
    <w:p w14:paraId="6C0B4A28" w14:textId="77777777" w:rsidR="004E3C76" w:rsidRPr="001A4A5B" w:rsidRDefault="004E3C76" w:rsidP="004E3C76">
      <w:pPr>
        <w:pStyle w:val="Corpsdetexte"/>
        <w:rPr>
          <w:rFonts w:eastAsia="Calibri"/>
          <w:lang w:eastAsia="en-US"/>
        </w:rPr>
      </w:pPr>
    </w:p>
    <w:p w14:paraId="23481DC9" w14:textId="77777777" w:rsidR="004E3C76" w:rsidRPr="001A4A5B" w:rsidRDefault="004E3C76" w:rsidP="004E3C76">
      <w:pPr>
        <w:pStyle w:val="Corpsdetexte"/>
        <w:rPr>
          <w:rFonts w:eastAsia="Calibri"/>
          <w:lang w:eastAsia="en-US"/>
        </w:rPr>
      </w:pPr>
    </w:p>
    <w:p w14:paraId="6E5F8991" w14:textId="77777777" w:rsidR="004E3C76" w:rsidRPr="001A4A5B" w:rsidRDefault="004E3C76" w:rsidP="004E3C76">
      <w:pPr>
        <w:pStyle w:val="Corpsdetexte"/>
        <w:rPr>
          <w:rFonts w:eastAsia="Calibri"/>
          <w:lang w:eastAsia="en-US"/>
        </w:rPr>
      </w:pPr>
    </w:p>
    <w:p w14:paraId="03737063" w14:textId="77777777" w:rsidR="004E3C76" w:rsidRPr="001A4A5B" w:rsidRDefault="004E3C76" w:rsidP="004E3C76">
      <w:pPr>
        <w:pStyle w:val="Corpsdetexte"/>
        <w:rPr>
          <w:rFonts w:eastAsia="Calibri"/>
          <w:lang w:eastAsia="en-US"/>
        </w:rPr>
      </w:pPr>
    </w:p>
    <w:p w14:paraId="7047D46A" w14:textId="0EACD7F4" w:rsidR="00E228C1" w:rsidRPr="001A4A5B" w:rsidRDefault="00E228C1" w:rsidP="00381BDA">
      <w:pPr>
        <w:pStyle w:val="Paragraphe"/>
        <w:rPr>
          <w:rFonts w:eastAsia="Calibri"/>
          <w:color w:val="auto"/>
          <w:lang w:val="fr-CA" w:eastAsia="en-US"/>
        </w:rPr>
      </w:pPr>
    </w:p>
    <w:p w14:paraId="4697A720" w14:textId="42F35AF4" w:rsidR="00E46C46" w:rsidRPr="001A4A5B" w:rsidRDefault="00E46C46" w:rsidP="00381BDA">
      <w:pPr>
        <w:pStyle w:val="Paragraphe"/>
        <w:rPr>
          <w:rFonts w:eastAsia="Calibri"/>
          <w:color w:val="auto"/>
          <w:lang w:val="fr-CA" w:eastAsia="en-US"/>
        </w:rPr>
      </w:pPr>
    </w:p>
    <w:p w14:paraId="0CF524CD" w14:textId="77777777" w:rsidR="00E46C46" w:rsidRPr="001A4A5B" w:rsidRDefault="00E46C46" w:rsidP="00381BDA">
      <w:pPr>
        <w:pStyle w:val="Paragraphe"/>
        <w:rPr>
          <w:rFonts w:eastAsia="Calibri"/>
          <w:color w:val="auto"/>
          <w:lang w:val="fr-CA" w:eastAsia="en-US"/>
        </w:rPr>
      </w:pPr>
    </w:p>
    <w:p w14:paraId="6E0361F9" w14:textId="275163F8" w:rsidR="00C740FB" w:rsidRPr="001A4A5B" w:rsidRDefault="004E3C76" w:rsidP="00BA1A09">
      <w:pPr>
        <w:jc w:val="center"/>
        <w:rPr>
          <w:rFonts w:eastAsia="Calibri"/>
          <w:lang w:eastAsia="en-US"/>
        </w:rPr>
        <w:sectPr w:rsidR="00C740FB" w:rsidRPr="001A4A5B" w:rsidSect="00A72F4A">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872" w:right="1440" w:bottom="1440" w:left="1440" w:header="706" w:footer="706" w:gutter="0"/>
          <w:pgNumType w:start="1"/>
          <w:cols w:space="708"/>
          <w:titlePg/>
          <w:docGrid w:linePitch="360"/>
        </w:sectPr>
      </w:pPr>
      <w:r w:rsidRPr="001A4A5B">
        <w:rPr>
          <w:rFonts w:eastAsia="Calibri"/>
          <w:lang w:eastAsia="en-US"/>
        </w:rPr>
        <w:t>Septembre</w:t>
      </w:r>
      <w:r w:rsidR="00D96539" w:rsidRPr="001A4A5B">
        <w:rPr>
          <w:rFonts w:eastAsia="Calibri"/>
          <w:lang w:eastAsia="en-US"/>
        </w:rPr>
        <w:t xml:space="preserve"> </w:t>
      </w:r>
      <w:r w:rsidRPr="001A4A5B">
        <w:rPr>
          <w:rFonts w:eastAsia="Calibri"/>
          <w:lang w:eastAsia="en-US"/>
        </w:rPr>
        <w:t>2023</w:t>
      </w:r>
    </w:p>
    <w:p w14:paraId="056198F5" w14:textId="6931E052" w:rsidR="00B22677" w:rsidRPr="001A4A5B" w:rsidRDefault="00B22677" w:rsidP="00F25FFB">
      <w:pPr>
        <w:spacing w:line="240" w:lineRule="auto"/>
        <w:rPr>
          <w:rFonts w:eastAsia="MS Mincho"/>
          <w:snapToGrid w:val="0"/>
          <w:lang w:eastAsia="fr-FR"/>
        </w:rPr>
      </w:pPr>
    </w:p>
    <w:p w14:paraId="0C359645" w14:textId="77777777" w:rsidR="00B22677" w:rsidRPr="001A4A5B" w:rsidRDefault="00B22677" w:rsidP="00F25FFB">
      <w:pPr>
        <w:spacing w:line="240" w:lineRule="auto"/>
        <w:rPr>
          <w:rFonts w:eastAsiaTheme="minorHAnsi"/>
          <w:lang w:eastAsia="en-US"/>
        </w:rPr>
      </w:pPr>
    </w:p>
    <w:p w14:paraId="7ED28F6F" w14:textId="77777777" w:rsidR="00B22677" w:rsidRPr="001A4A5B" w:rsidRDefault="00B22677" w:rsidP="00F25FFB">
      <w:pPr>
        <w:spacing w:line="240" w:lineRule="auto"/>
        <w:rPr>
          <w:rFonts w:eastAsiaTheme="minorHAnsi"/>
          <w:lang w:eastAsia="en-US"/>
        </w:rPr>
      </w:pPr>
    </w:p>
    <w:p w14:paraId="6ED58244" w14:textId="4BBF3C48" w:rsidR="00B22677" w:rsidRPr="001A4A5B" w:rsidRDefault="00B22677" w:rsidP="00F25FFB">
      <w:pPr>
        <w:spacing w:line="240" w:lineRule="auto"/>
        <w:rPr>
          <w:rFonts w:eastAsiaTheme="minorHAnsi"/>
          <w:lang w:eastAsia="en-US"/>
        </w:rPr>
      </w:pPr>
      <w:r w:rsidRPr="001A4A5B">
        <w:rPr>
          <w:rFonts w:eastAsiaTheme="minorHAnsi"/>
          <w:lang w:eastAsia="en-US"/>
        </w:rPr>
        <w:t xml:space="preserve">Document adopté à la </w:t>
      </w:r>
      <w:r w:rsidR="00E5414E">
        <w:rPr>
          <w:rFonts w:eastAsiaTheme="minorHAnsi"/>
          <w:lang w:eastAsia="en-US"/>
        </w:rPr>
        <w:t>714.1</w:t>
      </w:r>
      <w:r w:rsidR="00E5414E" w:rsidRPr="00E5414E">
        <w:rPr>
          <w:rFonts w:eastAsiaTheme="minorHAnsi"/>
          <w:vertAlign w:val="superscript"/>
          <w:lang w:eastAsia="en-US"/>
        </w:rPr>
        <w:t>e</w:t>
      </w:r>
      <w:r w:rsidRPr="001A4A5B">
        <w:rPr>
          <w:rFonts w:eastAsiaTheme="minorHAnsi"/>
          <w:lang w:eastAsia="en-US"/>
        </w:rPr>
        <w:t xml:space="preserve"> séance </w:t>
      </w:r>
      <w:r w:rsidR="00BA305D">
        <w:rPr>
          <w:rFonts w:eastAsiaTheme="minorHAnsi"/>
          <w:lang w:eastAsia="en-US"/>
        </w:rPr>
        <w:t>extraordinaire</w:t>
      </w:r>
      <w:r w:rsidR="00E55DE9">
        <w:rPr>
          <w:rFonts w:eastAsiaTheme="minorHAnsi"/>
          <w:lang w:eastAsia="en-US"/>
        </w:rPr>
        <w:t xml:space="preserve"> </w:t>
      </w:r>
      <w:r w:rsidRPr="001A4A5B">
        <w:rPr>
          <w:rFonts w:eastAsiaTheme="minorHAnsi"/>
          <w:lang w:eastAsia="en-US"/>
        </w:rPr>
        <w:t>de la Commission,</w:t>
      </w:r>
    </w:p>
    <w:p w14:paraId="0FF36F1B" w14:textId="09B33669" w:rsidR="00B22677" w:rsidRPr="001A4A5B" w:rsidRDefault="00B22677" w:rsidP="00F25FFB">
      <w:pPr>
        <w:spacing w:line="240" w:lineRule="auto"/>
        <w:rPr>
          <w:rFonts w:eastAsiaTheme="minorHAnsi"/>
          <w:lang w:eastAsia="en-US"/>
        </w:rPr>
      </w:pPr>
      <w:proofErr w:type="gramStart"/>
      <w:r w:rsidRPr="001A4A5B">
        <w:rPr>
          <w:rFonts w:eastAsiaTheme="minorHAnsi"/>
          <w:lang w:eastAsia="en-US"/>
        </w:rPr>
        <w:t>tenue</w:t>
      </w:r>
      <w:proofErr w:type="gramEnd"/>
      <w:r w:rsidRPr="001A4A5B">
        <w:rPr>
          <w:rFonts w:eastAsiaTheme="minorHAnsi"/>
          <w:lang w:eastAsia="en-US"/>
        </w:rPr>
        <w:t xml:space="preserve"> le </w:t>
      </w:r>
      <w:r w:rsidR="00A4750B">
        <w:rPr>
          <w:rFonts w:eastAsiaTheme="minorHAnsi"/>
          <w:lang w:eastAsia="en-US"/>
        </w:rPr>
        <w:t xml:space="preserve">8 </w:t>
      </w:r>
      <w:r w:rsidR="00044B9F">
        <w:rPr>
          <w:rFonts w:eastAsiaTheme="minorHAnsi"/>
          <w:lang w:eastAsia="en-US"/>
        </w:rPr>
        <w:t>septembre 2023</w:t>
      </w:r>
      <w:r w:rsidRPr="001A4A5B">
        <w:rPr>
          <w:rFonts w:eastAsiaTheme="minorHAnsi"/>
          <w:lang w:eastAsia="en-US"/>
        </w:rPr>
        <w:t xml:space="preserve">, par sa résolution </w:t>
      </w:r>
      <w:r w:rsidR="00E9374F" w:rsidRPr="00E9374F">
        <w:rPr>
          <w:rFonts w:eastAsiaTheme="minorHAnsi"/>
          <w:lang w:eastAsia="en-US"/>
        </w:rPr>
        <w:t>COM-714.1-2</w:t>
      </w:r>
    </w:p>
    <w:p w14:paraId="08FA10CA" w14:textId="77777777" w:rsidR="00B22677" w:rsidRPr="001A4A5B" w:rsidRDefault="00B22677" w:rsidP="00F25FFB">
      <w:pPr>
        <w:spacing w:line="240" w:lineRule="auto"/>
        <w:rPr>
          <w:rFonts w:eastAsiaTheme="minorHAnsi"/>
          <w:lang w:eastAsia="en-US"/>
        </w:rPr>
      </w:pPr>
    </w:p>
    <w:p w14:paraId="75A38760" w14:textId="77777777" w:rsidR="00B22677" w:rsidRPr="001A4A5B" w:rsidRDefault="00B22677" w:rsidP="00F25FFB">
      <w:pPr>
        <w:spacing w:line="240" w:lineRule="auto"/>
      </w:pPr>
    </w:p>
    <w:p w14:paraId="52EAA7DC" w14:textId="6DFD3552" w:rsidR="00B22677" w:rsidRPr="001A4A5B" w:rsidRDefault="00B22677" w:rsidP="00F25FFB">
      <w:pPr>
        <w:spacing w:line="240" w:lineRule="auto"/>
      </w:pPr>
    </w:p>
    <w:p w14:paraId="25F38AB2" w14:textId="1FFC10A6" w:rsidR="00DC49E7" w:rsidRPr="001A4A5B" w:rsidRDefault="007D0434" w:rsidP="00F25FFB">
      <w:pPr>
        <w:spacing w:line="240" w:lineRule="auto"/>
      </w:pPr>
      <w:r>
        <w:rPr>
          <w:noProof/>
        </w:rPr>
        <w:drawing>
          <wp:inline distT="0" distB="0" distL="0" distR="0" wp14:anchorId="2417662E" wp14:editId="57F874FE">
            <wp:extent cx="1213658" cy="353291"/>
            <wp:effectExtent l="0" t="0" r="5715" b="8890"/>
            <wp:docPr id="1064278443" name="Image 1" descr="Une image contenant croquis, dessin, Dessin d’enf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78443" name="Image 1" descr="Une image contenant croquis, dessin, Dessin d’enfant, Dessin au trait&#10;&#10;Description générée automatiquement"/>
                    <pic:cNvPicPr/>
                  </pic:nvPicPr>
                  <pic:blipFill>
                    <a:blip r:embed="rId18">
                      <a:extLst>
                        <a:ext uri="{28A0092B-C50C-407E-A947-70E740481C1C}">
                          <a14:useLocalDpi xmlns:a14="http://schemas.microsoft.com/office/drawing/2010/main" val="0"/>
                        </a:ext>
                      </a:extLst>
                    </a:blip>
                    <a:stretch>
                      <a:fillRect/>
                    </a:stretch>
                  </pic:blipFill>
                  <pic:spPr>
                    <a:xfrm>
                      <a:off x="0" y="0"/>
                      <a:ext cx="1213658" cy="353291"/>
                    </a:xfrm>
                    <a:prstGeom prst="rect">
                      <a:avLst/>
                    </a:prstGeom>
                  </pic:spPr>
                </pic:pic>
              </a:graphicData>
            </a:graphic>
          </wp:inline>
        </w:drawing>
      </w:r>
    </w:p>
    <w:p w14:paraId="0F368E39" w14:textId="77777777" w:rsidR="00B22677" w:rsidRPr="001A4A5B" w:rsidRDefault="00B22677" w:rsidP="00F25FFB">
      <w:pPr>
        <w:spacing w:line="240" w:lineRule="auto"/>
        <w:rPr>
          <w:rFonts w:eastAsiaTheme="minorHAnsi"/>
          <w:lang w:eastAsia="en-US"/>
        </w:rPr>
      </w:pPr>
      <w:r w:rsidRPr="001A4A5B">
        <w:rPr>
          <w:rFonts w:eastAsiaTheme="minorHAnsi"/>
          <w:lang w:eastAsia="en-US"/>
        </w:rPr>
        <w:t>Jean-François Trudel</w:t>
      </w:r>
    </w:p>
    <w:p w14:paraId="3AFAD861" w14:textId="77777777" w:rsidR="00B22677" w:rsidRPr="001A4A5B" w:rsidRDefault="00B22677" w:rsidP="00F25FFB">
      <w:pPr>
        <w:spacing w:line="240" w:lineRule="auto"/>
        <w:rPr>
          <w:rFonts w:eastAsiaTheme="minorHAnsi"/>
          <w:lang w:eastAsia="en-US"/>
        </w:rPr>
      </w:pPr>
      <w:r w:rsidRPr="001A4A5B">
        <w:rPr>
          <w:rFonts w:eastAsiaTheme="minorHAnsi"/>
          <w:lang w:eastAsia="en-US"/>
        </w:rPr>
        <w:t>Secrétaire de la Commission</w:t>
      </w:r>
    </w:p>
    <w:p w14:paraId="444BD981" w14:textId="77777777" w:rsidR="00B22677" w:rsidRPr="001A4A5B" w:rsidRDefault="00B22677" w:rsidP="00F25FFB">
      <w:pPr>
        <w:spacing w:line="240" w:lineRule="auto"/>
        <w:rPr>
          <w:rFonts w:eastAsiaTheme="minorHAnsi"/>
          <w:lang w:eastAsia="en-US"/>
        </w:rPr>
      </w:pPr>
    </w:p>
    <w:p w14:paraId="2CE402A8" w14:textId="77777777" w:rsidR="00B22677" w:rsidRPr="001A4A5B" w:rsidRDefault="00B22677" w:rsidP="00F25FFB">
      <w:pPr>
        <w:spacing w:line="240" w:lineRule="auto"/>
        <w:rPr>
          <w:rFonts w:eastAsiaTheme="minorHAnsi"/>
          <w:lang w:eastAsia="en-US"/>
        </w:rPr>
      </w:pPr>
    </w:p>
    <w:p w14:paraId="4246A3E0" w14:textId="77777777" w:rsidR="00B22677" w:rsidRPr="001A4A5B" w:rsidRDefault="00B22677" w:rsidP="00F25FFB">
      <w:pPr>
        <w:spacing w:line="240" w:lineRule="auto"/>
        <w:rPr>
          <w:rFonts w:eastAsiaTheme="minorHAnsi"/>
          <w:lang w:eastAsia="en-US"/>
        </w:rPr>
      </w:pPr>
    </w:p>
    <w:p w14:paraId="2B098EBC" w14:textId="77777777" w:rsidR="00B22677" w:rsidRPr="001A4A5B" w:rsidRDefault="00B22677" w:rsidP="00F25FFB">
      <w:pPr>
        <w:spacing w:line="240" w:lineRule="auto"/>
        <w:rPr>
          <w:rFonts w:eastAsiaTheme="minorHAnsi"/>
          <w:lang w:eastAsia="en-US"/>
        </w:rPr>
      </w:pPr>
    </w:p>
    <w:p w14:paraId="78ED923F" w14:textId="77777777" w:rsidR="00B22677" w:rsidRPr="001A4A5B" w:rsidRDefault="00B22677" w:rsidP="00F25FFB">
      <w:pPr>
        <w:spacing w:line="240" w:lineRule="auto"/>
        <w:rPr>
          <w:rFonts w:eastAsiaTheme="minorHAnsi"/>
          <w:lang w:eastAsia="en-US"/>
        </w:rPr>
      </w:pPr>
    </w:p>
    <w:p w14:paraId="4D10679B" w14:textId="77777777" w:rsidR="00B22677" w:rsidRPr="001A4A5B" w:rsidRDefault="00B22677" w:rsidP="00F25FFB">
      <w:pPr>
        <w:spacing w:line="240" w:lineRule="auto"/>
        <w:rPr>
          <w:rFonts w:eastAsia="MS Mincho"/>
          <w:snapToGrid w:val="0"/>
          <w:lang w:eastAsia="fr-FR"/>
        </w:rPr>
      </w:pPr>
    </w:p>
    <w:p w14:paraId="4C4D813B" w14:textId="77777777" w:rsidR="00B22677" w:rsidRPr="001A4A5B" w:rsidRDefault="00B22677" w:rsidP="00F25FFB">
      <w:pPr>
        <w:spacing w:line="240" w:lineRule="auto"/>
        <w:rPr>
          <w:rFonts w:eastAsia="Calibri"/>
          <w:lang w:eastAsia="en-US"/>
        </w:rPr>
      </w:pPr>
    </w:p>
    <w:p w14:paraId="54639038" w14:textId="77777777" w:rsidR="00B22677" w:rsidRPr="001A4A5B" w:rsidRDefault="00B22677" w:rsidP="00F25FFB">
      <w:pPr>
        <w:spacing w:line="240" w:lineRule="auto"/>
        <w:rPr>
          <w:rFonts w:eastAsia="Calibri"/>
          <w:lang w:eastAsia="en-US"/>
        </w:rPr>
      </w:pPr>
    </w:p>
    <w:p w14:paraId="0AA0A1BE" w14:textId="77777777" w:rsidR="00B22677" w:rsidRPr="001A4A5B" w:rsidRDefault="00B22677" w:rsidP="00F25FFB">
      <w:pPr>
        <w:spacing w:line="240" w:lineRule="auto"/>
        <w:rPr>
          <w:rFonts w:eastAsia="Calibri"/>
          <w:lang w:eastAsia="en-US"/>
        </w:rPr>
      </w:pPr>
    </w:p>
    <w:p w14:paraId="4F69B0FE" w14:textId="0368A389" w:rsidR="00B22677" w:rsidRPr="001A4A5B" w:rsidRDefault="00B22677" w:rsidP="00F25FFB">
      <w:pPr>
        <w:spacing w:line="240" w:lineRule="auto"/>
        <w:rPr>
          <w:rFonts w:eastAsia="Calibri"/>
          <w:lang w:eastAsia="en-US"/>
        </w:rPr>
      </w:pPr>
    </w:p>
    <w:p w14:paraId="08256719" w14:textId="77777777" w:rsidR="00D33A53" w:rsidRPr="001A4A5B" w:rsidRDefault="00D33A53" w:rsidP="00F25FFB">
      <w:pPr>
        <w:spacing w:line="240" w:lineRule="auto"/>
        <w:rPr>
          <w:rFonts w:eastAsia="Calibri"/>
          <w:lang w:eastAsia="en-US"/>
        </w:rPr>
      </w:pPr>
    </w:p>
    <w:p w14:paraId="10D16E97" w14:textId="77777777" w:rsidR="000D37C5" w:rsidRPr="001A4A5B" w:rsidRDefault="000D37C5" w:rsidP="00F25FFB">
      <w:pPr>
        <w:spacing w:line="240" w:lineRule="auto"/>
        <w:rPr>
          <w:rFonts w:eastAsia="Calibri"/>
          <w:lang w:eastAsia="en-US"/>
        </w:rPr>
      </w:pPr>
    </w:p>
    <w:p w14:paraId="6DF8DF60" w14:textId="77777777" w:rsidR="00B22677" w:rsidRPr="001A4A5B" w:rsidRDefault="00B22677" w:rsidP="00F25FFB">
      <w:pPr>
        <w:spacing w:line="240" w:lineRule="auto"/>
        <w:rPr>
          <w:rFonts w:eastAsia="Calibri"/>
          <w:lang w:eastAsia="en-US"/>
        </w:rPr>
      </w:pPr>
    </w:p>
    <w:p w14:paraId="79526B0D" w14:textId="77777777" w:rsidR="00B22677" w:rsidRPr="001A4A5B" w:rsidRDefault="00B22677" w:rsidP="00F25FFB">
      <w:pPr>
        <w:spacing w:line="240" w:lineRule="auto"/>
        <w:rPr>
          <w:rFonts w:eastAsia="MS Mincho"/>
        </w:rPr>
      </w:pPr>
      <w:r w:rsidRPr="001A4A5B">
        <w:rPr>
          <w:rFonts w:eastAsia="MS Mincho"/>
        </w:rPr>
        <w:t>Analyse, recherche et rédaction :</w:t>
      </w:r>
    </w:p>
    <w:p w14:paraId="69E1BBAB" w14:textId="77777777" w:rsidR="00B22677" w:rsidRPr="001A4A5B" w:rsidRDefault="00B22677" w:rsidP="00F25FFB">
      <w:pPr>
        <w:spacing w:line="240" w:lineRule="auto"/>
        <w:rPr>
          <w:rFonts w:eastAsia="Calibri"/>
          <w:lang w:eastAsia="en-US"/>
        </w:rPr>
      </w:pPr>
    </w:p>
    <w:p w14:paraId="65796A45" w14:textId="0A17E951" w:rsidR="004A322F" w:rsidRDefault="00B22677" w:rsidP="00F25FFB">
      <w:pPr>
        <w:spacing w:line="240" w:lineRule="auto"/>
        <w:rPr>
          <w:rFonts w:eastAsia="Calibri"/>
          <w:lang w:eastAsia="en-US"/>
        </w:rPr>
      </w:pPr>
      <w:r w:rsidRPr="001A4A5B">
        <w:rPr>
          <w:rFonts w:eastAsia="Calibri"/>
          <w:lang w:eastAsia="en-US"/>
        </w:rPr>
        <w:tab/>
      </w:r>
      <w:r w:rsidR="00533C04" w:rsidRPr="00533C04">
        <w:rPr>
          <w:rFonts w:eastAsia="Calibri"/>
          <w:i/>
          <w:iCs/>
          <w:lang w:eastAsia="en-US"/>
        </w:rPr>
        <w:t>Mathieu Forcier</w:t>
      </w:r>
      <w:r w:rsidR="00533C04">
        <w:rPr>
          <w:rFonts w:eastAsia="Calibri"/>
          <w:lang w:eastAsia="en-US"/>
        </w:rPr>
        <w:t>, chercheur</w:t>
      </w:r>
    </w:p>
    <w:p w14:paraId="0D9060EC" w14:textId="7854327E" w:rsidR="00533C04" w:rsidRPr="001A4A5B" w:rsidRDefault="00533C04" w:rsidP="00F25FFB">
      <w:pPr>
        <w:spacing w:line="240" w:lineRule="auto"/>
        <w:rPr>
          <w:rFonts w:eastAsia="Calibri"/>
          <w:lang w:eastAsia="en-US"/>
        </w:rPr>
      </w:pPr>
      <w:r>
        <w:rPr>
          <w:rFonts w:eastAsia="Calibri"/>
          <w:lang w:eastAsia="en-US"/>
        </w:rPr>
        <w:tab/>
      </w:r>
      <w:r w:rsidRPr="00533C04">
        <w:rPr>
          <w:rFonts w:eastAsia="Calibri"/>
          <w:i/>
          <w:iCs/>
          <w:lang w:eastAsia="en-US"/>
        </w:rPr>
        <w:t>M</w:t>
      </w:r>
      <w:r w:rsidRPr="00533C04">
        <w:rPr>
          <w:rFonts w:eastAsia="Calibri"/>
          <w:i/>
          <w:iCs/>
          <w:vertAlign w:val="superscript"/>
          <w:lang w:eastAsia="en-US"/>
        </w:rPr>
        <w:t>e</w:t>
      </w:r>
      <w:r w:rsidRPr="00533C04">
        <w:rPr>
          <w:rFonts w:eastAsia="Calibri"/>
          <w:i/>
          <w:iCs/>
          <w:lang w:eastAsia="en-US"/>
        </w:rPr>
        <w:t xml:space="preserve"> Karina Montminy</w:t>
      </w:r>
      <w:r>
        <w:rPr>
          <w:rFonts w:eastAsia="Calibri"/>
          <w:lang w:eastAsia="en-US"/>
        </w:rPr>
        <w:t>, conseillère juridique</w:t>
      </w:r>
    </w:p>
    <w:p w14:paraId="7EF244C9" w14:textId="6F220A60" w:rsidR="00B22677" w:rsidRPr="001A4A5B" w:rsidRDefault="006D2D3F" w:rsidP="00F25FFB">
      <w:pPr>
        <w:spacing w:line="240" w:lineRule="auto"/>
      </w:pPr>
      <w:r w:rsidRPr="001A4A5B">
        <w:tab/>
      </w:r>
      <w:r w:rsidR="00B22677" w:rsidRPr="001A4A5B">
        <w:t>Direction de la recherche</w:t>
      </w:r>
    </w:p>
    <w:p w14:paraId="18A01D3B" w14:textId="518E24C5" w:rsidR="00882CA7" w:rsidRPr="001A4A5B" w:rsidRDefault="00882CA7" w:rsidP="00F25FFB">
      <w:pPr>
        <w:spacing w:line="240" w:lineRule="auto"/>
      </w:pPr>
    </w:p>
    <w:p w14:paraId="2449747B" w14:textId="071EDA1B" w:rsidR="00B22677" w:rsidRPr="001A4A5B" w:rsidRDefault="00B22677" w:rsidP="00F25FFB">
      <w:pPr>
        <w:spacing w:line="240" w:lineRule="auto"/>
        <w:rPr>
          <w:rFonts w:eastAsia="Calibri"/>
          <w:lang w:eastAsia="en-US"/>
        </w:rPr>
      </w:pPr>
      <w:r w:rsidRPr="001A4A5B">
        <w:rPr>
          <w:rFonts w:eastAsia="Calibri"/>
          <w:lang w:eastAsia="en-US"/>
        </w:rPr>
        <w:t>Collaboration</w:t>
      </w:r>
      <w:r w:rsidRPr="001A4A5B">
        <w:rPr>
          <w:rFonts w:eastAsiaTheme="minorHAnsi"/>
          <w:lang w:eastAsia="en-US"/>
        </w:rPr>
        <w:t xml:space="preserve"> à la recherche</w:t>
      </w:r>
      <w:r w:rsidR="00F16A2B">
        <w:rPr>
          <w:rFonts w:eastAsiaTheme="minorHAnsi"/>
          <w:lang w:eastAsia="en-US"/>
        </w:rPr>
        <w:t xml:space="preserve"> et à la rédaction</w:t>
      </w:r>
      <w:r w:rsidRPr="001A4A5B">
        <w:rPr>
          <w:rFonts w:eastAsiaTheme="minorHAnsi"/>
          <w:lang w:eastAsia="en-US"/>
        </w:rPr>
        <w:t> :</w:t>
      </w:r>
    </w:p>
    <w:p w14:paraId="31065C6A" w14:textId="77777777" w:rsidR="00B22677" w:rsidRPr="001A4A5B" w:rsidRDefault="00B22677" w:rsidP="00F25FFB">
      <w:pPr>
        <w:spacing w:line="240" w:lineRule="auto"/>
        <w:rPr>
          <w:rFonts w:eastAsia="Calibri"/>
          <w:lang w:eastAsia="en-US"/>
        </w:rPr>
      </w:pPr>
    </w:p>
    <w:p w14:paraId="2D505E09" w14:textId="25F6BC9A" w:rsidR="00D33A53" w:rsidRPr="001A4A5B" w:rsidRDefault="00D33A53" w:rsidP="00F25FFB">
      <w:pPr>
        <w:spacing w:line="240" w:lineRule="auto"/>
        <w:rPr>
          <w:rFonts w:eastAsia="Calibri"/>
          <w:lang w:eastAsia="en-US"/>
        </w:rPr>
      </w:pPr>
      <w:r w:rsidRPr="001A4A5B">
        <w:rPr>
          <w:rFonts w:eastAsia="Calibri"/>
          <w:lang w:eastAsia="en-US"/>
        </w:rPr>
        <w:tab/>
      </w:r>
      <w:r w:rsidR="00DA79A7" w:rsidRPr="002651AB">
        <w:rPr>
          <w:rFonts w:eastAsia="Calibri"/>
          <w:i/>
          <w:iCs/>
          <w:lang w:eastAsia="en-US"/>
        </w:rPr>
        <w:t>Samuel Blouin</w:t>
      </w:r>
      <w:r w:rsidR="00DA79A7">
        <w:rPr>
          <w:rFonts w:eastAsia="Calibri"/>
          <w:lang w:eastAsia="en-US"/>
        </w:rPr>
        <w:t>, chercheur</w:t>
      </w:r>
    </w:p>
    <w:p w14:paraId="47262B10" w14:textId="7CD42962" w:rsidR="78258455" w:rsidRDefault="78258455" w:rsidP="21F9AA1C">
      <w:pPr>
        <w:spacing w:line="240" w:lineRule="auto"/>
        <w:ind w:firstLine="706"/>
      </w:pPr>
      <w:r w:rsidRPr="1A4C200B">
        <w:rPr>
          <w:i/>
          <w:iCs/>
        </w:rPr>
        <w:t>M</w:t>
      </w:r>
      <w:r w:rsidRPr="00786EED">
        <w:rPr>
          <w:i/>
          <w:vertAlign w:val="superscript"/>
        </w:rPr>
        <w:t>e</w:t>
      </w:r>
      <w:r w:rsidRPr="1A4C200B">
        <w:rPr>
          <w:i/>
          <w:iCs/>
        </w:rPr>
        <w:t xml:space="preserve"> Geneviève St-Laurent</w:t>
      </w:r>
      <w:r>
        <w:t xml:space="preserve">, conseillère </w:t>
      </w:r>
      <w:r w:rsidR="246D5D10">
        <w:t>juridique</w:t>
      </w:r>
    </w:p>
    <w:p w14:paraId="4409E700" w14:textId="21E8ED75" w:rsidR="00B22677" w:rsidRDefault="78258455" w:rsidP="0A648D5A">
      <w:pPr>
        <w:spacing w:line="240" w:lineRule="auto"/>
        <w:ind w:firstLine="706"/>
        <w:rPr>
          <w:rFonts w:eastAsia="Calibri"/>
        </w:rPr>
      </w:pPr>
      <w:r>
        <w:t>Direction de la recherche</w:t>
      </w:r>
    </w:p>
    <w:p w14:paraId="42538D98" w14:textId="77777777" w:rsidR="002651AB" w:rsidRDefault="002651AB" w:rsidP="0A648D5A">
      <w:pPr>
        <w:spacing w:line="240" w:lineRule="auto"/>
        <w:ind w:firstLine="706"/>
      </w:pPr>
    </w:p>
    <w:p w14:paraId="152977F9" w14:textId="642382B3" w:rsidR="002651AB" w:rsidRDefault="002651AB" w:rsidP="004002FA">
      <w:pPr>
        <w:spacing w:line="240" w:lineRule="auto"/>
        <w:rPr>
          <w:rFonts w:eastAsia="Calibri"/>
          <w:lang w:eastAsia="en-US"/>
        </w:rPr>
      </w:pPr>
      <w:r w:rsidRPr="001A4A5B">
        <w:rPr>
          <w:rFonts w:eastAsia="Calibri"/>
          <w:lang w:eastAsia="en-US"/>
        </w:rPr>
        <w:t>Collaboration</w:t>
      </w:r>
      <w:r w:rsidRPr="002651AB">
        <w:rPr>
          <w:rFonts w:eastAsia="Calibri"/>
          <w:lang w:eastAsia="en-US"/>
        </w:rPr>
        <w:t xml:space="preserve"> à la recherche</w:t>
      </w:r>
      <w:r w:rsidR="004002FA">
        <w:rPr>
          <w:rFonts w:eastAsia="Calibri"/>
          <w:lang w:eastAsia="en-US"/>
        </w:rPr>
        <w:t> :</w:t>
      </w:r>
    </w:p>
    <w:p w14:paraId="5FB8938A" w14:textId="77777777" w:rsidR="004002FA" w:rsidRPr="001A4A5B" w:rsidRDefault="004002FA" w:rsidP="004002FA">
      <w:pPr>
        <w:spacing w:line="240" w:lineRule="auto"/>
        <w:rPr>
          <w:rFonts w:eastAsia="Calibri"/>
          <w:lang w:eastAsia="en-US"/>
        </w:rPr>
      </w:pPr>
    </w:p>
    <w:p w14:paraId="4570AE9F" w14:textId="20C08615" w:rsidR="00B22677" w:rsidRPr="002651AB" w:rsidRDefault="002651AB" w:rsidP="004002FA">
      <w:pPr>
        <w:spacing w:line="240" w:lineRule="auto"/>
        <w:ind w:firstLine="706"/>
        <w:rPr>
          <w:rStyle w:val="cf01"/>
          <w:rFonts w:ascii="Arial" w:eastAsia="Calibri" w:hAnsi="Arial" w:cs="Arial"/>
          <w:sz w:val="22"/>
          <w:szCs w:val="22"/>
        </w:rPr>
      </w:pPr>
      <w:r w:rsidRPr="002651AB">
        <w:rPr>
          <w:rStyle w:val="cf01"/>
          <w:rFonts w:ascii="Arial" w:hAnsi="Arial" w:cs="Arial"/>
          <w:i/>
          <w:iCs/>
          <w:sz w:val="22"/>
          <w:szCs w:val="22"/>
        </w:rPr>
        <w:t>Laurence Caron-</w:t>
      </w:r>
      <w:proofErr w:type="spellStart"/>
      <w:r w:rsidRPr="002651AB">
        <w:rPr>
          <w:rStyle w:val="cf01"/>
          <w:rFonts w:ascii="Arial" w:hAnsi="Arial" w:cs="Arial"/>
          <w:i/>
          <w:iCs/>
          <w:sz w:val="22"/>
          <w:szCs w:val="22"/>
        </w:rPr>
        <w:t>Bleau</w:t>
      </w:r>
      <w:proofErr w:type="spellEnd"/>
      <w:r>
        <w:rPr>
          <w:rStyle w:val="cf01"/>
          <w:rFonts w:ascii="Arial" w:hAnsi="Arial" w:cs="Arial"/>
          <w:sz w:val="22"/>
          <w:szCs w:val="22"/>
        </w:rPr>
        <w:t>, stagiaire</w:t>
      </w:r>
    </w:p>
    <w:p w14:paraId="4BCFA4F7" w14:textId="77777777" w:rsidR="002651AB" w:rsidRPr="001A4A5B" w:rsidRDefault="002651AB" w:rsidP="00F25FFB">
      <w:pPr>
        <w:spacing w:line="240" w:lineRule="auto"/>
        <w:rPr>
          <w:rFonts w:eastAsia="Calibri"/>
          <w:lang w:eastAsia="en-US"/>
        </w:rPr>
      </w:pPr>
    </w:p>
    <w:p w14:paraId="0EE7F1C4" w14:textId="77777777" w:rsidR="00B22677" w:rsidRPr="001A4A5B" w:rsidRDefault="00B22677" w:rsidP="00F25FFB">
      <w:pPr>
        <w:spacing w:line="240" w:lineRule="auto"/>
        <w:rPr>
          <w:rFonts w:eastAsia="MS Mincho"/>
        </w:rPr>
      </w:pPr>
      <w:r w:rsidRPr="001A4A5B">
        <w:rPr>
          <w:rFonts w:eastAsia="MS Mincho"/>
        </w:rPr>
        <w:t>Traitement de texte :</w:t>
      </w:r>
    </w:p>
    <w:p w14:paraId="7332A42C" w14:textId="77777777" w:rsidR="00B22677" w:rsidRPr="001A4A5B" w:rsidRDefault="00B22677" w:rsidP="00F25FFB">
      <w:pPr>
        <w:spacing w:line="240" w:lineRule="auto"/>
        <w:rPr>
          <w:rFonts w:eastAsia="MS Mincho"/>
        </w:rPr>
      </w:pPr>
    </w:p>
    <w:p w14:paraId="78D1201F" w14:textId="0997D540" w:rsidR="00B22677" w:rsidRPr="00DA79A7" w:rsidRDefault="00B22677" w:rsidP="00F25FFB">
      <w:pPr>
        <w:spacing w:line="240" w:lineRule="auto"/>
        <w:rPr>
          <w:rFonts w:eastAsia="MS Mincho"/>
          <w:i/>
          <w:iCs/>
        </w:rPr>
      </w:pPr>
      <w:r w:rsidRPr="001A4A5B">
        <w:rPr>
          <w:rFonts w:eastAsia="MS Mincho"/>
        </w:rPr>
        <w:tab/>
      </w:r>
      <w:r w:rsidR="00DA79A7" w:rsidRPr="00DA79A7">
        <w:rPr>
          <w:rFonts w:eastAsia="MS Mincho"/>
          <w:i/>
          <w:iCs/>
        </w:rPr>
        <w:t>Sylvie Durand</w:t>
      </w:r>
    </w:p>
    <w:p w14:paraId="329FC88D" w14:textId="5425F99B" w:rsidR="00C740FB" w:rsidRPr="001A4A5B" w:rsidRDefault="00C41228" w:rsidP="00F25FFB">
      <w:pPr>
        <w:spacing w:line="240" w:lineRule="auto"/>
        <w:rPr>
          <w:rFonts w:eastAsia="Calibri"/>
        </w:rPr>
      </w:pPr>
      <w:r w:rsidRPr="001A4A5B">
        <w:rPr>
          <w:rFonts w:eastAsia="MS Mincho"/>
        </w:rPr>
        <w:tab/>
      </w:r>
      <w:r w:rsidR="00B22677" w:rsidRPr="001A4A5B">
        <w:rPr>
          <w:rFonts w:eastAsia="MS Mincho"/>
        </w:rPr>
        <w:t>Direction de la recherche</w:t>
      </w:r>
    </w:p>
    <w:p w14:paraId="482531BC" w14:textId="77777777" w:rsidR="00C740FB" w:rsidRPr="001A4A5B" w:rsidRDefault="00C740FB" w:rsidP="00D40AC7">
      <w:pPr>
        <w:rPr>
          <w:rFonts w:eastAsia="Calibri"/>
          <w:lang w:eastAsia="en-US"/>
        </w:rPr>
      </w:pPr>
    </w:p>
    <w:p w14:paraId="72D9B95A" w14:textId="3C140D5D" w:rsidR="008379C6" w:rsidRPr="001A4A5B" w:rsidRDefault="008379C6" w:rsidP="00710427">
      <w:pPr>
        <w:rPr>
          <w:rFonts w:eastAsia="Calibri"/>
        </w:rPr>
        <w:sectPr w:rsidR="008379C6" w:rsidRPr="001A4A5B" w:rsidSect="00A72F4A">
          <w:headerReference w:type="first" r:id="rId19"/>
          <w:footerReference w:type="first" r:id="rId20"/>
          <w:type w:val="evenPage"/>
          <w:pgSz w:w="12240" w:h="15840" w:code="1"/>
          <w:pgMar w:top="1872" w:right="1440" w:bottom="1440" w:left="1440" w:header="706" w:footer="706" w:gutter="0"/>
          <w:pgNumType w:start="1"/>
          <w:cols w:space="708"/>
          <w:titlePg/>
          <w:docGrid w:linePitch="360"/>
        </w:sectPr>
      </w:pPr>
    </w:p>
    <w:p w14:paraId="21F475DE" w14:textId="070445E4" w:rsidR="00A72F4A" w:rsidRPr="001A4A5B" w:rsidRDefault="00BB10A7" w:rsidP="00D254F3">
      <w:pPr>
        <w:pBdr>
          <w:bottom w:val="single" w:sz="4" w:space="1" w:color="auto"/>
        </w:pBdr>
        <w:rPr>
          <w:rFonts w:eastAsia="Calibri"/>
          <w:b/>
        </w:rPr>
      </w:pPr>
      <w:r w:rsidRPr="001A4A5B">
        <w:rPr>
          <w:rFonts w:eastAsia="Calibri"/>
          <w:b/>
        </w:rPr>
        <w:lastRenderedPageBreak/>
        <w:t>TABLE DES MATIÈRES</w:t>
      </w:r>
    </w:p>
    <w:p w14:paraId="3E8ED3A6" w14:textId="77777777" w:rsidR="00A72F4A" w:rsidRPr="00CA7873" w:rsidRDefault="00A72F4A" w:rsidP="00CE48ED">
      <w:pPr>
        <w:spacing w:line="240" w:lineRule="auto"/>
        <w:rPr>
          <w:rFonts w:eastAsia="Calibri"/>
          <w:lang w:eastAsia="en-US"/>
        </w:rPr>
      </w:pPr>
    </w:p>
    <w:p w14:paraId="6EABDC81" w14:textId="77777777" w:rsidR="00CE48ED" w:rsidRPr="00CA7873" w:rsidRDefault="00CE48ED" w:rsidP="00CE48ED">
      <w:pPr>
        <w:spacing w:line="240" w:lineRule="auto"/>
        <w:rPr>
          <w:rFonts w:eastAsia="Calibri"/>
          <w:lang w:eastAsia="en-US"/>
        </w:rPr>
      </w:pPr>
    </w:p>
    <w:p w14:paraId="2821F077" w14:textId="77777777" w:rsidR="00CE48ED" w:rsidRPr="00CA7873" w:rsidRDefault="00CE48ED" w:rsidP="00CE48ED">
      <w:pPr>
        <w:spacing w:line="240" w:lineRule="auto"/>
        <w:rPr>
          <w:rFonts w:eastAsia="Calibri"/>
          <w:lang w:eastAsia="en-US"/>
        </w:rPr>
      </w:pPr>
    </w:p>
    <w:p w14:paraId="3303A64A" w14:textId="567A99A4" w:rsidR="009D3D24" w:rsidRPr="00D05442" w:rsidRDefault="009D3D24" w:rsidP="009D3D24">
      <w:pPr>
        <w:pStyle w:val="TM1"/>
        <w:rPr>
          <w:rStyle w:val="Lienhypertexte"/>
          <w:rFonts w:ascii="Arial" w:hAnsi="Arial" w:cs="Arial"/>
          <w:noProof/>
          <w:color w:val="auto"/>
          <w:sz w:val="21"/>
          <w:szCs w:val="21"/>
        </w:rPr>
      </w:pPr>
      <w:r w:rsidRPr="00D05442">
        <w:rPr>
          <w:rFonts w:ascii="Arial" w:eastAsia="Calibri" w:hAnsi="Arial" w:cs="Arial"/>
          <w:sz w:val="21"/>
          <w:szCs w:val="21"/>
          <w:lang w:eastAsia="en-US"/>
        </w:rPr>
        <w:fldChar w:fldCharType="begin"/>
      </w:r>
      <w:r w:rsidRPr="00D05442">
        <w:rPr>
          <w:rFonts w:ascii="Arial" w:eastAsia="Calibri" w:hAnsi="Arial" w:cs="Arial"/>
          <w:sz w:val="21"/>
          <w:szCs w:val="21"/>
          <w:lang w:eastAsia="en-US"/>
        </w:rPr>
        <w:instrText xml:space="preserve"> TOC \o "1-5" \h \z \u </w:instrText>
      </w:r>
      <w:r w:rsidRPr="00D05442">
        <w:rPr>
          <w:rFonts w:ascii="Arial" w:eastAsia="Calibri" w:hAnsi="Arial" w:cs="Arial"/>
          <w:sz w:val="21"/>
          <w:szCs w:val="21"/>
          <w:lang w:eastAsia="en-US"/>
        </w:rPr>
        <w:fldChar w:fldCharType="separate"/>
      </w:r>
      <w:hyperlink w:anchor="_Toc145331842" w:history="1">
        <w:r w:rsidRPr="00D05442">
          <w:rPr>
            <w:rStyle w:val="Lienhypertexte"/>
            <w:rFonts w:ascii="Arial" w:eastAsia="Calibri" w:hAnsi="Arial" w:cs="Arial"/>
            <w:noProof/>
            <w:color w:val="auto"/>
            <w:sz w:val="21"/>
            <w:szCs w:val="21"/>
            <w:lang w:eastAsia="en-US"/>
          </w:rPr>
          <w:t>Introduction</w:t>
        </w:r>
        <w:r w:rsidRPr="00D05442">
          <w:rPr>
            <w:rFonts w:ascii="Arial" w:hAnsi="Arial" w:cs="Arial"/>
            <w:noProof/>
            <w:webHidden/>
            <w:sz w:val="21"/>
            <w:szCs w:val="21"/>
          </w:rPr>
          <w:tab/>
        </w:r>
        <w:r w:rsidRPr="00C359DC">
          <w:rPr>
            <w:rFonts w:ascii="Arial" w:hAnsi="Arial" w:cs="Arial"/>
            <w:b w:val="0"/>
            <w:bCs/>
            <w:noProof/>
            <w:webHidden/>
            <w:sz w:val="21"/>
            <w:szCs w:val="21"/>
          </w:rPr>
          <w:fldChar w:fldCharType="begin"/>
        </w:r>
        <w:r w:rsidRPr="00C359DC">
          <w:rPr>
            <w:rFonts w:ascii="Arial" w:hAnsi="Arial" w:cs="Arial"/>
            <w:b w:val="0"/>
            <w:bCs/>
            <w:noProof/>
            <w:webHidden/>
            <w:sz w:val="21"/>
            <w:szCs w:val="21"/>
          </w:rPr>
          <w:instrText xml:space="preserve"> PAGEREF _Toc145331842 \h </w:instrText>
        </w:r>
        <w:r w:rsidRPr="00C359DC">
          <w:rPr>
            <w:rFonts w:ascii="Arial" w:hAnsi="Arial" w:cs="Arial"/>
            <w:b w:val="0"/>
            <w:bCs/>
            <w:noProof/>
            <w:webHidden/>
            <w:sz w:val="21"/>
            <w:szCs w:val="21"/>
          </w:rPr>
        </w:r>
        <w:r w:rsidRPr="00C359DC">
          <w:rPr>
            <w:rFonts w:ascii="Arial" w:hAnsi="Arial" w:cs="Arial"/>
            <w:b w:val="0"/>
            <w:bCs/>
            <w:noProof/>
            <w:webHidden/>
            <w:sz w:val="21"/>
            <w:szCs w:val="21"/>
          </w:rPr>
          <w:fldChar w:fldCharType="separate"/>
        </w:r>
        <w:r w:rsidR="008A75EF">
          <w:rPr>
            <w:rFonts w:ascii="Arial" w:hAnsi="Arial" w:cs="Arial"/>
            <w:b w:val="0"/>
            <w:bCs/>
            <w:noProof/>
            <w:webHidden/>
            <w:sz w:val="21"/>
            <w:szCs w:val="21"/>
          </w:rPr>
          <w:t>1</w:t>
        </w:r>
        <w:r w:rsidRPr="00C359DC">
          <w:rPr>
            <w:rFonts w:ascii="Arial" w:hAnsi="Arial" w:cs="Arial"/>
            <w:b w:val="0"/>
            <w:bCs/>
            <w:noProof/>
            <w:webHidden/>
            <w:sz w:val="21"/>
            <w:szCs w:val="21"/>
          </w:rPr>
          <w:fldChar w:fldCharType="end"/>
        </w:r>
      </w:hyperlink>
    </w:p>
    <w:p w14:paraId="2ADEA2D2"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6B70699E" w14:textId="77777777" w:rsidR="009D3D24" w:rsidRPr="00D05442" w:rsidRDefault="009D3D24" w:rsidP="00CA7873">
      <w:pPr>
        <w:pStyle w:val="Corpsdetexte"/>
        <w:spacing w:after="0" w:line="240" w:lineRule="auto"/>
        <w:rPr>
          <w:rFonts w:eastAsiaTheme="minorEastAsia" w:cs="Arial"/>
          <w:noProof/>
          <w:sz w:val="21"/>
          <w:szCs w:val="21"/>
        </w:rPr>
      </w:pPr>
    </w:p>
    <w:p w14:paraId="2E0F2E3D" w14:textId="0DB392BC" w:rsidR="009D3D24" w:rsidRPr="00D05442" w:rsidRDefault="00000000" w:rsidP="009D3D24">
      <w:pPr>
        <w:pStyle w:val="TM1"/>
        <w:rPr>
          <w:rStyle w:val="Lienhypertexte"/>
          <w:rFonts w:ascii="Arial" w:hAnsi="Arial" w:cs="Arial"/>
          <w:noProof/>
          <w:color w:val="auto"/>
          <w:sz w:val="21"/>
          <w:szCs w:val="21"/>
        </w:rPr>
      </w:pPr>
      <w:hyperlink w:anchor="_Toc145331843" w:history="1">
        <w:r w:rsidR="009D3D24" w:rsidRPr="00D05442">
          <w:rPr>
            <w:rStyle w:val="Lienhypertexte"/>
            <w:rFonts w:ascii="Arial" w:hAnsi="Arial" w:cs="Arial"/>
            <w:noProof/>
            <w:color w:val="auto"/>
            <w:sz w:val="21"/>
            <w:szCs w:val="21"/>
          </w:rPr>
          <w:t>1</w:t>
        </w:r>
        <w:r w:rsidR="009D3D24" w:rsidRPr="00D05442">
          <w:rPr>
            <w:rFonts w:ascii="Arial" w:eastAsiaTheme="minorEastAsia" w:hAnsi="Arial" w:cs="Arial"/>
            <w:b w:val="0"/>
            <w:caps w:val="0"/>
            <w:noProof/>
            <w:kern w:val="2"/>
            <w:sz w:val="21"/>
            <w:szCs w:val="21"/>
            <w14:ligatures w14:val="standardContextual"/>
          </w:rPr>
          <w:tab/>
        </w:r>
        <w:r w:rsidR="009D3D24" w:rsidRPr="00D05442">
          <w:rPr>
            <w:rStyle w:val="Lienhypertexte"/>
            <w:rFonts w:ascii="Arial" w:hAnsi="Arial" w:cs="Arial"/>
            <w:noProof/>
            <w:color w:val="auto"/>
            <w:sz w:val="21"/>
            <w:szCs w:val="21"/>
          </w:rPr>
          <w:t>L’origine et l’interprétation du concept de sécurisation culturelle</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_Toc145331843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3</w:t>
        </w:r>
        <w:r w:rsidR="009D3D24" w:rsidRPr="00D05442">
          <w:rPr>
            <w:rFonts w:ascii="Arial" w:hAnsi="Arial" w:cs="Arial"/>
            <w:b w:val="0"/>
            <w:bCs/>
            <w:noProof/>
            <w:webHidden/>
            <w:sz w:val="21"/>
            <w:szCs w:val="21"/>
          </w:rPr>
          <w:fldChar w:fldCharType="end"/>
        </w:r>
      </w:hyperlink>
    </w:p>
    <w:p w14:paraId="42ADB1B1"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1E1F29E1" w14:textId="77777777" w:rsidR="009D3D24" w:rsidRPr="00D05442" w:rsidRDefault="009D3D24" w:rsidP="00CA7873">
      <w:pPr>
        <w:pStyle w:val="Corpsdetexte"/>
        <w:spacing w:after="0" w:line="240" w:lineRule="auto"/>
        <w:rPr>
          <w:rFonts w:eastAsiaTheme="minorEastAsia" w:cs="Arial"/>
          <w:noProof/>
          <w:sz w:val="21"/>
          <w:szCs w:val="21"/>
        </w:rPr>
      </w:pPr>
    </w:p>
    <w:p w14:paraId="176DAD55" w14:textId="4E5DB1A9" w:rsidR="009D3D24" w:rsidRPr="00D05442" w:rsidRDefault="00000000" w:rsidP="009D3D24">
      <w:pPr>
        <w:pStyle w:val="TM1"/>
        <w:rPr>
          <w:rStyle w:val="Lienhypertexte"/>
          <w:rFonts w:ascii="Arial" w:hAnsi="Arial" w:cs="Arial"/>
          <w:noProof/>
          <w:color w:val="auto"/>
          <w:sz w:val="21"/>
          <w:szCs w:val="21"/>
        </w:rPr>
      </w:pPr>
      <w:hyperlink w:anchor="_Toc145331844" w:history="1">
        <w:r w:rsidR="009D3D24" w:rsidRPr="00D05442">
          <w:rPr>
            <w:rStyle w:val="Lienhypertexte"/>
            <w:rFonts w:ascii="Arial" w:hAnsi="Arial" w:cs="Arial"/>
            <w:noProof/>
            <w:color w:val="auto"/>
            <w:sz w:val="21"/>
            <w:szCs w:val="21"/>
          </w:rPr>
          <w:t>2</w:t>
        </w:r>
        <w:r w:rsidR="009D3D24" w:rsidRPr="00D05442">
          <w:rPr>
            <w:rFonts w:ascii="Arial" w:eastAsiaTheme="minorEastAsia" w:hAnsi="Arial" w:cs="Arial"/>
            <w:b w:val="0"/>
            <w:caps w:val="0"/>
            <w:noProof/>
            <w:kern w:val="2"/>
            <w:sz w:val="21"/>
            <w:szCs w:val="21"/>
            <w14:ligatures w14:val="standardContextual"/>
          </w:rPr>
          <w:tab/>
        </w:r>
        <w:r w:rsidR="009D3D24" w:rsidRPr="00D05442">
          <w:rPr>
            <w:rStyle w:val="Lienhypertexte"/>
            <w:rFonts w:ascii="Arial" w:hAnsi="Arial" w:cs="Arial"/>
            <w:noProof/>
            <w:color w:val="auto"/>
            <w:sz w:val="21"/>
            <w:szCs w:val="21"/>
          </w:rPr>
          <w:t>la reconnaissance des fondements de l’approche de sécurisation culturelle</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_Toc145331844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5</w:t>
        </w:r>
        <w:r w:rsidR="009D3D24" w:rsidRPr="00D05442">
          <w:rPr>
            <w:rFonts w:ascii="Arial" w:hAnsi="Arial" w:cs="Arial"/>
            <w:b w:val="0"/>
            <w:bCs/>
            <w:noProof/>
            <w:webHidden/>
            <w:sz w:val="21"/>
            <w:szCs w:val="21"/>
          </w:rPr>
          <w:fldChar w:fldCharType="end"/>
        </w:r>
      </w:hyperlink>
    </w:p>
    <w:p w14:paraId="672532C9"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659F612E" w14:textId="64638707" w:rsidR="009D3D24" w:rsidRPr="00D05442" w:rsidRDefault="00000000" w:rsidP="00CA7873">
      <w:pPr>
        <w:pStyle w:val="TM2"/>
        <w:spacing w:after="0" w:line="240" w:lineRule="auto"/>
        <w:rPr>
          <w:rFonts w:ascii="Arial" w:eastAsiaTheme="minorEastAsia" w:hAnsi="Arial" w:cs="Arial"/>
          <w:b w:val="0"/>
          <w:bCs/>
          <w:kern w:val="2"/>
          <w:sz w:val="21"/>
          <w:szCs w:val="21"/>
          <w14:ligatures w14:val="standardContextual"/>
        </w:rPr>
      </w:pPr>
      <w:hyperlink w:anchor="_Toc145331845" w:history="1">
        <w:r w:rsidR="009D3D24" w:rsidRPr="00D05442">
          <w:rPr>
            <w:rStyle w:val="Lienhypertexte"/>
            <w:rFonts w:ascii="Arial" w:hAnsi="Arial" w:cs="Arial"/>
            <w:b w:val="0"/>
            <w:bCs/>
            <w:color w:val="auto"/>
            <w:sz w:val="21"/>
            <w:szCs w:val="21"/>
          </w:rPr>
          <w:t>2.1</w:t>
        </w:r>
        <w:r w:rsidR="009D3D24" w:rsidRPr="00D05442">
          <w:rPr>
            <w:rFonts w:ascii="Arial" w:eastAsiaTheme="minorEastAsia" w:hAnsi="Arial" w:cs="Arial"/>
            <w:b w:val="0"/>
            <w:bCs/>
            <w:kern w:val="2"/>
            <w:sz w:val="21"/>
            <w:szCs w:val="21"/>
            <w14:ligatures w14:val="standardContextual"/>
          </w:rPr>
          <w:tab/>
        </w:r>
        <w:r w:rsidR="009D3D24" w:rsidRPr="00D05442">
          <w:rPr>
            <w:rStyle w:val="Lienhypertexte"/>
            <w:rFonts w:ascii="Arial" w:hAnsi="Arial" w:cs="Arial"/>
            <w:b w:val="0"/>
            <w:bCs/>
            <w:color w:val="auto"/>
            <w:sz w:val="21"/>
            <w:szCs w:val="21"/>
          </w:rPr>
          <w:t>L’autodétermination des peuples autochtones</w:t>
        </w:r>
        <w:r w:rsidR="009D3D24" w:rsidRPr="00D05442">
          <w:rPr>
            <w:rFonts w:ascii="Arial" w:hAnsi="Arial" w:cs="Arial"/>
            <w:b w:val="0"/>
            <w:bCs/>
            <w:webHidden/>
            <w:sz w:val="21"/>
            <w:szCs w:val="21"/>
          </w:rPr>
          <w:tab/>
        </w:r>
        <w:r w:rsidR="009D3D24" w:rsidRPr="00D05442">
          <w:rPr>
            <w:rFonts w:ascii="Arial" w:hAnsi="Arial" w:cs="Arial"/>
            <w:b w:val="0"/>
            <w:bCs/>
            <w:webHidden/>
            <w:sz w:val="21"/>
            <w:szCs w:val="21"/>
          </w:rPr>
          <w:fldChar w:fldCharType="begin"/>
        </w:r>
        <w:r w:rsidR="009D3D24" w:rsidRPr="00D05442">
          <w:rPr>
            <w:rFonts w:ascii="Arial" w:hAnsi="Arial" w:cs="Arial"/>
            <w:b w:val="0"/>
            <w:bCs/>
            <w:webHidden/>
            <w:sz w:val="21"/>
            <w:szCs w:val="21"/>
          </w:rPr>
          <w:instrText xml:space="preserve"> PAGEREF _Toc145331845 \h </w:instrText>
        </w:r>
        <w:r w:rsidR="009D3D24" w:rsidRPr="00D05442">
          <w:rPr>
            <w:rFonts w:ascii="Arial" w:hAnsi="Arial" w:cs="Arial"/>
            <w:b w:val="0"/>
            <w:bCs/>
            <w:webHidden/>
            <w:sz w:val="21"/>
            <w:szCs w:val="21"/>
          </w:rPr>
        </w:r>
        <w:r w:rsidR="009D3D24" w:rsidRPr="00D05442">
          <w:rPr>
            <w:rFonts w:ascii="Arial" w:hAnsi="Arial" w:cs="Arial"/>
            <w:b w:val="0"/>
            <w:bCs/>
            <w:webHidden/>
            <w:sz w:val="21"/>
            <w:szCs w:val="21"/>
          </w:rPr>
          <w:fldChar w:fldCharType="separate"/>
        </w:r>
        <w:r w:rsidR="008A75EF">
          <w:rPr>
            <w:rFonts w:ascii="Arial" w:hAnsi="Arial" w:cs="Arial"/>
            <w:b w:val="0"/>
            <w:bCs/>
            <w:webHidden/>
            <w:sz w:val="21"/>
            <w:szCs w:val="21"/>
          </w:rPr>
          <w:t>6</w:t>
        </w:r>
        <w:r w:rsidR="009D3D24" w:rsidRPr="00D05442">
          <w:rPr>
            <w:rFonts w:ascii="Arial" w:hAnsi="Arial" w:cs="Arial"/>
            <w:b w:val="0"/>
            <w:bCs/>
            <w:webHidden/>
            <w:sz w:val="21"/>
            <w:szCs w:val="21"/>
          </w:rPr>
          <w:fldChar w:fldCharType="end"/>
        </w:r>
      </w:hyperlink>
    </w:p>
    <w:p w14:paraId="2E60109B" w14:textId="089CE5ED" w:rsidR="009D3D24" w:rsidRPr="00D05442" w:rsidRDefault="00000000" w:rsidP="00CA7873">
      <w:pPr>
        <w:pStyle w:val="TM2"/>
        <w:spacing w:after="0" w:line="240" w:lineRule="auto"/>
        <w:rPr>
          <w:rFonts w:ascii="Arial" w:eastAsiaTheme="minorEastAsia" w:hAnsi="Arial" w:cs="Arial"/>
          <w:b w:val="0"/>
          <w:bCs/>
          <w:kern w:val="2"/>
          <w:sz w:val="21"/>
          <w:szCs w:val="21"/>
          <w14:ligatures w14:val="standardContextual"/>
        </w:rPr>
      </w:pPr>
      <w:hyperlink w:anchor="_Toc145331846" w:history="1">
        <w:r w:rsidR="009D3D24" w:rsidRPr="00D05442">
          <w:rPr>
            <w:rStyle w:val="Lienhypertexte"/>
            <w:rFonts w:ascii="Arial" w:hAnsi="Arial" w:cs="Arial"/>
            <w:b w:val="0"/>
            <w:bCs/>
            <w:color w:val="auto"/>
            <w:sz w:val="21"/>
            <w:szCs w:val="21"/>
          </w:rPr>
          <w:t>2.2</w:t>
        </w:r>
        <w:r w:rsidR="009D3D24" w:rsidRPr="00D05442">
          <w:rPr>
            <w:rFonts w:ascii="Arial" w:eastAsiaTheme="minorEastAsia" w:hAnsi="Arial" w:cs="Arial"/>
            <w:b w:val="0"/>
            <w:bCs/>
            <w:kern w:val="2"/>
            <w:sz w:val="21"/>
            <w:szCs w:val="21"/>
            <w14:ligatures w14:val="standardContextual"/>
          </w:rPr>
          <w:tab/>
        </w:r>
        <w:r w:rsidR="009D3D24" w:rsidRPr="00D05442">
          <w:rPr>
            <w:rStyle w:val="Lienhypertexte"/>
            <w:rFonts w:ascii="Arial" w:hAnsi="Arial" w:cs="Arial"/>
            <w:b w:val="0"/>
            <w:bCs/>
            <w:color w:val="auto"/>
            <w:sz w:val="21"/>
            <w:szCs w:val="21"/>
          </w:rPr>
          <w:t>La collaboration avec les peuples autochtones</w:t>
        </w:r>
        <w:r w:rsidR="009D3D24" w:rsidRPr="00D05442">
          <w:rPr>
            <w:rFonts w:ascii="Arial" w:hAnsi="Arial" w:cs="Arial"/>
            <w:b w:val="0"/>
            <w:bCs/>
            <w:webHidden/>
            <w:sz w:val="21"/>
            <w:szCs w:val="21"/>
          </w:rPr>
          <w:tab/>
        </w:r>
        <w:r w:rsidR="009D3D24" w:rsidRPr="00D05442">
          <w:rPr>
            <w:rFonts w:ascii="Arial" w:hAnsi="Arial" w:cs="Arial"/>
            <w:b w:val="0"/>
            <w:bCs/>
            <w:webHidden/>
            <w:sz w:val="21"/>
            <w:szCs w:val="21"/>
          </w:rPr>
          <w:fldChar w:fldCharType="begin"/>
        </w:r>
        <w:r w:rsidR="009D3D24" w:rsidRPr="00D05442">
          <w:rPr>
            <w:rFonts w:ascii="Arial" w:hAnsi="Arial" w:cs="Arial"/>
            <w:b w:val="0"/>
            <w:bCs/>
            <w:webHidden/>
            <w:sz w:val="21"/>
            <w:szCs w:val="21"/>
          </w:rPr>
          <w:instrText xml:space="preserve"> PAGEREF _Toc145331846 \h </w:instrText>
        </w:r>
        <w:r w:rsidR="009D3D24" w:rsidRPr="00D05442">
          <w:rPr>
            <w:rFonts w:ascii="Arial" w:hAnsi="Arial" w:cs="Arial"/>
            <w:b w:val="0"/>
            <w:bCs/>
            <w:webHidden/>
            <w:sz w:val="21"/>
            <w:szCs w:val="21"/>
          </w:rPr>
        </w:r>
        <w:r w:rsidR="009D3D24" w:rsidRPr="00D05442">
          <w:rPr>
            <w:rFonts w:ascii="Arial" w:hAnsi="Arial" w:cs="Arial"/>
            <w:b w:val="0"/>
            <w:bCs/>
            <w:webHidden/>
            <w:sz w:val="21"/>
            <w:szCs w:val="21"/>
          </w:rPr>
          <w:fldChar w:fldCharType="separate"/>
        </w:r>
        <w:r w:rsidR="008A75EF">
          <w:rPr>
            <w:rFonts w:ascii="Arial" w:hAnsi="Arial" w:cs="Arial"/>
            <w:b w:val="0"/>
            <w:bCs/>
            <w:webHidden/>
            <w:sz w:val="21"/>
            <w:szCs w:val="21"/>
          </w:rPr>
          <w:t>9</w:t>
        </w:r>
        <w:r w:rsidR="009D3D24" w:rsidRPr="00D05442">
          <w:rPr>
            <w:rFonts w:ascii="Arial" w:hAnsi="Arial" w:cs="Arial"/>
            <w:b w:val="0"/>
            <w:bCs/>
            <w:webHidden/>
            <w:sz w:val="21"/>
            <w:szCs w:val="21"/>
          </w:rPr>
          <w:fldChar w:fldCharType="end"/>
        </w:r>
      </w:hyperlink>
    </w:p>
    <w:p w14:paraId="3669DD8E" w14:textId="19C941C8" w:rsidR="009D3D24" w:rsidRPr="00D05442" w:rsidRDefault="00000000" w:rsidP="00CA7873">
      <w:pPr>
        <w:pStyle w:val="TM2"/>
        <w:spacing w:after="0" w:line="240" w:lineRule="auto"/>
        <w:rPr>
          <w:rStyle w:val="Lienhypertexte"/>
          <w:rFonts w:ascii="Arial" w:hAnsi="Arial" w:cs="Arial"/>
          <w:b w:val="0"/>
          <w:bCs/>
          <w:color w:val="auto"/>
          <w:sz w:val="21"/>
          <w:szCs w:val="21"/>
        </w:rPr>
      </w:pPr>
      <w:hyperlink w:anchor="_Toc145331847" w:history="1">
        <w:r w:rsidR="009D3D24" w:rsidRPr="00D05442">
          <w:rPr>
            <w:rStyle w:val="Lienhypertexte"/>
            <w:rFonts w:ascii="Arial" w:hAnsi="Arial" w:cs="Arial"/>
            <w:b w:val="0"/>
            <w:bCs/>
            <w:color w:val="auto"/>
            <w:sz w:val="21"/>
            <w:szCs w:val="21"/>
          </w:rPr>
          <w:t>2.3</w:t>
        </w:r>
        <w:r w:rsidR="009D3D24" w:rsidRPr="00D05442">
          <w:rPr>
            <w:rFonts w:ascii="Arial" w:eastAsiaTheme="minorEastAsia" w:hAnsi="Arial" w:cs="Arial"/>
            <w:b w:val="0"/>
            <w:bCs/>
            <w:kern w:val="2"/>
            <w:sz w:val="21"/>
            <w:szCs w:val="21"/>
            <w14:ligatures w14:val="standardContextual"/>
          </w:rPr>
          <w:tab/>
        </w:r>
        <w:r w:rsidR="009D3D24" w:rsidRPr="00D05442">
          <w:rPr>
            <w:rStyle w:val="Lienhypertexte"/>
            <w:rFonts w:ascii="Arial" w:hAnsi="Arial" w:cs="Arial"/>
            <w:b w:val="0"/>
            <w:bCs/>
            <w:color w:val="auto"/>
            <w:sz w:val="21"/>
            <w:szCs w:val="21"/>
          </w:rPr>
          <w:t>Le racisme et la discrimination systémiques vécus par les personnes autochtones</w:t>
        </w:r>
        <w:r w:rsidR="009D3D24" w:rsidRPr="00D05442">
          <w:rPr>
            <w:rFonts w:ascii="Arial" w:hAnsi="Arial" w:cs="Arial"/>
            <w:b w:val="0"/>
            <w:bCs/>
            <w:webHidden/>
            <w:sz w:val="21"/>
            <w:szCs w:val="21"/>
          </w:rPr>
          <w:tab/>
        </w:r>
        <w:r w:rsidR="009D3D24" w:rsidRPr="00D05442">
          <w:rPr>
            <w:rFonts w:ascii="Arial" w:hAnsi="Arial" w:cs="Arial"/>
            <w:b w:val="0"/>
            <w:bCs/>
            <w:webHidden/>
            <w:sz w:val="21"/>
            <w:szCs w:val="21"/>
          </w:rPr>
          <w:fldChar w:fldCharType="begin"/>
        </w:r>
        <w:r w:rsidR="009D3D24" w:rsidRPr="00D05442">
          <w:rPr>
            <w:rFonts w:ascii="Arial" w:hAnsi="Arial" w:cs="Arial"/>
            <w:b w:val="0"/>
            <w:bCs/>
            <w:webHidden/>
            <w:sz w:val="21"/>
            <w:szCs w:val="21"/>
          </w:rPr>
          <w:instrText xml:space="preserve"> PAGEREF _Toc145331847 \h </w:instrText>
        </w:r>
        <w:r w:rsidR="009D3D24" w:rsidRPr="00D05442">
          <w:rPr>
            <w:rFonts w:ascii="Arial" w:hAnsi="Arial" w:cs="Arial"/>
            <w:b w:val="0"/>
            <w:bCs/>
            <w:webHidden/>
            <w:sz w:val="21"/>
            <w:szCs w:val="21"/>
          </w:rPr>
        </w:r>
        <w:r w:rsidR="009D3D24" w:rsidRPr="00D05442">
          <w:rPr>
            <w:rFonts w:ascii="Arial" w:hAnsi="Arial" w:cs="Arial"/>
            <w:b w:val="0"/>
            <w:bCs/>
            <w:webHidden/>
            <w:sz w:val="21"/>
            <w:szCs w:val="21"/>
          </w:rPr>
          <w:fldChar w:fldCharType="separate"/>
        </w:r>
        <w:r w:rsidR="008A75EF">
          <w:rPr>
            <w:rFonts w:ascii="Arial" w:hAnsi="Arial" w:cs="Arial"/>
            <w:b w:val="0"/>
            <w:bCs/>
            <w:webHidden/>
            <w:sz w:val="21"/>
            <w:szCs w:val="21"/>
          </w:rPr>
          <w:t>10</w:t>
        </w:r>
        <w:r w:rsidR="009D3D24" w:rsidRPr="00D05442">
          <w:rPr>
            <w:rFonts w:ascii="Arial" w:hAnsi="Arial" w:cs="Arial"/>
            <w:b w:val="0"/>
            <w:bCs/>
            <w:webHidden/>
            <w:sz w:val="21"/>
            <w:szCs w:val="21"/>
          </w:rPr>
          <w:fldChar w:fldCharType="end"/>
        </w:r>
      </w:hyperlink>
    </w:p>
    <w:p w14:paraId="3346089D" w14:textId="77777777" w:rsidR="009D3D24" w:rsidRPr="00D05442" w:rsidRDefault="009D3D24" w:rsidP="00CA7873">
      <w:pPr>
        <w:spacing w:line="240" w:lineRule="auto"/>
        <w:rPr>
          <w:rFonts w:eastAsiaTheme="minorEastAsia" w:cs="Arial"/>
          <w:noProof/>
          <w:sz w:val="21"/>
          <w:szCs w:val="21"/>
        </w:rPr>
      </w:pPr>
    </w:p>
    <w:p w14:paraId="5849D44A" w14:textId="77777777" w:rsidR="009D3D24" w:rsidRPr="00D05442" w:rsidRDefault="009D3D24" w:rsidP="00CA7873">
      <w:pPr>
        <w:spacing w:line="240" w:lineRule="auto"/>
        <w:rPr>
          <w:rFonts w:eastAsiaTheme="minorEastAsia" w:cs="Arial"/>
          <w:noProof/>
          <w:sz w:val="21"/>
          <w:szCs w:val="21"/>
        </w:rPr>
      </w:pPr>
    </w:p>
    <w:p w14:paraId="166562DC" w14:textId="220FEF8B" w:rsidR="009D3D24" w:rsidRPr="00D05442" w:rsidRDefault="00000000" w:rsidP="009D3D24">
      <w:pPr>
        <w:pStyle w:val="TM1"/>
        <w:rPr>
          <w:rStyle w:val="Lienhypertexte"/>
          <w:rFonts w:ascii="Arial" w:hAnsi="Arial" w:cs="Arial"/>
          <w:noProof/>
          <w:color w:val="auto"/>
          <w:sz w:val="21"/>
          <w:szCs w:val="21"/>
        </w:rPr>
      </w:pPr>
      <w:hyperlink w:anchor="_Toc145331848" w:history="1">
        <w:r w:rsidR="009D3D24" w:rsidRPr="00D05442">
          <w:rPr>
            <w:rStyle w:val="Lienhypertexte"/>
            <w:rFonts w:ascii="Arial" w:hAnsi="Arial" w:cs="Arial"/>
            <w:noProof/>
            <w:color w:val="auto"/>
            <w:sz w:val="21"/>
            <w:szCs w:val="21"/>
          </w:rPr>
          <w:t>3</w:t>
        </w:r>
        <w:r w:rsidR="009D3D24" w:rsidRPr="00D05442">
          <w:rPr>
            <w:rFonts w:ascii="Arial" w:eastAsiaTheme="minorEastAsia" w:hAnsi="Arial" w:cs="Arial"/>
            <w:b w:val="0"/>
            <w:caps w:val="0"/>
            <w:noProof/>
            <w:kern w:val="2"/>
            <w:sz w:val="21"/>
            <w:szCs w:val="21"/>
            <w14:ligatures w14:val="standardContextual"/>
          </w:rPr>
          <w:tab/>
        </w:r>
        <w:r w:rsidR="009D3D24" w:rsidRPr="00D05442">
          <w:rPr>
            <w:rStyle w:val="Lienhypertexte"/>
            <w:rFonts w:ascii="Arial" w:hAnsi="Arial" w:cs="Arial"/>
            <w:noProof/>
            <w:color w:val="auto"/>
            <w:sz w:val="21"/>
            <w:szCs w:val="21"/>
          </w:rPr>
          <w:t>Le droit à la santé des peuples autochtones et les droits et libertés de la personne inscrits dans la Charte</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_Toc145331848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16</w:t>
        </w:r>
        <w:r w:rsidR="009D3D24" w:rsidRPr="00D05442">
          <w:rPr>
            <w:rFonts w:ascii="Arial" w:hAnsi="Arial" w:cs="Arial"/>
            <w:b w:val="0"/>
            <w:bCs/>
            <w:noProof/>
            <w:webHidden/>
            <w:sz w:val="21"/>
            <w:szCs w:val="21"/>
          </w:rPr>
          <w:fldChar w:fldCharType="end"/>
        </w:r>
      </w:hyperlink>
    </w:p>
    <w:p w14:paraId="6C895025"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4A8E5655" w14:textId="45C6F874" w:rsidR="009D3D24" w:rsidRPr="00D05442" w:rsidRDefault="00000000" w:rsidP="00CA7873">
      <w:pPr>
        <w:pStyle w:val="TM2"/>
        <w:spacing w:after="0" w:line="240" w:lineRule="auto"/>
        <w:rPr>
          <w:rFonts w:ascii="Arial" w:eastAsiaTheme="minorEastAsia" w:hAnsi="Arial" w:cs="Arial"/>
          <w:b w:val="0"/>
          <w:bCs/>
          <w:kern w:val="2"/>
          <w:sz w:val="21"/>
          <w:szCs w:val="21"/>
          <w14:ligatures w14:val="standardContextual"/>
        </w:rPr>
      </w:pPr>
      <w:hyperlink w:anchor="_Toc145331849" w:history="1">
        <w:r w:rsidR="009D3D24" w:rsidRPr="00D05442">
          <w:rPr>
            <w:rStyle w:val="Lienhypertexte"/>
            <w:rFonts w:ascii="Arial" w:hAnsi="Arial" w:cs="Arial"/>
            <w:b w:val="0"/>
            <w:bCs/>
            <w:color w:val="auto"/>
            <w:sz w:val="21"/>
            <w:szCs w:val="21"/>
          </w:rPr>
          <w:t>3.1</w:t>
        </w:r>
        <w:r w:rsidR="009D3D24" w:rsidRPr="00D05442">
          <w:rPr>
            <w:rFonts w:ascii="Arial" w:eastAsiaTheme="minorEastAsia" w:hAnsi="Arial" w:cs="Arial"/>
            <w:b w:val="0"/>
            <w:bCs/>
            <w:kern w:val="2"/>
            <w:sz w:val="21"/>
            <w:szCs w:val="21"/>
            <w14:ligatures w14:val="standardContextual"/>
          </w:rPr>
          <w:tab/>
        </w:r>
        <w:r w:rsidR="009D3D24" w:rsidRPr="00D05442">
          <w:rPr>
            <w:rStyle w:val="Lienhypertexte"/>
            <w:rFonts w:ascii="Arial" w:hAnsi="Arial" w:cs="Arial"/>
            <w:b w:val="0"/>
            <w:bCs/>
            <w:color w:val="auto"/>
            <w:sz w:val="21"/>
            <w:szCs w:val="21"/>
          </w:rPr>
          <w:t>Le droit à la santé</w:t>
        </w:r>
        <w:r w:rsidR="009D3D24" w:rsidRPr="00D05442">
          <w:rPr>
            <w:rFonts w:ascii="Arial" w:hAnsi="Arial" w:cs="Arial"/>
            <w:b w:val="0"/>
            <w:bCs/>
            <w:webHidden/>
            <w:sz w:val="21"/>
            <w:szCs w:val="21"/>
          </w:rPr>
          <w:tab/>
        </w:r>
        <w:r w:rsidR="009D3D24" w:rsidRPr="00D05442">
          <w:rPr>
            <w:rFonts w:ascii="Arial" w:hAnsi="Arial" w:cs="Arial"/>
            <w:b w:val="0"/>
            <w:bCs/>
            <w:webHidden/>
            <w:sz w:val="21"/>
            <w:szCs w:val="21"/>
          </w:rPr>
          <w:fldChar w:fldCharType="begin"/>
        </w:r>
        <w:r w:rsidR="009D3D24" w:rsidRPr="00D05442">
          <w:rPr>
            <w:rFonts w:ascii="Arial" w:hAnsi="Arial" w:cs="Arial"/>
            <w:b w:val="0"/>
            <w:bCs/>
            <w:webHidden/>
            <w:sz w:val="21"/>
            <w:szCs w:val="21"/>
          </w:rPr>
          <w:instrText xml:space="preserve"> PAGEREF _Toc145331849 \h </w:instrText>
        </w:r>
        <w:r w:rsidR="009D3D24" w:rsidRPr="00D05442">
          <w:rPr>
            <w:rFonts w:ascii="Arial" w:hAnsi="Arial" w:cs="Arial"/>
            <w:b w:val="0"/>
            <w:bCs/>
            <w:webHidden/>
            <w:sz w:val="21"/>
            <w:szCs w:val="21"/>
          </w:rPr>
        </w:r>
        <w:r w:rsidR="009D3D24" w:rsidRPr="00D05442">
          <w:rPr>
            <w:rFonts w:ascii="Arial" w:hAnsi="Arial" w:cs="Arial"/>
            <w:b w:val="0"/>
            <w:bCs/>
            <w:webHidden/>
            <w:sz w:val="21"/>
            <w:szCs w:val="21"/>
          </w:rPr>
          <w:fldChar w:fldCharType="separate"/>
        </w:r>
        <w:r w:rsidR="008A75EF">
          <w:rPr>
            <w:rFonts w:ascii="Arial" w:hAnsi="Arial" w:cs="Arial"/>
            <w:b w:val="0"/>
            <w:bCs/>
            <w:webHidden/>
            <w:sz w:val="21"/>
            <w:szCs w:val="21"/>
          </w:rPr>
          <w:t>16</w:t>
        </w:r>
        <w:r w:rsidR="009D3D24" w:rsidRPr="00D05442">
          <w:rPr>
            <w:rFonts w:ascii="Arial" w:hAnsi="Arial" w:cs="Arial"/>
            <w:b w:val="0"/>
            <w:bCs/>
            <w:webHidden/>
            <w:sz w:val="21"/>
            <w:szCs w:val="21"/>
          </w:rPr>
          <w:fldChar w:fldCharType="end"/>
        </w:r>
      </w:hyperlink>
    </w:p>
    <w:p w14:paraId="5192CE80" w14:textId="284095DB" w:rsidR="009D3D24" w:rsidRPr="00D05442" w:rsidRDefault="00000000" w:rsidP="00CA7873">
      <w:pPr>
        <w:pStyle w:val="TM2"/>
        <w:spacing w:after="0" w:line="240" w:lineRule="auto"/>
        <w:rPr>
          <w:rFonts w:ascii="Arial" w:eastAsiaTheme="minorEastAsia" w:hAnsi="Arial" w:cs="Arial"/>
          <w:b w:val="0"/>
          <w:bCs/>
          <w:kern w:val="2"/>
          <w:sz w:val="21"/>
          <w:szCs w:val="21"/>
          <w14:ligatures w14:val="standardContextual"/>
        </w:rPr>
      </w:pPr>
      <w:hyperlink w:anchor="_Toc145331850" w:history="1">
        <w:r w:rsidR="009D3D24" w:rsidRPr="00D05442">
          <w:rPr>
            <w:rStyle w:val="Lienhypertexte"/>
            <w:rFonts w:ascii="Arial" w:hAnsi="Arial" w:cs="Arial"/>
            <w:b w:val="0"/>
            <w:bCs/>
            <w:color w:val="auto"/>
            <w:sz w:val="21"/>
            <w:szCs w:val="21"/>
          </w:rPr>
          <w:t>3.2</w:t>
        </w:r>
        <w:r w:rsidR="009D3D24" w:rsidRPr="00D05442">
          <w:rPr>
            <w:rFonts w:ascii="Arial" w:eastAsiaTheme="minorEastAsia" w:hAnsi="Arial" w:cs="Arial"/>
            <w:b w:val="0"/>
            <w:bCs/>
            <w:kern w:val="2"/>
            <w:sz w:val="21"/>
            <w:szCs w:val="21"/>
            <w14:ligatures w14:val="standardContextual"/>
          </w:rPr>
          <w:tab/>
        </w:r>
        <w:r w:rsidR="009D3D24" w:rsidRPr="00D05442">
          <w:rPr>
            <w:rStyle w:val="Lienhypertexte"/>
            <w:rFonts w:ascii="Arial" w:hAnsi="Arial" w:cs="Arial"/>
            <w:b w:val="0"/>
            <w:bCs/>
            <w:color w:val="auto"/>
            <w:sz w:val="21"/>
            <w:szCs w:val="21"/>
          </w:rPr>
          <w:t>Les droits et libertés de la Charte</w:t>
        </w:r>
        <w:r w:rsidR="009D3D24" w:rsidRPr="00D05442">
          <w:rPr>
            <w:rFonts w:ascii="Arial" w:hAnsi="Arial" w:cs="Arial"/>
            <w:b w:val="0"/>
            <w:bCs/>
            <w:webHidden/>
            <w:sz w:val="21"/>
            <w:szCs w:val="21"/>
          </w:rPr>
          <w:tab/>
        </w:r>
        <w:r w:rsidR="009D3D24" w:rsidRPr="00D05442">
          <w:rPr>
            <w:rFonts w:ascii="Arial" w:hAnsi="Arial" w:cs="Arial"/>
            <w:b w:val="0"/>
            <w:bCs/>
            <w:webHidden/>
            <w:sz w:val="21"/>
            <w:szCs w:val="21"/>
          </w:rPr>
          <w:fldChar w:fldCharType="begin"/>
        </w:r>
        <w:r w:rsidR="009D3D24" w:rsidRPr="00D05442">
          <w:rPr>
            <w:rFonts w:ascii="Arial" w:hAnsi="Arial" w:cs="Arial"/>
            <w:b w:val="0"/>
            <w:bCs/>
            <w:webHidden/>
            <w:sz w:val="21"/>
            <w:szCs w:val="21"/>
          </w:rPr>
          <w:instrText xml:space="preserve"> PAGEREF _Toc145331850 \h </w:instrText>
        </w:r>
        <w:r w:rsidR="009D3D24" w:rsidRPr="00D05442">
          <w:rPr>
            <w:rFonts w:ascii="Arial" w:hAnsi="Arial" w:cs="Arial"/>
            <w:b w:val="0"/>
            <w:bCs/>
            <w:webHidden/>
            <w:sz w:val="21"/>
            <w:szCs w:val="21"/>
          </w:rPr>
        </w:r>
        <w:r w:rsidR="009D3D24" w:rsidRPr="00D05442">
          <w:rPr>
            <w:rFonts w:ascii="Arial" w:hAnsi="Arial" w:cs="Arial"/>
            <w:b w:val="0"/>
            <w:bCs/>
            <w:webHidden/>
            <w:sz w:val="21"/>
            <w:szCs w:val="21"/>
          </w:rPr>
          <w:fldChar w:fldCharType="separate"/>
        </w:r>
        <w:r w:rsidR="008A75EF">
          <w:rPr>
            <w:rFonts w:ascii="Arial" w:hAnsi="Arial" w:cs="Arial"/>
            <w:b w:val="0"/>
            <w:bCs/>
            <w:webHidden/>
            <w:sz w:val="21"/>
            <w:szCs w:val="21"/>
          </w:rPr>
          <w:t>19</w:t>
        </w:r>
        <w:r w:rsidR="009D3D24" w:rsidRPr="00D05442">
          <w:rPr>
            <w:rFonts w:ascii="Arial" w:hAnsi="Arial" w:cs="Arial"/>
            <w:b w:val="0"/>
            <w:bCs/>
            <w:webHidden/>
            <w:sz w:val="21"/>
            <w:szCs w:val="21"/>
          </w:rPr>
          <w:fldChar w:fldCharType="end"/>
        </w:r>
      </w:hyperlink>
    </w:p>
    <w:p w14:paraId="0808D341" w14:textId="35BFB73F" w:rsidR="009D3D24" w:rsidRPr="00D05442" w:rsidRDefault="00000000" w:rsidP="00CA7873">
      <w:pPr>
        <w:pStyle w:val="TM2"/>
        <w:spacing w:after="0" w:line="240" w:lineRule="auto"/>
        <w:ind w:left="706" w:hanging="706"/>
        <w:rPr>
          <w:rFonts w:ascii="Arial" w:eastAsiaTheme="minorEastAsia" w:hAnsi="Arial" w:cs="Arial"/>
          <w:b w:val="0"/>
          <w:bCs/>
          <w:kern w:val="2"/>
          <w:sz w:val="21"/>
          <w:szCs w:val="21"/>
          <w14:ligatures w14:val="standardContextual"/>
        </w:rPr>
      </w:pPr>
      <w:hyperlink w:anchor="_Toc145331851" w:history="1">
        <w:r w:rsidR="009D3D24" w:rsidRPr="00D05442">
          <w:rPr>
            <w:rStyle w:val="Lienhypertexte"/>
            <w:rFonts w:ascii="Arial" w:hAnsi="Arial" w:cs="Arial"/>
            <w:b w:val="0"/>
            <w:bCs/>
            <w:color w:val="auto"/>
            <w:sz w:val="21"/>
            <w:szCs w:val="21"/>
          </w:rPr>
          <w:t>3.3</w:t>
        </w:r>
        <w:r w:rsidR="009D3D24" w:rsidRPr="00D05442">
          <w:rPr>
            <w:rFonts w:ascii="Arial" w:eastAsiaTheme="minorEastAsia" w:hAnsi="Arial" w:cs="Arial"/>
            <w:b w:val="0"/>
            <w:bCs/>
            <w:kern w:val="2"/>
            <w:sz w:val="21"/>
            <w:szCs w:val="21"/>
            <w14:ligatures w14:val="standardContextual"/>
          </w:rPr>
          <w:tab/>
        </w:r>
        <w:r w:rsidR="009D3D24" w:rsidRPr="00D05442">
          <w:rPr>
            <w:rStyle w:val="Lienhypertexte"/>
            <w:rFonts w:ascii="Arial" w:hAnsi="Arial" w:cs="Arial"/>
            <w:b w:val="0"/>
            <w:bCs/>
            <w:color w:val="auto"/>
            <w:sz w:val="21"/>
            <w:szCs w:val="21"/>
          </w:rPr>
          <w:t>L’importance de la prise en compte des réalités et besoins individuels des personnes autochtones</w:t>
        </w:r>
        <w:r w:rsidR="009D3D24" w:rsidRPr="00D05442">
          <w:rPr>
            <w:rFonts w:ascii="Arial" w:hAnsi="Arial" w:cs="Arial"/>
            <w:b w:val="0"/>
            <w:bCs/>
            <w:webHidden/>
            <w:sz w:val="21"/>
            <w:szCs w:val="21"/>
          </w:rPr>
          <w:tab/>
        </w:r>
        <w:r w:rsidR="009D3D24" w:rsidRPr="00D05442">
          <w:rPr>
            <w:rFonts w:ascii="Arial" w:hAnsi="Arial" w:cs="Arial"/>
            <w:b w:val="0"/>
            <w:bCs/>
            <w:webHidden/>
            <w:sz w:val="21"/>
            <w:szCs w:val="21"/>
          </w:rPr>
          <w:fldChar w:fldCharType="begin"/>
        </w:r>
        <w:r w:rsidR="009D3D24" w:rsidRPr="00D05442">
          <w:rPr>
            <w:rFonts w:ascii="Arial" w:hAnsi="Arial" w:cs="Arial"/>
            <w:b w:val="0"/>
            <w:bCs/>
            <w:webHidden/>
            <w:sz w:val="21"/>
            <w:szCs w:val="21"/>
          </w:rPr>
          <w:instrText xml:space="preserve"> PAGEREF _Toc145331851 \h </w:instrText>
        </w:r>
        <w:r w:rsidR="009D3D24" w:rsidRPr="00D05442">
          <w:rPr>
            <w:rFonts w:ascii="Arial" w:hAnsi="Arial" w:cs="Arial"/>
            <w:b w:val="0"/>
            <w:bCs/>
            <w:webHidden/>
            <w:sz w:val="21"/>
            <w:szCs w:val="21"/>
          </w:rPr>
        </w:r>
        <w:r w:rsidR="009D3D24" w:rsidRPr="00D05442">
          <w:rPr>
            <w:rFonts w:ascii="Arial" w:hAnsi="Arial" w:cs="Arial"/>
            <w:b w:val="0"/>
            <w:bCs/>
            <w:webHidden/>
            <w:sz w:val="21"/>
            <w:szCs w:val="21"/>
          </w:rPr>
          <w:fldChar w:fldCharType="separate"/>
        </w:r>
        <w:r w:rsidR="008A75EF">
          <w:rPr>
            <w:rFonts w:ascii="Arial" w:hAnsi="Arial" w:cs="Arial"/>
            <w:b w:val="0"/>
            <w:bCs/>
            <w:webHidden/>
            <w:sz w:val="21"/>
            <w:szCs w:val="21"/>
          </w:rPr>
          <w:t>22</w:t>
        </w:r>
        <w:r w:rsidR="009D3D24" w:rsidRPr="00D05442">
          <w:rPr>
            <w:rFonts w:ascii="Arial" w:hAnsi="Arial" w:cs="Arial"/>
            <w:b w:val="0"/>
            <w:bCs/>
            <w:webHidden/>
            <w:sz w:val="21"/>
            <w:szCs w:val="21"/>
          </w:rPr>
          <w:fldChar w:fldCharType="end"/>
        </w:r>
      </w:hyperlink>
    </w:p>
    <w:p w14:paraId="559D146B" w14:textId="0486A8C9" w:rsidR="009D3D24" w:rsidRPr="00D05442" w:rsidRDefault="00000000" w:rsidP="009D3D24">
      <w:pPr>
        <w:pStyle w:val="TM3"/>
        <w:rPr>
          <w:rFonts w:eastAsiaTheme="minorEastAsia" w:cs="Arial"/>
          <w:noProof/>
          <w:kern w:val="2"/>
          <w:sz w:val="21"/>
          <w:szCs w:val="21"/>
          <w14:ligatures w14:val="standardContextual"/>
        </w:rPr>
      </w:pPr>
      <w:hyperlink w:anchor="_Toc145331852" w:history="1">
        <w:r w:rsidR="009D3D24" w:rsidRPr="00D05442">
          <w:rPr>
            <w:rStyle w:val="Lienhypertexte"/>
            <w:rFonts w:cs="Arial"/>
            <w:noProof/>
            <w:color w:val="auto"/>
            <w:sz w:val="21"/>
            <w:szCs w:val="21"/>
          </w:rPr>
          <w:t>3.3.1</w:t>
        </w:r>
        <w:r w:rsidR="009D3D24" w:rsidRPr="00D05442">
          <w:rPr>
            <w:rFonts w:eastAsiaTheme="minorEastAsia" w:cs="Arial"/>
            <w:noProof/>
            <w:kern w:val="2"/>
            <w:sz w:val="21"/>
            <w:szCs w:val="21"/>
            <w14:ligatures w14:val="standardContextual"/>
          </w:rPr>
          <w:tab/>
        </w:r>
        <w:r w:rsidR="009D3D24" w:rsidRPr="00D05442">
          <w:rPr>
            <w:rStyle w:val="Lienhypertexte"/>
            <w:rFonts w:cs="Arial"/>
            <w:noProof/>
            <w:color w:val="auto"/>
            <w:sz w:val="21"/>
            <w:szCs w:val="21"/>
          </w:rPr>
          <w:t>Les femmes et les filles autochtones</w:t>
        </w:r>
        <w:r w:rsidR="009D3D24" w:rsidRPr="00D05442">
          <w:rPr>
            <w:rFonts w:cs="Arial"/>
            <w:noProof/>
            <w:webHidden/>
            <w:sz w:val="21"/>
            <w:szCs w:val="21"/>
          </w:rPr>
          <w:tab/>
        </w:r>
        <w:r w:rsidR="009D3D24" w:rsidRPr="00D05442">
          <w:rPr>
            <w:rFonts w:cs="Arial"/>
            <w:noProof/>
            <w:webHidden/>
            <w:sz w:val="21"/>
            <w:szCs w:val="21"/>
          </w:rPr>
          <w:fldChar w:fldCharType="begin"/>
        </w:r>
        <w:r w:rsidR="009D3D24" w:rsidRPr="00D05442">
          <w:rPr>
            <w:rFonts w:cs="Arial"/>
            <w:noProof/>
            <w:webHidden/>
            <w:sz w:val="21"/>
            <w:szCs w:val="21"/>
          </w:rPr>
          <w:instrText xml:space="preserve"> PAGEREF _Toc145331852 \h </w:instrText>
        </w:r>
        <w:r w:rsidR="009D3D24" w:rsidRPr="00D05442">
          <w:rPr>
            <w:rFonts w:cs="Arial"/>
            <w:noProof/>
            <w:webHidden/>
            <w:sz w:val="21"/>
            <w:szCs w:val="21"/>
          </w:rPr>
        </w:r>
        <w:r w:rsidR="009D3D24" w:rsidRPr="00D05442">
          <w:rPr>
            <w:rFonts w:cs="Arial"/>
            <w:noProof/>
            <w:webHidden/>
            <w:sz w:val="21"/>
            <w:szCs w:val="21"/>
          </w:rPr>
          <w:fldChar w:fldCharType="separate"/>
        </w:r>
        <w:r w:rsidR="008A75EF">
          <w:rPr>
            <w:rFonts w:cs="Arial"/>
            <w:noProof/>
            <w:webHidden/>
            <w:sz w:val="21"/>
            <w:szCs w:val="21"/>
          </w:rPr>
          <w:t>22</w:t>
        </w:r>
        <w:r w:rsidR="009D3D24" w:rsidRPr="00D05442">
          <w:rPr>
            <w:rFonts w:cs="Arial"/>
            <w:noProof/>
            <w:webHidden/>
            <w:sz w:val="21"/>
            <w:szCs w:val="21"/>
          </w:rPr>
          <w:fldChar w:fldCharType="end"/>
        </w:r>
      </w:hyperlink>
    </w:p>
    <w:p w14:paraId="0625225E" w14:textId="249C0BD0" w:rsidR="009D3D24" w:rsidRPr="00D05442" w:rsidRDefault="00000000" w:rsidP="009D3D24">
      <w:pPr>
        <w:pStyle w:val="TM3"/>
        <w:rPr>
          <w:rFonts w:eastAsiaTheme="minorEastAsia" w:cs="Arial"/>
          <w:noProof/>
          <w:kern w:val="2"/>
          <w:sz w:val="21"/>
          <w:szCs w:val="21"/>
          <w14:ligatures w14:val="standardContextual"/>
        </w:rPr>
      </w:pPr>
      <w:hyperlink w:anchor="_Toc145331853" w:history="1">
        <w:r w:rsidR="009D3D24" w:rsidRPr="00D05442">
          <w:rPr>
            <w:rStyle w:val="Lienhypertexte"/>
            <w:rFonts w:cs="Arial"/>
            <w:noProof/>
            <w:color w:val="auto"/>
            <w:sz w:val="21"/>
            <w:szCs w:val="21"/>
          </w:rPr>
          <w:t>3.3.2</w:t>
        </w:r>
        <w:r w:rsidR="009D3D24" w:rsidRPr="00D05442">
          <w:rPr>
            <w:rFonts w:eastAsiaTheme="minorEastAsia" w:cs="Arial"/>
            <w:noProof/>
            <w:kern w:val="2"/>
            <w:sz w:val="21"/>
            <w:szCs w:val="21"/>
            <w14:ligatures w14:val="standardContextual"/>
          </w:rPr>
          <w:tab/>
        </w:r>
        <w:r w:rsidR="009D3D24" w:rsidRPr="00D05442">
          <w:rPr>
            <w:rStyle w:val="Lienhypertexte"/>
            <w:rFonts w:cs="Arial"/>
            <w:noProof/>
            <w:color w:val="auto"/>
            <w:sz w:val="21"/>
            <w:szCs w:val="21"/>
          </w:rPr>
          <w:t>Les enfants autochtones et leur famille</w:t>
        </w:r>
        <w:r w:rsidR="009D3D24" w:rsidRPr="00D05442">
          <w:rPr>
            <w:rFonts w:cs="Arial"/>
            <w:noProof/>
            <w:webHidden/>
            <w:sz w:val="21"/>
            <w:szCs w:val="21"/>
          </w:rPr>
          <w:tab/>
        </w:r>
        <w:r w:rsidR="009D3D24" w:rsidRPr="00D05442">
          <w:rPr>
            <w:rFonts w:cs="Arial"/>
            <w:noProof/>
            <w:webHidden/>
            <w:sz w:val="21"/>
            <w:szCs w:val="21"/>
          </w:rPr>
          <w:fldChar w:fldCharType="begin"/>
        </w:r>
        <w:r w:rsidR="009D3D24" w:rsidRPr="00D05442">
          <w:rPr>
            <w:rFonts w:cs="Arial"/>
            <w:noProof/>
            <w:webHidden/>
            <w:sz w:val="21"/>
            <w:szCs w:val="21"/>
          </w:rPr>
          <w:instrText xml:space="preserve"> PAGEREF _Toc145331853 \h </w:instrText>
        </w:r>
        <w:r w:rsidR="009D3D24" w:rsidRPr="00D05442">
          <w:rPr>
            <w:rFonts w:cs="Arial"/>
            <w:noProof/>
            <w:webHidden/>
            <w:sz w:val="21"/>
            <w:szCs w:val="21"/>
          </w:rPr>
        </w:r>
        <w:r w:rsidR="009D3D24" w:rsidRPr="00D05442">
          <w:rPr>
            <w:rFonts w:cs="Arial"/>
            <w:noProof/>
            <w:webHidden/>
            <w:sz w:val="21"/>
            <w:szCs w:val="21"/>
          </w:rPr>
          <w:fldChar w:fldCharType="separate"/>
        </w:r>
        <w:r w:rsidR="008A75EF">
          <w:rPr>
            <w:rFonts w:cs="Arial"/>
            <w:noProof/>
            <w:webHidden/>
            <w:sz w:val="21"/>
            <w:szCs w:val="21"/>
          </w:rPr>
          <w:t>24</w:t>
        </w:r>
        <w:r w:rsidR="009D3D24" w:rsidRPr="00D05442">
          <w:rPr>
            <w:rFonts w:cs="Arial"/>
            <w:noProof/>
            <w:webHidden/>
            <w:sz w:val="21"/>
            <w:szCs w:val="21"/>
          </w:rPr>
          <w:fldChar w:fldCharType="end"/>
        </w:r>
      </w:hyperlink>
    </w:p>
    <w:p w14:paraId="59A42D4A" w14:textId="24AAB815" w:rsidR="009D3D24" w:rsidRPr="00D05442" w:rsidRDefault="00000000" w:rsidP="009D3D24">
      <w:pPr>
        <w:pStyle w:val="TM3"/>
        <w:rPr>
          <w:rStyle w:val="Lienhypertexte"/>
          <w:rFonts w:cs="Arial"/>
          <w:noProof/>
          <w:color w:val="auto"/>
          <w:sz w:val="21"/>
          <w:szCs w:val="21"/>
        </w:rPr>
      </w:pPr>
      <w:hyperlink w:anchor="_Toc145331854" w:history="1">
        <w:r w:rsidR="009D3D24" w:rsidRPr="00D05442">
          <w:rPr>
            <w:rStyle w:val="Lienhypertexte"/>
            <w:rFonts w:cs="Arial"/>
            <w:noProof/>
            <w:color w:val="auto"/>
            <w:sz w:val="21"/>
            <w:szCs w:val="21"/>
          </w:rPr>
          <w:t>3.3.3</w:t>
        </w:r>
        <w:r w:rsidR="009D3D24" w:rsidRPr="00D05442">
          <w:rPr>
            <w:rFonts w:eastAsiaTheme="minorEastAsia" w:cs="Arial"/>
            <w:noProof/>
            <w:kern w:val="2"/>
            <w:sz w:val="21"/>
            <w:szCs w:val="21"/>
            <w14:ligatures w14:val="standardContextual"/>
          </w:rPr>
          <w:tab/>
        </w:r>
        <w:r w:rsidR="009D3D24" w:rsidRPr="00D05442">
          <w:rPr>
            <w:rStyle w:val="Lienhypertexte"/>
            <w:rFonts w:cs="Arial"/>
            <w:noProof/>
            <w:color w:val="auto"/>
            <w:sz w:val="21"/>
            <w:szCs w:val="21"/>
          </w:rPr>
          <w:t>Les personnes aînées et les personnes autochtones en situation de handicap</w:t>
        </w:r>
        <w:r w:rsidR="009D3D24" w:rsidRPr="00D05442">
          <w:rPr>
            <w:rFonts w:cs="Arial"/>
            <w:noProof/>
            <w:webHidden/>
            <w:sz w:val="21"/>
            <w:szCs w:val="21"/>
          </w:rPr>
          <w:tab/>
        </w:r>
        <w:r w:rsidR="009D3D24" w:rsidRPr="00D05442">
          <w:rPr>
            <w:rFonts w:cs="Arial"/>
            <w:noProof/>
            <w:webHidden/>
            <w:sz w:val="21"/>
            <w:szCs w:val="21"/>
          </w:rPr>
          <w:fldChar w:fldCharType="begin"/>
        </w:r>
        <w:r w:rsidR="009D3D24" w:rsidRPr="00D05442">
          <w:rPr>
            <w:rFonts w:cs="Arial"/>
            <w:noProof/>
            <w:webHidden/>
            <w:sz w:val="21"/>
            <w:szCs w:val="21"/>
          </w:rPr>
          <w:instrText xml:space="preserve"> PAGEREF _Toc145331854 \h </w:instrText>
        </w:r>
        <w:r w:rsidR="009D3D24" w:rsidRPr="00D05442">
          <w:rPr>
            <w:rFonts w:cs="Arial"/>
            <w:noProof/>
            <w:webHidden/>
            <w:sz w:val="21"/>
            <w:szCs w:val="21"/>
          </w:rPr>
        </w:r>
        <w:r w:rsidR="009D3D24" w:rsidRPr="00D05442">
          <w:rPr>
            <w:rFonts w:cs="Arial"/>
            <w:noProof/>
            <w:webHidden/>
            <w:sz w:val="21"/>
            <w:szCs w:val="21"/>
          </w:rPr>
          <w:fldChar w:fldCharType="separate"/>
        </w:r>
        <w:r w:rsidR="008A75EF">
          <w:rPr>
            <w:rFonts w:cs="Arial"/>
            <w:noProof/>
            <w:webHidden/>
            <w:sz w:val="21"/>
            <w:szCs w:val="21"/>
          </w:rPr>
          <w:t>26</w:t>
        </w:r>
        <w:r w:rsidR="009D3D24" w:rsidRPr="00D05442">
          <w:rPr>
            <w:rFonts w:cs="Arial"/>
            <w:noProof/>
            <w:webHidden/>
            <w:sz w:val="21"/>
            <w:szCs w:val="21"/>
          </w:rPr>
          <w:fldChar w:fldCharType="end"/>
        </w:r>
      </w:hyperlink>
    </w:p>
    <w:p w14:paraId="32DB27C7" w14:textId="77777777" w:rsidR="009D3D24" w:rsidRPr="00D05442" w:rsidRDefault="009D3D24" w:rsidP="00CA7873">
      <w:pPr>
        <w:spacing w:line="240" w:lineRule="auto"/>
        <w:rPr>
          <w:rFonts w:eastAsiaTheme="minorEastAsia" w:cs="Arial"/>
          <w:noProof/>
          <w:sz w:val="21"/>
          <w:szCs w:val="21"/>
        </w:rPr>
      </w:pPr>
    </w:p>
    <w:p w14:paraId="537E733D" w14:textId="77777777" w:rsidR="009D3D24" w:rsidRPr="00D05442" w:rsidRDefault="009D3D24" w:rsidP="00CA7873">
      <w:pPr>
        <w:spacing w:line="240" w:lineRule="auto"/>
        <w:rPr>
          <w:rFonts w:eastAsiaTheme="minorEastAsia" w:cs="Arial"/>
          <w:noProof/>
          <w:sz w:val="21"/>
          <w:szCs w:val="21"/>
        </w:rPr>
      </w:pPr>
    </w:p>
    <w:p w14:paraId="0A6A521E" w14:textId="698E8094" w:rsidR="009D3D24" w:rsidRPr="00D05442" w:rsidRDefault="00000000" w:rsidP="009D3D24">
      <w:pPr>
        <w:pStyle w:val="TM1"/>
        <w:rPr>
          <w:rStyle w:val="Lienhypertexte"/>
          <w:rFonts w:ascii="Arial" w:hAnsi="Arial" w:cs="Arial"/>
          <w:noProof/>
          <w:color w:val="auto"/>
          <w:sz w:val="21"/>
          <w:szCs w:val="21"/>
        </w:rPr>
      </w:pPr>
      <w:hyperlink w:anchor="_Toc145331855" w:history="1">
        <w:r w:rsidR="009D3D24" w:rsidRPr="00D05442">
          <w:rPr>
            <w:rStyle w:val="Lienhypertexte"/>
            <w:rFonts w:ascii="Arial" w:eastAsia="Calibri" w:hAnsi="Arial" w:cs="Arial"/>
            <w:noProof/>
            <w:color w:val="auto"/>
            <w:sz w:val="21"/>
            <w:szCs w:val="21"/>
          </w:rPr>
          <w:t>4</w:t>
        </w:r>
        <w:r w:rsidR="009D3D24" w:rsidRPr="00D05442">
          <w:rPr>
            <w:rFonts w:ascii="Arial" w:eastAsiaTheme="minorEastAsia" w:hAnsi="Arial" w:cs="Arial"/>
            <w:b w:val="0"/>
            <w:caps w:val="0"/>
            <w:noProof/>
            <w:kern w:val="2"/>
            <w:sz w:val="21"/>
            <w:szCs w:val="21"/>
            <w14:ligatures w14:val="standardContextual"/>
          </w:rPr>
          <w:tab/>
        </w:r>
        <w:r w:rsidR="009D3D24" w:rsidRPr="00D05442">
          <w:rPr>
            <w:rStyle w:val="Lienhypertexte"/>
            <w:rFonts w:ascii="Arial" w:eastAsia="Calibri" w:hAnsi="Arial" w:cs="Arial"/>
            <w:noProof/>
            <w:color w:val="auto"/>
            <w:sz w:val="21"/>
            <w:szCs w:val="21"/>
          </w:rPr>
          <w:t>L’embauche de personnel autochtone par les RSSS</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_Toc145331855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28</w:t>
        </w:r>
        <w:r w:rsidR="009D3D24" w:rsidRPr="00D05442">
          <w:rPr>
            <w:rFonts w:ascii="Arial" w:hAnsi="Arial" w:cs="Arial"/>
            <w:b w:val="0"/>
            <w:bCs/>
            <w:noProof/>
            <w:webHidden/>
            <w:sz w:val="21"/>
            <w:szCs w:val="21"/>
          </w:rPr>
          <w:fldChar w:fldCharType="end"/>
        </w:r>
      </w:hyperlink>
    </w:p>
    <w:p w14:paraId="0E40EB93"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55FBFB22" w14:textId="77777777" w:rsidR="009D3D24" w:rsidRPr="00D05442" w:rsidRDefault="009D3D24" w:rsidP="00CA7873">
      <w:pPr>
        <w:pStyle w:val="Corpsdetexte"/>
        <w:spacing w:after="0" w:line="240" w:lineRule="auto"/>
        <w:rPr>
          <w:rFonts w:eastAsiaTheme="minorEastAsia" w:cs="Arial"/>
          <w:noProof/>
          <w:sz w:val="21"/>
          <w:szCs w:val="21"/>
        </w:rPr>
      </w:pPr>
    </w:p>
    <w:p w14:paraId="2BDD0165" w14:textId="40584AD3" w:rsidR="009D3D24" w:rsidRPr="00D05442" w:rsidRDefault="00000000" w:rsidP="009D3D24">
      <w:pPr>
        <w:pStyle w:val="TM1"/>
        <w:rPr>
          <w:rStyle w:val="Lienhypertexte"/>
          <w:rFonts w:ascii="Arial" w:hAnsi="Arial" w:cs="Arial"/>
          <w:noProof/>
          <w:color w:val="auto"/>
          <w:sz w:val="21"/>
          <w:szCs w:val="21"/>
        </w:rPr>
      </w:pPr>
      <w:hyperlink w:anchor="_Toc145331856" w:history="1">
        <w:r w:rsidR="009D3D24" w:rsidRPr="00D05442">
          <w:rPr>
            <w:rStyle w:val="Lienhypertexte"/>
            <w:rFonts w:ascii="Arial" w:hAnsi="Arial" w:cs="Arial"/>
            <w:noProof/>
            <w:color w:val="auto"/>
            <w:sz w:val="21"/>
            <w:szCs w:val="21"/>
          </w:rPr>
          <w:t>5</w:t>
        </w:r>
        <w:r w:rsidR="009D3D24" w:rsidRPr="00D05442">
          <w:rPr>
            <w:rFonts w:ascii="Arial" w:eastAsiaTheme="minorEastAsia" w:hAnsi="Arial" w:cs="Arial"/>
            <w:b w:val="0"/>
            <w:caps w:val="0"/>
            <w:noProof/>
            <w:kern w:val="2"/>
            <w:sz w:val="21"/>
            <w:szCs w:val="21"/>
            <w14:ligatures w14:val="standardContextual"/>
          </w:rPr>
          <w:tab/>
        </w:r>
        <w:r w:rsidR="009D3D24" w:rsidRPr="00D05442">
          <w:rPr>
            <w:rStyle w:val="Lienhypertexte"/>
            <w:rFonts w:ascii="Arial" w:hAnsi="Arial" w:cs="Arial"/>
            <w:noProof/>
            <w:color w:val="auto"/>
            <w:sz w:val="21"/>
            <w:szCs w:val="21"/>
          </w:rPr>
          <w:t>La formation OBLIGATOIRE du personnel</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_Toc145331856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30</w:t>
        </w:r>
        <w:r w:rsidR="009D3D24" w:rsidRPr="00D05442">
          <w:rPr>
            <w:rFonts w:ascii="Arial" w:hAnsi="Arial" w:cs="Arial"/>
            <w:b w:val="0"/>
            <w:bCs/>
            <w:noProof/>
            <w:webHidden/>
            <w:sz w:val="21"/>
            <w:szCs w:val="21"/>
          </w:rPr>
          <w:fldChar w:fldCharType="end"/>
        </w:r>
      </w:hyperlink>
    </w:p>
    <w:p w14:paraId="1EEC2447"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383B552F" w14:textId="77777777" w:rsidR="009D3D24" w:rsidRPr="00D05442" w:rsidRDefault="009D3D24" w:rsidP="00CA7873">
      <w:pPr>
        <w:pStyle w:val="Corpsdetexte"/>
        <w:spacing w:after="0" w:line="240" w:lineRule="auto"/>
        <w:rPr>
          <w:rFonts w:eastAsiaTheme="minorEastAsia" w:cs="Arial"/>
          <w:noProof/>
          <w:sz w:val="21"/>
          <w:szCs w:val="21"/>
        </w:rPr>
      </w:pPr>
    </w:p>
    <w:p w14:paraId="588B57E1" w14:textId="7D6A6CAF" w:rsidR="009D3D24" w:rsidRPr="00D05442" w:rsidRDefault="00000000" w:rsidP="009D3D24">
      <w:pPr>
        <w:pStyle w:val="TM1"/>
        <w:rPr>
          <w:rStyle w:val="Lienhypertexte"/>
          <w:rFonts w:ascii="Arial" w:hAnsi="Arial" w:cs="Arial"/>
          <w:noProof/>
          <w:color w:val="auto"/>
          <w:sz w:val="21"/>
          <w:szCs w:val="21"/>
        </w:rPr>
      </w:pPr>
      <w:hyperlink w:anchor="_Toc145331857" w:history="1">
        <w:r w:rsidR="009D3D24" w:rsidRPr="00D05442">
          <w:rPr>
            <w:rStyle w:val="Lienhypertexte"/>
            <w:rFonts w:ascii="Arial" w:hAnsi="Arial" w:cs="Arial"/>
            <w:noProof/>
            <w:color w:val="auto"/>
            <w:sz w:val="21"/>
            <w:szCs w:val="21"/>
          </w:rPr>
          <w:t>6</w:t>
        </w:r>
        <w:r w:rsidR="009D3D24" w:rsidRPr="00D05442">
          <w:rPr>
            <w:rFonts w:ascii="Arial" w:eastAsiaTheme="minorEastAsia" w:hAnsi="Arial" w:cs="Arial"/>
            <w:b w:val="0"/>
            <w:caps w:val="0"/>
            <w:noProof/>
            <w:kern w:val="2"/>
            <w:sz w:val="21"/>
            <w:szCs w:val="21"/>
            <w14:ligatures w14:val="standardContextual"/>
          </w:rPr>
          <w:tab/>
        </w:r>
        <w:r w:rsidR="009D3D24" w:rsidRPr="00D05442">
          <w:rPr>
            <w:rStyle w:val="Lienhypertexte"/>
            <w:rFonts w:ascii="Arial" w:hAnsi="Arial" w:cs="Arial"/>
            <w:noProof/>
            <w:color w:val="auto"/>
            <w:sz w:val="21"/>
            <w:szCs w:val="21"/>
          </w:rPr>
          <w:t>L’évaluation et la reddition de compte des pratiques SÉCURISANTES</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_Toc145331857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34</w:t>
        </w:r>
        <w:r w:rsidR="009D3D24" w:rsidRPr="00D05442">
          <w:rPr>
            <w:rFonts w:ascii="Arial" w:hAnsi="Arial" w:cs="Arial"/>
            <w:b w:val="0"/>
            <w:bCs/>
            <w:noProof/>
            <w:webHidden/>
            <w:sz w:val="21"/>
            <w:szCs w:val="21"/>
          </w:rPr>
          <w:fldChar w:fldCharType="end"/>
        </w:r>
      </w:hyperlink>
    </w:p>
    <w:p w14:paraId="7962477B"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46635275" w14:textId="77777777" w:rsidR="009D3D24" w:rsidRPr="00D05442" w:rsidRDefault="009D3D24" w:rsidP="00CA7873">
      <w:pPr>
        <w:pStyle w:val="Corpsdetexte"/>
        <w:spacing w:after="0" w:line="240" w:lineRule="auto"/>
        <w:rPr>
          <w:rFonts w:eastAsiaTheme="minorEastAsia" w:cs="Arial"/>
          <w:noProof/>
          <w:sz w:val="21"/>
          <w:szCs w:val="21"/>
        </w:rPr>
      </w:pPr>
    </w:p>
    <w:p w14:paraId="74B74AEC" w14:textId="6930E4C7" w:rsidR="009D3D24" w:rsidRPr="00D05442" w:rsidRDefault="00000000" w:rsidP="009D3D24">
      <w:pPr>
        <w:pStyle w:val="TM1"/>
        <w:rPr>
          <w:rStyle w:val="Lienhypertexte"/>
          <w:rFonts w:ascii="Arial" w:hAnsi="Arial" w:cs="Arial"/>
          <w:noProof/>
          <w:color w:val="auto"/>
          <w:sz w:val="21"/>
          <w:szCs w:val="21"/>
        </w:rPr>
      </w:pPr>
      <w:hyperlink w:anchor="_Toc145331858" w:history="1">
        <w:r w:rsidR="009D3D24" w:rsidRPr="00D05442">
          <w:rPr>
            <w:rStyle w:val="Lienhypertexte"/>
            <w:rFonts w:ascii="Arial" w:hAnsi="Arial" w:cs="Arial"/>
            <w:noProof/>
            <w:color w:val="auto"/>
            <w:sz w:val="21"/>
            <w:szCs w:val="21"/>
          </w:rPr>
          <w:t>7</w:t>
        </w:r>
        <w:r w:rsidR="009D3D24" w:rsidRPr="00D05442">
          <w:rPr>
            <w:rFonts w:ascii="Arial" w:eastAsiaTheme="minorEastAsia" w:hAnsi="Arial" w:cs="Arial"/>
            <w:b w:val="0"/>
            <w:caps w:val="0"/>
            <w:noProof/>
            <w:kern w:val="2"/>
            <w:sz w:val="21"/>
            <w:szCs w:val="21"/>
            <w14:ligatures w14:val="standardContextual"/>
          </w:rPr>
          <w:tab/>
        </w:r>
        <w:r w:rsidR="009D3D24" w:rsidRPr="00D05442">
          <w:rPr>
            <w:rStyle w:val="Lienhypertexte"/>
            <w:rFonts w:ascii="Arial" w:hAnsi="Arial" w:cs="Arial"/>
            <w:noProof/>
            <w:color w:val="auto"/>
            <w:sz w:val="21"/>
            <w:szCs w:val="21"/>
          </w:rPr>
          <w:t>L’Assouplissement relatif à l’exercice de certaines activités réservées</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_Toc145331858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36</w:t>
        </w:r>
        <w:r w:rsidR="009D3D24" w:rsidRPr="00D05442">
          <w:rPr>
            <w:rFonts w:ascii="Arial" w:hAnsi="Arial" w:cs="Arial"/>
            <w:b w:val="0"/>
            <w:bCs/>
            <w:noProof/>
            <w:webHidden/>
            <w:sz w:val="21"/>
            <w:szCs w:val="21"/>
          </w:rPr>
          <w:fldChar w:fldCharType="end"/>
        </w:r>
      </w:hyperlink>
    </w:p>
    <w:p w14:paraId="0C87015B" w14:textId="77777777" w:rsidR="009D3D24" w:rsidRPr="00D05442" w:rsidRDefault="009D3D24" w:rsidP="00CA7873">
      <w:pPr>
        <w:pStyle w:val="Paragraphe"/>
        <w:spacing w:before="0" w:after="0" w:line="240" w:lineRule="auto"/>
        <w:rPr>
          <w:rFonts w:eastAsiaTheme="minorEastAsia" w:cs="Arial"/>
          <w:noProof/>
          <w:color w:val="auto"/>
          <w:sz w:val="21"/>
          <w:lang w:val="fr-CA"/>
        </w:rPr>
      </w:pPr>
    </w:p>
    <w:p w14:paraId="04B6DB06" w14:textId="77777777" w:rsidR="009D3D24" w:rsidRPr="00D05442" w:rsidRDefault="009D3D24" w:rsidP="00CA7873">
      <w:pPr>
        <w:pStyle w:val="Corpsdetexte"/>
        <w:spacing w:after="0" w:line="240" w:lineRule="auto"/>
        <w:rPr>
          <w:rFonts w:eastAsiaTheme="minorEastAsia" w:cs="Arial"/>
          <w:noProof/>
          <w:sz w:val="21"/>
          <w:szCs w:val="21"/>
        </w:rPr>
      </w:pPr>
    </w:p>
    <w:p w14:paraId="614A4C62" w14:textId="77777777" w:rsidR="009D3D24" w:rsidRPr="00D05442" w:rsidRDefault="009D3D24" w:rsidP="00CA7873">
      <w:pPr>
        <w:pStyle w:val="Corpsdetexte"/>
        <w:spacing w:after="0" w:line="240" w:lineRule="auto"/>
        <w:rPr>
          <w:rFonts w:eastAsiaTheme="minorEastAsia" w:cs="Arial"/>
          <w:noProof/>
          <w:sz w:val="21"/>
          <w:szCs w:val="21"/>
        </w:rPr>
      </w:pPr>
    </w:p>
    <w:p w14:paraId="36C22710" w14:textId="2051EAA8" w:rsidR="009D3D24" w:rsidRPr="00D05442" w:rsidRDefault="00000000" w:rsidP="009D3D24">
      <w:pPr>
        <w:pStyle w:val="TM1"/>
        <w:rPr>
          <w:rFonts w:ascii="Arial" w:eastAsiaTheme="minorEastAsia" w:hAnsi="Arial" w:cs="Arial"/>
          <w:b w:val="0"/>
          <w:caps w:val="0"/>
          <w:noProof/>
          <w:kern w:val="2"/>
          <w:sz w:val="21"/>
          <w:szCs w:val="21"/>
          <w14:ligatures w14:val="standardContextual"/>
        </w:rPr>
      </w:pPr>
      <w:hyperlink w:anchor="_Toc145331859" w:history="1">
        <w:r w:rsidR="009D3D24" w:rsidRPr="00D05442">
          <w:rPr>
            <w:rStyle w:val="Lienhypertexte"/>
            <w:rFonts w:ascii="Arial" w:eastAsia="Calibri" w:hAnsi="Arial" w:cs="Arial"/>
            <w:noProof/>
            <w:color w:val="auto"/>
            <w:sz w:val="21"/>
            <w:szCs w:val="21"/>
          </w:rPr>
          <w:t>Conclusion</w:t>
        </w:r>
        <w:r w:rsidR="009D3D24" w:rsidRPr="00D05442">
          <w:rPr>
            <w:rFonts w:ascii="Arial" w:hAnsi="Arial" w:cs="Arial"/>
            <w:noProof/>
            <w:webHidden/>
            <w:sz w:val="21"/>
            <w:szCs w:val="21"/>
          </w:rPr>
          <w:tab/>
        </w:r>
        <w:r w:rsidR="009D3D24" w:rsidRPr="00D05442">
          <w:rPr>
            <w:rFonts w:ascii="Arial" w:hAnsi="Arial" w:cs="Arial"/>
            <w:b w:val="0"/>
            <w:bCs/>
            <w:noProof/>
            <w:webHidden/>
            <w:sz w:val="21"/>
            <w:szCs w:val="21"/>
          </w:rPr>
          <w:fldChar w:fldCharType="begin"/>
        </w:r>
        <w:r w:rsidR="009D3D24" w:rsidRPr="00D05442">
          <w:rPr>
            <w:rFonts w:ascii="Arial" w:hAnsi="Arial" w:cs="Arial"/>
            <w:b w:val="0"/>
            <w:bCs/>
            <w:noProof/>
            <w:webHidden/>
            <w:sz w:val="21"/>
            <w:szCs w:val="21"/>
          </w:rPr>
          <w:instrText xml:space="preserve"> PAGEREF _Toc145331859 \h </w:instrText>
        </w:r>
        <w:r w:rsidR="009D3D24" w:rsidRPr="00D05442">
          <w:rPr>
            <w:rFonts w:ascii="Arial" w:hAnsi="Arial" w:cs="Arial"/>
            <w:b w:val="0"/>
            <w:bCs/>
            <w:noProof/>
            <w:webHidden/>
            <w:sz w:val="21"/>
            <w:szCs w:val="21"/>
          </w:rPr>
        </w:r>
        <w:r w:rsidR="009D3D24" w:rsidRPr="00D05442">
          <w:rPr>
            <w:rFonts w:ascii="Arial" w:hAnsi="Arial" w:cs="Arial"/>
            <w:b w:val="0"/>
            <w:bCs/>
            <w:noProof/>
            <w:webHidden/>
            <w:sz w:val="21"/>
            <w:szCs w:val="21"/>
          </w:rPr>
          <w:fldChar w:fldCharType="separate"/>
        </w:r>
        <w:r w:rsidR="008A75EF">
          <w:rPr>
            <w:rFonts w:ascii="Arial" w:hAnsi="Arial" w:cs="Arial"/>
            <w:b w:val="0"/>
            <w:bCs/>
            <w:noProof/>
            <w:webHidden/>
            <w:sz w:val="21"/>
            <w:szCs w:val="21"/>
          </w:rPr>
          <w:t>43</w:t>
        </w:r>
        <w:r w:rsidR="009D3D24" w:rsidRPr="00D05442">
          <w:rPr>
            <w:rFonts w:ascii="Arial" w:hAnsi="Arial" w:cs="Arial"/>
            <w:b w:val="0"/>
            <w:bCs/>
            <w:noProof/>
            <w:webHidden/>
            <w:sz w:val="21"/>
            <w:szCs w:val="21"/>
          </w:rPr>
          <w:fldChar w:fldCharType="end"/>
        </w:r>
      </w:hyperlink>
    </w:p>
    <w:p w14:paraId="21C6E5F3" w14:textId="5EB6A160" w:rsidR="00920AFD" w:rsidRPr="001A4A5B" w:rsidRDefault="009D3D24" w:rsidP="009D3D24">
      <w:pPr>
        <w:spacing w:line="240" w:lineRule="auto"/>
        <w:rPr>
          <w:rFonts w:eastAsia="Calibri"/>
          <w:lang w:eastAsia="en-US"/>
        </w:rPr>
      </w:pPr>
      <w:r w:rsidRPr="00D05442">
        <w:rPr>
          <w:rFonts w:eastAsia="Calibri" w:cs="Arial"/>
          <w:sz w:val="21"/>
          <w:szCs w:val="21"/>
          <w:lang w:eastAsia="en-US"/>
        </w:rPr>
        <w:fldChar w:fldCharType="end"/>
      </w:r>
    </w:p>
    <w:p w14:paraId="4C08164F" w14:textId="77777777" w:rsidR="00C10BC8" w:rsidRPr="001A4A5B" w:rsidRDefault="00C10BC8" w:rsidP="00D40AC7">
      <w:pPr>
        <w:rPr>
          <w:rFonts w:eastAsia="Calibri"/>
          <w:lang w:eastAsia="en-US"/>
        </w:rPr>
      </w:pPr>
    </w:p>
    <w:p w14:paraId="6FD707B2" w14:textId="254465F4" w:rsidR="00C10BC8" w:rsidRPr="001A4A5B" w:rsidRDefault="00C10BC8" w:rsidP="00D40AC7">
      <w:pPr>
        <w:rPr>
          <w:rFonts w:eastAsia="Calibri"/>
        </w:rPr>
        <w:sectPr w:rsidR="00C10BC8" w:rsidRPr="001A4A5B" w:rsidSect="00A72F4A">
          <w:footerReference w:type="even" r:id="rId21"/>
          <w:footerReference w:type="first" r:id="rId22"/>
          <w:type w:val="oddPage"/>
          <w:pgSz w:w="12240" w:h="15840" w:code="1"/>
          <w:pgMar w:top="1872" w:right="1440" w:bottom="1440" w:left="1440" w:header="706" w:footer="706" w:gutter="0"/>
          <w:pgNumType w:start="1"/>
          <w:cols w:space="708"/>
          <w:titlePg/>
          <w:docGrid w:linePitch="360"/>
        </w:sectPr>
      </w:pPr>
    </w:p>
    <w:p w14:paraId="40B9453E" w14:textId="3E80B774" w:rsidR="00F35D7D" w:rsidRPr="001A4A5B" w:rsidRDefault="00764FBC" w:rsidP="00F35D7D">
      <w:pPr>
        <w:pStyle w:val="Titre"/>
        <w:spacing w:before="240" w:after="240"/>
        <w:rPr>
          <w:rFonts w:eastAsia="Calibri"/>
          <w:lang w:eastAsia="en-US"/>
        </w:rPr>
      </w:pPr>
      <w:bookmarkStart w:id="1" w:name="_Toc42091623"/>
      <w:bookmarkStart w:id="2" w:name="_Toc98163891"/>
      <w:bookmarkStart w:id="3" w:name="_Toc145331842"/>
      <w:r w:rsidRPr="001A4A5B">
        <w:rPr>
          <w:rFonts w:eastAsia="Calibri"/>
          <w:lang w:eastAsia="en-US"/>
        </w:rPr>
        <w:lastRenderedPageBreak/>
        <w:t>Introduction</w:t>
      </w:r>
      <w:bookmarkStart w:id="4" w:name="_Toc42091625"/>
      <w:bookmarkStart w:id="5" w:name="_Toc98163892"/>
      <w:bookmarkStart w:id="6" w:name="_Hlk102745464"/>
      <w:bookmarkStart w:id="7" w:name="_Hlk102745495"/>
      <w:bookmarkStart w:id="8" w:name="_Hlk102745382"/>
      <w:bookmarkEnd w:id="0"/>
      <w:bookmarkEnd w:id="1"/>
      <w:bookmarkEnd w:id="2"/>
      <w:bookmarkEnd w:id="3"/>
    </w:p>
    <w:p w14:paraId="34643B29" w14:textId="06E308B2" w:rsidR="00524A8B" w:rsidRPr="001A4A5B" w:rsidRDefault="00F35D7D" w:rsidP="00F26926">
      <w:pPr>
        <w:pStyle w:val="Paragraphe"/>
        <w:rPr>
          <w:color w:val="auto"/>
          <w:lang w:val="fr-CA"/>
        </w:rPr>
      </w:pPr>
      <w:r w:rsidRPr="001A4A5B">
        <w:rPr>
          <w:color w:val="auto"/>
          <w:lang w:val="fr-CA"/>
        </w:rPr>
        <w:t>La Commission des droits de la personne et des droits de la jeunesse</w:t>
      </w:r>
      <w:r w:rsidRPr="001A4A5B">
        <w:rPr>
          <w:color w:val="auto"/>
          <w:vertAlign w:val="superscript"/>
          <w:lang w:val="fr-CA"/>
        </w:rPr>
        <w:footnoteReference w:id="2"/>
      </w:r>
      <w:r w:rsidRPr="001A4A5B">
        <w:rPr>
          <w:color w:val="auto"/>
          <w:lang w:val="fr-CA"/>
        </w:rPr>
        <w:t xml:space="preserve"> assure le respect et la promotion des principes énoncés dans la </w:t>
      </w:r>
      <w:r w:rsidRPr="00D4059C">
        <w:rPr>
          <w:i/>
          <w:iCs/>
          <w:color w:val="auto"/>
          <w:lang w:val="fr-CA"/>
        </w:rPr>
        <w:t xml:space="preserve">Charte des droits et libertés de la personne </w:t>
      </w:r>
      <w:r w:rsidRPr="00894857">
        <w:rPr>
          <w:color w:val="auto"/>
          <w:lang w:val="fr-CA"/>
        </w:rPr>
        <w:t>du Québec</w:t>
      </w:r>
      <w:r w:rsidRPr="001A4A5B">
        <w:rPr>
          <w:color w:val="auto"/>
          <w:vertAlign w:val="superscript"/>
          <w:lang w:val="fr-CA"/>
        </w:rPr>
        <w:footnoteReference w:id="3"/>
      </w:r>
      <w:r w:rsidRPr="001A4A5B">
        <w:rPr>
          <w:color w:val="auto"/>
          <w:lang w:val="fr-CA"/>
        </w:rPr>
        <w:t xml:space="preserve">. Elle assure aussi la protection de l’intérêt de l’enfant, ainsi que le respect et la promotion des droits qui lui sont reconnus par la </w:t>
      </w:r>
      <w:r w:rsidRPr="00802C7F">
        <w:rPr>
          <w:i/>
          <w:iCs/>
          <w:color w:val="auto"/>
          <w:lang w:val="fr-CA"/>
        </w:rPr>
        <w:t>Loi sur la protection de la jeunesse</w:t>
      </w:r>
      <w:r w:rsidRPr="001A4A5B">
        <w:rPr>
          <w:color w:val="auto"/>
          <w:vertAlign w:val="superscript"/>
          <w:lang w:val="fr-CA"/>
        </w:rPr>
        <w:footnoteReference w:id="4"/>
      </w:r>
      <w:r w:rsidRPr="001A4A5B">
        <w:rPr>
          <w:color w:val="auto"/>
          <w:lang w:val="fr-CA"/>
        </w:rPr>
        <w:t xml:space="preserve">. Elle veille également à l’application de la </w:t>
      </w:r>
      <w:r w:rsidRPr="001A4A5B">
        <w:rPr>
          <w:i/>
          <w:color w:val="auto"/>
          <w:lang w:val="fr-CA"/>
        </w:rPr>
        <w:t>Loi sur l’accès à l’égalité en emploi</w:t>
      </w:r>
      <w:r w:rsidRPr="001A4A5B">
        <w:rPr>
          <w:color w:val="auto"/>
          <w:lang w:val="fr-CA"/>
        </w:rPr>
        <w:t xml:space="preserve"> </w:t>
      </w:r>
      <w:r w:rsidRPr="00894857">
        <w:rPr>
          <w:i/>
          <w:iCs/>
          <w:color w:val="auto"/>
          <w:lang w:val="fr-CA"/>
        </w:rPr>
        <w:t>dans des organismes publics</w:t>
      </w:r>
      <w:bookmarkStart w:id="9" w:name="_Ref145319984"/>
      <w:r w:rsidRPr="001A4A5B">
        <w:rPr>
          <w:color w:val="auto"/>
          <w:vertAlign w:val="superscript"/>
          <w:lang w:val="fr-CA"/>
        </w:rPr>
        <w:footnoteReference w:id="5"/>
      </w:r>
      <w:bookmarkEnd w:id="9"/>
      <w:r w:rsidRPr="001A4A5B">
        <w:rPr>
          <w:color w:val="auto"/>
          <w:lang w:val="fr-CA"/>
        </w:rPr>
        <w:t xml:space="preserve">. </w:t>
      </w:r>
    </w:p>
    <w:p w14:paraId="7726479C" w14:textId="4B584964" w:rsidR="00540BDA" w:rsidRPr="001A4A5B" w:rsidRDefault="00F35D7D" w:rsidP="00F26926">
      <w:pPr>
        <w:pStyle w:val="Paragraphe"/>
        <w:rPr>
          <w:color w:val="auto"/>
          <w:lang w:val="fr-CA"/>
        </w:rPr>
      </w:pPr>
      <w:r w:rsidRPr="001A4A5B">
        <w:rPr>
          <w:color w:val="auto"/>
          <w:lang w:val="fr-CA"/>
        </w:rPr>
        <w:t>Pour ce faire, la Commission a entre autres le mandat de « relever les dispositions des lois du Québec qui seraient contraires à la Charte et faire au gouvernement les recommandations appropriées »</w:t>
      </w:r>
      <w:r w:rsidRPr="001A4A5B">
        <w:rPr>
          <w:color w:val="auto"/>
          <w:vertAlign w:val="superscript"/>
          <w:lang w:val="fr-CA"/>
        </w:rPr>
        <w:footnoteReference w:id="6"/>
      </w:r>
      <w:r w:rsidRPr="001A4A5B">
        <w:rPr>
          <w:color w:val="auto"/>
          <w:lang w:val="fr-CA"/>
        </w:rPr>
        <w:t xml:space="preserve">. C’est à ce titre qu’elle a analysé </w:t>
      </w:r>
      <w:r w:rsidR="002903B0" w:rsidRPr="001A4A5B">
        <w:rPr>
          <w:color w:val="auto"/>
          <w:lang w:val="fr-CA"/>
        </w:rPr>
        <w:t xml:space="preserve">avec grand intérêt </w:t>
      </w:r>
      <w:r w:rsidRPr="001A4A5B">
        <w:rPr>
          <w:color w:val="auto"/>
          <w:lang w:val="fr-CA"/>
        </w:rPr>
        <w:t>le projet de loi n°</w:t>
      </w:r>
      <w:r w:rsidR="00D7530E" w:rsidRPr="001A4A5B">
        <w:rPr>
          <w:color w:val="auto"/>
          <w:lang w:val="fr-CA"/>
        </w:rPr>
        <w:t> </w:t>
      </w:r>
      <w:r w:rsidR="00C93ABB" w:rsidRPr="001A4A5B">
        <w:rPr>
          <w:color w:val="auto"/>
          <w:lang w:val="fr-CA"/>
        </w:rPr>
        <w:t>32</w:t>
      </w:r>
      <w:r w:rsidR="004B3AC5" w:rsidRPr="001A4A5B">
        <w:rPr>
          <w:color w:val="auto"/>
          <w:lang w:val="fr-CA"/>
        </w:rPr>
        <w:t xml:space="preserve">, </w:t>
      </w:r>
      <w:r w:rsidR="00C93ABB" w:rsidRPr="001A4A5B">
        <w:rPr>
          <w:i/>
          <w:color w:val="auto"/>
          <w:lang w:val="fr-CA"/>
        </w:rPr>
        <w:t>Loi instaurant l’approche de sécurisation culturelle au sein du réseau de la santé et des services sociaux</w:t>
      </w:r>
      <w:r w:rsidR="004B3AC5" w:rsidRPr="001A4A5B">
        <w:rPr>
          <w:rStyle w:val="Appelnotedebasdep"/>
          <w:rFonts w:cs="Arial"/>
          <w:i/>
          <w:color w:val="auto"/>
          <w:lang w:val="fr-CA"/>
        </w:rPr>
        <w:footnoteReference w:id="7"/>
      </w:r>
      <w:r w:rsidR="00D82583" w:rsidRPr="001A4A5B">
        <w:rPr>
          <w:color w:val="auto"/>
          <w:lang w:val="fr-CA"/>
        </w:rPr>
        <w:t xml:space="preserve">, lequel </w:t>
      </w:r>
      <w:r w:rsidR="001E1587" w:rsidRPr="001A4A5B">
        <w:rPr>
          <w:color w:val="auto"/>
          <w:lang w:val="fr-CA"/>
        </w:rPr>
        <w:t>propose notamment d’obliger tout établissement du réseau de la santé et des services sociaux</w:t>
      </w:r>
      <w:r w:rsidR="001E1587" w:rsidRPr="001A4A5B">
        <w:rPr>
          <w:rStyle w:val="Appelnotedebasdep"/>
          <w:color w:val="auto"/>
          <w:lang w:val="fr-CA"/>
        </w:rPr>
        <w:footnoteReference w:id="8"/>
      </w:r>
      <w:r w:rsidR="001E1587" w:rsidRPr="001A4A5B">
        <w:rPr>
          <w:color w:val="auto"/>
          <w:lang w:val="fr-CA"/>
        </w:rPr>
        <w:t xml:space="preserve"> </w:t>
      </w:r>
      <w:r w:rsidR="005B17E7" w:rsidRPr="001A4A5B">
        <w:rPr>
          <w:color w:val="auto"/>
          <w:lang w:val="fr-CA"/>
        </w:rPr>
        <w:t xml:space="preserve">à </w:t>
      </w:r>
      <w:r w:rsidR="001E1587" w:rsidRPr="001A4A5B">
        <w:rPr>
          <w:color w:val="auto"/>
          <w:lang w:val="fr-CA"/>
        </w:rPr>
        <w:t xml:space="preserve">adopter une approche de sécurisation culturelle </w:t>
      </w:r>
      <w:r w:rsidR="001D50AC">
        <w:rPr>
          <w:color w:val="auto"/>
          <w:lang w:val="fr-CA"/>
        </w:rPr>
        <w:t>envers</w:t>
      </w:r>
      <w:r w:rsidR="001D50AC" w:rsidRPr="001A4A5B">
        <w:rPr>
          <w:color w:val="auto"/>
          <w:lang w:val="fr-CA"/>
        </w:rPr>
        <w:t xml:space="preserve"> </w:t>
      </w:r>
      <w:r w:rsidR="001E1587" w:rsidRPr="001A4A5B">
        <w:rPr>
          <w:color w:val="auto"/>
          <w:lang w:val="fr-CA"/>
        </w:rPr>
        <w:t>les personnes autochtones</w:t>
      </w:r>
      <w:r w:rsidR="00D82583" w:rsidRPr="001A4A5B">
        <w:rPr>
          <w:color w:val="auto"/>
          <w:lang w:val="fr-CA"/>
        </w:rPr>
        <w:t xml:space="preserve"> et de </w:t>
      </w:r>
      <w:r w:rsidR="001E1587" w:rsidRPr="001A4A5B">
        <w:rPr>
          <w:color w:val="auto"/>
          <w:lang w:val="fr-CA"/>
        </w:rPr>
        <w:t xml:space="preserve">modifier le </w:t>
      </w:r>
      <w:r w:rsidR="001E1587" w:rsidRPr="001A4A5B">
        <w:rPr>
          <w:i/>
          <w:color w:val="auto"/>
          <w:lang w:val="fr-CA"/>
        </w:rPr>
        <w:t>Code des professions</w:t>
      </w:r>
      <w:r w:rsidR="001E1587" w:rsidRPr="001A4A5B">
        <w:rPr>
          <w:rStyle w:val="Appelnotedebasdep"/>
          <w:i/>
          <w:color w:val="auto"/>
          <w:lang w:val="fr-CA"/>
        </w:rPr>
        <w:footnoteReference w:id="9"/>
      </w:r>
      <w:r w:rsidR="001E1587" w:rsidRPr="001A4A5B">
        <w:rPr>
          <w:i/>
          <w:color w:val="auto"/>
          <w:lang w:val="fr-CA"/>
        </w:rPr>
        <w:t xml:space="preserve"> </w:t>
      </w:r>
      <w:r w:rsidR="001E1587" w:rsidRPr="001A4A5B">
        <w:rPr>
          <w:color w:val="auto"/>
          <w:lang w:val="fr-CA"/>
        </w:rPr>
        <w:t>dans le but de fa</w:t>
      </w:r>
      <w:r w:rsidR="0019634B">
        <w:rPr>
          <w:color w:val="auto"/>
          <w:lang w:val="fr-CA"/>
        </w:rPr>
        <w:t>ciliter</w:t>
      </w:r>
      <w:r w:rsidR="001E1587" w:rsidRPr="001A4A5B">
        <w:rPr>
          <w:color w:val="auto"/>
          <w:lang w:val="fr-CA"/>
        </w:rPr>
        <w:t xml:space="preserve"> l’accès aux services professionnels et d’en favoriser le caractère culturellement sécurisant.</w:t>
      </w:r>
      <w:r w:rsidR="00AE444F" w:rsidRPr="001A4A5B">
        <w:rPr>
          <w:color w:val="auto"/>
          <w:lang w:val="fr-CA"/>
        </w:rPr>
        <w:t xml:space="preserve"> </w:t>
      </w:r>
    </w:p>
    <w:p w14:paraId="3DD7AE7C" w14:textId="31018150" w:rsidR="00CF7279" w:rsidRDefault="00382593" w:rsidP="000D3597">
      <w:pPr>
        <w:pStyle w:val="Paragraphe"/>
        <w:rPr>
          <w:color w:val="auto"/>
          <w:lang w:val="fr-CA"/>
        </w:rPr>
      </w:pPr>
      <w:r w:rsidRPr="001A4A5B">
        <w:rPr>
          <w:color w:val="auto"/>
          <w:lang w:val="fr-CA"/>
        </w:rPr>
        <w:t>La</w:t>
      </w:r>
      <w:r w:rsidR="00CF2C61" w:rsidRPr="001A4A5B">
        <w:rPr>
          <w:color w:val="auto"/>
          <w:lang w:val="fr-CA"/>
        </w:rPr>
        <w:t xml:space="preserve"> Commission </w:t>
      </w:r>
      <w:r w:rsidRPr="001A4A5B">
        <w:rPr>
          <w:color w:val="auto"/>
          <w:lang w:val="fr-CA"/>
        </w:rPr>
        <w:t xml:space="preserve">est </w:t>
      </w:r>
      <w:r w:rsidR="008130C6" w:rsidRPr="001A4A5B">
        <w:rPr>
          <w:color w:val="auto"/>
          <w:lang w:val="fr-CA"/>
        </w:rPr>
        <w:t>favorable</w:t>
      </w:r>
      <w:r w:rsidR="002A19E4" w:rsidRPr="001A4A5B">
        <w:rPr>
          <w:color w:val="auto"/>
          <w:lang w:val="fr-CA"/>
        </w:rPr>
        <w:t xml:space="preserve"> à</w:t>
      </w:r>
      <w:r w:rsidR="008130C6" w:rsidRPr="001A4A5B">
        <w:rPr>
          <w:color w:val="auto"/>
          <w:lang w:val="fr-CA"/>
        </w:rPr>
        <w:t xml:space="preserve"> l’instauration de l’approche de sécurisation culturelle dans l</w:t>
      </w:r>
      <w:r w:rsidR="00702263" w:rsidRPr="001A4A5B">
        <w:rPr>
          <w:color w:val="auto"/>
          <w:lang w:val="fr-CA"/>
        </w:rPr>
        <w:t xml:space="preserve">es services de santé et de services sociaux. </w:t>
      </w:r>
      <w:r w:rsidR="000D3597" w:rsidRPr="001A4A5B">
        <w:rPr>
          <w:color w:val="auto"/>
          <w:lang w:val="fr-CA"/>
        </w:rPr>
        <w:t>Elle</w:t>
      </w:r>
      <w:r w:rsidR="0066394D" w:rsidRPr="001A4A5B">
        <w:rPr>
          <w:color w:val="auto"/>
          <w:lang w:val="fr-CA"/>
        </w:rPr>
        <w:t xml:space="preserve"> </w:t>
      </w:r>
      <w:r w:rsidR="00F56E1F" w:rsidRPr="001A4A5B">
        <w:rPr>
          <w:color w:val="auto"/>
          <w:lang w:val="fr-CA"/>
        </w:rPr>
        <w:t>constate</w:t>
      </w:r>
      <w:r w:rsidR="000515C4" w:rsidRPr="001A4A5B">
        <w:rPr>
          <w:color w:val="auto"/>
          <w:lang w:val="fr-CA"/>
        </w:rPr>
        <w:t xml:space="preserve"> cependant </w:t>
      </w:r>
      <w:r w:rsidR="00AD5846" w:rsidRPr="001A4A5B">
        <w:rPr>
          <w:color w:val="auto"/>
          <w:lang w:val="fr-CA"/>
        </w:rPr>
        <w:t xml:space="preserve">l’absence </w:t>
      </w:r>
      <w:r w:rsidR="0078204A" w:rsidRPr="001A4A5B">
        <w:rPr>
          <w:color w:val="auto"/>
          <w:lang w:val="fr-CA"/>
        </w:rPr>
        <w:t xml:space="preserve">dans le projet de loi </w:t>
      </w:r>
      <w:r w:rsidR="00AD5846" w:rsidRPr="001A4A5B">
        <w:rPr>
          <w:color w:val="auto"/>
          <w:lang w:val="fr-CA"/>
        </w:rPr>
        <w:t>d</w:t>
      </w:r>
      <w:r w:rsidR="00D33B4C">
        <w:rPr>
          <w:color w:val="auto"/>
          <w:lang w:val="fr-CA"/>
        </w:rPr>
        <w:t>’</w:t>
      </w:r>
      <w:r w:rsidR="00F56E1F" w:rsidRPr="001A4A5B">
        <w:rPr>
          <w:color w:val="auto"/>
          <w:lang w:val="fr-CA"/>
        </w:rPr>
        <w:t xml:space="preserve">éléments </w:t>
      </w:r>
      <w:r w:rsidR="00B84A9E" w:rsidRPr="001A4A5B">
        <w:rPr>
          <w:color w:val="auto"/>
          <w:lang w:val="fr-CA"/>
        </w:rPr>
        <w:t>qui</w:t>
      </w:r>
      <w:r w:rsidR="00E76CB5" w:rsidRPr="001A4A5B">
        <w:rPr>
          <w:color w:val="auto"/>
          <w:lang w:val="fr-CA"/>
        </w:rPr>
        <w:t xml:space="preserve">, à son avis, </w:t>
      </w:r>
      <w:r w:rsidR="00B84A9E" w:rsidRPr="001A4A5B">
        <w:rPr>
          <w:color w:val="auto"/>
          <w:lang w:val="fr-CA"/>
        </w:rPr>
        <w:t>s</w:t>
      </w:r>
      <w:r w:rsidR="000A63FA" w:rsidRPr="001A4A5B">
        <w:rPr>
          <w:color w:val="auto"/>
          <w:lang w:val="fr-CA"/>
        </w:rPr>
        <w:t>eraie</w:t>
      </w:r>
      <w:r w:rsidR="00B84A9E" w:rsidRPr="001A4A5B">
        <w:rPr>
          <w:color w:val="auto"/>
          <w:lang w:val="fr-CA"/>
        </w:rPr>
        <w:t>nt essentiel</w:t>
      </w:r>
      <w:r w:rsidR="001F2ED3" w:rsidRPr="001A4A5B">
        <w:rPr>
          <w:color w:val="auto"/>
          <w:lang w:val="fr-CA"/>
        </w:rPr>
        <w:t>s</w:t>
      </w:r>
      <w:r w:rsidR="00B84A9E" w:rsidRPr="001A4A5B">
        <w:rPr>
          <w:color w:val="auto"/>
          <w:lang w:val="fr-CA"/>
        </w:rPr>
        <w:t xml:space="preserve"> </w:t>
      </w:r>
      <w:r w:rsidR="002C3690" w:rsidRPr="001A4A5B">
        <w:rPr>
          <w:color w:val="auto"/>
          <w:lang w:val="fr-CA"/>
        </w:rPr>
        <w:t>à la mise en place</w:t>
      </w:r>
      <w:r w:rsidR="004943B5" w:rsidRPr="001A4A5B">
        <w:rPr>
          <w:color w:val="auto"/>
          <w:lang w:val="fr-CA"/>
        </w:rPr>
        <w:t xml:space="preserve"> d’une</w:t>
      </w:r>
      <w:r w:rsidR="00635EA2" w:rsidRPr="001A4A5B">
        <w:rPr>
          <w:color w:val="auto"/>
          <w:lang w:val="fr-CA"/>
        </w:rPr>
        <w:t xml:space="preserve"> véritable </w:t>
      </w:r>
      <w:r w:rsidR="0083684C" w:rsidRPr="001A4A5B">
        <w:rPr>
          <w:color w:val="auto"/>
          <w:lang w:val="fr-CA"/>
        </w:rPr>
        <w:t>approche de sécurisation</w:t>
      </w:r>
      <w:r w:rsidR="004943B5" w:rsidRPr="001A4A5B">
        <w:rPr>
          <w:color w:val="auto"/>
          <w:lang w:val="fr-CA"/>
        </w:rPr>
        <w:t xml:space="preserve"> </w:t>
      </w:r>
      <w:r w:rsidR="00AF61DA" w:rsidRPr="001A4A5B">
        <w:rPr>
          <w:color w:val="auto"/>
          <w:lang w:val="fr-CA"/>
        </w:rPr>
        <w:t>cultuelle</w:t>
      </w:r>
      <w:r w:rsidR="004943B5" w:rsidRPr="001A4A5B">
        <w:rPr>
          <w:color w:val="auto"/>
          <w:lang w:val="fr-CA"/>
        </w:rPr>
        <w:t xml:space="preserve"> dans les </w:t>
      </w:r>
      <w:r w:rsidR="00AF61DA" w:rsidRPr="001A4A5B">
        <w:rPr>
          <w:color w:val="auto"/>
          <w:lang w:val="fr-CA"/>
        </w:rPr>
        <w:t>milieux</w:t>
      </w:r>
      <w:r w:rsidR="004943B5" w:rsidRPr="001A4A5B">
        <w:rPr>
          <w:color w:val="auto"/>
          <w:lang w:val="fr-CA"/>
        </w:rPr>
        <w:t xml:space="preserve"> de la santé et des services sociaux</w:t>
      </w:r>
      <w:r w:rsidR="0083684C" w:rsidRPr="001A4A5B">
        <w:rPr>
          <w:color w:val="auto"/>
          <w:lang w:val="fr-CA"/>
        </w:rPr>
        <w:t xml:space="preserve"> </w:t>
      </w:r>
      <w:r w:rsidR="00635EA2" w:rsidRPr="001A4A5B">
        <w:rPr>
          <w:color w:val="auto"/>
          <w:lang w:val="fr-CA"/>
        </w:rPr>
        <w:t>au Québec.</w:t>
      </w:r>
      <w:r w:rsidR="001F098C" w:rsidRPr="001A4A5B">
        <w:rPr>
          <w:color w:val="auto"/>
          <w:lang w:val="fr-CA"/>
        </w:rPr>
        <w:t xml:space="preserve"> </w:t>
      </w:r>
      <w:r w:rsidR="00165FFF" w:rsidRPr="001A4A5B">
        <w:rPr>
          <w:color w:val="auto"/>
          <w:lang w:val="fr-CA"/>
        </w:rPr>
        <w:t xml:space="preserve">D’une part, </w:t>
      </w:r>
      <w:r w:rsidR="00614867">
        <w:rPr>
          <w:color w:val="auto"/>
          <w:lang w:val="fr-CA"/>
        </w:rPr>
        <w:t xml:space="preserve">les travaux </w:t>
      </w:r>
      <w:r w:rsidR="00AF2C0E">
        <w:rPr>
          <w:color w:val="auto"/>
          <w:lang w:val="fr-CA"/>
        </w:rPr>
        <w:t>préalables à la présentation</w:t>
      </w:r>
      <w:r w:rsidR="00836175" w:rsidRPr="001A4A5B">
        <w:rPr>
          <w:color w:val="auto"/>
          <w:lang w:val="fr-CA"/>
        </w:rPr>
        <w:t xml:space="preserve"> du projet de loi ne semble</w:t>
      </w:r>
      <w:r w:rsidR="00AF2C0E">
        <w:rPr>
          <w:color w:val="auto"/>
          <w:lang w:val="fr-CA"/>
        </w:rPr>
        <w:t>nt</w:t>
      </w:r>
      <w:r w:rsidR="00836175" w:rsidRPr="001A4A5B">
        <w:rPr>
          <w:color w:val="auto"/>
          <w:lang w:val="fr-CA"/>
        </w:rPr>
        <w:t xml:space="preserve"> </w:t>
      </w:r>
      <w:r w:rsidR="00D91DD1" w:rsidRPr="001A4A5B">
        <w:rPr>
          <w:color w:val="auto"/>
          <w:lang w:val="fr-CA"/>
        </w:rPr>
        <w:t>pas avoir suivi</w:t>
      </w:r>
      <w:r w:rsidR="003149B4" w:rsidRPr="001A4A5B">
        <w:rPr>
          <w:color w:val="auto"/>
          <w:lang w:val="fr-CA"/>
        </w:rPr>
        <w:t xml:space="preserve"> </w:t>
      </w:r>
      <w:r w:rsidR="004970C1" w:rsidRPr="001A4A5B">
        <w:rPr>
          <w:color w:val="auto"/>
          <w:lang w:val="fr-CA"/>
        </w:rPr>
        <w:t xml:space="preserve">une </w:t>
      </w:r>
      <w:r w:rsidR="004970C1" w:rsidRPr="001A4A5B">
        <w:rPr>
          <w:color w:val="auto"/>
          <w:lang w:val="fr-CA"/>
        </w:rPr>
        <w:lastRenderedPageBreak/>
        <w:t xml:space="preserve">démarche </w:t>
      </w:r>
      <w:r w:rsidR="007725FB" w:rsidRPr="001A4A5B">
        <w:rPr>
          <w:color w:val="auto"/>
          <w:lang w:val="fr-CA"/>
        </w:rPr>
        <w:t xml:space="preserve">de collaboration </w:t>
      </w:r>
      <w:r w:rsidR="00D238B3" w:rsidRPr="001A4A5B">
        <w:rPr>
          <w:color w:val="auto"/>
          <w:lang w:val="fr-CA"/>
        </w:rPr>
        <w:t>conform</w:t>
      </w:r>
      <w:r w:rsidR="0026511F" w:rsidRPr="001A4A5B">
        <w:rPr>
          <w:color w:val="auto"/>
          <w:lang w:val="fr-CA"/>
        </w:rPr>
        <w:t>e</w:t>
      </w:r>
      <w:r w:rsidR="00D238B3" w:rsidRPr="001A4A5B">
        <w:rPr>
          <w:color w:val="auto"/>
          <w:lang w:val="fr-CA"/>
        </w:rPr>
        <w:t xml:space="preserve"> a</w:t>
      </w:r>
      <w:r w:rsidR="0026511F" w:rsidRPr="001A4A5B">
        <w:rPr>
          <w:color w:val="auto"/>
          <w:lang w:val="fr-CA"/>
        </w:rPr>
        <w:t>u</w:t>
      </w:r>
      <w:r w:rsidR="00D238B3" w:rsidRPr="001A4A5B">
        <w:rPr>
          <w:color w:val="auto"/>
          <w:lang w:val="fr-CA"/>
        </w:rPr>
        <w:t xml:space="preserve"> </w:t>
      </w:r>
      <w:r w:rsidR="001505A6" w:rsidRPr="001A4A5B">
        <w:rPr>
          <w:color w:val="auto"/>
          <w:lang w:val="fr-CA"/>
        </w:rPr>
        <w:t>droit à l’autodétermination</w:t>
      </w:r>
      <w:r w:rsidR="00D07A67" w:rsidRPr="001A4A5B">
        <w:rPr>
          <w:color w:val="auto"/>
          <w:lang w:val="fr-CA"/>
        </w:rPr>
        <w:t xml:space="preserve"> des peuples autochtones</w:t>
      </w:r>
      <w:r w:rsidR="004A1A6C" w:rsidRPr="00A8472C">
        <w:rPr>
          <w:rStyle w:val="Appelnotedebasdep"/>
          <w:color w:val="auto"/>
          <w:lang w:val="fr-CA"/>
        </w:rPr>
        <w:footnoteReference w:id="10"/>
      </w:r>
      <w:r w:rsidR="0042437A" w:rsidRPr="001A4A5B">
        <w:rPr>
          <w:color w:val="auto"/>
          <w:lang w:val="fr-CA"/>
        </w:rPr>
        <w:t xml:space="preserve">, </w:t>
      </w:r>
      <w:r w:rsidR="00F26205" w:rsidRPr="001A4A5B">
        <w:rPr>
          <w:color w:val="auto"/>
          <w:lang w:val="fr-CA"/>
        </w:rPr>
        <w:t xml:space="preserve">et ce, alors qu’il s’agit d’éléments </w:t>
      </w:r>
      <w:r w:rsidR="002834F7" w:rsidRPr="001A4A5B">
        <w:rPr>
          <w:color w:val="auto"/>
          <w:lang w:val="fr-CA"/>
        </w:rPr>
        <w:t>incontournables des appels à l’action</w:t>
      </w:r>
      <w:r w:rsidR="0026511F" w:rsidRPr="001A4A5B">
        <w:rPr>
          <w:color w:val="auto"/>
          <w:lang w:val="fr-CA"/>
        </w:rPr>
        <w:t xml:space="preserve"> de la Commission Viens concernant la sécurisation culturelle</w:t>
      </w:r>
      <w:r w:rsidR="00777AA8" w:rsidRPr="001A4A5B">
        <w:rPr>
          <w:color w:val="auto"/>
          <w:lang w:val="fr-CA"/>
        </w:rPr>
        <w:t>.</w:t>
      </w:r>
      <w:r w:rsidR="00810521" w:rsidRPr="001A4A5B">
        <w:rPr>
          <w:color w:val="auto"/>
          <w:lang w:val="fr-CA"/>
        </w:rPr>
        <w:t xml:space="preserve"> </w:t>
      </w:r>
      <w:r w:rsidR="00B11C51" w:rsidRPr="001A4A5B">
        <w:rPr>
          <w:color w:val="auto"/>
          <w:lang w:val="fr-CA"/>
        </w:rPr>
        <w:t>D’autre</w:t>
      </w:r>
      <w:r w:rsidR="00FE300D" w:rsidRPr="001A4A5B">
        <w:rPr>
          <w:color w:val="auto"/>
          <w:lang w:val="fr-CA"/>
        </w:rPr>
        <w:t xml:space="preserve"> part, il</w:t>
      </w:r>
      <w:r w:rsidR="00C301BA" w:rsidRPr="001A4A5B">
        <w:rPr>
          <w:color w:val="auto"/>
          <w:lang w:val="fr-CA"/>
        </w:rPr>
        <w:t xml:space="preserve"> </w:t>
      </w:r>
      <w:r w:rsidR="00D83860" w:rsidRPr="001A4A5B">
        <w:rPr>
          <w:color w:val="auto"/>
          <w:lang w:val="fr-CA"/>
        </w:rPr>
        <w:t>élude</w:t>
      </w:r>
      <w:r w:rsidR="00E0640B" w:rsidRPr="001A4A5B">
        <w:rPr>
          <w:color w:val="auto"/>
          <w:lang w:val="fr-CA"/>
        </w:rPr>
        <w:t xml:space="preserve"> </w:t>
      </w:r>
      <w:r w:rsidR="001815E4" w:rsidRPr="001A4A5B">
        <w:rPr>
          <w:color w:val="auto"/>
          <w:lang w:val="fr-CA"/>
        </w:rPr>
        <w:t xml:space="preserve">complètement </w:t>
      </w:r>
      <w:r w:rsidR="00D83860" w:rsidRPr="001A4A5B">
        <w:rPr>
          <w:color w:val="auto"/>
          <w:lang w:val="fr-CA"/>
        </w:rPr>
        <w:t>s</w:t>
      </w:r>
      <w:r w:rsidR="00C901DF" w:rsidRPr="001A4A5B">
        <w:rPr>
          <w:color w:val="auto"/>
          <w:lang w:val="fr-CA"/>
        </w:rPr>
        <w:t xml:space="preserve">es assises </w:t>
      </w:r>
      <w:r w:rsidR="00C301BA" w:rsidRPr="001A4A5B">
        <w:rPr>
          <w:color w:val="auto"/>
          <w:lang w:val="fr-CA"/>
        </w:rPr>
        <w:t>légales</w:t>
      </w:r>
      <w:r w:rsidR="00950053">
        <w:rPr>
          <w:color w:val="auto"/>
          <w:lang w:val="fr-CA"/>
        </w:rPr>
        <w:t xml:space="preserve"> </w:t>
      </w:r>
      <w:r w:rsidR="00950053" w:rsidRPr="004D0FD9">
        <w:rPr>
          <w:color w:val="auto"/>
          <w:lang w:val="fr-CA"/>
        </w:rPr>
        <w:t>fondées sur les droits de la personne</w:t>
      </w:r>
      <w:r w:rsidR="00E41DF3">
        <w:rPr>
          <w:color w:val="auto"/>
          <w:lang w:val="fr-CA"/>
        </w:rPr>
        <w:t>,</w:t>
      </w:r>
      <w:r w:rsidR="007A22AA" w:rsidRPr="001A4A5B">
        <w:rPr>
          <w:color w:val="auto"/>
          <w:lang w:val="fr-CA"/>
        </w:rPr>
        <w:t xml:space="preserve"> </w:t>
      </w:r>
      <w:r w:rsidR="00CE5F64" w:rsidRPr="001A4A5B">
        <w:rPr>
          <w:color w:val="auto"/>
          <w:lang w:val="fr-CA"/>
        </w:rPr>
        <w:t xml:space="preserve">lesquelles </w:t>
      </w:r>
      <w:r w:rsidR="003116F9" w:rsidRPr="001A4A5B">
        <w:rPr>
          <w:color w:val="auto"/>
          <w:lang w:val="fr-CA"/>
        </w:rPr>
        <w:t>s</w:t>
      </w:r>
      <w:r w:rsidR="004975ED" w:rsidRPr="001A4A5B">
        <w:rPr>
          <w:color w:val="auto"/>
          <w:lang w:val="fr-CA"/>
        </w:rPr>
        <w:t xml:space="preserve">ont composées </w:t>
      </w:r>
      <w:r w:rsidR="003116F9" w:rsidRPr="001A4A5B">
        <w:rPr>
          <w:color w:val="auto"/>
          <w:lang w:val="fr-CA"/>
        </w:rPr>
        <w:t>d</w:t>
      </w:r>
      <w:r w:rsidR="004975ED" w:rsidRPr="001A4A5B">
        <w:rPr>
          <w:color w:val="auto"/>
          <w:lang w:val="fr-CA"/>
        </w:rPr>
        <w:t>’un ensemble de</w:t>
      </w:r>
      <w:r w:rsidR="005449C9" w:rsidRPr="001A4A5B">
        <w:rPr>
          <w:color w:val="auto"/>
          <w:lang w:val="fr-CA"/>
        </w:rPr>
        <w:t xml:space="preserve"> droits </w:t>
      </w:r>
      <w:r w:rsidR="00CE5F64" w:rsidRPr="001A4A5B">
        <w:rPr>
          <w:color w:val="auto"/>
          <w:lang w:val="fr-CA"/>
        </w:rPr>
        <w:t xml:space="preserve">reconnus aux </w:t>
      </w:r>
      <w:r w:rsidR="00061234" w:rsidRPr="001A4A5B">
        <w:rPr>
          <w:color w:val="auto"/>
          <w:lang w:val="fr-CA"/>
        </w:rPr>
        <w:t>personnes autochtones</w:t>
      </w:r>
      <w:r w:rsidR="00F24A06">
        <w:rPr>
          <w:color w:val="auto"/>
          <w:lang w:val="fr-CA"/>
        </w:rPr>
        <w:t>,</w:t>
      </w:r>
      <w:r w:rsidR="00061234" w:rsidRPr="001A4A5B">
        <w:rPr>
          <w:color w:val="auto"/>
          <w:lang w:val="fr-CA"/>
        </w:rPr>
        <w:t xml:space="preserve"> </w:t>
      </w:r>
      <w:r w:rsidR="004975ED" w:rsidRPr="001A4A5B">
        <w:rPr>
          <w:color w:val="auto"/>
          <w:lang w:val="fr-CA"/>
        </w:rPr>
        <w:t>d’</w:t>
      </w:r>
      <w:r w:rsidR="0099241E" w:rsidRPr="001A4A5B">
        <w:rPr>
          <w:color w:val="auto"/>
          <w:lang w:val="fr-CA"/>
        </w:rPr>
        <w:t>obligations</w:t>
      </w:r>
      <w:r w:rsidR="00A93629" w:rsidRPr="001A4A5B">
        <w:rPr>
          <w:color w:val="auto"/>
          <w:lang w:val="fr-CA"/>
        </w:rPr>
        <w:t xml:space="preserve"> </w:t>
      </w:r>
      <w:r w:rsidR="00BD6419" w:rsidRPr="001A4A5B">
        <w:rPr>
          <w:color w:val="auto"/>
          <w:lang w:val="fr-CA"/>
        </w:rPr>
        <w:t>dévolues au</w:t>
      </w:r>
      <w:r w:rsidR="0099241E" w:rsidRPr="001A4A5B">
        <w:rPr>
          <w:color w:val="auto"/>
          <w:lang w:val="fr-CA"/>
        </w:rPr>
        <w:t xml:space="preserve"> gouvernement</w:t>
      </w:r>
      <w:r w:rsidR="001D5F65">
        <w:rPr>
          <w:color w:val="auto"/>
          <w:lang w:val="fr-CA"/>
        </w:rPr>
        <w:t xml:space="preserve"> —</w:t>
      </w:r>
      <w:r w:rsidR="00B23F6B" w:rsidRPr="001A4A5B">
        <w:rPr>
          <w:color w:val="auto"/>
          <w:lang w:val="fr-CA"/>
        </w:rPr>
        <w:t xml:space="preserve"> spécifiquement</w:t>
      </w:r>
      <w:r w:rsidR="005449C9" w:rsidRPr="001A4A5B">
        <w:rPr>
          <w:color w:val="auto"/>
          <w:lang w:val="fr-CA"/>
        </w:rPr>
        <w:t xml:space="preserve"> au</w:t>
      </w:r>
      <w:r w:rsidR="00222BAF" w:rsidRPr="001A4A5B">
        <w:rPr>
          <w:color w:val="auto"/>
          <w:lang w:val="fr-CA"/>
        </w:rPr>
        <w:t xml:space="preserve"> réseau de la</w:t>
      </w:r>
      <w:r w:rsidR="005449C9" w:rsidRPr="001A4A5B">
        <w:rPr>
          <w:color w:val="auto"/>
          <w:lang w:val="fr-CA"/>
        </w:rPr>
        <w:t xml:space="preserve"> santé et de</w:t>
      </w:r>
      <w:r w:rsidR="00222BAF" w:rsidRPr="001A4A5B">
        <w:rPr>
          <w:color w:val="auto"/>
          <w:lang w:val="fr-CA"/>
        </w:rPr>
        <w:t>s services sociaux</w:t>
      </w:r>
      <w:r w:rsidR="00656AC8" w:rsidRPr="001A4A5B">
        <w:rPr>
          <w:color w:val="auto"/>
          <w:lang w:val="fr-CA"/>
        </w:rPr>
        <w:t xml:space="preserve"> dont il est responsable</w:t>
      </w:r>
      <w:r w:rsidR="00F511DB">
        <w:rPr>
          <w:color w:val="auto"/>
          <w:lang w:val="fr-CA"/>
        </w:rPr>
        <w:t xml:space="preserve"> </w:t>
      </w:r>
      <w:r w:rsidR="001D5F65">
        <w:rPr>
          <w:color w:val="auto"/>
          <w:lang w:val="fr-CA"/>
        </w:rPr>
        <w:t>—</w:t>
      </w:r>
      <w:r w:rsidR="0001664A" w:rsidRPr="001A4A5B">
        <w:rPr>
          <w:color w:val="auto"/>
          <w:lang w:val="fr-CA"/>
        </w:rPr>
        <w:t xml:space="preserve"> et d’engagements</w:t>
      </w:r>
      <w:r w:rsidR="00AB5679" w:rsidRPr="001A4A5B">
        <w:rPr>
          <w:color w:val="auto"/>
          <w:lang w:val="fr-CA"/>
        </w:rPr>
        <w:t xml:space="preserve"> auxquels il est lié par le droit </w:t>
      </w:r>
      <w:r w:rsidR="00BD6419" w:rsidRPr="001A4A5B">
        <w:rPr>
          <w:color w:val="auto"/>
          <w:lang w:val="fr-CA"/>
        </w:rPr>
        <w:t>international</w:t>
      </w:r>
      <w:r w:rsidR="001D6FF7" w:rsidRPr="001A4A5B">
        <w:rPr>
          <w:color w:val="auto"/>
          <w:lang w:val="fr-CA"/>
        </w:rPr>
        <w:t>.</w:t>
      </w:r>
      <w:r w:rsidR="00401E60" w:rsidRPr="001A4A5B">
        <w:rPr>
          <w:color w:val="auto"/>
          <w:lang w:val="fr-CA"/>
        </w:rPr>
        <w:t xml:space="preserve"> De plus, le</w:t>
      </w:r>
      <w:r w:rsidR="00D245B0" w:rsidRPr="001A4A5B">
        <w:rPr>
          <w:color w:val="auto"/>
          <w:lang w:val="fr-CA"/>
        </w:rPr>
        <w:t xml:space="preserve"> projet de </w:t>
      </w:r>
      <w:r w:rsidR="00DB7D5A" w:rsidRPr="001A4A5B">
        <w:rPr>
          <w:color w:val="auto"/>
          <w:lang w:val="fr-CA"/>
        </w:rPr>
        <w:t xml:space="preserve">loi </w:t>
      </w:r>
      <w:r w:rsidR="003941F3">
        <w:rPr>
          <w:color w:val="auto"/>
          <w:lang w:val="fr-CA"/>
        </w:rPr>
        <w:t>fait abstraction d</w:t>
      </w:r>
      <w:r w:rsidR="00330E34" w:rsidRPr="001A4A5B">
        <w:rPr>
          <w:color w:val="auto"/>
          <w:lang w:val="fr-CA"/>
        </w:rPr>
        <w:t xml:space="preserve">es </w:t>
      </w:r>
      <w:r w:rsidR="00423CED" w:rsidRPr="001A4A5B">
        <w:rPr>
          <w:color w:val="auto"/>
          <w:lang w:val="fr-CA"/>
        </w:rPr>
        <w:t>raison</w:t>
      </w:r>
      <w:r w:rsidR="00B80818" w:rsidRPr="001A4A5B">
        <w:rPr>
          <w:color w:val="auto"/>
          <w:lang w:val="fr-CA"/>
        </w:rPr>
        <w:t xml:space="preserve">s qui </w:t>
      </w:r>
      <w:r w:rsidR="006C3C17" w:rsidRPr="001A4A5B">
        <w:rPr>
          <w:color w:val="auto"/>
          <w:lang w:val="fr-CA"/>
        </w:rPr>
        <w:t>rendent nécessaire l’instauration d’une approche</w:t>
      </w:r>
      <w:r w:rsidR="00A542AB" w:rsidRPr="001A4A5B">
        <w:rPr>
          <w:color w:val="auto"/>
          <w:lang w:val="fr-CA"/>
        </w:rPr>
        <w:t xml:space="preserve"> de sécurisation culturelle, à savoir </w:t>
      </w:r>
      <w:r w:rsidR="006174CA" w:rsidRPr="001A4A5B">
        <w:rPr>
          <w:color w:val="auto"/>
          <w:lang w:val="fr-CA"/>
        </w:rPr>
        <w:t>la</w:t>
      </w:r>
      <w:r w:rsidR="002352C4">
        <w:rPr>
          <w:color w:val="auto"/>
          <w:lang w:val="fr-CA"/>
        </w:rPr>
        <w:t xml:space="preserve"> reconnaissance </w:t>
      </w:r>
      <w:r w:rsidR="005F2558">
        <w:rPr>
          <w:color w:val="auto"/>
          <w:lang w:val="fr-CA"/>
        </w:rPr>
        <w:t>du</w:t>
      </w:r>
      <w:r w:rsidR="005F2558" w:rsidRPr="001A4A5B">
        <w:rPr>
          <w:color w:val="auto"/>
          <w:lang w:val="fr-CA"/>
        </w:rPr>
        <w:t xml:space="preserve"> racisme </w:t>
      </w:r>
      <w:r w:rsidR="005F2558">
        <w:rPr>
          <w:color w:val="auto"/>
          <w:lang w:val="fr-CA"/>
        </w:rPr>
        <w:t xml:space="preserve">et </w:t>
      </w:r>
      <w:r w:rsidR="002352C4">
        <w:rPr>
          <w:color w:val="auto"/>
          <w:lang w:val="fr-CA"/>
        </w:rPr>
        <w:t>de la</w:t>
      </w:r>
      <w:r w:rsidR="006174CA" w:rsidRPr="001A4A5B">
        <w:rPr>
          <w:color w:val="auto"/>
          <w:lang w:val="fr-CA"/>
        </w:rPr>
        <w:t xml:space="preserve"> discrimination systémiqu</w:t>
      </w:r>
      <w:r w:rsidR="00446D6D" w:rsidRPr="001A4A5B">
        <w:rPr>
          <w:color w:val="auto"/>
          <w:lang w:val="fr-CA"/>
        </w:rPr>
        <w:t xml:space="preserve">es </w:t>
      </w:r>
      <w:r w:rsidR="004B006B">
        <w:rPr>
          <w:color w:val="auto"/>
          <w:lang w:val="fr-CA"/>
        </w:rPr>
        <w:t>vécus par les</w:t>
      </w:r>
      <w:r w:rsidR="00996E1D" w:rsidRPr="001A4A5B">
        <w:rPr>
          <w:color w:val="auto"/>
          <w:lang w:val="fr-CA"/>
        </w:rPr>
        <w:t xml:space="preserve"> personnes autochtones</w:t>
      </w:r>
      <w:r w:rsidR="003B4EDA">
        <w:rPr>
          <w:color w:val="auto"/>
          <w:lang w:val="fr-CA"/>
        </w:rPr>
        <w:t xml:space="preserve"> entravant leur droit</w:t>
      </w:r>
      <w:r w:rsidR="00996E1D" w:rsidRPr="001A4A5B">
        <w:rPr>
          <w:color w:val="auto"/>
          <w:lang w:val="fr-CA"/>
        </w:rPr>
        <w:t xml:space="preserve"> à des </w:t>
      </w:r>
      <w:r w:rsidR="00113610" w:rsidRPr="001A4A5B">
        <w:rPr>
          <w:color w:val="auto"/>
          <w:lang w:val="fr-CA"/>
        </w:rPr>
        <w:t>services de qualité en pleine égalité.</w:t>
      </w:r>
    </w:p>
    <w:p w14:paraId="576F3D64" w14:textId="33D5AD88" w:rsidR="00CE5EA3" w:rsidRPr="00CE68CD" w:rsidRDefault="00C2054A" w:rsidP="0097791A">
      <w:pPr>
        <w:pStyle w:val="Paragraphe"/>
        <w:rPr>
          <w:lang w:val="fr-CA"/>
        </w:rPr>
      </w:pPr>
      <w:r w:rsidRPr="00CE68CD">
        <w:rPr>
          <w:lang w:val="fr-CA"/>
        </w:rPr>
        <w:t>La Commission commente le projet de loi à l</w:t>
      </w:r>
      <w:r w:rsidR="00172EE4" w:rsidRPr="00CE68CD">
        <w:rPr>
          <w:lang w:val="fr-CA"/>
        </w:rPr>
        <w:t>’</w:t>
      </w:r>
      <w:r w:rsidRPr="00CE68CD">
        <w:rPr>
          <w:lang w:val="fr-CA"/>
        </w:rPr>
        <w:t>étude, mais tient à souligner que, dans le respect du droit à l</w:t>
      </w:r>
      <w:r w:rsidR="00CE68CD" w:rsidRPr="00CE68CD">
        <w:rPr>
          <w:lang w:val="fr-CA"/>
        </w:rPr>
        <w:t>’</w:t>
      </w:r>
      <w:r w:rsidRPr="00CE68CD">
        <w:rPr>
          <w:lang w:val="fr-CA"/>
        </w:rPr>
        <w:t xml:space="preserve">autodétermination des peuples autochtones et suivant un esprit de réconciliation, les autorités des Premières Nations et Inuit devraient être les premières interlocutrices du législateur dans toutes mesures visant les </w:t>
      </w:r>
      <w:r w:rsidR="004E4CD0" w:rsidRPr="00CE68CD">
        <w:rPr>
          <w:lang w:val="fr-CA"/>
        </w:rPr>
        <w:t>p</w:t>
      </w:r>
      <w:r w:rsidR="004E4CD0">
        <w:rPr>
          <w:lang w:val="fr-CA"/>
        </w:rPr>
        <w:t>ersonnes</w:t>
      </w:r>
      <w:r w:rsidR="004E4CD0" w:rsidRPr="00CE68CD">
        <w:rPr>
          <w:lang w:val="fr-CA"/>
        </w:rPr>
        <w:t xml:space="preserve"> </w:t>
      </w:r>
      <w:r w:rsidRPr="00CE68CD">
        <w:rPr>
          <w:lang w:val="fr-CA"/>
        </w:rPr>
        <w:t xml:space="preserve">autochtones. </w:t>
      </w:r>
    </w:p>
    <w:p w14:paraId="4054E07C" w14:textId="14F77103" w:rsidR="000327B7" w:rsidRPr="00C84C0A" w:rsidRDefault="002F25ED" w:rsidP="0097791A">
      <w:pPr>
        <w:pStyle w:val="Paragraphe"/>
        <w:rPr>
          <w:lang w:val="fr-CA"/>
        </w:rPr>
      </w:pPr>
      <w:r w:rsidRPr="00C84C0A">
        <w:rPr>
          <w:lang w:val="fr-CA"/>
        </w:rPr>
        <w:t xml:space="preserve">Dans ce mémoire, la </w:t>
      </w:r>
      <w:r w:rsidR="00CE5EA3" w:rsidRPr="00C84C0A">
        <w:rPr>
          <w:lang w:val="fr-CA"/>
        </w:rPr>
        <w:t>Commission</w:t>
      </w:r>
      <w:r w:rsidR="003961A9" w:rsidRPr="00C84C0A">
        <w:rPr>
          <w:lang w:val="fr-CA"/>
        </w:rPr>
        <w:t xml:space="preserve"> </w:t>
      </w:r>
      <w:r w:rsidR="00C226E8" w:rsidRPr="00C84C0A">
        <w:rPr>
          <w:lang w:val="fr-CA"/>
        </w:rPr>
        <w:t>juge</w:t>
      </w:r>
      <w:r w:rsidR="00573EA3" w:rsidRPr="00C84C0A">
        <w:rPr>
          <w:lang w:val="fr-CA"/>
        </w:rPr>
        <w:t xml:space="preserve"> d’abord</w:t>
      </w:r>
      <w:r w:rsidR="00C226E8" w:rsidRPr="00C84C0A">
        <w:rPr>
          <w:lang w:val="fr-CA"/>
        </w:rPr>
        <w:t xml:space="preserve"> nécessaire</w:t>
      </w:r>
      <w:r w:rsidR="00042B23" w:rsidRPr="00C84C0A">
        <w:rPr>
          <w:lang w:val="fr-CA"/>
        </w:rPr>
        <w:t xml:space="preserve"> </w:t>
      </w:r>
      <w:r w:rsidR="007E6E8F" w:rsidRPr="00C84C0A">
        <w:rPr>
          <w:lang w:val="fr-CA"/>
        </w:rPr>
        <w:t>de situer l</w:t>
      </w:r>
      <w:r w:rsidR="000C27B2" w:rsidRPr="00C84C0A">
        <w:rPr>
          <w:lang w:val="fr-CA"/>
        </w:rPr>
        <w:t>’origine et l’interp</w:t>
      </w:r>
      <w:r w:rsidR="00B437D0" w:rsidRPr="00C84C0A">
        <w:rPr>
          <w:lang w:val="fr-CA"/>
        </w:rPr>
        <w:t xml:space="preserve">rétation </w:t>
      </w:r>
      <w:r w:rsidR="00037BB3" w:rsidRPr="00C84C0A">
        <w:rPr>
          <w:lang w:val="fr-CA"/>
        </w:rPr>
        <w:t>de l’approche de sécurisation culturelle, d’</w:t>
      </w:r>
      <w:r w:rsidR="004150D8" w:rsidRPr="00C84C0A">
        <w:rPr>
          <w:lang w:val="fr-CA"/>
        </w:rPr>
        <w:t xml:space="preserve">exposer les fondements sur lesquels </w:t>
      </w:r>
      <w:r w:rsidR="00037BB3" w:rsidRPr="00C84C0A">
        <w:rPr>
          <w:lang w:val="fr-CA"/>
        </w:rPr>
        <w:t>elle</w:t>
      </w:r>
      <w:r w:rsidR="004150D8" w:rsidRPr="00C84C0A">
        <w:rPr>
          <w:lang w:val="fr-CA"/>
        </w:rPr>
        <w:t xml:space="preserve"> devrait s’appuyer</w:t>
      </w:r>
      <w:r w:rsidR="004A750C" w:rsidRPr="00C84C0A">
        <w:rPr>
          <w:lang w:val="fr-CA"/>
        </w:rPr>
        <w:t xml:space="preserve"> et</w:t>
      </w:r>
      <w:r w:rsidR="001032F5" w:rsidRPr="00C84C0A">
        <w:rPr>
          <w:lang w:val="fr-CA"/>
        </w:rPr>
        <w:t xml:space="preserve"> de dégager les droits des personnes autochtones et </w:t>
      </w:r>
      <w:r w:rsidR="008039B0" w:rsidRPr="00C84C0A">
        <w:rPr>
          <w:lang w:val="fr-CA"/>
        </w:rPr>
        <w:t xml:space="preserve">les obligations du gouvernement </w:t>
      </w:r>
      <w:r w:rsidR="00D375AC" w:rsidRPr="00C84C0A">
        <w:rPr>
          <w:rFonts w:eastAsia="Calibri"/>
          <w:lang w:val="fr-CA"/>
        </w:rPr>
        <w:t xml:space="preserve">en matière de prestation des services de santé et des services sociaux </w:t>
      </w:r>
      <w:r w:rsidR="008039B0" w:rsidRPr="00C84C0A">
        <w:rPr>
          <w:lang w:val="fr-CA"/>
        </w:rPr>
        <w:t>en vertu du droit interne et international</w:t>
      </w:r>
      <w:r w:rsidR="004150D8" w:rsidRPr="00C84C0A">
        <w:rPr>
          <w:lang w:val="fr-CA"/>
        </w:rPr>
        <w:t xml:space="preserve">. </w:t>
      </w:r>
      <w:r w:rsidR="004D0FD9" w:rsidRPr="00C84C0A">
        <w:rPr>
          <w:lang w:val="fr-CA"/>
        </w:rPr>
        <w:t>Elle</w:t>
      </w:r>
      <w:r w:rsidR="00514FBC" w:rsidRPr="00C84C0A">
        <w:rPr>
          <w:lang w:val="fr-CA"/>
        </w:rPr>
        <w:t xml:space="preserve"> met </w:t>
      </w:r>
      <w:r w:rsidR="00573EA3" w:rsidRPr="00C84C0A">
        <w:rPr>
          <w:lang w:val="fr-CA"/>
        </w:rPr>
        <w:t xml:space="preserve">ensuite </w:t>
      </w:r>
      <w:r w:rsidR="00514FBC" w:rsidRPr="00C84C0A">
        <w:rPr>
          <w:lang w:val="fr-CA"/>
        </w:rPr>
        <w:t xml:space="preserve">en lumière </w:t>
      </w:r>
      <w:r w:rsidR="00A949F4" w:rsidRPr="00C84C0A">
        <w:rPr>
          <w:lang w:val="fr-CA"/>
        </w:rPr>
        <w:t>l</w:t>
      </w:r>
      <w:r w:rsidR="005C2786" w:rsidRPr="00C84C0A">
        <w:rPr>
          <w:lang w:val="fr-CA"/>
        </w:rPr>
        <w:t>a nécessité</w:t>
      </w:r>
      <w:r w:rsidR="00A949F4" w:rsidRPr="00C84C0A">
        <w:rPr>
          <w:lang w:val="fr-CA"/>
        </w:rPr>
        <w:t xml:space="preserve"> de la</w:t>
      </w:r>
      <w:r w:rsidR="00796099" w:rsidRPr="00C84C0A">
        <w:rPr>
          <w:lang w:val="fr-CA"/>
        </w:rPr>
        <w:t xml:space="preserve"> prise en compte des réalité</w:t>
      </w:r>
      <w:r w:rsidR="000C119A" w:rsidRPr="00C84C0A">
        <w:rPr>
          <w:lang w:val="fr-CA"/>
        </w:rPr>
        <w:t>s</w:t>
      </w:r>
      <w:r w:rsidR="00796099" w:rsidRPr="00C84C0A">
        <w:rPr>
          <w:lang w:val="fr-CA"/>
        </w:rPr>
        <w:t xml:space="preserve"> et besoins</w:t>
      </w:r>
      <w:r w:rsidR="000C119A" w:rsidRPr="00C84C0A">
        <w:rPr>
          <w:lang w:val="fr-CA"/>
        </w:rPr>
        <w:t xml:space="preserve"> individuels des personnes </w:t>
      </w:r>
      <w:r w:rsidR="00464FEB" w:rsidRPr="00C84C0A">
        <w:rPr>
          <w:lang w:val="fr-CA"/>
        </w:rPr>
        <w:t xml:space="preserve">autochtones qui reçoivent </w:t>
      </w:r>
      <w:r w:rsidR="006765B0" w:rsidRPr="00C84C0A">
        <w:rPr>
          <w:lang w:val="fr-CA"/>
        </w:rPr>
        <w:t>des services</w:t>
      </w:r>
      <w:r w:rsidR="00464FEB" w:rsidRPr="00C84C0A">
        <w:rPr>
          <w:lang w:val="fr-CA"/>
        </w:rPr>
        <w:t xml:space="preserve"> de santé ou </w:t>
      </w:r>
      <w:r w:rsidR="006765B0" w:rsidRPr="00C84C0A">
        <w:rPr>
          <w:lang w:val="fr-CA"/>
        </w:rPr>
        <w:t>des services sociaux</w:t>
      </w:r>
      <w:r w:rsidR="00573EA3" w:rsidRPr="00C84C0A">
        <w:rPr>
          <w:lang w:val="fr-CA"/>
        </w:rPr>
        <w:t>. Elle i</w:t>
      </w:r>
      <w:r w:rsidR="00730CD1" w:rsidRPr="00C84C0A">
        <w:rPr>
          <w:lang w:val="fr-CA"/>
        </w:rPr>
        <w:t>llustr</w:t>
      </w:r>
      <w:r w:rsidR="00573EA3" w:rsidRPr="00C84C0A">
        <w:rPr>
          <w:lang w:val="fr-CA"/>
        </w:rPr>
        <w:t>e à cette fin les particularités</w:t>
      </w:r>
      <w:r w:rsidR="00C11B7B" w:rsidRPr="00C84C0A">
        <w:rPr>
          <w:lang w:val="fr-CA"/>
        </w:rPr>
        <w:t xml:space="preserve"> </w:t>
      </w:r>
      <w:r w:rsidR="000C119A" w:rsidRPr="00C84C0A">
        <w:rPr>
          <w:lang w:val="fr-CA"/>
        </w:rPr>
        <w:t>de certain</w:t>
      </w:r>
      <w:r w:rsidR="00C11B7B" w:rsidRPr="00C84C0A">
        <w:rPr>
          <w:lang w:val="fr-CA"/>
        </w:rPr>
        <w:t>e</w:t>
      </w:r>
      <w:r w:rsidR="000C119A" w:rsidRPr="00C84C0A">
        <w:rPr>
          <w:lang w:val="fr-CA"/>
        </w:rPr>
        <w:t xml:space="preserve">s </w:t>
      </w:r>
      <w:r w:rsidR="007B1161" w:rsidRPr="00C84C0A">
        <w:rPr>
          <w:lang w:val="fr-CA"/>
        </w:rPr>
        <w:t>de</w:t>
      </w:r>
      <w:r w:rsidR="0066603C" w:rsidRPr="00C84C0A">
        <w:rPr>
          <w:lang w:val="fr-CA"/>
        </w:rPr>
        <w:t xml:space="preserve"> ces</w:t>
      </w:r>
      <w:r w:rsidR="007B1161" w:rsidRPr="00C84C0A">
        <w:rPr>
          <w:lang w:val="fr-CA"/>
        </w:rPr>
        <w:t xml:space="preserve"> personnes</w:t>
      </w:r>
      <w:r w:rsidR="0066603C" w:rsidRPr="00C84C0A">
        <w:rPr>
          <w:lang w:val="fr-CA"/>
        </w:rPr>
        <w:t>.</w:t>
      </w:r>
      <w:r w:rsidR="007A0102" w:rsidRPr="00C84C0A">
        <w:rPr>
          <w:lang w:val="fr-CA"/>
        </w:rPr>
        <w:t xml:space="preserve"> </w:t>
      </w:r>
      <w:r w:rsidR="005B55A0" w:rsidRPr="00C84C0A">
        <w:rPr>
          <w:lang w:val="fr-CA"/>
        </w:rPr>
        <w:t xml:space="preserve">Puis, </w:t>
      </w:r>
      <w:r w:rsidR="004D0FD9" w:rsidRPr="00C84C0A">
        <w:rPr>
          <w:lang w:val="fr-CA"/>
        </w:rPr>
        <w:t>elle</w:t>
      </w:r>
      <w:r w:rsidR="00126096" w:rsidRPr="00C84C0A">
        <w:rPr>
          <w:lang w:val="fr-CA"/>
        </w:rPr>
        <w:t xml:space="preserve"> </w:t>
      </w:r>
      <w:r w:rsidR="005B55A0" w:rsidRPr="00C84C0A">
        <w:rPr>
          <w:lang w:val="fr-CA"/>
        </w:rPr>
        <w:t xml:space="preserve">expose </w:t>
      </w:r>
      <w:r w:rsidR="00940DF2" w:rsidRPr="00C84C0A">
        <w:rPr>
          <w:lang w:val="fr-CA"/>
        </w:rPr>
        <w:t>les paramètres qui devrai</w:t>
      </w:r>
      <w:r w:rsidR="00066545" w:rsidRPr="00C84C0A">
        <w:rPr>
          <w:lang w:val="fr-CA"/>
        </w:rPr>
        <w:t xml:space="preserve">ent guider </w:t>
      </w:r>
      <w:r w:rsidR="003043A2" w:rsidRPr="00C84C0A">
        <w:rPr>
          <w:lang w:val="fr-CA"/>
        </w:rPr>
        <w:t>le législateur dans la détermination</w:t>
      </w:r>
      <w:r w:rsidR="00667892" w:rsidRPr="00C84C0A">
        <w:rPr>
          <w:lang w:val="fr-CA"/>
        </w:rPr>
        <w:t xml:space="preserve"> de</w:t>
      </w:r>
      <w:r w:rsidR="003043A2" w:rsidRPr="00C84C0A">
        <w:rPr>
          <w:lang w:val="fr-CA"/>
        </w:rPr>
        <w:t>s moyens</w:t>
      </w:r>
      <w:r w:rsidR="00103404" w:rsidRPr="00C84C0A">
        <w:rPr>
          <w:lang w:val="fr-CA"/>
        </w:rPr>
        <w:t xml:space="preserve"> à adopter comme pratiques sécurisantes</w:t>
      </w:r>
      <w:r w:rsidR="00E320BF" w:rsidRPr="00C84C0A">
        <w:rPr>
          <w:lang w:val="fr-CA"/>
        </w:rPr>
        <w:t xml:space="preserve">, </w:t>
      </w:r>
      <w:r w:rsidR="00667892" w:rsidRPr="00C84C0A">
        <w:rPr>
          <w:lang w:val="fr-CA"/>
        </w:rPr>
        <w:t>soit l’embauche de personne</w:t>
      </w:r>
      <w:r w:rsidR="00326EA3" w:rsidRPr="00C84C0A">
        <w:rPr>
          <w:lang w:val="fr-CA"/>
        </w:rPr>
        <w:t>l</w:t>
      </w:r>
      <w:r w:rsidR="00667892" w:rsidRPr="00C84C0A">
        <w:rPr>
          <w:lang w:val="fr-CA"/>
        </w:rPr>
        <w:t xml:space="preserve"> autochtone et la formation obligatoire </w:t>
      </w:r>
      <w:r w:rsidR="00326EA3" w:rsidRPr="00C84C0A">
        <w:rPr>
          <w:lang w:val="fr-CA"/>
        </w:rPr>
        <w:t>d</w:t>
      </w:r>
      <w:r w:rsidR="00F67953">
        <w:rPr>
          <w:lang w:val="fr-CA"/>
        </w:rPr>
        <w:t>u</w:t>
      </w:r>
      <w:r w:rsidR="00326EA3" w:rsidRPr="00C84C0A">
        <w:rPr>
          <w:lang w:val="fr-CA"/>
        </w:rPr>
        <w:t xml:space="preserve"> personnel</w:t>
      </w:r>
      <w:r w:rsidR="00F67953">
        <w:rPr>
          <w:lang w:val="fr-CA"/>
        </w:rPr>
        <w:t xml:space="preserve"> d</w:t>
      </w:r>
      <w:r w:rsidR="00453905">
        <w:rPr>
          <w:lang w:val="fr-CA"/>
        </w:rPr>
        <w:t>u</w:t>
      </w:r>
      <w:r w:rsidR="00F67953">
        <w:rPr>
          <w:lang w:val="fr-CA"/>
        </w:rPr>
        <w:t xml:space="preserve"> RSSS</w:t>
      </w:r>
      <w:r w:rsidR="00326EA3" w:rsidRPr="00C84C0A">
        <w:rPr>
          <w:lang w:val="fr-CA"/>
        </w:rPr>
        <w:t>.</w:t>
      </w:r>
      <w:r w:rsidR="00B46D7F" w:rsidRPr="00C84C0A">
        <w:rPr>
          <w:lang w:val="fr-CA"/>
        </w:rPr>
        <w:t xml:space="preserve"> </w:t>
      </w:r>
      <w:r w:rsidR="00DA34DB" w:rsidRPr="00C84C0A">
        <w:rPr>
          <w:lang w:val="fr-CA"/>
        </w:rPr>
        <w:t>De plus, e</w:t>
      </w:r>
      <w:r w:rsidR="002D1EC5" w:rsidRPr="00C84C0A">
        <w:rPr>
          <w:lang w:val="fr-CA"/>
        </w:rPr>
        <w:t xml:space="preserve">lle </w:t>
      </w:r>
      <w:r w:rsidR="001F30AE" w:rsidRPr="00C84C0A">
        <w:rPr>
          <w:lang w:val="fr-CA"/>
        </w:rPr>
        <w:t xml:space="preserve">fait </w:t>
      </w:r>
      <w:r w:rsidR="009E72E9" w:rsidRPr="00C84C0A">
        <w:rPr>
          <w:lang w:val="fr-CA"/>
        </w:rPr>
        <w:t>ressortir</w:t>
      </w:r>
      <w:r w:rsidR="00432807" w:rsidRPr="00C84C0A">
        <w:rPr>
          <w:lang w:val="fr-CA"/>
        </w:rPr>
        <w:t xml:space="preserve"> </w:t>
      </w:r>
      <w:r w:rsidR="00880978" w:rsidRPr="00C84C0A">
        <w:rPr>
          <w:lang w:val="fr-CA"/>
        </w:rPr>
        <w:t>l</w:t>
      </w:r>
      <w:r w:rsidR="005C2786" w:rsidRPr="00C84C0A">
        <w:rPr>
          <w:lang w:val="fr-CA"/>
        </w:rPr>
        <w:t>’im</w:t>
      </w:r>
      <w:r w:rsidR="002013E0" w:rsidRPr="00C84C0A">
        <w:rPr>
          <w:lang w:val="fr-CA"/>
        </w:rPr>
        <w:t xml:space="preserve">portance </w:t>
      </w:r>
      <w:r w:rsidR="00432807" w:rsidRPr="00C84C0A">
        <w:rPr>
          <w:lang w:val="fr-CA"/>
        </w:rPr>
        <w:t>de mesurer la qualité des services et le sentiment de sécurité</w:t>
      </w:r>
      <w:r w:rsidR="002013E0" w:rsidRPr="00C84C0A">
        <w:rPr>
          <w:lang w:val="fr-CA"/>
        </w:rPr>
        <w:t xml:space="preserve"> à travers les mécanismes de reddi</w:t>
      </w:r>
      <w:r w:rsidR="00266312" w:rsidRPr="00C84C0A">
        <w:rPr>
          <w:lang w:val="fr-CA"/>
        </w:rPr>
        <w:t>tion de compte.</w:t>
      </w:r>
      <w:r w:rsidR="000327B7" w:rsidRPr="00C84C0A">
        <w:rPr>
          <w:lang w:val="fr-CA"/>
        </w:rPr>
        <w:t xml:space="preserve"> Enfin, </w:t>
      </w:r>
      <w:r w:rsidR="004D0FD9" w:rsidRPr="00C84C0A">
        <w:rPr>
          <w:lang w:val="fr-CA"/>
        </w:rPr>
        <w:t>elle</w:t>
      </w:r>
      <w:r w:rsidR="000327B7" w:rsidRPr="00C84C0A">
        <w:rPr>
          <w:lang w:val="fr-CA"/>
        </w:rPr>
        <w:t xml:space="preserve"> fait part de ses interrogations quant à la mise en œuvre des modifications proposées au </w:t>
      </w:r>
      <w:r w:rsidR="000327B7" w:rsidRPr="00C84C0A">
        <w:rPr>
          <w:i/>
          <w:iCs/>
          <w:lang w:val="fr-CA"/>
        </w:rPr>
        <w:t>Code des professions.</w:t>
      </w:r>
    </w:p>
    <w:p w14:paraId="293120B2" w14:textId="64CB8DCD" w:rsidR="00791342" w:rsidRPr="001A4A5B" w:rsidRDefault="00F30B6C" w:rsidP="009D76AE">
      <w:pPr>
        <w:pStyle w:val="Titre1"/>
      </w:pPr>
      <w:bookmarkStart w:id="10" w:name="_Toc145331843"/>
      <w:bookmarkEnd w:id="4"/>
      <w:bookmarkEnd w:id="5"/>
      <w:r w:rsidRPr="00E76BDB">
        <w:lastRenderedPageBreak/>
        <w:t xml:space="preserve">L’origine et l’interprétation du </w:t>
      </w:r>
      <w:r w:rsidR="003941F3">
        <w:t>concept</w:t>
      </w:r>
      <w:r w:rsidRPr="00E76BDB">
        <w:t xml:space="preserve"> de sécurisation culturelle</w:t>
      </w:r>
      <w:bookmarkEnd w:id="10"/>
      <w:r w:rsidRPr="00E76BDB">
        <w:t> </w:t>
      </w:r>
    </w:p>
    <w:bookmarkEnd w:id="6"/>
    <w:p w14:paraId="79D1B0DB" w14:textId="01FEE3D8" w:rsidR="00352EAC" w:rsidRPr="001A4A5B" w:rsidRDefault="00541728" w:rsidP="00541728">
      <w:pPr>
        <w:pStyle w:val="Paragraphe"/>
        <w:rPr>
          <w:rFonts w:eastAsia="Calibri"/>
          <w:color w:val="auto"/>
          <w:lang w:val="fr-CA"/>
        </w:rPr>
      </w:pPr>
      <w:r w:rsidRPr="00C84C0A">
        <w:rPr>
          <w:rFonts w:eastAsia="Calibri"/>
          <w:lang w:val="fr-CA"/>
        </w:rPr>
        <w:t xml:space="preserve">Le concept de sécurisation culturelle a été formulé par l’infirmière et chercheuse autochtone Maori </w:t>
      </w:r>
      <w:proofErr w:type="spellStart"/>
      <w:r w:rsidRPr="00C84C0A">
        <w:rPr>
          <w:rFonts w:eastAsia="Calibri"/>
          <w:lang w:val="fr-CA"/>
        </w:rPr>
        <w:t>Irihapeti</w:t>
      </w:r>
      <w:proofErr w:type="spellEnd"/>
      <w:r w:rsidRPr="00C84C0A">
        <w:rPr>
          <w:rFonts w:eastAsia="Calibri"/>
          <w:lang w:val="fr-CA"/>
        </w:rPr>
        <w:t xml:space="preserve"> Ramsden en </w:t>
      </w:r>
      <w:proofErr w:type="spellStart"/>
      <w:r w:rsidRPr="00C84C0A">
        <w:rPr>
          <w:rFonts w:eastAsia="Calibri"/>
          <w:lang w:val="fr-CA"/>
        </w:rPr>
        <w:t>Aotearoa</w:t>
      </w:r>
      <w:proofErr w:type="spellEnd"/>
      <w:r w:rsidRPr="00C84C0A">
        <w:rPr>
          <w:rFonts w:eastAsia="Calibri"/>
          <w:lang w:val="fr-CA"/>
        </w:rPr>
        <w:t>/Nouvelle-Zélande</w:t>
      </w:r>
      <w:bookmarkStart w:id="11" w:name="_Ref144467866"/>
      <w:r w:rsidRPr="00F8437E">
        <w:rPr>
          <w:rFonts w:eastAsia="Calibri"/>
          <w:vertAlign w:val="superscript"/>
        </w:rPr>
        <w:footnoteReference w:id="11"/>
      </w:r>
      <w:bookmarkEnd w:id="11"/>
      <w:r w:rsidRPr="00C84C0A">
        <w:rPr>
          <w:rFonts w:eastAsia="Calibri"/>
          <w:lang w:val="fr-CA"/>
        </w:rPr>
        <w:t xml:space="preserve">. Il a émergé dans les années 1980 dans un contexte marqué par d’importantes inégalités de santé </w:t>
      </w:r>
      <w:r w:rsidR="00786A03">
        <w:rPr>
          <w:rFonts w:eastAsia="Calibri"/>
          <w:lang w:val="fr-CA"/>
        </w:rPr>
        <w:t>ainsi que par</w:t>
      </w:r>
      <w:r w:rsidRPr="00C84C0A">
        <w:rPr>
          <w:rFonts w:eastAsia="Calibri"/>
          <w:lang w:val="fr-CA"/>
        </w:rPr>
        <w:t xml:space="preserve"> l’expression d’insatisfactions et de sentiments d’insécurité de la part des patients </w:t>
      </w:r>
      <w:r w:rsidR="00515056">
        <w:rPr>
          <w:rFonts w:eastAsia="Calibri"/>
          <w:lang w:val="fr-CA"/>
        </w:rPr>
        <w:t>maoris</w:t>
      </w:r>
      <w:r w:rsidRPr="00C84C0A">
        <w:rPr>
          <w:rFonts w:eastAsia="Calibri"/>
          <w:lang w:val="fr-CA"/>
        </w:rPr>
        <w:t xml:space="preserve">. Une révision de la formation et de l’approche clinique des infirmières s’avérait nécessaire aux yeux des professionnelles </w:t>
      </w:r>
      <w:r w:rsidR="00515056">
        <w:rPr>
          <w:rFonts w:eastAsia="Calibri"/>
          <w:lang w:val="fr-CA"/>
        </w:rPr>
        <w:t>m</w:t>
      </w:r>
      <w:r w:rsidRPr="00C84C0A">
        <w:rPr>
          <w:rFonts w:eastAsia="Calibri"/>
          <w:lang w:val="fr-CA"/>
        </w:rPr>
        <w:t>aori</w:t>
      </w:r>
      <w:r w:rsidR="00515056">
        <w:rPr>
          <w:rFonts w:eastAsia="Calibri"/>
          <w:lang w:val="fr-CA"/>
        </w:rPr>
        <w:t>es</w:t>
      </w:r>
      <w:r w:rsidRPr="00C84C0A">
        <w:rPr>
          <w:rFonts w:eastAsia="Calibri"/>
          <w:lang w:val="fr-CA"/>
        </w:rPr>
        <w:t xml:space="preserve"> dans la mesure où les infirmières allochtones étaient porteuses de préjugés colonialistes et où leur formation n’abordait pas l’antiracisme et les réalités </w:t>
      </w:r>
      <w:r w:rsidR="00576807" w:rsidRPr="00C84C0A">
        <w:rPr>
          <w:rFonts w:eastAsia="Calibri"/>
          <w:lang w:val="fr-CA"/>
        </w:rPr>
        <w:t xml:space="preserve">autochtones dans leurs dimensions </w:t>
      </w:r>
      <w:r w:rsidRPr="00C84C0A">
        <w:rPr>
          <w:rFonts w:eastAsia="Calibri"/>
          <w:lang w:val="fr-CA"/>
        </w:rPr>
        <w:t>sociales, économiques et politiques</w:t>
      </w:r>
      <w:r w:rsidRPr="001A4A5B">
        <w:rPr>
          <w:rStyle w:val="Appelnotedebasdep"/>
          <w:rFonts w:eastAsia="Calibri"/>
          <w:color w:val="auto"/>
          <w:lang w:val="fr-CA"/>
        </w:rPr>
        <w:footnoteReference w:id="12"/>
      </w:r>
      <w:r w:rsidRPr="001A4A5B">
        <w:rPr>
          <w:rFonts w:eastAsia="Calibri"/>
          <w:color w:val="auto"/>
          <w:lang w:val="fr-CA"/>
        </w:rPr>
        <w:t xml:space="preserve">. </w:t>
      </w:r>
    </w:p>
    <w:p w14:paraId="0AFC2F53" w14:textId="6C2B6DD6" w:rsidR="00541728" w:rsidRPr="001A4A5B" w:rsidRDefault="00352EAC" w:rsidP="00541728">
      <w:pPr>
        <w:pStyle w:val="Paragraphe"/>
        <w:rPr>
          <w:rFonts w:eastAsia="Calibri"/>
          <w:color w:val="auto"/>
          <w:lang w:val="fr-CA"/>
        </w:rPr>
      </w:pPr>
      <w:r w:rsidRPr="00C84C0A">
        <w:rPr>
          <w:rFonts w:eastAsia="Calibri"/>
          <w:lang w:val="fr-CA"/>
        </w:rPr>
        <w:t>L</w:t>
      </w:r>
      <w:r w:rsidR="00541728" w:rsidRPr="00C84C0A">
        <w:rPr>
          <w:rFonts w:eastAsia="Calibri"/>
          <w:lang w:val="fr-CA"/>
        </w:rPr>
        <w:t xml:space="preserve">a sécurisation culturelle mise sur la réflexion critique des </w:t>
      </w:r>
      <w:r w:rsidR="00182DF7" w:rsidRPr="00C84C0A">
        <w:rPr>
          <w:rFonts w:eastAsia="Calibri"/>
          <w:lang w:val="fr-CA"/>
        </w:rPr>
        <w:t>prestataires de services</w:t>
      </w:r>
      <w:r w:rsidR="00541728" w:rsidRPr="00C84C0A">
        <w:rPr>
          <w:rFonts w:eastAsia="Calibri"/>
          <w:lang w:val="fr-CA"/>
        </w:rPr>
        <w:t>, mais aussi des organisations, en focalisant sur l’effet des structures, préjugés et relations de pouvoir sur les inégalités de santé et les expériences de soins des patients</w:t>
      </w:r>
      <w:bookmarkStart w:id="12" w:name="_Ref144468084"/>
      <w:r w:rsidR="00541728" w:rsidRPr="0097791A">
        <w:rPr>
          <w:rFonts w:eastAsia="Calibri"/>
          <w:vertAlign w:val="superscript"/>
        </w:rPr>
        <w:footnoteReference w:id="13"/>
      </w:r>
      <w:bookmarkEnd w:id="12"/>
      <w:r w:rsidR="00541728" w:rsidRPr="00C84C0A">
        <w:rPr>
          <w:rFonts w:eastAsia="Calibri"/>
          <w:lang w:val="fr-CA"/>
        </w:rPr>
        <w:t>. À cet égard, le concept de sécurisation culturelle ne peut être isolé de la lutte contre les inégalités découlant du colonialisme et du racisme systémique et s’inscrit dans une dynamique de décolonisation</w:t>
      </w:r>
      <w:bookmarkStart w:id="13" w:name="_Ref144797600"/>
      <w:r w:rsidR="00541728" w:rsidRPr="009433AB">
        <w:rPr>
          <w:rFonts w:eastAsia="Calibri"/>
          <w:vertAlign w:val="superscript"/>
        </w:rPr>
        <w:footnoteReference w:id="14"/>
      </w:r>
      <w:bookmarkEnd w:id="13"/>
      <w:r w:rsidR="00541728" w:rsidRPr="00C84C0A">
        <w:rPr>
          <w:rFonts w:eastAsia="Calibri"/>
          <w:lang w:val="fr-CA"/>
        </w:rPr>
        <w:t xml:space="preserve">. Il concerne aussi bien les dynamiques de pouvoirs au niveau </w:t>
      </w:r>
      <w:r w:rsidR="006C1D4F" w:rsidRPr="00C84C0A">
        <w:rPr>
          <w:rFonts w:eastAsia="Calibri"/>
          <w:lang w:val="fr-CA"/>
        </w:rPr>
        <w:t xml:space="preserve">de </w:t>
      </w:r>
      <w:r w:rsidR="00541728" w:rsidRPr="00C84C0A">
        <w:rPr>
          <w:rFonts w:eastAsia="Calibri"/>
          <w:lang w:val="fr-CA"/>
        </w:rPr>
        <w:t>la prestation que de l’organisation des services.</w:t>
      </w:r>
      <w:r w:rsidRPr="00C84C0A">
        <w:rPr>
          <w:rFonts w:eastAsia="Calibri"/>
          <w:lang w:val="fr-CA"/>
        </w:rPr>
        <w:t xml:space="preserve"> La sécurisation culturelle diffère donc de la sensibilisation culturelle où les prestataires de services sont simplement invitées à se familiariser avec « la culture » de </w:t>
      </w:r>
      <w:r w:rsidRPr="001A4A5B">
        <w:rPr>
          <w:rFonts w:eastAsia="Calibri"/>
          <w:color w:val="auto"/>
          <w:lang w:val="fr-CA"/>
        </w:rPr>
        <w:t>l’Autre</w:t>
      </w:r>
      <w:r w:rsidRPr="001A4A5B">
        <w:rPr>
          <w:rStyle w:val="Appelnotedebasdep"/>
          <w:rFonts w:eastAsia="Calibri"/>
          <w:color w:val="auto"/>
          <w:lang w:val="fr-CA"/>
        </w:rPr>
        <w:footnoteReference w:id="15"/>
      </w:r>
      <w:r w:rsidRPr="001A4A5B">
        <w:rPr>
          <w:rFonts w:eastAsia="Calibri"/>
          <w:color w:val="auto"/>
          <w:lang w:val="fr-CA"/>
        </w:rPr>
        <w:t>.</w:t>
      </w:r>
    </w:p>
    <w:p w14:paraId="5DC22CE6" w14:textId="09899BFE" w:rsidR="0017708D" w:rsidRDefault="00541728" w:rsidP="00174DF4">
      <w:pPr>
        <w:pStyle w:val="Paragraphe"/>
        <w:rPr>
          <w:rFonts w:eastAsia="Calibri"/>
          <w:color w:val="auto"/>
          <w:lang w:val="fr-CA"/>
        </w:rPr>
      </w:pPr>
      <w:r w:rsidRPr="001A4A5B">
        <w:rPr>
          <w:rFonts w:eastAsia="Calibri"/>
          <w:color w:val="auto"/>
          <w:lang w:val="fr-CA"/>
        </w:rPr>
        <w:lastRenderedPageBreak/>
        <w:t>Au niveau individuel, la sécurisation culturelle renvoie à la relation unique entre</w:t>
      </w:r>
      <w:r w:rsidR="00AB6565" w:rsidRPr="001A4A5B">
        <w:rPr>
          <w:rFonts w:eastAsia="Calibri"/>
          <w:color w:val="auto"/>
          <w:lang w:val="fr-CA"/>
        </w:rPr>
        <w:t xml:space="preserve"> les prestataires de services et les usag</w:t>
      </w:r>
      <w:r w:rsidR="00E4599D">
        <w:rPr>
          <w:rFonts w:eastAsia="Calibri"/>
          <w:color w:val="auto"/>
          <w:lang w:val="fr-CA"/>
        </w:rPr>
        <w:t>e</w:t>
      </w:r>
      <w:r w:rsidR="00AB6565" w:rsidRPr="001A4A5B">
        <w:rPr>
          <w:rFonts w:eastAsia="Calibri"/>
          <w:color w:val="auto"/>
          <w:lang w:val="fr-CA"/>
        </w:rPr>
        <w:t>r</w:t>
      </w:r>
      <w:r w:rsidR="002A0839">
        <w:rPr>
          <w:rFonts w:eastAsia="Calibri"/>
          <w:color w:val="auto"/>
          <w:lang w:val="fr-CA"/>
        </w:rPr>
        <w:t>s</w:t>
      </w:r>
      <w:r w:rsidRPr="001A4A5B">
        <w:rPr>
          <w:rFonts w:eastAsia="Calibri"/>
          <w:color w:val="auto"/>
          <w:lang w:val="fr-CA"/>
        </w:rPr>
        <w:t xml:space="preserve"> et la création d’un espace de partenariat et d’</w:t>
      </w:r>
      <w:proofErr w:type="spellStart"/>
      <w:r w:rsidRPr="001A4A5B">
        <w:rPr>
          <w:rFonts w:eastAsia="Calibri"/>
          <w:i/>
          <w:color w:val="auto"/>
          <w:lang w:val="fr-CA"/>
        </w:rPr>
        <w:t>empowerment</w:t>
      </w:r>
      <w:proofErr w:type="spellEnd"/>
      <w:r w:rsidRPr="001A4A5B">
        <w:rPr>
          <w:rFonts w:eastAsia="Calibri"/>
          <w:color w:val="auto"/>
          <w:lang w:val="fr-CA"/>
        </w:rPr>
        <w:t xml:space="preserve"> où l’offre de soin</w:t>
      </w:r>
      <w:r w:rsidR="00AC4F9D">
        <w:rPr>
          <w:rFonts w:eastAsia="Calibri"/>
          <w:color w:val="auto"/>
          <w:lang w:val="fr-CA"/>
        </w:rPr>
        <w:t>s</w:t>
      </w:r>
      <w:r w:rsidRPr="001A4A5B">
        <w:rPr>
          <w:rFonts w:eastAsia="Calibri"/>
          <w:color w:val="auto"/>
          <w:lang w:val="fr-CA"/>
        </w:rPr>
        <w:t xml:space="preserve"> est orientée en fonction des besoins des </w:t>
      </w:r>
      <w:r w:rsidR="00AB6565" w:rsidRPr="001A4A5B">
        <w:rPr>
          <w:rFonts w:eastAsia="Calibri"/>
          <w:color w:val="auto"/>
          <w:lang w:val="fr-CA"/>
        </w:rPr>
        <w:t>usagers</w:t>
      </w:r>
      <w:r w:rsidRPr="001A4A5B">
        <w:rPr>
          <w:rStyle w:val="Appelnotedebasdep"/>
          <w:rFonts w:eastAsia="Calibri"/>
          <w:color w:val="auto"/>
          <w:lang w:val="fr-CA"/>
        </w:rPr>
        <w:footnoteReference w:id="16"/>
      </w:r>
      <w:r w:rsidRPr="001A4A5B">
        <w:rPr>
          <w:rFonts w:eastAsia="Calibri"/>
          <w:color w:val="auto"/>
          <w:lang w:val="fr-CA"/>
        </w:rPr>
        <w:t>. Cela implique une communication non seulement libre de discrimination et de paternalisme, mais aussi adaptée de façon à favoriser la compréhension et l’expression des patients, par exemple en favorisant le recours à des navigateurs</w:t>
      </w:r>
      <w:r w:rsidR="000D6D58">
        <w:rPr>
          <w:rFonts w:eastAsia="Calibri"/>
          <w:color w:val="auto"/>
          <w:lang w:val="fr-CA"/>
        </w:rPr>
        <w:t xml:space="preserve"> de services, des agents de liaison</w:t>
      </w:r>
      <w:r w:rsidRPr="001A4A5B">
        <w:rPr>
          <w:rFonts w:eastAsia="Calibri"/>
          <w:color w:val="auto"/>
          <w:lang w:val="fr-CA"/>
        </w:rPr>
        <w:t xml:space="preserve"> et des interprètes</w:t>
      </w:r>
      <w:r w:rsidRPr="001A4A5B">
        <w:rPr>
          <w:rStyle w:val="Appelnotedebasdep"/>
          <w:rFonts w:eastAsia="Calibri"/>
          <w:color w:val="auto"/>
          <w:lang w:val="fr-CA"/>
        </w:rPr>
        <w:footnoteReference w:id="17"/>
      </w:r>
      <w:r w:rsidRPr="001A4A5B">
        <w:rPr>
          <w:rFonts w:eastAsia="Calibri"/>
          <w:color w:val="auto"/>
          <w:lang w:val="fr-CA"/>
        </w:rPr>
        <w:t xml:space="preserve">. </w:t>
      </w:r>
    </w:p>
    <w:p w14:paraId="5AA61474" w14:textId="2EF3E5C3" w:rsidR="005E48C5" w:rsidRPr="001A4A5B" w:rsidRDefault="000D6D58" w:rsidP="00174DF4">
      <w:pPr>
        <w:pStyle w:val="Paragraphe"/>
        <w:rPr>
          <w:rFonts w:eastAsia="Calibri"/>
          <w:color w:val="auto"/>
          <w:lang w:val="fr-CA"/>
        </w:rPr>
      </w:pPr>
      <w:r>
        <w:rPr>
          <w:rFonts w:eastAsia="Calibri"/>
          <w:color w:val="auto"/>
          <w:lang w:val="fr-CA"/>
        </w:rPr>
        <w:t>Cette</w:t>
      </w:r>
      <w:r w:rsidR="00D41280">
        <w:rPr>
          <w:rFonts w:eastAsia="Calibri"/>
          <w:color w:val="auto"/>
          <w:lang w:val="fr-CA"/>
        </w:rPr>
        <w:t xml:space="preserve"> approche</w:t>
      </w:r>
      <w:r w:rsidR="00541728" w:rsidRPr="001A4A5B">
        <w:rPr>
          <w:rFonts w:eastAsia="Calibri"/>
          <w:color w:val="auto"/>
          <w:lang w:val="fr-CA"/>
        </w:rPr>
        <w:t xml:space="preserve"> consiste en fait à passer de l’égalité formelle à l’égalité réelle dans l’accès aux services de santé de qualité en invitant les </w:t>
      </w:r>
      <w:r w:rsidR="00243607">
        <w:rPr>
          <w:rFonts w:eastAsia="Calibri"/>
          <w:color w:val="auto"/>
          <w:lang w:val="fr-CA"/>
        </w:rPr>
        <w:t xml:space="preserve">personnes fournissant les </w:t>
      </w:r>
      <w:r w:rsidR="00541728" w:rsidRPr="001A4A5B">
        <w:rPr>
          <w:rFonts w:eastAsia="Calibri"/>
          <w:color w:val="auto"/>
          <w:lang w:val="fr-CA"/>
        </w:rPr>
        <w:t>services à ne plus être indifférentes aux différences humaines, mais à plu</w:t>
      </w:r>
      <w:r w:rsidR="00862AC4" w:rsidRPr="001A4A5B">
        <w:rPr>
          <w:rFonts w:eastAsia="Calibri"/>
          <w:color w:val="auto"/>
          <w:lang w:val="fr-CA"/>
        </w:rPr>
        <w:t>tôt</w:t>
      </w:r>
      <w:r w:rsidR="00541728" w:rsidRPr="001A4A5B">
        <w:rPr>
          <w:rFonts w:eastAsia="Calibri"/>
          <w:color w:val="auto"/>
          <w:lang w:val="fr-CA"/>
        </w:rPr>
        <w:t xml:space="preserve"> traiter les </w:t>
      </w:r>
      <w:r w:rsidR="00862AC4" w:rsidRPr="001A4A5B">
        <w:rPr>
          <w:rFonts w:eastAsia="Calibri"/>
          <w:color w:val="auto"/>
          <w:lang w:val="fr-CA"/>
        </w:rPr>
        <w:t>personnes</w:t>
      </w:r>
      <w:r w:rsidR="00541728" w:rsidRPr="001A4A5B">
        <w:rPr>
          <w:rFonts w:eastAsia="Calibri"/>
          <w:color w:val="auto"/>
          <w:lang w:val="fr-CA"/>
        </w:rPr>
        <w:t xml:space="preserve"> en considérant et en respectant ces différences</w:t>
      </w:r>
      <w:r w:rsidR="00541728" w:rsidRPr="001A4A5B">
        <w:rPr>
          <w:rStyle w:val="Appelnotedebasdep"/>
          <w:rFonts w:eastAsia="Calibri"/>
          <w:color w:val="auto"/>
          <w:lang w:val="fr-CA"/>
        </w:rPr>
        <w:footnoteReference w:id="18"/>
      </w:r>
      <w:r w:rsidR="00541728" w:rsidRPr="001A4A5B">
        <w:rPr>
          <w:rFonts w:eastAsia="Calibri"/>
          <w:color w:val="auto"/>
          <w:lang w:val="fr-CA"/>
        </w:rPr>
        <w:t xml:space="preserve">. Qui plus est, le sens du mot culture n’est pas restreint aux caractéristiques ethniques ou nationales du groupe auquel </w:t>
      </w:r>
      <w:r w:rsidR="00B04699" w:rsidRPr="001A4A5B">
        <w:rPr>
          <w:rFonts w:eastAsia="Calibri"/>
          <w:color w:val="auto"/>
          <w:lang w:val="fr-CA"/>
        </w:rPr>
        <w:t>la personne</w:t>
      </w:r>
      <w:r w:rsidR="00541728" w:rsidRPr="001A4A5B">
        <w:rPr>
          <w:rFonts w:eastAsia="Calibri"/>
          <w:color w:val="auto"/>
          <w:lang w:val="fr-CA"/>
        </w:rPr>
        <w:t xml:space="preserve"> appartient. Il est plutôt compris dans un sens large, incluant les attitudes, normes et croyances liées à la classe, l’âge, le genre, l’orientation sexuelle, la religion, etc.</w:t>
      </w:r>
      <w:r w:rsidR="00541728" w:rsidRPr="001A4A5B">
        <w:rPr>
          <w:rStyle w:val="Appelnotedebasdep"/>
          <w:rFonts w:eastAsia="Calibri"/>
          <w:color w:val="auto"/>
          <w:lang w:val="fr-CA"/>
        </w:rPr>
        <w:footnoteReference w:id="19"/>
      </w:r>
      <w:r w:rsidR="00541728" w:rsidRPr="001A4A5B">
        <w:rPr>
          <w:rFonts w:eastAsia="Calibri"/>
          <w:color w:val="auto"/>
          <w:lang w:val="fr-CA"/>
        </w:rPr>
        <w:t xml:space="preserve"> Il ne peut alors s’agir de réduire </w:t>
      </w:r>
      <w:r w:rsidR="00871871" w:rsidRPr="001A4A5B">
        <w:rPr>
          <w:rFonts w:eastAsia="Calibri"/>
          <w:color w:val="auto"/>
          <w:lang w:val="fr-CA"/>
        </w:rPr>
        <w:t>la personne</w:t>
      </w:r>
      <w:r w:rsidR="00541728" w:rsidRPr="001A4A5B">
        <w:rPr>
          <w:rFonts w:eastAsia="Calibri"/>
          <w:color w:val="auto"/>
          <w:lang w:val="fr-CA"/>
        </w:rPr>
        <w:t xml:space="preserve"> ou une catégorie ethnique. La sécurisation culturelle n’est donc pas une approche visant l’adaptation à « une culture », mais bien l’adaptation en fonction des dynamiques de pouvoir et des réalités et besoins de la personne</w:t>
      </w:r>
      <w:r w:rsidR="00007468" w:rsidRPr="001A4A5B">
        <w:rPr>
          <w:rFonts w:eastAsia="Calibri"/>
          <w:color w:val="auto"/>
          <w:lang w:val="fr-CA"/>
        </w:rPr>
        <w:t> :</w:t>
      </w:r>
    </w:p>
    <w:p w14:paraId="780DF5FE" w14:textId="6DA8C6A6" w:rsidR="00A26955" w:rsidRPr="0048387F" w:rsidRDefault="00A26955" w:rsidP="00A26955">
      <w:pPr>
        <w:pStyle w:val="Citation"/>
        <w:rPr>
          <w:rStyle w:val="CitationCar"/>
          <w:rFonts w:eastAsia="Calibri"/>
        </w:rPr>
      </w:pPr>
      <w:r>
        <w:t>«</w:t>
      </w:r>
      <w:r w:rsidR="0060084B">
        <w:t> </w:t>
      </w:r>
      <w:r w:rsidRPr="00297006">
        <w:t>Il est important de noter que la sécurité culturelle est un résultat défini par le client qui reçoit des soins […]. Cette approche reflète le fait que le racisme est mieux défini par le client, car il se produit souvent sans intention de la part du prestataire, dont les valeurs et les normes façonnent, et sont façonnées, par le courant dominant […]. En plaçant la définition de la réussite entre les mains du client, la sécurité culturelle remet en cause les dynamiques existantes en déplaçant le pouvoir du prestataire vers le client, reconnaît la validité des valeurs culturelles (notamment l’importance des relations et de la confiance) et rétablit l’autodétermination que les processus du colonialisme ont sapée</w:t>
      </w:r>
      <w:r w:rsidR="00530D45">
        <w:rPr>
          <w:rFonts w:eastAsia="Calibri"/>
        </w:rPr>
        <w:t> </w:t>
      </w:r>
      <w:r w:rsidRPr="00297006">
        <w:rPr>
          <w:rFonts w:eastAsia="Calibri"/>
        </w:rPr>
        <w:t>»</w:t>
      </w:r>
      <w:bookmarkStart w:id="14" w:name="_Ref144365671"/>
      <w:r>
        <w:rPr>
          <w:rStyle w:val="Appelnotedebasdep"/>
          <w:rFonts w:eastAsia="Calibri"/>
        </w:rPr>
        <w:footnoteReference w:id="20"/>
      </w:r>
      <w:bookmarkEnd w:id="14"/>
      <w:r w:rsidR="005B5B4F">
        <w:rPr>
          <w:rFonts w:eastAsia="Calibri"/>
        </w:rPr>
        <w:t xml:space="preserve">. </w:t>
      </w:r>
      <w:r w:rsidRPr="00297006">
        <w:rPr>
          <w:rFonts w:eastAsia="Calibri"/>
        </w:rPr>
        <w:t>(Renvois omis)</w:t>
      </w:r>
    </w:p>
    <w:p w14:paraId="4F0965C7" w14:textId="150A17B4" w:rsidR="00541728" w:rsidRDefault="006003C7" w:rsidP="00A40FF5">
      <w:pPr>
        <w:pStyle w:val="Paragraphe"/>
        <w:rPr>
          <w:color w:val="auto"/>
          <w:lang w:val="fr-CA"/>
        </w:rPr>
      </w:pPr>
      <w:r w:rsidRPr="0056582B">
        <w:rPr>
          <w:rFonts w:eastAsia="Calibri"/>
          <w:color w:val="auto"/>
          <w:lang w:val="fr-CA"/>
        </w:rPr>
        <w:lastRenderedPageBreak/>
        <w:t>Bien que le travail de sécurisation concerne d’abord les prestataires de services du fait de leur position de pouvoir au sein de la relation, la qualité sécuritaire de la relation demeure subjectivement définie par les personnes usagères</w:t>
      </w:r>
      <w:r w:rsidRPr="001A4A5B">
        <w:rPr>
          <w:rStyle w:val="Appelnotedebasdep"/>
          <w:color w:val="auto"/>
        </w:rPr>
        <w:footnoteReference w:id="21"/>
      </w:r>
      <w:r w:rsidRPr="0056582B">
        <w:rPr>
          <w:rFonts w:eastAsia="Calibri"/>
          <w:color w:val="auto"/>
          <w:lang w:val="fr-CA"/>
        </w:rPr>
        <w:t xml:space="preserve">. On ne </w:t>
      </w:r>
      <w:r w:rsidR="00A1284E" w:rsidRPr="0056582B">
        <w:rPr>
          <w:rFonts w:eastAsia="Calibri"/>
          <w:color w:val="auto"/>
          <w:lang w:val="fr-CA"/>
        </w:rPr>
        <w:t xml:space="preserve">peut </w:t>
      </w:r>
      <w:r w:rsidRPr="0056582B">
        <w:rPr>
          <w:rFonts w:eastAsia="Calibri"/>
          <w:color w:val="auto"/>
          <w:lang w:val="fr-CA"/>
        </w:rPr>
        <w:t xml:space="preserve">parler de </w:t>
      </w:r>
      <w:r w:rsidR="00A1284E" w:rsidRPr="0056582B">
        <w:rPr>
          <w:rFonts w:eastAsia="Calibri"/>
          <w:color w:val="auto"/>
          <w:lang w:val="fr-CA"/>
        </w:rPr>
        <w:t xml:space="preserve">services culturellement sécuritaires que lorsque </w:t>
      </w:r>
      <w:r w:rsidR="00386812" w:rsidRPr="0056582B">
        <w:rPr>
          <w:rFonts w:eastAsia="Calibri"/>
          <w:color w:val="auto"/>
          <w:lang w:val="fr-CA"/>
        </w:rPr>
        <w:t xml:space="preserve">les </w:t>
      </w:r>
      <w:r w:rsidR="00144377">
        <w:rPr>
          <w:rFonts w:eastAsia="Calibri"/>
          <w:color w:val="auto"/>
          <w:lang w:val="fr-CA"/>
        </w:rPr>
        <w:t>personnes autochtones</w:t>
      </w:r>
      <w:r w:rsidR="00E1144F" w:rsidRPr="0056582B">
        <w:rPr>
          <w:rFonts w:eastAsia="Calibri"/>
          <w:color w:val="auto"/>
          <w:lang w:val="fr-CA"/>
        </w:rPr>
        <w:t xml:space="preserve"> </w:t>
      </w:r>
      <w:r w:rsidR="00686C0B" w:rsidRPr="0056582B">
        <w:rPr>
          <w:rFonts w:eastAsia="Calibri"/>
          <w:color w:val="auto"/>
          <w:lang w:val="fr-CA"/>
        </w:rPr>
        <w:t xml:space="preserve">se sentent effectivement en confiance </w:t>
      </w:r>
      <w:r w:rsidR="00555D90" w:rsidRPr="0056582B">
        <w:rPr>
          <w:rFonts w:eastAsia="Calibri"/>
          <w:color w:val="auto"/>
          <w:lang w:val="fr-CA"/>
        </w:rPr>
        <w:t>dans leurs relations avec les presta</w:t>
      </w:r>
      <w:r w:rsidR="000D1E51" w:rsidRPr="0056582B">
        <w:rPr>
          <w:rFonts w:eastAsia="Calibri"/>
          <w:color w:val="auto"/>
          <w:lang w:val="fr-CA"/>
        </w:rPr>
        <w:t>taires de services</w:t>
      </w:r>
      <w:bookmarkStart w:id="16" w:name="_Ref144798074"/>
      <w:r w:rsidR="00541728" w:rsidRPr="001A4A5B">
        <w:rPr>
          <w:rStyle w:val="Appelnotedebasdep"/>
          <w:color w:val="auto"/>
        </w:rPr>
        <w:footnoteReference w:id="22"/>
      </w:r>
      <w:bookmarkEnd w:id="16"/>
      <w:r w:rsidR="00541728" w:rsidRPr="0056582B">
        <w:rPr>
          <w:color w:val="auto"/>
          <w:lang w:val="fr-CA"/>
        </w:rPr>
        <w:t>. Pour y parvenir, la participation d’un ensemble d’acteurs est requise en plus de celle des responsables de la prestation des services publics, dont celle des membres de la haute direction et des gestionnaires des établissements</w:t>
      </w:r>
      <w:r w:rsidR="00541728" w:rsidRPr="001A4A5B">
        <w:rPr>
          <w:rStyle w:val="Appelnotedebasdep"/>
          <w:color w:val="auto"/>
        </w:rPr>
        <w:footnoteReference w:id="23"/>
      </w:r>
      <w:r w:rsidR="00541728" w:rsidRPr="0056582B">
        <w:rPr>
          <w:color w:val="auto"/>
          <w:lang w:val="fr-CA"/>
        </w:rPr>
        <w:t>.</w:t>
      </w:r>
    </w:p>
    <w:p w14:paraId="738B69E3" w14:textId="3137765F" w:rsidR="00074E06" w:rsidRPr="00B8333F" w:rsidRDefault="00D13C4A" w:rsidP="0097791A">
      <w:pPr>
        <w:pStyle w:val="Paragraphe"/>
        <w:rPr>
          <w:rFonts w:eastAsia="Calibri"/>
          <w:lang w:val="fr-CA"/>
        </w:rPr>
      </w:pPr>
      <w:r w:rsidRPr="00B8333F">
        <w:rPr>
          <w:lang w:val="fr-CA"/>
        </w:rPr>
        <w:t xml:space="preserve">Enfin, </w:t>
      </w:r>
      <w:r w:rsidR="005C6DD7" w:rsidRPr="00B8333F">
        <w:rPr>
          <w:lang w:val="fr-CA"/>
        </w:rPr>
        <w:t xml:space="preserve">il convient </w:t>
      </w:r>
      <w:r w:rsidR="00F27B0D" w:rsidRPr="00B8333F">
        <w:rPr>
          <w:lang w:val="fr-CA"/>
        </w:rPr>
        <w:t>de renvoyer à l</w:t>
      </w:r>
      <w:r w:rsidR="00591349" w:rsidRPr="00B8333F">
        <w:rPr>
          <w:lang w:val="fr-CA"/>
        </w:rPr>
        <w:t xml:space="preserve">a façon dont </w:t>
      </w:r>
      <w:r w:rsidR="004A58DF" w:rsidRPr="00B8333F">
        <w:rPr>
          <w:lang w:val="fr-CA"/>
        </w:rPr>
        <w:t>les autorités</w:t>
      </w:r>
      <w:r w:rsidR="003E55F7" w:rsidRPr="00B8333F">
        <w:rPr>
          <w:rFonts w:eastAsia="Calibri"/>
          <w:lang w:val="fr-CA"/>
        </w:rPr>
        <w:t xml:space="preserve"> des Premières Nations </w:t>
      </w:r>
      <w:r w:rsidR="004A58DF" w:rsidRPr="00B8333F">
        <w:rPr>
          <w:lang w:val="fr-CA"/>
        </w:rPr>
        <w:t>définissent</w:t>
      </w:r>
      <w:r w:rsidR="003D2BDA" w:rsidRPr="00B8333F">
        <w:rPr>
          <w:rFonts w:eastAsia="Calibri"/>
          <w:lang w:val="fr-CA"/>
        </w:rPr>
        <w:t xml:space="preserve"> </w:t>
      </w:r>
      <w:r w:rsidR="0038694D" w:rsidRPr="00B8333F">
        <w:rPr>
          <w:rFonts w:eastAsia="Calibri"/>
          <w:lang w:val="fr-CA"/>
        </w:rPr>
        <w:t>l</w:t>
      </w:r>
      <w:r w:rsidR="003D2BDA" w:rsidRPr="00B8333F">
        <w:rPr>
          <w:rFonts w:eastAsia="Calibri"/>
          <w:lang w:val="fr-CA"/>
        </w:rPr>
        <w:t>es services culturellement sécuritaires :</w:t>
      </w:r>
    </w:p>
    <w:p w14:paraId="29FE5185" w14:textId="76B6C406" w:rsidR="004A58DF" w:rsidRPr="00143021" w:rsidRDefault="004A58DF" w:rsidP="0097791A">
      <w:pPr>
        <w:pStyle w:val="Citation"/>
        <w:jc w:val="both"/>
        <w:rPr>
          <w:vertAlign w:val="superscript"/>
        </w:rPr>
      </w:pPr>
      <w:r w:rsidRPr="00143021">
        <w:t>«</w:t>
      </w:r>
      <w:r w:rsidR="009F5659">
        <w:t> </w:t>
      </w:r>
      <w:r w:rsidRPr="0097791A">
        <w:t>Les services de santé culturellement sécuritaires doivent</w:t>
      </w:r>
      <w:r w:rsidR="00D149E6">
        <w:t> </w:t>
      </w:r>
      <w:r w:rsidRPr="0097791A">
        <w:t>: a. Être offerts dans le respect de l’identité culturelle de la personne qui consulte, viser l’atteinte de l’équité en matière de santé et être exempts des relations de pouvoir néfastes ou des préjugés et stéréotypes entretenus par le système de santé.</w:t>
      </w:r>
      <w:r w:rsidR="004F018D">
        <w:t xml:space="preserve"> </w:t>
      </w:r>
      <w:r w:rsidRPr="0097791A">
        <w:t>b. Assurer que le prestataire de service connaisse les effets de la colonisation ainsi que les déterminants sociaux de la santé spécifiques aux Premières Nations. c. Assurer que la personne qui consulte ait accès à des services d’interprète dans sa langue maternelle, qu’elle comprenne toutes les informations transmises par le professionnel de la santé, qu’elle soit en confiance avant, pendant et après le service et qu’elle puisse intégrer la médecine traditionnelle à son plan de traitement si souhaité</w:t>
      </w:r>
      <w:r w:rsidRPr="00143021">
        <w:t>.</w:t>
      </w:r>
      <w:r w:rsidR="009F5659">
        <w:t> </w:t>
      </w:r>
      <w:r w:rsidRPr="00A25138">
        <w:t>»</w:t>
      </w:r>
      <w:bookmarkStart w:id="17" w:name="_Ref140824997"/>
      <w:r w:rsidRPr="00143021">
        <w:rPr>
          <w:rStyle w:val="Appelnotedebasdep"/>
        </w:rPr>
        <w:footnoteReference w:id="24"/>
      </w:r>
      <w:bookmarkEnd w:id="17"/>
    </w:p>
    <w:p w14:paraId="24353D21" w14:textId="77777777" w:rsidR="003D2BDA" w:rsidRPr="008D76DB" w:rsidRDefault="003D2BDA" w:rsidP="00C15CE5">
      <w:pPr>
        <w:pStyle w:val="Paragraphe"/>
        <w:rPr>
          <w:lang w:val="fr-CA"/>
        </w:rPr>
      </w:pPr>
    </w:p>
    <w:p w14:paraId="0A9E5AE0" w14:textId="20B2BBDD" w:rsidR="004248FF" w:rsidRPr="00E41DF3" w:rsidRDefault="00F30B6C" w:rsidP="00E41DF3">
      <w:pPr>
        <w:pStyle w:val="Titre1"/>
      </w:pPr>
      <w:bookmarkStart w:id="18" w:name="_Toc145331844"/>
      <w:r w:rsidRPr="001A4A5B">
        <w:t>la reconnaissance des fondements de l’approche de sécurisation culturelle</w:t>
      </w:r>
      <w:bookmarkEnd w:id="18"/>
      <w:r w:rsidRPr="001A4A5B">
        <w:t> </w:t>
      </w:r>
    </w:p>
    <w:p w14:paraId="0F5BBD69" w14:textId="50A62DD7" w:rsidR="00D8112C" w:rsidRPr="00CA7FD2" w:rsidRDefault="00252342" w:rsidP="00223ABB">
      <w:pPr>
        <w:pStyle w:val="Paragraphe"/>
        <w:rPr>
          <w:lang w:val="fr-CA"/>
        </w:rPr>
      </w:pPr>
      <w:r>
        <w:rPr>
          <w:lang w:val="fr-CA"/>
        </w:rPr>
        <w:t xml:space="preserve">De l’avis de la Commission, </w:t>
      </w:r>
      <w:r w:rsidR="0084751C">
        <w:rPr>
          <w:lang w:val="fr-CA"/>
        </w:rPr>
        <w:t>l</w:t>
      </w:r>
      <w:r w:rsidR="00633CDB">
        <w:rPr>
          <w:lang w:val="fr-CA"/>
        </w:rPr>
        <w:t xml:space="preserve">’instauration de l’approche de sécurisation culturelle </w:t>
      </w:r>
      <w:r w:rsidR="00480D3C">
        <w:rPr>
          <w:lang w:val="fr-CA"/>
        </w:rPr>
        <w:t xml:space="preserve">dans les services de santé et les services </w:t>
      </w:r>
      <w:r w:rsidR="00480D3C" w:rsidRPr="00144377">
        <w:rPr>
          <w:lang w:val="fr-CA"/>
        </w:rPr>
        <w:t xml:space="preserve">sociaux </w:t>
      </w:r>
      <w:r w:rsidR="00B278DC" w:rsidRPr="00144377">
        <w:rPr>
          <w:lang w:val="fr-CA"/>
        </w:rPr>
        <w:t>doit aller</w:t>
      </w:r>
      <w:r w:rsidR="005B09C7" w:rsidRPr="00144377">
        <w:rPr>
          <w:lang w:val="fr-CA"/>
        </w:rPr>
        <w:t xml:space="preserve"> de pair avec</w:t>
      </w:r>
      <w:r w:rsidR="005B09C7">
        <w:rPr>
          <w:lang w:val="fr-CA"/>
        </w:rPr>
        <w:t xml:space="preserve"> </w:t>
      </w:r>
      <w:r w:rsidR="00CA74DF">
        <w:rPr>
          <w:lang w:val="fr-CA"/>
        </w:rPr>
        <w:t xml:space="preserve">le respect du </w:t>
      </w:r>
      <w:r w:rsidR="00E9612E">
        <w:rPr>
          <w:lang w:val="fr-CA"/>
        </w:rPr>
        <w:t xml:space="preserve">droit à l’autodétermination des peuples autochtones, </w:t>
      </w:r>
      <w:r w:rsidR="00574445">
        <w:rPr>
          <w:lang w:val="fr-CA"/>
        </w:rPr>
        <w:t xml:space="preserve">la collaboration avec les autorités </w:t>
      </w:r>
      <w:r w:rsidR="002242EC">
        <w:rPr>
          <w:lang w:val="fr-CA"/>
        </w:rPr>
        <w:t xml:space="preserve">autochtones </w:t>
      </w:r>
      <w:r w:rsidR="00484F94">
        <w:rPr>
          <w:lang w:val="fr-CA"/>
        </w:rPr>
        <w:t xml:space="preserve">et l’engagement dans </w:t>
      </w:r>
      <w:r w:rsidR="0006266C">
        <w:rPr>
          <w:lang w:val="fr-CA"/>
        </w:rPr>
        <w:t xml:space="preserve">la </w:t>
      </w:r>
      <w:r w:rsidR="00484F94">
        <w:rPr>
          <w:lang w:val="fr-CA"/>
        </w:rPr>
        <w:t xml:space="preserve">lutte contre </w:t>
      </w:r>
      <w:r w:rsidR="00245A52">
        <w:rPr>
          <w:lang w:val="fr-CA"/>
        </w:rPr>
        <w:t xml:space="preserve">le racisme et </w:t>
      </w:r>
      <w:r w:rsidR="00484F94">
        <w:rPr>
          <w:lang w:val="fr-CA"/>
        </w:rPr>
        <w:t>la discrimination systémiques.</w:t>
      </w:r>
    </w:p>
    <w:p w14:paraId="7810EA42" w14:textId="3322C592" w:rsidR="004248FF" w:rsidRDefault="0016191A" w:rsidP="00E4721C">
      <w:pPr>
        <w:pStyle w:val="Titre2"/>
      </w:pPr>
      <w:bookmarkStart w:id="19" w:name="_Toc145331845"/>
      <w:r>
        <w:lastRenderedPageBreak/>
        <w:t>2.1</w:t>
      </w:r>
      <w:r>
        <w:tab/>
      </w:r>
      <w:r w:rsidR="004248FF">
        <w:t>L’autodétermination des peuples autochtones</w:t>
      </w:r>
      <w:bookmarkEnd w:id="19"/>
    </w:p>
    <w:p w14:paraId="3BF7F098" w14:textId="19AA3EBF" w:rsidR="004248FF" w:rsidRPr="00417785" w:rsidRDefault="00AA6A58" w:rsidP="004248FF">
      <w:pPr>
        <w:pStyle w:val="Paragraphe"/>
        <w:rPr>
          <w:color w:val="auto"/>
          <w:lang w:val="fr-CA"/>
        </w:rPr>
      </w:pPr>
      <w:r>
        <w:rPr>
          <w:color w:val="auto"/>
          <w:lang w:val="fr-CA"/>
        </w:rPr>
        <w:t>La reconnaissance du droit à l</w:t>
      </w:r>
      <w:r w:rsidR="004248FF" w:rsidRPr="00CD58C4">
        <w:rPr>
          <w:color w:val="auto"/>
          <w:lang w:val="fr-CA"/>
        </w:rPr>
        <w:t xml:space="preserve">’autodétermination des </w:t>
      </w:r>
      <w:r w:rsidR="00981D5E">
        <w:rPr>
          <w:color w:val="auto"/>
          <w:lang w:val="fr-CA"/>
        </w:rPr>
        <w:t>peuples autochtones</w:t>
      </w:r>
      <w:r w:rsidR="004248FF" w:rsidRPr="00CD58C4">
        <w:rPr>
          <w:color w:val="auto"/>
          <w:lang w:val="fr-CA"/>
        </w:rPr>
        <w:t xml:space="preserve"> est </w:t>
      </w:r>
      <w:r w:rsidR="00A90A85">
        <w:rPr>
          <w:color w:val="auto"/>
          <w:lang w:val="fr-CA"/>
        </w:rPr>
        <w:t xml:space="preserve">un principe essentiel à la réconciliation. Elle est </w:t>
      </w:r>
      <w:r w:rsidR="00794820">
        <w:rPr>
          <w:color w:val="auto"/>
          <w:lang w:val="fr-CA"/>
        </w:rPr>
        <w:t>au fondement</w:t>
      </w:r>
      <w:r w:rsidR="004248FF" w:rsidRPr="00CD58C4">
        <w:rPr>
          <w:color w:val="auto"/>
          <w:lang w:val="fr-CA"/>
        </w:rPr>
        <w:t xml:space="preserve"> des appels à l’action</w:t>
      </w:r>
      <w:r w:rsidR="00EF17F1">
        <w:rPr>
          <w:color w:val="auto"/>
          <w:lang w:val="fr-CA"/>
        </w:rPr>
        <w:t xml:space="preserve"> de la</w:t>
      </w:r>
      <w:r w:rsidR="00FB7EC1">
        <w:rPr>
          <w:color w:val="auto"/>
          <w:lang w:val="fr-CA"/>
        </w:rPr>
        <w:t xml:space="preserve"> Commission Viens</w:t>
      </w:r>
      <w:r w:rsidR="004248FF" w:rsidRPr="00CD58C4">
        <w:rPr>
          <w:rStyle w:val="Appelnotedebasdep"/>
          <w:color w:val="auto"/>
          <w:lang w:val="fr-CA"/>
        </w:rPr>
        <w:footnoteReference w:id="25"/>
      </w:r>
      <w:r w:rsidR="004248FF" w:rsidRPr="00CD58C4">
        <w:rPr>
          <w:color w:val="auto"/>
          <w:lang w:val="fr-CA"/>
        </w:rPr>
        <w:t xml:space="preserve">, </w:t>
      </w:r>
      <w:r w:rsidR="004248FF">
        <w:rPr>
          <w:color w:val="auto"/>
          <w:lang w:val="fr-CA"/>
        </w:rPr>
        <w:t xml:space="preserve">notamment </w:t>
      </w:r>
      <w:r w:rsidR="004248FF" w:rsidRPr="00CD58C4">
        <w:rPr>
          <w:color w:val="auto"/>
          <w:lang w:val="fr-CA"/>
        </w:rPr>
        <w:t>en raison du fait qu’</w:t>
      </w:r>
      <w:r w:rsidR="00CA41DE">
        <w:rPr>
          <w:color w:val="auto"/>
          <w:lang w:val="fr-CA"/>
        </w:rPr>
        <w:t>elle</w:t>
      </w:r>
      <w:r w:rsidR="004248FF" w:rsidRPr="00CD58C4">
        <w:rPr>
          <w:color w:val="auto"/>
          <w:lang w:val="fr-CA"/>
        </w:rPr>
        <w:t xml:space="preserve"> favorise la sécurisation culturelle et la collaboration entre les autorités autochtones et allochtones</w:t>
      </w:r>
      <w:r w:rsidR="004248FF" w:rsidRPr="00CD58C4">
        <w:rPr>
          <w:rStyle w:val="Appelnotedebasdep"/>
          <w:color w:val="auto"/>
          <w:lang w:val="fr-CA"/>
        </w:rPr>
        <w:footnoteReference w:id="26"/>
      </w:r>
      <w:r w:rsidR="004248FF" w:rsidRPr="00CD58C4">
        <w:rPr>
          <w:color w:val="auto"/>
          <w:lang w:val="fr-CA"/>
        </w:rPr>
        <w:t xml:space="preserve">. </w:t>
      </w:r>
      <w:r w:rsidR="000A7626">
        <w:rPr>
          <w:color w:val="auto"/>
          <w:lang w:val="fr-CA"/>
        </w:rPr>
        <w:t>I</w:t>
      </w:r>
      <w:r w:rsidR="004248FF" w:rsidRPr="00CD58C4">
        <w:rPr>
          <w:color w:val="auto"/>
          <w:lang w:val="fr-CA"/>
        </w:rPr>
        <w:t xml:space="preserve">nscrit à la </w:t>
      </w:r>
      <w:r w:rsidR="004248FF" w:rsidRPr="009B181E">
        <w:rPr>
          <w:i/>
          <w:color w:val="auto"/>
          <w:lang w:val="fr-CA"/>
        </w:rPr>
        <w:t>Déclaration des Nations Unies sur les droits des peuples autochtones</w:t>
      </w:r>
      <w:r w:rsidR="004248FF">
        <w:rPr>
          <w:color w:val="auto"/>
          <w:lang w:val="fr-CA"/>
        </w:rPr>
        <w:t xml:space="preserve">, </w:t>
      </w:r>
      <w:r w:rsidR="000A7626">
        <w:rPr>
          <w:color w:val="auto"/>
          <w:lang w:val="fr-CA"/>
        </w:rPr>
        <w:t xml:space="preserve">ce droit </w:t>
      </w:r>
      <w:r w:rsidR="004248FF">
        <w:rPr>
          <w:color w:val="auto"/>
          <w:lang w:val="fr-CA"/>
        </w:rPr>
        <w:t>implique</w:t>
      </w:r>
      <w:r w:rsidR="004248FF" w:rsidRPr="00CD58C4">
        <w:rPr>
          <w:color w:val="auto"/>
          <w:lang w:val="fr-CA"/>
        </w:rPr>
        <w:t xml:space="preserve"> </w:t>
      </w:r>
      <w:r w:rsidR="004248FF">
        <w:rPr>
          <w:color w:val="auto"/>
          <w:lang w:val="fr-CA"/>
        </w:rPr>
        <w:t>qu</w:t>
      </w:r>
      <w:r w:rsidR="00824301">
        <w:rPr>
          <w:color w:val="auto"/>
          <w:lang w:val="fr-CA"/>
        </w:rPr>
        <w:t>’ils</w:t>
      </w:r>
      <w:r w:rsidR="004248FF">
        <w:rPr>
          <w:color w:val="auto"/>
          <w:lang w:val="fr-CA"/>
        </w:rPr>
        <w:t xml:space="preserve"> </w:t>
      </w:r>
      <w:r w:rsidR="004248FF" w:rsidRPr="001A4A5B">
        <w:rPr>
          <w:rFonts w:eastAsiaTheme="minorHAnsi" w:cs="Arial"/>
          <w:color w:val="auto"/>
          <w:szCs w:val="16"/>
          <w:lang w:val="fr-CA" w:eastAsia="en-US"/>
        </w:rPr>
        <w:t>«</w:t>
      </w:r>
      <w:r w:rsidR="009F5659">
        <w:rPr>
          <w:rFonts w:eastAsiaTheme="minorHAnsi" w:cs="Arial"/>
          <w:color w:val="auto"/>
          <w:szCs w:val="16"/>
          <w:lang w:val="fr-CA" w:eastAsia="en-US"/>
        </w:rPr>
        <w:t> </w:t>
      </w:r>
      <w:r w:rsidR="004248FF">
        <w:rPr>
          <w:rFonts w:eastAsiaTheme="minorHAnsi" w:cs="Arial"/>
          <w:color w:val="auto"/>
          <w:szCs w:val="16"/>
          <w:lang w:val="fr-CA" w:eastAsia="en-US"/>
        </w:rPr>
        <w:t xml:space="preserve">déterminent </w:t>
      </w:r>
      <w:r w:rsidR="004248FF" w:rsidRPr="001A4A5B">
        <w:rPr>
          <w:rFonts w:eastAsiaTheme="minorHAnsi" w:cs="Arial"/>
          <w:color w:val="auto"/>
          <w:szCs w:val="16"/>
          <w:lang w:val="fr-CA" w:eastAsia="en-US"/>
        </w:rPr>
        <w:t>librement leur développement économique, social et culturel</w:t>
      </w:r>
      <w:r w:rsidR="009F5659">
        <w:rPr>
          <w:rFonts w:eastAsiaTheme="minorHAnsi" w:cs="Arial"/>
          <w:color w:val="auto"/>
          <w:szCs w:val="16"/>
          <w:lang w:val="fr-CA" w:eastAsia="en-US"/>
        </w:rPr>
        <w:t> </w:t>
      </w:r>
      <w:r w:rsidR="004248FF" w:rsidRPr="001A4A5B">
        <w:rPr>
          <w:rFonts w:eastAsiaTheme="minorHAnsi" w:cs="Arial"/>
          <w:color w:val="auto"/>
          <w:szCs w:val="16"/>
          <w:lang w:val="fr-CA" w:eastAsia="en-US"/>
        </w:rPr>
        <w:t>»</w:t>
      </w:r>
      <w:r w:rsidR="004248FF" w:rsidRPr="001A4A5B">
        <w:rPr>
          <w:rFonts w:eastAsiaTheme="minorHAnsi" w:cs="Arial"/>
          <w:color w:val="auto"/>
          <w:szCs w:val="16"/>
          <w:vertAlign w:val="superscript"/>
          <w:lang w:eastAsia="en-US"/>
        </w:rPr>
        <w:footnoteReference w:id="27"/>
      </w:r>
      <w:r w:rsidR="004248FF" w:rsidRPr="001A4A5B">
        <w:rPr>
          <w:rFonts w:eastAsiaTheme="minorHAnsi" w:cs="Arial"/>
          <w:color w:val="auto"/>
          <w:szCs w:val="16"/>
          <w:lang w:val="fr-CA" w:eastAsia="en-US"/>
        </w:rPr>
        <w:t xml:space="preserve">. </w:t>
      </w:r>
      <w:r w:rsidR="00533D43">
        <w:rPr>
          <w:color w:val="auto"/>
          <w:lang w:val="fr-CA"/>
        </w:rPr>
        <w:t>C</w:t>
      </w:r>
      <w:r w:rsidR="0028750D">
        <w:rPr>
          <w:color w:val="auto"/>
          <w:lang w:val="fr-CA"/>
        </w:rPr>
        <w:t xml:space="preserve">omme le note le </w:t>
      </w:r>
      <w:r w:rsidR="00964ADC">
        <w:rPr>
          <w:color w:val="auto"/>
          <w:lang w:val="fr-CA"/>
        </w:rPr>
        <w:t xml:space="preserve">commissaire </w:t>
      </w:r>
      <w:r w:rsidR="0028750D">
        <w:rPr>
          <w:color w:val="auto"/>
          <w:lang w:val="fr-CA"/>
        </w:rPr>
        <w:t xml:space="preserve">Viens, </w:t>
      </w:r>
      <w:r w:rsidR="004248FF" w:rsidRPr="00CD58C4">
        <w:rPr>
          <w:color w:val="auto"/>
          <w:lang w:val="fr-CA"/>
        </w:rPr>
        <w:t xml:space="preserve">l’autodétermination « suppose de permettre aux représentants des Premières Nations et </w:t>
      </w:r>
      <w:proofErr w:type="gramStart"/>
      <w:r w:rsidR="004248FF" w:rsidRPr="00CD58C4">
        <w:rPr>
          <w:color w:val="auto"/>
          <w:lang w:val="fr-CA"/>
        </w:rPr>
        <w:t>des Inuit</w:t>
      </w:r>
      <w:proofErr w:type="gramEnd"/>
      <w:r w:rsidR="004248FF" w:rsidRPr="00CD58C4">
        <w:rPr>
          <w:color w:val="auto"/>
          <w:lang w:val="fr-CA"/>
        </w:rPr>
        <w:t xml:space="preserve"> de définir la manière dont leurs peuples pourront bénéficier d’un service dit public, la façon dont il sera organisé, voire le lieu où il sera dispensé »</w:t>
      </w:r>
      <w:r w:rsidR="004248FF" w:rsidRPr="00CD58C4">
        <w:rPr>
          <w:rStyle w:val="Appelnotedebasdep"/>
          <w:color w:val="auto"/>
          <w:lang w:val="fr-CA"/>
        </w:rPr>
        <w:footnoteReference w:id="28"/>
      </w:r>
      <w:r w:rsidR="004248FF">
        <w:rPr>
          <w:color w:val="auto"/>
          <w:lang w:val="fr-CA"/>
        </w:rPr>
        <w:t>.</w:t>
      </w:r>
      <w:r w:rsidR="004248FF" w:rsidRPr="00CD58C4">
        <w:rPr>
          <w:color w:val="auto"/>
          <w:lang w:val="fr-CA"/>
        </w:rPr>
        <w:t xml:space="preserve"> </w:t>
      </w:r>
      <w:r w:rsidR="004248FF" w:rsidRPr="00417785">
        <w:rPr>
          <w:lang w:val="fr-CA"/>
        </w:rPr>
        <w:t>La reconnaissance d</w:t>
      </w:r>
      <w:r w:rsidR="00933E19">
        <w:rPr>
          <w:lang w:val="fr-CA"/>
        </w:rPr>
        <w:t xml:space="preserve">e ce droit </w:t>
      </w:r>
      <w:r w:rsidR="004248FF" w:rsidRPr="00417785">
        <w:rPr>
          <w:lang w:val="fr-CA"/>
        </w:rPr>
        <w:t xml:space="preserve">en matière de santé et de services sociaux est </w:t>
      </w:r>
      <w:r w:rsidR="00533D43">
        <w:rPr>
          <w:lang w:val="fr-CA"/>
        </w:rPr>
        <w:t>aussi</w:t>
      </w:r>
      <w:r w:rsidR="004248FF" w:rsidRPr="00417785">
        <w:rPr>
          <w:lang w:val="fr-CA"/>
        </w:rPr>
        <w:t xml:space="preserve"> un aspect fondamental du Principe de Joyce</w:t>
      </w:r>
      <w:bookmarkStart w:id="20" w:name="_Ref144799228"/>
      <w:r w:rsidR="004248FF">
        <w:rPr>
          <w:rStyle w:val="Appelnotedebasdep"/>
        </w:rPr>
        <w:footnoteReference w:id="29"/>
      </w:r>
      <w:bookmarkEnd w:id="20"/>
      <w:r w:rsidR="00C737A3">
        <w:rPr>
          <w:lang w:val="fr-CA"/>
        </w:rPr>
        <w:t>.</w:t>
      </w:r>
    </w:p>
    <w:p w14:paraId="31D5D28F" w14:textId="69EC6AAF" w:rsidR="004248FF" w:rsidRPr="00C84C0A" w:rsidRDefault="004248FF" w:rsidP="0097791A">
      <w:pPr>
        <w:pStyle w:val="Paragraphe"/>
        <w:rPr>
          <w:rFonts w:eastAsiaTheme="minorHAnsi"/>
          <w:lang w:val="fr-CA" w:eastAsia="en-US"/>
        </w:rPr>
      </w:pPr>
      <w:r w:rsidRPr="00C84C0A">
        <w:rPr>
          <w:lang w:val="fr-CA"/>
        </w:rPr>
        <w:t>L</w:t>
      </w:r>
      <w:r w:rsidRPr="00C84C0A">
        <w:rPr>
          <w:rFonts w:eastAsiaTheme="minorHAnsi"/>
          <w:lang w:val="fr-CA" w:eastAsia="en-US"/>
        </w:rPr>
        <w:t>a Commission</w:t>
      </w:r>
      <w:r>
        <w:rPr>
          <w:rFonts w:eastAsiaTheme="minorHAnsi"/>
          <w:lang w:val="fr-FR" w:eastAsia="en-US"/>
        </w:rPr>
        <w:t xml:space="preserve"> souscrit pleinement à l’importance de reconnaître le</w:t>
      </w:r>
      <w:r w:rsidRPr="00C84C0A">
        <w:rPr>
          <w:rFonts w:eastAsiaTheme="minorHAnsi"/>
          <w:lang w:val="fr-CA" w:eastAsia="en-US"/>
        </w:rPr>
        <w:t xml:space="preserve"> droit à l’autodétermination et à l’autonomie politique des peuples autochtones. </w:t>
      </w:r>
      <w:r w:rsidRPr="00BF1864">
        <w:rPr>
          <w:rFonts w:eastAsiaTheme="minorHAnsi"/>
          <w:lang w:val="fr-CA" w:eastAsia="en-US"/>
        </w:rPr>
        <w:t xml:space="preserve">Dès 1981, </w:t>
      </w:r>
      <w:r w:rsidR="00933E19" w:rsidRPr="00BF1864">
        <w:rPr>
          <w:rFonts w:eastAsiaTheme="minorHAnsi"/>
          <w:lang w:val="fr-CA" w:eastAsia="en-US"/>
        </w:rPr>
        <w:t>elle</w:t>
      </w:r>
      <w:r w:rsidRPr="00BF1864">
        <w:rPr>
          <w:rFonts w:eastAsiaTheme="minorHAnsi"/>
          <w:lang w:val="fr-CA" w:eastAsia="en-US"/>
        </w:rPr>
        <w:t xml:space="preserve"> recommandait l’insertion d’un nouvel article dans la Charte qui garantirait notamment les droits linguistiques et culturels des Autochtones, le droit pour ceux-ci «</w:t>
      </w:r>
      <w:r w:rsidR="009F5659" w:rsidRPr="00BF1864">
        <w:rPr>
          <w:rFonts w:eastAsiaTheme="minorHAnsi"/>
          <w:lang w:val="fr-CA" w:eastAsia="en-US"/>
        </w:rPr>
        <w:t> </w:t>
      </w:r>
      <w:r w:rsidRPr="00BF1864">
        <w:rPr>
          <w:rFonts w:eastAsiaTheme="minorHAnsi"/>
          <w:lang w:val="fr-CA" w:eastAsia="en-US"/>
        </w:rPr>
        <w:t>de décider de leur développement et de procéder aux choix économiques qui leur conviennent, le droit au contrôle de leurs ressources naturelles et le droit à l’autodétermination ou au choix du statut politique qui leur convient</w:t>
      </w:r>
      <w:r w:rsidR="009F5659" w:rsidRPr="00BF1864">
        <w:rPr>
          <w:rFonts w:eastAsiaTheme="minorHAnsi"/>
          <w:lang w:val="fr-CA" w:eastAsia="en-US"/>
        </w:rPr>
        <w:t> </w:t>
      </w:r>
      <w:r w:rsidRPr="00BF1864">
        <w:rPr>
          <w:rFonts w:eastAsiaTheme="minorHAnsi"/>
          <w:lang w:val="fr-CA" w:eastAsia="en-US"/>
        </w:rPr>
        <w:t>»</w:t>
      </w:r>
      <w:r w:rsidRPr="00A45A0A">
        <w:rPr>
          <w:rFonts w:eastAsiaTheme="minorHAnsi"/>
          <w:vertAlign w:val="superscript"/>
          <w:lang w:eastAsia="en-US"/>
        </w:rPr>
        <w:footnoteReference w:id="30"/>
      </w:r>
      <w:r w:rsidRPr="00BF1864">
        <w:rPr>
          <w:rFonts w:eastAsiaTheme="minorHAnsi"/>
          <w:lang w:val="fr-CA" w:eastAsia="en-US"/>
        </w:rPr>
        <w:t xml:space="preserve">. </w:t>
      </w:r>
      <w:r w:rsidRPr="00C84C0A">
        <w:rPr>
          <w:rFonts w:eastAsiaTheme="minorHAnsi"/>
          <w:lang w:val="fr-CA" w:eastAsia="en-US"/>
        </w:rPr>
        <w:t xml:space="preserve">Elle a spécifiquement demandé en </w:t>
      </w:r>
      <w:r w:rsidRPr="00C84C0A">
        <w:rPr>
          <w:lang w:val="fr-CA"/>
        </w:rPr>
        <w:t>1993</w:t>
      </w:r>
      <w:r w:rsidRPr="00A45A0A">
        <w:rPr>
          <w:rFonts w:eastAsiaTheme="minorHAnsi"/>
          <w:lang w:val="fr-FR" w:eastAsia="en-US"/>
        </w:rPr>
        <w:t xml:space="preserve">, </w:t>
      </w:r>
      <w:r>
        <w:rPr>
          <w:rFonts w:eastAsiaTheme="minorHAnsi"/>
          <w:lang w:val="fr-FR" w:eastAsia="en-US"/>
        </w:rPr>
        <w:t xml:space="preserve">lors de la </w:t>
      </w:r>
      <w:r w:rsidRPr="00C84C0A">
        <w:rPr>
          <w:rFonts w:eastAsiaTheme="minorHAnsi"/>
          <w:i/>
          <w:lang w:val="fr-CA" w:eastAsia="en-US"/>
        </w:rPr>
        <w:t xml:space="preserve">Commission royale (Erasmus-Dussault) sur les </w:t>
      </w:r>
      <w:r w:rsidRPr="00C84C0A">
        <w:rPr>
          <w:rFonts w:eastAsiaTheme="minorHAnsi"/>
          <w:i/>
          <w:lang w:val="fr-CA" w:eastAsia="en-US"/>
        </w:rPr>
        <w:lastRenderedPageBreak/>
        <w:t>peuples autochtones</w:t>
      </w:r>
      <w:r w:rsidRPr="00C84C0A">
        <w:rPr>
          <w:rFonts w:eastAsiaTheme="minorHAnsi"/>
          <w:lang w:val="fr-CA" w:eastAsia="en-US"/>
        </w:rPr>
        <w:t xml:space="preserve">, que </w:t>
      </w:r>
      <w:r w:rsidR="00812A7A">
        <w:rPr>
          <w:rFonts w:eastAsiaTheme="minorHAnsi"/>
          <w:lang w:val="fr-CA" w:eastAsia="en-US"/>
        </w:rPr>
        <w:t>l</w:t>
      </w:r>
      <w:r w:rsidR="00C619C1">
        <w:rPr>
          <w:rFonts w:eastAsiaTheme="minorHAnsi"/>
          <w:lang w:val="fr-CA" w:eastAsia="en-US"/>
        </w:rPr>
        <w:t>e</w:t>
      </w:r>
      <w:r w:rsidRPr="00C84C0A">
        <w:rPr>
          <w:rFonts w:eastAsiaTheme="minorHAnsi"/>
          <w:lang w:val="fr-CA" w:eastAsia="en-US"/>
        </w:rPr>
        <w:t xml:space="preserve"> droit à l’autodétermination soit inscrit dans les lois fondamentales du Canada et des provinces</w:t>
      </w:r>
      <w:bookmarkStart w:id="21" w:name="_Ref144883867"/>
      <w:r w:rsidRPr="00A45A0A">
        <w:rPr>
          <w:rStyle w:val="Appelnotedebasdep"/>
          <w:rFonts w:eastAsiaTheme="minorHAnsi" w:cs="Arial"/>
          <w:szCs w:val="16"/>
          <w:lang w:eastAsia="en-US"/>
        </w:rPr>
        <w:footnoteReference w:id="31"/>
      </w:r>
      <w:bookmarkEnd w:id="21"/>
      <w:r w:rsidRPr="00C84C0A">
        <w:rPr>
          <w:rFonts w:eastAsiaTheme="minorHAnsi"/>
          <w:lang w:val="fr-CA" w:eastAsia="en-US"/>
        </w:rPr>
        <w:t xml:space="preserve">. </w:t>
      </w:r>
    </w:p>
    <w:p w14:paraId="34BF0A77" w14:textId="5C92EF43" w:rsidR="004248FF" w:rsidRPr="006B2E68" w:rsidRDefault="004248FF" w:rsidP="004248FF">
      <w:pPr>
        <w:pStyle w:val="Paragraphe"/>
        <w:rPr>
          <w:rFonts w:eastAsia="Calibri" w:cs="Arial"/>
          <w:color w:val="auto"/>
          <w:lang w:val="fr-FR"/>
        </w:rPr>
      </w:pPr>
      <w:r>
        <w:rPr>
          <w:rFonts w:cs="Arial"/>
          <w:color w:val="auto"/>
          <w:lang w:val="fr-CA"/>
        </w:rPr>
        <w:t>La Commission s’est prononcée plus spécifiquement sur le</w:t>
      </w:r>
      <w:r w:rsidR="00D37986">
        <w:rPr>
          <w:rFonts w:cs="Arial"/>
          <w:color w:val="auto"/>
          <w:lang w:val="fr-CA"/>
        </w:rPr>
        <w:t>ur</w:t>
      </w:r>
      <w:r>
        <w:rPr>
          <w:rFonts w:cs="Arial"/>
          <w:color w:val="auto"/>
          <w:lang w:val="fr-CA"/>
        </w:rPr>
        <w:t xml:space="preserve"> droit à l’autodétermination en regard des services de protection de la jeunesse. </w:t>
      </w:r>
      <w:r>
        <w:rPr>
          <w:rFonts w:eastAsia="Calibri" w:cs="Arial"/>
          <w:color w:val="auto"/>
          <w:lang w:val="fr-FR"/>
        </w:rPr>
        <w:t>S</w:t>
      </w:r>
      <w:r w:rsidRPr="001A4A5B">
        <w:rPr>
          <w:rFonts w:eastAsia="Calibri" w:cs="Arial"/>
          <w:color w:val="auto"/>
          <w:lang w:val="fr-FR"/>
        </w:rPr>
        <w:t xml:space="preserve">oulignant l’urgence d’agir pour modifier les pratiques </w:t>
      </w:r>
      <w:r w:rsidR="009F03DD" w:rsidRPr="001A4A5B">
        <w:rPr>
          <w:rFonts w:eastAsia="Calibri" w:cs="Arial"/>
          <w:color w:val="auto"/>
          <w:lang w:val="fr-FR"/>
        </w:rPr>
        <w:t>d</w:t>
      </w:r>
      <w:r w:rsidR="00543E8A">
        <w:rPr>
          <w:rFonts w:eastAsia="Calibri" w:cs="Arial"/>
          <w:color w:val="auto"/>
          <w:lang w:val="fr-FR"/>
        </w:rPr>
        <w:t>es</w:t>
      </w:r>
      <w:r w:rsidR="009F03DD" w:rsidRPr="001A4A5B">
        <w:rPr>
          <w:rFonts w:eastAsia="Calibri" w:cs="Arial"/>
          <w:color w:val="auto"/>
          <w:lang w:val="fr-FR"/>
        </w:rPr>
        <w:t xml:space="preserve"> </w:t>
      </w:r>
      <w:r w:rsidR="00A3288F">
        <w:rPr>
          <w:rFonts w:eastAsia="Calibri" w:cs="Arial"/>
          <w:color w:val="auto"/>
          <w:lang w:val="fr-FR"/>
        </w:rPr>
        <w:t>Centres de protection de l’enfance et de la jeunesse</w:t>
      </w:r>
      <w:r w:rsidR="00A3288F">
        <w:rPr>
          <w:rStyle w:val="Appelnotedebasdep"/>
          <w:rFonts w:eastAsia="Calibri" w:cs="Arial"/>
          <w:color w:val="auto"/>
          <w:lang w:val="fr-FR"/>
        </w:rPr>
        <w:footnoteReference w:id="32"/>
      </w:r>
      <w:r w:rsidR="00D93992">
        <w:rPr>
          <w:rFonts w:eastAsia="Calibri" w:cs="Arial"/>
          <w:color w:val="auto"/>
          <w:lang w:val="fr-FR"/>
        </w:rPr>
        <w:t xml:space="preserve"> </w:t>
      </w:r>
      <w:r w:rsidRPr="001A4A5B">
        <w:rPr>
          <w:rFonts w:eastAsia="Calibri" w:cs="Arial"/>
          <w:color w:val="auto"/>
          <w:lang w:val="fr-FR"/>
        </w:rPr>
        <w:t xml:space="preserve">dans l’intervention auprès des enfants autochtones, la Commission a appuyé sans restriction les appels à l’action proposés par la Commission Viens en </w:t>
      </w:r>
      <w:r>
        <w:rPr>
          <w:rFonts w:eastAsia="Calibri" w:cs="Arial"/>
          <w:color w:val="auto"/>
          <w:lang w:val="fr-FR"/>
        </w:rPr>
        <w:t xml:space="preserve">la </w:t>
      </w:r>
      <w:r w:rsidRPr="001A4A5B">
        <w:rPr>
          <w:rFonts w:eastAsia="Calibri" w:cs="Arial"/>
          <w:color w:val="auto"/>
          <w:lang w:val="fr-FR"/>
        </w:rPr>
        <w:t>matière</w:t>
      </w:r>
      <w:bookmarkStart w:id="22" w:name="_Ref144801800"/>
      <w:r w:rsidRPr="001A4A5B">
        <w:rPr>
          <w:rStyle w:val="Appelnotedebasdep"/>
          <w:rFonts w:eastAsia="Calibri" w:cs="Arial"/>
          <w:color w:val="auto"/>
          <w:lang w:val="fr-FR"/>
        </w:rPr>
        <w:footnoteReference w:id="33"/>
      </w:r>
      <w:bookmarkEnd w:id="22"/>
      <w:r w:rsidRPr="001A4A5B">
        <w:rPr>
          <w:rFonts w:eastAsia="Calibri" w:cs="Arial"/>
          <w:color w:val="auto"/>
          <w:lang w:val="fr-FR"/>
        </w:rPr>
        <w:t>.</w:t>
      </w:r>
      <w:r>
        <w:rPr>
          <w:rFonts w:cs="Arial"/>
          <w:color w:val="auto"/>
          <w:lang w:val="fr-FR"/>
        </w:rPr>
        <w:t xml:space="preserve"> </w:t>
      </w:r>
      <w:r>
        <w:rPr>
          <w:rFonts w:cs="Arial"/>
          <w:color w:val="auto"/>
          <w:lang w:val="fr-CA"/>
        </w:rPr>
        <w:t>De plus</w:t>
      </w:r>
      <w:r w:rsidRPr="001A4A5B">
        <w:rPr>
          <w:rFonts w:cs="Arial"/>
          <w:color w:val="auto"/>
          <w:lang w:val="fr-CA"/>
        </w:rPr>
        <w:t>, à l’occasion de la Commission spéciale sur les droits des enfants et la protection de la jeunesse, la Commission a affirmé que les nations autochtones sont les plus à même de savoir et de déterminer quel est le meilleur intérêt des enfants autochtones et qu’il leur revient de prendre en charge leur propre système de protection de la jeunesse</w:t>
      </w:r>
      <w:bookmarkStart w:id="23" w:name="_Ref144801619"/>
      <w:r w:rsidRPr="001A4A5B">
        <w:rPr>
          <w:rFonts w:cs="Arial"/>
          <w:color w:val="auto"/>
          <w:vertAlign w:val="superscript"/>
          <w:lang w:val="fr-CA"/>
        </w:rPr>
        <w:footnoteReference w:id="34"/>
      </w:r>
      <w:bookmarkEnd w:id="23"/>
      <w:r w:rsidRPr="001A4A5B">
        <w:rPr>
          <w:rFonts w:cs="Arial"/>
          <w:color w:val="auto"/>
          <w:lang w:val="fr-CA"/>
        </w:rPr>
        <w:t xml:space="preserve">. Elle l’a réitéré </w:t>
      </w:r>
      <w:r w:rsidRPr="001A4A5B">
        <w:rPr>
          <w:color w:val="auto"/>
          <w:lang w:val="fr-CA"/>
        </w:rPr>
        <w:t xml:space="preserve">dans </w:t>
      </w:r>
      <w:r>
        <w:rPr>
          <w:color w:val="auto"/>
          <w:lang w:val="fr-CA"/>
        </w:rPr>
        <w:t>ses commentaires</w:t>
      </w:r>
      <w:r w:rsidRPr="001A4A5B">
        <w:rPr>
          <w:color w:val="auto"/>
          <w:lang w:val="fr-CA"/>
        </w:rPr>
        <w:t xml:space="preserve"> sur le projet de loi n</w:t>
      </w:r>
      <w:r w:rsidRPr="001A4A5B">
        <w:rPr>
          <w:color w:val="auto"/>
          <w:vertAlign w:val="superscript"/>
          <w:lang w:val="fr-CA"/>
        </w:rPr>
        <w:t>o</w:t>
      </w:r>
      <w:r w:rsidR="004429E1">
        <w:rPr>
          <w:color w:val="auto"/>
          <w:vertAlign w:val="superscript"/>
          <w:lang w:val="fr-CA"/>
        </w:rPr>
        <w:t> </w:t>
      </w:r>
      <w:r w:rsidRPr="001A4A5B">
        <w:rPr>
          <w:color w:val="auto"/>
          <w:lang w:val="fr-CA"/>
        </w:rPr>
        <w:t xml:space="preserve">15, </w:t>
      </w:r>
      <w:r w:rsidRPr="001A4A5B">
        <w:rPr>
          <w:i/>
          <w:color w:val="auto"/>
          <w:lang w:val="fr-CA"/>
        </w:rPr>
        <w:t>Loi modifiant la Loi sur la protection de la jeunesse et d’autres dispositions législatives</w:t>
      </w:r>
      <w:bookmarkStart w:id="24" w:name="_Ref144470341"/>
      <w:r w:rsidRPr="001A4A5B">
        <w:rPr>
          <w:rStyle w:val="Appelnotedebasdep"/>
          <w:i/>
          <w:color w:val="auto"/>
          <w:lang w:val="fr-CA"/>
        </w:rPr>
        <w:footnoteReference w:id="35"/>
      </w:r>
      <w:bookmarkEnd w:id="24"/>
      <w:r w:rsidR="00D8112C" w:rsidRPr="00D8112C">
        <w:rPr>
          <w:color w:val="auto"/>
          <w:lang w:val="fr-CA"/>
        </w:rPr>
        <w:t>.</w:t>
      </w:r>
    </w:p>
    <w:p w14:paraId="20014D07" w14:textId="4CEBD7CC" w:rsidR="004248FF" w:rsidRDefault="004248FF" w:rsidP="004248FF">
      <w:pPr>
        <w:pStyle w:val="Paragraphe"/>
        <w:rPr>
          <w:color w:val="auto"/>
          <w:lang w:val="fr-CA"/>
        </w:rPr>
      </w:pPr>
      <w:r w:rsidRPr="001A4A5B">
        <w:rPr>
          <w:color w:val="auto"/>
          <w:lang w:val="fr-FR"/>
        </w:rPr>
        <w:t>Du droit à l’autodétermination des peuples autochtones découle leur droit d’être activement associés à l’élaboration et la définition des programmes de santé et sociaux les concernant et de les administrer par leurs propres institutions</w:t>
      </w:r>
      <w:r w:rsidRPr="001A4A5B">
        <w:rPr>
          <w:rStyle w:val="Appelnotedebasdep"/>
          <w:color w:val="auto"/>
          <w:lang w:val="fr-FR"/>
        </w:rPr>
        <w:footnoteReference w:id="36"/>
      </w:r>
      <w:r w:rsidRPr="001A4A5B">
        <w:rPr>
          <w:color w:val="auto"/>
          <w:lang w:val="fr-FR"/>
        </w:rPr>
        <w:t xml:space="preserve">. </w:t>
      </w:r>
      <w:r w:rsidRPr="00CD58C4">
        <w:rPr>
          <w:color w:val="auto"/>
          <w:lang w:val="fr-CA"/>
        </w:rPr>
        <w:t>C’est suivant cela que la Commission Viens a appelé le gouvernement à « [p]</w:t>
      </w:r>
      <w:proofErr w:type="spellStart"/>
      <w:r w:rsidRPr="00CD58C4">
        <w:rPr>
          <w:color w:val="auto"/>
          <w:lang w:val="fr-CA"/>
        </w:rPr>
        <w:t>rocéder</w:t>
      </w:r>
      <w:proofErr w:type="spellEnd"/>
      <w:r w:rsidRPr="00CD58C4">
        <w:rPr>
          <w:color w:val="auto"/>
          <w:lang w:val="fr-CA"/>
        </w:rPr>
        <w:t xml:space="preserve">, en collaboration avec les autorités autochtones, à l’élaboration et à l’adoption d’une loi garantissant la prise en compte des dispositions de la </w:t>
      </w:r>
      <w:r w:rsidRPr="00CD58C4">
        <w:rPr>
          <w:color w:val="auto"/>
          <w:lang w:val="fr-CA"/>
        </w:rPr>
        <w:lastRenderedPageBreak/>
        <w:t>[DNUDPA] dans le corpus législatif relevant de ses compétences »</w:t>
      </w:r>
      <w:r w:rsidRPr="00CD58C4">
        <w:rPr>
          <w:rStyle w:val="Appelnotedebasdep"/>
          <w:color w:val="auto"/>
          <w:lang w:val="fr-CA"/>
        </w:rPr>
        <w:footnoteReference w:id="37"/>
      </w:r>
      <w:r w:rsidRPr="00CD58C4">
        <w:rPr>
          <w:color w:val="auto"/>
          <w:lang w:val="fr-CA"/>
        </w:rPr>
        <w:t xml:space="preserve">. Or, à ce jour, le gouvernement </w:t>
      </w:r>
      <w:r w:rsidR="00360F86">
        <w:rPr>
          <w:color w:val="auto"/>
          <w:lang w:val="fr-CA"/>
        </w:rPr>
        <w:t xml:space="preserve">du Québec </w:t>
      </w:r>
      <w:r w:rsidRPr="00CD58C4">
        <w:rPr>
          <w:color w:val="auto"/>
          <w:lang w:val="fr-CA"/>
        </w:rPr>
        <w:t>ne s’est pas engagé à légiférer en ce sens</w:t>
      </w:r>
      <w:r w:rsidRPr="00CD58C4">
        <w:rPr>
          <w:rStyle w:val="Appelnotedebasdep"/>
          <w:color w:val="auto"/>
          <w:lang w:val="fr-CA"/>
        </w:rPr>
        <w:footnoteReference w:id="38"/>
      </w:r>
      <w:r w:rsidRPr="00CD58C4">
        <w:rPr>
          <w:color w:val="auto"/>
          <w:lang w:val="fr-CA"/>
        </w:rPr>
        <w:t>.</w:t>
      </w:r>
    </w:p>
    <w:p w14:paraId="6CF4B831" w14:textId="54D3C6E8" w:rsidR="004248FF" w:rsidRPr="00C84C0A" w:rsidRDefault="004248FF" w:rsidP="0097791A">
      <w:pPr>
        <w:pStyle w:val="Paragraphe"/>
        <w:rPr>
          <w:lang w:val="fr-CA"/>
        </w:rPr>
      </w:pPr>
      <w:r w:rsidRPr="00C84C0A">
        <w:rPr>
          <w:lang w:val="fr-CA"/>
        </w:rPr>
        <w:t>À ce sujet, le Rapporteur spécial des Nations Unies sur les droits des peuples autochtones a récemment encouragé toutes les provinces et territoires du Canada à adopter des engagements similaires à ceux du gouvernement fédéral et du gouvernement de la Colombie-Britannique qui ont adopté des lois sur la DNUDPA</w:t>
      </w:r>
      <w:r>
        <w:rPr>
          <w:rStyle w:val="Appelnotedebasdep"/>
        </w:rPr>
        <w:footnoteReference w:id="39"/>
      </w:r>
      <w:r w:rsidRPr="00C84C0A">
        <w:rPr>
          <w:lang w:val="fr-CA"/>
        </w:rPr>
        <w:t>.</w:t>
      </w:r>
    </w:p>
    <w:p w14:paraId="034B27EA" w14:textId="10FF4F05" w:rsidR="004248FF" w:rsidRPr="00FD1A1E" w:rsidRDefault="004248FF" w:rsidP="004248FF">
      <w:pPr>
        <w:pStyle w:val="Corpsdetexte"/>
      </w:pPr>
      <w:r>
        <w:t>Rappelons en outre que l’ENFFADA a formulé l’appel à l</w:t>
      </w:r>
      <w:r w:rsidR="00E2127A">
        <w:t>a</w:t>
      </w:r>
      <w:r w:rsidR="00345D28">
        <w:t xml:space="preserve"> justice</w:t>
      </w:r>
      <w:r w:rsidR="004429E1">
        <w:t> </w:t>
      </w:r>
      <w:r>
        <w:t>7.1 suivant en regard des services de santé :</w:t>
      </w:r>
    </w:p>
    <w:p w14:paraId="7546F613" w14:textId="5B4CFD96" w:rsidR="004248FF" w:rsidRDefault="004248FF" w:rsidP="004248FF">
      <w:pPr>
        <w:pStyle w:val="Citation"/>
      </w:pPr>
      <w:r>
        <w:t>«</w:t>
      </w:r>
      <w:r w:rsidR="009F5659">
        <w:t> </w:t>
      </w:r>
      <w:r w:rsidRPr="00605FF2">
        <w:t xml:space="preserve">Nous demandons à tous les gouvernements et à tous les fournisseurs de services de santé de reconnaître que les peuples autochtones, c’est-à-dire les Premières Nations, les </w:t>
      </w:r>
      <w:r w:rsidR="00732B6C">
        <w:t>Inuit</w:t>
      </w:r>
      <w:r w:rsidRPr="00605FF2">
        <w:t xml:space="preserve"> et les Métis, y compris les personnes</w:t>
      </w:r>
      <w:r w:rsidR="004207A5">
        <w:t> </w:t>
      </w:r>
      <w:r w:rsidRPr="00605FF2">
        <w:t>2ELGBTQQIA, sont les spécialistes des soins qui les concernent et de leur propre guérison, et que les services de santé et de bien-être sont le plus efficace lorsqu’ils sont conçus et prodigués par des Autochtones, conformément aux pratiques, aux conceptions du monde, aux cultures, aux langues et aux valeurs des différentes communautés inuites, métisses et des Premières Nations qu’ils servent.</w:t>
      </w:r>
      <w:r>
        <w:t> </w:t>
      </w:r>
    </w:p>
    <w:p w14:paraId="2B1A25BB" w14:textId="2397C6A8" w:rsidR="004248FF" w:rsidRPr="001F313E" w:rsidRDefault="009D7FDD" w:rsidP="0097791A">
      <w:pPr>
        <w:pStyle w:val="Paragraphe"/>
        <w:rPr>
          <w:lang w:val="fr-CA"/>
        </w:rPr>
      </w:pPr>
      <w:r w:rsidRPr="00163EAE">
        <w:rPr>
          <w:lang w:val="fr-CA"/>
        </w:rPr>
        <w:t xml:space="preserve">Ainsi, </w:t>
      </w:r>
      <w:r w:rsidR="00F62133" w:rsidRPr="00163EAE">
        <w:rPr>
          <w:lang w:val="fr-CA"/>
        </w:rPr>
        <w:t>en application du droit à l’autodétermination</w:t>
      </w:r>
      <w:r w:rsidRPr="00163EAE">
        <w:rPr>
          <w:lang w:val="fr-CA"/>
        </w:rPr>
        <w:t xml:space="preserve">, </w:t>
      </w:r>
      <w:r w:rsidR="00CA7227" w:rsidRPr="00A8472C">
        <w:rPr>
          <w:lang w:val="fr-CA"/>
        </w:rPr>
        <w:t xml:space="preserve">les peuples autochtones sont les plus à même de déterminer comment ils veulent recevoir les services de santé et les services sociaux dont ils ont besoin. </w:t>
      </w:r>
      <w:r w:rsidR="00DA33CE">
        <w:rPr>
          <w:lang w:val="fr-CA"/>
        </w:rPr>
        <w:t xml:space="preserve">La Commission estime que </w:t>
      </w:r>
      <w:r w:rsidR="00DA33CE" w:rsidRPr="00A8472C">
        <w:rPr>
          <w:lang w:val="fr-CA"/>
        </w:rPr>
        <w:t xml:space="preserve">leur rôle prépondérant à cet égard devrait être inscrit explicitement dans le projet de loi, </w:t>
      </w:r>
      <w:r w:rsidR="00E62DA1">
        <w:rPr>
          <w:lang w:val="fr-CA"/>
        </w:rPr>
        <w:t xml:space="preserve">et ce, </w:t>
      </w:r>
      <w:r w:rsidR="00DA33CE" w:rsidRPr="00A8472C">
        <w:rPr>
          <w:lang w:val="fr-CA"/>
        </w:rPr>
        <w:t xml:space="preserve">à l’instar de la </w:t>
      </w:r>
      <w:proofErr w:type="spellStart"/>
      <w:r w:rsidR="00C91EA5">
        <w:rPr>
          <w:lang w:val="fr-CA"/>
        </w:rPr>
        <w:t>L.p.j</w:t>
      </w:r>
      <w:proofErr w:type="spellEnd"/>
      <w:r w:rsidR="00C91EA5">
        <w:rPr>
          <w:lang w:val="fr-CA"/>
        </w:rPr>
        <w:t xml:space="preserve">. </w:t>
      </w:r>
      <w:r w:rsidR="00DA33CE" w:rsidRPr="00A8472C">
        <w:rPr>
          <w:lang w:val="fr-CA"/>
        </w:rPr>
        <w:t>qui reconnaît dans son préambule que</w:t>
      </w:r>
      <w:r w:rsidR="00DA33CE" w:rsidRPr="004B1A29">
        <w:rPr>
          <w:rFonts w:cs="Arial"/>
          <w:color w:val="212529"/>
          <w:szCs w:val="22"/>
          <w:shd w:val="clear" w:color="auto" w:fill="FFFFFF"/>
          <w:lang w:val="fr-CA"/>
        </w:rPr>
        <w:t> les autochtones sont les mieux placés pour répondre aux besoins de leurs enfants de la manière la plus approprié</w:t>
      </w:r>
      <w:r w:rsidR="00DA33CE" w:rsidRPr="00A8472C">
        <w:rPr>
          <w:rFonts w:cs="Arial"/>
          <w:color w:val="212529"/>
          <w:szCs w:val="22"/>
          <w:shd w:val="clear" w:color="auto" w:fill="FFFFFF"/>
          <w:lang w:val="fr-CA"/>
        </w:rPr>
        <w:t>e</w:t>
      </w:r>
      <w:r w:rsidR="00DA33CE" w:rsidRPr="004B1A29">
        <w:rPr>
          <w:rFonts w:cs="Arial"/>
          <w:color w:val="212529"/>
          <w:szCs w:val="22"/>
          <w:shd w:val="clear" w:color="auto" w:fill="FFFFFF"/>
          <w:lang w:val="fr-CA"/>
        </w:rPr>
        <w:t>.</w:t>
      </w:r>
    </w:p>
    <w:p w14:paraId="25263906" w14:textId="29DCD629" w:rsidR="004248FF" w:rsidRDefault="004248FF" w:rsidP="00B06474">
      <w:pPr>
        <w:pStyle w:val="TitreRecommandation"/>
        <w:rPr>
          <w:lang w:val="fr-FR"/>
        </w:rPr>
      </w:pPr>
      <w:r w:rsidRPr="00510E7B">
        <w:rPr>
          <w:lang w:val="fr-FR"/>
        </w:rPr>
        <w:t>RECOMMANDATION</w:t>
      </w:r>
      <w:r w:rsidR="004429E1">
        <w:rPr>
          <w:rFonts w:hint="eastAsia"/>
          <w:lang w:val="fr-FR"/>
        </w:rPr>
        <w:t> </w:t>
      </w:r>
      <w:r w:rsidR="00383C90">
        <w:rPr>
          <w:lang w:val="fr-FR"/>
        </w:rPr>
        <w:t>1</w:t>
      </w:r>
    </w:p>
    <w:p w14:paraId="5A8D4C11" w14:textId="4A320F82" w:rsidR="009869EC" w:rsidRDefault="00F94942" w:rsidP="005B490F">
      <w:pPr>
        <w:pStyle w:val="Texterecommandation"/>
        <w:ind w:left="706"/>
      </w:pPr>
      <w:r w:rsidRPr="004B1A29">
        <w:t xml:space="preserve">La Commission recommande de modifier le projet de loi pour qu’il </w:t>
      </w:r>
      <w:r w:rsidR="00071A01">
        <w:t xml:space="preserve">y </w:t>
      </w:r>
      <w:r w:rsidRPr="004B1A29">
        <w:t xml:space="preserve">soit inscrit que les peuples autochtones sont les mieux placés pour déterminer </w:t>
      </w:r>
      <w:r w:rsidRPr="00A8472C">
        <w:t>les besoins et les pratiques culturellement sécurisantes à adopter au sein du réseau de la santé et des services sociaux.</w:t>
      </w:r>
    </w:p>
    <w:p w14:paraId="7D8AD005" w14:textId="23A4ADA1" w:rsidR="009869EC" w:rsidRPr="00374D1A" w:rsidRDefault="009869EC" w:rsidP="009869EC">
      <w:pPr>
        <w:pStyle w:val="Paragraphe"/>
        <w:rPr>
          <w:lang w:val="fr-CA"/>
        </w:rPr>
      </w:pPr>
      <w:r w:rsidRPr="00A80634">
        <w:rPr>
          <w:lang w:val="fr-CA"/>
        </w:rPr>
        <w:lastRenderedPageBreak/>
        <w:t xml:space="preserve">Plus largement, </w:t>
      </w:r>
      <w:r w:rsidR="005A253B" w:rsidRPr="00A80634">
        <w:rPr>
          <w:lang w:val="fr-CA"/>
        </w:rPr>
        <w:t xml:space="preserve">la Commission </w:t>
      </w:r>
      <w:r w:rsidR="00F94942">
        <w:rPr>
          <w:lang w:val="fr-CA"/>
        </w:rPr>
        <w:t>insiste</w:t>
      </w:r>
      <w:r w:rsidR="006A6880" w:rsidRPr="00A80634">
        <w:rPr>
          <w:lang w:val="fr-CA"/>
        </w:rPr>
        <w:t xml:space="preserve"> sur l’importance </w:t>
      </w:r>
      <w:r w:rsidR="00D52E91" w:rsidRPr="00A80634">
        <w:rPr>
          <w:lang w:val="fr-CA"/>
        </w:rPr>
        <w:t xml:space="preserve">pour le gouvernement </w:t>
      </w:r>
      <w:r w:rsidR="00374D1A" w:rsidRPr="00A80634">
        <w:rPr>
          <w:lang w:val="fr-CA"/>
        </w:rPr>
        <w:t>du Québec d’adhérer aux principes de la DNUDPA</w:t>
      </w:r>
      <w:r w:rsidR="00374D1A" w:rsidRPr="00A80634">
        <w:rPr>
          <w:rStyle w:val="Appelnotedebasdep"/>
          <w:lang w:val="fr-CA"/>
        </w:rPr>
        <w:footnoteReference w:id="40"/>
      </w:r>
      <w:r w:rsidR="006E351C" w:rsidRPr="00A80634">
        <w:rPr>
          <w:lang w:val="fr-CA"/>
        </w:rPr>
        <w:t xml:space="preserve">, </w:t>
      </w:r>
      <w:r w:rsidR="009925D2" w:rsidRPr="00A80634">
        <w:rPr>
          <w:lang w:val="fr-CA"/>
        </w:rPr>
        <w:t>au</w:t>
      </w:r>
      <w:r w:rsidR="000549A4" w:rsidRPr="00A80634">
        <w:rPr>
          <w:lang w:val="fr-CA"/>
        </w:rPr>
        <w:t xml:space="preserve">quel </w:t>
      </w:r>
      <w:r w:rsidR="009925D2" w:rsidRPr="00A80634">
        <w:rPr>
          <w:lang w:val="fr-CA"/>
        </w:rPr>
        <w:t>le droit à l’autodétermination participe</w:t>
      </w:r>
      <w:r w:rsidR="00027DF9" w:rsidRPr="00A80634">
        <w:rPr>
          <w:lang w:val="fr-CA"/>
        </w:rPr>
        <w:t>.</w:t>
      </w:r>
    </w:p>
    <w:p w14:paraId="4B3BE7A2" w14:textId="552549F8" w:rsidR="009869EC" w:rsidRPr="009C2F7A" w:rsidRDefault="009869EC" w:rsidP="009C2F7A">
      <w:pPr>
        <w:pStyle w:val="TitreRecommandation"/>
      </w:pPr>
      <w:r w:rsidRPr="009C2F7A">
        <w:t>RECOMMANDATION</w:t>
      </w:r>
      <w:r w:rsidR="004429E1" w:rsidRPr="009C2F7A">
        <w:rPr>
          <w:rFonts w:hint="eastAsia"/>
        </w:rPr>
        <w:t> </w:t>
      </w:r>
      <w:r w:rsidRPr="009C2F7A">
        <w:t>2</w:t>
      </w:r>
    </w:p>
    <w:p w14:paraId="53B5E268" w14:textId="559D5611" w:rsidR="000549A4" w:rsidRPr="009C2F7A" w:rsidRDefault="009869EC" w:rsidP="009C2F7A">
      <w:pPr>
        <w:pStyle w:val="Texterecommandation"/>
        <w:ind w:left="706"/>
      </w:pPr>
      <w:r w:rsidRPr="009C2F7A">
        <w:t>La Commission recommande au gouvernement de</w:t>
      </w:r>
      <w:r w:rsidR="000640C1" w:rsidRPr="009C2F7A">
        <w:t xml:space="preserve"> prendre les </w:t>
      </w:r>
      <w:r w:rsidR="006705D8" w:rsidRPr="009C2F7A">
        <w:t>mesures</w:t>
      </w:r>
      <w:r w:rsidR="000640C1" w:rsidRPr="009C2F7A">
        <w:t xml:space="preserve"> approprié</w:t>
      </w:r>
      <w:r w:rsidR="00006A17" w:rsidRPr="009C2F7A">
        <w:t>e</w:t>
      </w:r>
      <w:r w:rsidR="000640C1" w:rsidRPr="009C2F7A">
        <w:t>s pour</w:t>
      </w:r>
      <w:r w:rsidRPr="009C2F7A">
        <w:t xml:space="preserve"> </w:t>
      </w:r>
      <w:r w:rsidR="00A55556" w:rsidRPr="009C2F7A">
        <w:t xml:space="preserve">concrétiser son adhésion </w:t>
      </w:r>
      <w:r w:rsidRPr="009C2F7A">
        <w:t xml:space="preserve">à la </w:t>
      </w:r>
      <w:r w:rsidRPr="00C937BF">
        <w:rPr>
          <w:i/>
        </w:rPr>
        <w:t>Déclaration des Nations Unies sur les droits des peuples autochtones</w:t>
      </w:r>
      <w:r w:rsidR="00920C7E" w:rsidRPr="009C2F7A">
        <w:t>, au</w:t>
      </w:r>
      <w:r w:rsidR="000549A4" w:rsidRPr="009C2F7A">
        <w:t xml:space="preserve">quel </w:t>
      </w:r>
      <w:r w:rsidR="000549A4" w:rsidRPr="00A80634">
        <w:t>le droit à l’autodétermination participe.</w:t>
      </w:r>
    </w:p>
    <w:p w14:paraId="44BA2F31" w14:textId="23A34B17" w:rsidR="004248FF" w:rsidRDefault="0016191A" w:rsidP="00E4721C">
      <w:pPr>
        <w:pStyle w:val="Titre2"/>
      </w:pPr>
      <w:bookmarkStart w:id="25" w:name="_Toc145331846"/>
      <w:r>
        <w:t>2.2</w:t>
      </w:r>
      <w:r>
        <w:tab/>
      </w:r>
      <w:r w:rsidR="004248FF">
        <w:t>La collaboration avec les peuples autochtones</w:t>
      </w:r>
      <w:bookmarkEnd w:id="25"/>
    </w:p>
    <w:p w14:paraId="7FC9EBF1" w14:textId="2135C54F" w:rsidR="00742DE8" w:rsidRPr="00D149E6" w:rsidRDefault="00742DE8" w:rsidP="0097791A">
      <w:pPr>
        <w:pStyle w:val="Paragraphe"/>
        <w:rPr>
          <w:lang w:val="fr-CA"/>
        </w:rPr>
      </w:pPr>
      <w:r w:rsidRPr="004207A5">
        <w:rPr>
          <w:lang w:val="fr-CA"/>
        </w:rPr>
        <w:t>Le projet de loi prévoit à l’article</w:t>
      </w:r>
      <w:r w:rsidR="004429E1" w:rsidRPr="004207A5">
        <w:rPr>
          <w:lang w:val="fr-CA"/>
        </w:rPr>
        <w:t> </w:t>
      </w:r>
      <w:r w:rsidRPr="004207A5">
        <w:rPr>
          <w:lang w:val="fr-CA"/>
        </w:rPr>
        <w:t>1, al. 1, par. 2</w:t>
      </w:r>
      <w:r w:rsidRPr="004207A5">
        <w:rPr>
          <w:vertAlign w:val="superscript"/>
          <w:lang w:val="fr-CA"/>
        </w:rPr>
        <w:t xml:space="preserve">o </w:t>
      </w:r>
      <w:r w:rsidRPr="004207A5">
        <w:rPr>
          <w:lang w:val="fr-CA"/>
        </w:rPr>
        <w:t>que « tout établissement</w:t>
      </w:r>
      <w:r w:rsidRPr="004207A5">
        <w:rPr>
          <w:vertAlign w:val="superscript"/>
          <w:lang w:val="fr-CA"/>
        </w:rPr>
        <w:t xml:space="preserve"> </w:t>
      </w:r>
      <w:r w:rsidRPr="004207A5">
        <w:rPr>
          <w:lang w:val="fr-CA"/>
        </w:rPr>
        <w:t xml:space="preserve">doit adopter des pratiques sécurisantes […] notamment en favorisant le partenariat avec les autochtones ainsi qu’une communication efficace avec eux ». </w:t>
      </w:r>
      <w:r w:rsidRPr="00C84C0A">
        <w:rPr>
          <w:lang w:val="fr-CA"/>
        </w:rPr>
        <w:t>Or, dans la mesure où le projet de loi ne fait pas référence au droit à l’autodétermination des peuples autochtones, il n’est pas clair ici à quoi renvoie le terme partenariat</w:t>
      </w:r>
      <w:r w:rsidRPr="00C84C0A" w:rsidDel="00174FE4">
        <w:rPr>
          <w:lang w:val="fr-CA"/>
        </w:rPr>
        <w:t>.</w:t>
      </w:r>
      <w:r w:rsidRPr="00C84C0A">
        <w:rPr>
          <w:lang w:val="fr-CA"/>
        </w:rPr>
        <w:t xml:space="preserve"> </w:t>
      </w:r>
      <w:r w:rsidRPr="00D149E6">
        <w:rPr>
          <w:lang w:val="fr-CA"/>
        </w:rPr>
        <w:t>S’agit-il de la relation entre la personne qui reçoit un service et le prestataire de services ou, plus largement</w:t>
      </w:r>
      <w:r w:rsidR="00007EFA">
        <w:rPr>
          <w:lang w:val="fr-CA"/>
        </w:rPr>
        <w:t xml:space="preserve">, </w:t>
      </w:r>
      <w:r w:rsidRPr="00D149E6">
        <w:rPr>
          <w:lang w:val="fr-CA"/>
        </w:rPr>
        <w:t xml:space="preserve">de partenariats entre les établissements du </w:t>
      </w:r>
      <w:r w:rsidR="00F94942">
        <w:rPr>
          <w:lang w:val="fr-CA"/>
        </w:rPr>
        <w:t>RSSS</w:t>
      </w:r>
      <w:r w:rsidRPr="00D149E6">
        <w:rPr>
          <w:lang w:val="fr-CA"/>
        </w:rPr>
        <w:t xml:space="preserve"> et les autorités autochtones</w:t>
      </w:r>
      <w:r w:rsidR="00C566CC" w:rsidRPr="00D149E6">
        <w:rPr>
          <w:lang w:val="fr-CA"/>
        </w:rPr>
        <w:t> </w:t>
      </w:r>
      <w:r w:rsidRPr="00D149E6">
        <w:rPr>
          <w:lang w:val="fr-CA"/>
        </w:rPr>
        <w:t>?</w:t>
      </w:r>
    </w:p>
    <w:p w14:paraId="6B194AF7" w14:textId="6A5AB1EB" w:rsidR="004248FF" w:rsidRPr="00CD58C4" w:rsidRDefault="004248FF" w:rsidP="004248FF">
      <w:pPr>
        <w:pStyle w:val="Paragraphe"/>
        <w:rPr>
          <w:color w:val="auto"/>
          <w:lang w:val="fr-CA"/>
        </w:rPr>
      </w:pPr>
      <w:r w:rsidRPr="00CD58C4">
        <w:rPr>
          <w:color w:val="auto"/>
          <w:lang w:val="fr-CA"/>
        </w:rPr>
        <w:t>Il est reconnu dans la littérature sur l’instauration de l’approche de sécurisation culturelle que la collaboration et le développement de partenariats avec les autorités et communautés autochtones sont essentiels au développement d’initiatives et de programmes visant la sécurisation culturelle</w:t>
      </w:r>
      <w:r w:rsidRPr="00CD58C4">
        <w:rPr>
          <w:rStyle w:val="Appelnotedebasdep"/>
          <w:color w:val="auto"/>
          <w:lang w:val="fr-CA"/>
        </w:rPr>
        <w:footnoteReference w:id="41"/>
      </w:r>
      <w:r w:rsidRPr="00CD58C4">
        <w:rPr>
          <w:color w:val="auto"/>
          <w:lang w:val="fr-CA"/>
        </w:rPr>
        <w:t xml:space="preserve">. </w:t>
      </w:r>
      <w:r>
        <w:rPr>
          <w:color w:val="auto"/>
          <w:lang w:val="fr-CA"/>
        </w:rPr>
        <w:t xml:space="preserve">La collaboration avec les autorités autochtones est </w:t>
      </w:r>
      <w:r w:rsidR="00EA446F">
        <w:rPr>
          <w:color w:val="auto"/>
          <w:lang w:val="fr-CA"/>
        </w:rPr>
        <w:t>égal</w:t>
      </w:r>
      <w:r w:rsidR="00006C2D">
        <w:rPr>
          <w:color w:val="auto"/>
          <w:lang w:val="fr-CA"/>
        </w:rPr>
        <w:t>ement</w:t>
      </w:r>
      <w:r>
        <w:rPr>
          <w:color w:val="auto"/>
          <w:lang w:val="fr-CA"/>
        </w:rPr>
        <w:t xml:space="preserve"> un élément incontournable de nombreux </w:t>
      </w:r>
      <w:r w:rsidRPr="00CD58C4">
        <w:rPr>
          <w:color w:val="auto"/>
          <w:lang w:val="fr-CA"/>
        </w:rPr>
        <w:t>appels à l’action de la Commission Viens</w:t>
      </w:r>
      <w:r>
        <w:rPr>
          <w:color w:val="auto"/>
          <w:lang w:val="fr-CA"/>
        </w:rPr>
        <w:t> :</w:t>
      </w:r>
      <w:r w:rsidRPr="00CD58C4">
        <w:rPr>
          <w:color w:val="auto"/>
          <w:lang w:val="fr-CA"/>
        </w:rPr>
        <w:t xml:space="preserve"> </w:t>
      </w:r>
    </w:p>
    <w:p w14:paraId="445DDA9E" w14:textId="77777777" w:rsidR="004248FF" w:rsidRPr="00CD58C4" w:rsidRDefault="004248FF" w:rsidP="004248FF">
      <w:pPr>
        <w:pStyle w:val="Citation"/>
      </w:pPr>
      <w:r w:rsidRPr="00CD58C4">
        <w:t xml:space="preserve">« Par ailleurs, nourris par un profond désir d’ouverture, les appels à l’action mis de l’avant encourageront, aussi souvent que possible, les actions concertées entre les acteurs des mondes autochtones et des services publics. Ils privilégieront également le dialogue. </w:t>
      </w:r>
      <w:r w:rsidRPr="00CD58C4">
        <w:rPr>
          <w:u w:val="single"/>
        </w:rPr>
        <w:t>Il ne s’agit pas de mettre de l’avant des solutions pour les peuples autochtones, mais plutôt de collaborer avec eux à la mise en place de façons de faire respectueuses à la fois des droits individuels et ancestraux.</w:t>
      </w:r>
      <w:r w:rsidRPr="00CD58C4">
        <w:t> »</w:t>
      </w:r>
      <w:r w:rsidRPr="00CD58C4">
        <w:rPr>
          <w:rStyle w:val="Appelnotedebasdep"/>
        </w:rPr>
        <w:footnoteReference w:id="42"/>
      </w:r>
      <w:r w:rsidRPr="00CD58C4">
        <w:t xml:space="preserve"> </w:t>
      </w:r>
      <w:r>
        <w:t>(Nos soulignements)</w:t>
      </w:r>
    </w:p>
    <w:p w14:paraId="0318130A" w14:textId="0767C946" w:rsidR="004248FF" w:rsidRPr="00CD58C4" w:rsidRDefault="004F6235" w:rsidP="004248FF">
      <w:pPr>
        <w:pStyle w:val="Paragraphe"/>
        <w:rPr>
          <w:color w:val="auto"/>
          <w:lang w:val="fr-CA"/>
        </w:rPr>
      </w:pPr>
      <w:r>
        <w:rPr>
          <w:color w:val="auto"/>
          <w:lang w:val="fr-CA"/>
        </w:rPr>
        <w:lastRenderedPageBreak/>
        <w:t>L</w:t>
      </w:r>
      <w:r w:rsidR="004248FF" w:rsidRPr="00CD58C4">
        <w:rPr>
          <w:color w:val="auto"/>
          <w:lang w:val="fr-CA"/>
        </w:rPr>
        <w:t xml:space="preserve">a Commission </w:t>
      </w:r>
      <w:r>
        <w:rPr>
          <w:color w:val="auto"/>
          <w:lang w:val="fr-CA"/>
        </w:rPr>
        <w:t xml:space="preserve">a </w:t>
      </w:r>
      <w:r w:rsidR="00955990">
        <w:rPr>
          <w:color w:val="auto"/>
          <w:lang w:val="fr-CA"/>
        </w:rPr>
        <w:t xml:space="preserve">reconnu l’importance </w:t>
      </w:r>
      <w:r w:rsidR="004F2EE2">
        <w:rPr>
          <w:color w:val="auto"/>
          <w:lang w:val="fr-CA"/>
        </w:rPr>
        <w:t xml:space="preserve">de cette collaboration, </w:t>
      </w:r>
      <w:r w:rsidR="00391F71">
        <w:rPr>
          <w:color w:val="auto"/>
          <w:lang w:val="fr-CA"/>
        </w:rPr>
        <w:t xml:space="preserve">rappelant notamment </w:t>
      </w:r>
      <w:r w:rsidR="000B0C4C">
        <w:rPr>
          <w:color w:val="auto"/>
          <w:lang w:val="fr-CA"/>
        </w:rPr>
        <w:t>l’</w:t>
      </w:r>
      <w:r w:rsidR="004248FF" w:rsidRPr="00CD58C4">
        <w:rPr>
          <w:color w:val="auto"/>
          <w:lang w:val="fr-CA"/>
        </w:rPr>
        <w:t xml:space="preserve">appel à l’action </w:t>
      </w:r>
      <w:r w:rsidR="00391F71">
        <w:rPr>
          <w:color w:val="auto"/>
          <w:lang w:val="fr-CA"/>
        </w:rPr>
        <w:t>n</w:t>
      </w:r>
      <w:r w:rsidR="00391F71" w:rsidRPr="00391F71">
        <w:rPr>
          <w:color w:val="auto"/>
          <w:vertAlign w:val="superscript"/>
          <w:lang w:val="fr-CA"/>
        </w:rPr>
        <w:t>o</w:t>
      </w:r>
      <w:r w:rsidR="004429E1">
        <w:rPr>
          <w:color w:val="auto"/>
          <w:lang w:val="fr-CA"/>
        </w:rPr>
        <w:t> </w:t>
      </w:r>
      <w:r w:rsidR="00391F71">
        <w:rPr>
          <w:color w:val="auto"/>
          <w:lang w:val="fr-CA"/>
        </w:rPr>
        <w:t xml:space="preserve">98 </w:t>
      </w:r>
      <w:r w:rsidR="004248FF" w:rsidRPr="00CD58C4">
        <w:rPr>
          <w:color w:val="auto"/>
          <w:lang w:val="fr-CA"/>
        </w:rPr>
        <w:t>de la Commission Viens concernant l’établissement de corridors de services et de protocoles de communication clairs avec les autorités autochtones</w:t>
      </w:r>
      <w:bookmarkStart w:id="26" w:name="_Ref144806562"/>
      <w:r w:rsidR="00837445">
        <w:rPr>
          <w:rStyle w:val="Appelnotedebasdep"/>
          <w:color w:val="auto"/>
          <w:lang w:val="fr-CA"/>
        </w:rPr>
        <w:footnoteReference w:id="43"/>
      </w:r>
      <w:bookmarkEnd w:id="26"/>
      <w:r w:rsidR="004248FF" w:rsidRPr="00CD58C4">
        <w:rPr>
          <w:color w:val="auto"/>
          <w:lang w:val="fr-CA"/>
        </w:rPr>
        <w:t>.</w:t>
      </w:r>
    </w:p>
    <w:p w14:paraId="6D01271A" w14:textId="5580C153" w:rsidR="004248FF" w:rsidRPr="00FB66CD" w:rsidRDefault="004248FF" w:rsidP="00FB66CD">
      <w:pPr>
        <w:pStyle w:val="Paragraphe"/>
        <w:rPr>
          <w:color w:val="auto"/>
          <w:lang w:val="fr-CA"/>
        </w:rPr>
      </w:pPr>
      <w:r w:rsidRPr="00FB66CD">
        <w:rPr>
          <w:lang w:val="fr-CA"/>
        </w:rPr>
        <w:t>Ces pratiques s’inscrivent dans l’esprit de l’obligation dévolue à l’État d’élaborer des politiques sur les soins de santé dans le respect de l’article</w:t>
      </w:r>
      <w:r w:rsidR="004429E1">
        <w:rPr>
          <w:lang w:val="fr-CA"/>
        </w:rPr>
        <w:t> </w:t>
      </w:r>
      <w:r w:rsidRPr="00FB66CD">
        <w:rPr>
          <w:lang w:val="fr-CA"/>
        </w:rPr>
        <w:t xml:space="preserve">12 du </w:t>
      </w:r>
      <w:r w:rsidRPr="00FB66CD">
        <w:rPr>
          <w:i/>
          <w:iCs/>
          <w:lang w:val="fr-CA"/>
        </w:rPr>
        <w:t>Pacte international relatif aux droits économiques, sociaux et culturels</w:t>
      </w:r>
      <w:r w:rsidR="006436BC" w:rsidRPr="009E13F8">
        <w:rPr>
          <w:rStyle w:val="Appelnotedebasdep"/>
          <w:lang w:val="fr-CA"/>
        </w:rPr>
        <w:footnoteReference w:id="44"/>
      </w:r>
      <w:r w:rsidRPr="00FB66CD">
        <w:rPr>
          <w:lang w:val="fr-CA"/>
        </w:rPr>
        <w:t xml:space="preserve"> qui porte sur le droit de participer à la prise de décisions et de l’article</w:t>
      </w:r>
      <w:r w:rsidR="004429E1">
        <w:rPr>
          <w:lang w:val="fr-CA"/>
        </w:rPr>
        <w:t> </w:t>
      </w:r>
      <w:r w:rsidRPr="00FB66CD">
        <w:rPr>
          <w:lang w:val="fr-CA"/>
        </w:rPr>
        <w:t xml:space="preserve">23 de la </w:t>
      </w:r>
      <w:r w:rsidR="00FD080D" w:rsidRPr="00282B8C">
        <w:rPr>
          <w:lang w:val="fr-CA"/>
        </w:rPr>
        <w:t>DNUDPA</w:t>
      </w:r>
      <w:r w:rsidRPr="008846E5">
        <w:rPr>
          <w:rStyle w:val="Appelnotedebasdep"/>
        </w:rPr>
        <w:footnoteReference w:id="45"/>
      </w:r>
      <w:r w:rsidRPr="00FB66CD">
        <w:rPr>
          <w:lang w:val="fr-CA"/>
        </w:rPr>
        <w:t>.</w:t>
      </w:r>
    </w:p>
    <w:p w14:paraId="7730CDB5" w14:textId="76B5C786" w:rsidR="004248FF" w:rsidRDefault="00A0549D" w:rsidP="004248FF">
      <w:pPr>
        <w:pStyle w:val="Paragraphe"/>
        <w:rPr>
          <w:color w:val="auto"/>
          <w:lang w:val="fr-CA"/>
        </w:rPr>
      </w:pPr>
      <w:r>
        <w:rPr>
          <w:color w:val="auto"/>
          <w:lang w:val="fr-CA"/>
        </w:rPr>
        <w:t>Ainsi, l</w:t>
      </w:r>
      <w:r w:rsidR="004248FF" w:rsidRPr="00CD58C4">
        <w:rPr>
          <w:color w:val="auto"/>
          <w:lang w:val="fr-CA"/>
        </w:rPr>
        <w:t xml:space="preserve">a Commission </w:t>
      </w:r>
      <w:r w:rsidR="004248FF">
        <w:rPr>
          <w:color w:val="auto"/>
          <w:lang w:val="fr-CA"/>
        </w:rPr>
        <w:t xml:space="preserve">estime que le projet </w:t>
      </w:r>
      <w:r w:rsidR="00983AA2">
        <w:rPr>
          <w:color w:val="auto"/>
          <w:lang w:val="fr-CA"/>
        </w:rPr>
        <w:t xml:space="preserve">de loi </w:t>
      </w:r>
      <w:r w:rsidR="004248FF">
        <w:rPr>
          <w:color w:val="auto"/>
          <w:lang w:val="fr-CA"/>
        </w:rPr>
        <w:t xml:space="preserve">devrait </w:t>
      </w:r>
      <w:r w:rsidR="004248FF" w:rsidRPr="00CD58C4">
        <w:rPr>
          <w:color w:val="auto"/>
          <w:lang w:val="fr-CA"/>
        </w:rPr>
        <w:t>préciser la nature des partenariats visés</w:t>
      </w:r>
      <w:r w:rsidR="004248FF">
        <w:rPr>
          <w:color w:val="auto"/>
          <w:lang w:val="fr-CA"/>
        </w:rPr>
        <w:t xml:space="preserve"> en les inscrivant dans le prolongement du droit à la participation des peuples autochtones dans les décisions qui les concernent.</w:t>
      </w:r>
    </w:p>
    <w:p w14:paraId="265087CD" w14:textId="24F3C696" w:rsidR="004248FF" w:rsidRDefault="004248FF" w:rsidP="0039744C">
      <w:pPr>
        <w:pStyle w:val="TitreRecommandation"/>
      </w:pPr>
      <w:r>
        <w:t>RECOMMANDATION</w:t>
      </w:r>
      <w:r w:rsidR="00633A95">
        <w:rPr>
          <w:rFonts w:hint="eastAsia"/>
        </w:rPr>
        <w:t> </w:t>
      </w:r>
      <w:r w:rsidR="000228E5">
        <w:t>3</w:t>
      </w:r>
    </w:p>
    <w:p w14:paraId="38AA0AC3" w14:textId="7804C67C" w:rsidR="002B63C9" w:rsidRPr="002B63C9" w:rsidRDefault="004248FF" w:rsidP="0097791A">
      <w:pPr>
        <w:pStyle w:val="Texterecommandation"/>
        <w:ind w:left="706"/>
      </w:pPr>
      <w:bookmarkStart w:id="27" w:name="_Hlk145324245"/>
      <w:r w:rsidRPr="00127CCA">
        <w:t>La Commission recommande de préciser, à l’article</w:t>
      </w:r>
      <w:r w:rsidR="00633A95">
        <w:rPr>
          <w:rFonts w:hint="eastAsia"/>
        </w:rPr>
        <w:t> </w:t>
      </w:r>
      <w:r w:rsidRPr="00127CCA">
        <w:t>1, al. 1, par. 2</w:t>
      </w:r>
      <w:r w:rsidRPr="00F861DB">
        <w:rPr>
          <w:vertAlign w:val="superscript"/>
        </w:rPr>
        <w:t>o</w:t>
      </w:r>
      <w:r w:rsidRPr="00127CCA">
        <w:t xml:space="preserve"> du projet de loi, la nature </w:t>
      </w:r>
      <w:r>
        <w:t>«</w:t>
      </w:r>
      <w:r w:rsidR="009F5659">
        <w:t> </w:t>
      </w:r>
      <w:r w:rsidRPr="00127CCA">
        <w:t>des partenariats que tout établissement doit adopter avec les autochtones</w:t>
      </w:r>
      <w:r w:rsidR="009F5659">
        <w:t> </w:t>
      </w:r>
      <w:r>
        <w:t xml:space="preserve">», et ce, dans le sens du droit à la participation des peuples autochtones </w:t>
      </w:r>
      <w:r w:rsidR="0060203E">
        <w:t xml:space="preserve">dans les </w:t>
      </w:r>
      <w:r>
        <w:t>décisions qui les concernent</w:t>
      </w:r>
      <w:r w:rsidRPr="00127CCA">
        <w:t>.</w:t>
      </w:r>
    </w:p>
    <w:p w14:paraId="36925A23" w14:textId="3737B316" w:rsidR="00541728" w:rsidRPr="00E76BDB" w:rsidRDefault="0016191A" w:rsidP="00E4721C">
      <w:pPr>
        <w:pStyle w:val="Titre2"/>
      </w:pPr>
      <w:bookmarkStart w:id="28" w:name="_Toc145331847"/>
      <w:bookmarkEnd w:id="27"/>
      <w:r>
        <w:t>2.3</w:t>
      </w:r>
      <w:r>
        <w:tab/>
      </w:r>
      <w:r w:rsidR="00541728" w:rsidRPr="00E76BDB">
        <w:t>L</w:t>
      </w:r>
      <w:r w:rsidR="00541728">
        <w:t xml:space="preserve">e racisme </w:t>
      </w:r>
      <w:r w:rsidR="00A41884">
        <w:t xml:space="preserve">et la </w:t>
      </w:r>
      <w:r w:rsidR="00C86376">
        <w:t xml:space="preserve">discrimination </w:t>
      </w:r>
      <w:r w:rsidR="00541728">
        <w:t>systémiques vécus par les personnes autochtones</w:t>
      </w:r>
      <w:bookmarkEnd w:id="28"/>
    </w:p>
    <w:p w14:paraId="16DD592A" w14:textId="77777777" w:rsidR="00FB041E" w:rsidRDefault="00541728" w:rsidP="005345D9">
      <w:pPr>
        <w:pStyle w:val="Paragraphe"/>
        <w:rPr>
          <w:lang w:val="fr-CA"/>
        </w:rPr>
      </w:pPr>
      <w:r w:rsidRPr="001D5F65">
        <w:rPr>
          <w:lang w:val="fr-CA"/>
        </w:rPr>
        <w:t>L’approche de sécurisation culturelle doit être comprise comme étant un outil de correction des inégalités de santé et de prévention de situation</w:t>
      </w:r>
      <w:r w:rsidR="00A23664" w:rsidRPr="001D5F65">
        <w:rPr>
          <w:lang w:val="fr-CA"/>
        </w:rPr>
        <w:t>s</w:t>
      </w:r>
      <w:r w:rsidRPr="001D5F65">
        <w:rPr>
          <w:lang w:val="fr-CA"/>
        </w:rPr>
        <w:t xml:space="preserve"> de discrimination. </w:t>
      </w:r>
      <w:r w:rsidR="00985A8E" w:rsidRPr="001D5F65">
        <w:rPr>
          <w:rFonts w:eastAsia="Calibri"/>
          <w:lang w:val="fr-CA"/>
        </w:rPr>
        <w:t>C</w:t>
      </w:r>
      <w:r w:rsidR="001F6E3A" w:rsidRPr="001D5F65">
        <w:rPr>
          <w:rFonts w:eastAsia="Calibri"/>
          <w:lang w:val="fr-CA"/>
        </w:rPr>
        <w:t>’</w:t>
      </w:r>
      <w:r w:rsidR="00985A8E" w:rsidRPr="001D5F65">
        <w:rPr>
          <w:rFonts w:eastAsia="Calibri"/>
          <w:lang w:val="fr-CA"/>
        </w:rPr>
        <w:t>e</w:t>
      </w:r>
      <w:r w:rsidR="001F6E3A" w:rsidRPr="001D5F65">
        <w:rPr>
          <w:rFonts w:eastAsia="Calibri"/>
          <w:lang w:val="fr-CA"/>
        </w:rPr>
        <w:t xml:space="preserve">st ainsi que le Centre de collaboration nationale de la santé autochtone </w:t>
      </w:r>
      <w:r w:rsidR="00985A8E" w:rsidRPr="001D5F65">
        <w:rPr>
          <w:rFonts w:eastAsia="Calibri"/>
          <w:lang w:val="fr-CA"/>
        </w:rPr>
        <w:t>définit la sécurisation culturelle en mettant l’accent sur les relations de pouvoirs</w:t>
      </w:r>
      <w:r w:rsidR="001F6E3A" w:rsidRPr="001D5F65">
        <w:rPr>
          <w:rFonts w:eastAsia="Calibri"/>
          <w:lang w:val="fr-CA"/>
        </w:rPr>
        <w:t xml:space="preserve"> empreintes de racisme et de colonialisme : </w:t>
      </w:r>
      <w:r w:rsidR="00985A8E" w:rsidRPr="001D5F65">
        <w:rPr>
          <w:lang w:val="fr-CA"/>
        </w:rPr>
        <w:t>«</w:t>
      </w:r>
      <w:r w:rsidR="009F5659">
        <w:rPr>
          <w:lang w:val="fr-CA"/>
        </w:rPr>
        <w:t> </w:t>
      </w:r>
      <w:r w:rsidR="00985A8E" w:rsidRPr="001D5F65">
        <w:rPr>
          <w:lang w:val="fr-CA"/>
        </w:rPr>
        <w:t>Cette insécurité découle de facteurs coloniaux et historiques qui façonnent les préjugés systémiques actuels et perpétuent les déséquilibres de pouvoir entre les prestataires de soins et les clients autochtones</w:t>
      </w:r>
      <w:r w:rsidR="009F5659">
        <w:rPr>
          <w:lang w:val="fr-CA"/>
        </w:rPr>
        <w:t> </w:t>
      </w:r>
      <w:r w:rsidR="001F6E3A" w:rsidRPr="001D5F65">
        <w:rPr>
          <w:lang w:val="fr-CA"/>
        </w:rPr>
        <w:t>»</w:t>
      </w:r>
      <w:r w:rsidR="001E4A31">
        <w:rPr>
          <w:rStyle w:val="Appelnotedebasdep"/>
        </w:rPr>
        <w:footnoteReference w:id="46"/>
      </w:r>
      <w:r w:rsidR="001E4A31" w:rsidRPr="001D5F65">
        <w:rPr>
          <w:lang w:val="fr-CA"/>
        </w:rPr>
        <w:t>.</w:t>
      </w:r>
      <w:r w:rsidR="00E3205B" w:rsidRPr="001D5F65">
        <w:rPr>
          <w:lang w:val="fr-CA"/>
        </w:rPr>
        <w:t xml:space="preserve"> </w:t>
      </w:r>
    </w:p>
    <w:p w14:paraId="66F21113" w14:textId="1418CF82" w:rsidR="005345D9" w:rsidRPr="005345D9" w:rsidRDefault="005345D9" w:rsidP="005345D9">
      <w:pPr>
        <w:pStyle w:val="Paragraphe"/>
        <w:rPr>
          <w:lang w:val="fr-CA"/>
        </w:rPr>
      </w:pPr>
      <w:r w:rsidRPr="00CA7873">
        <w:rPr>
          <w:lang w:val="fr-CA"/>
        </w:rPr>
        <w:lastRenderedPageBreak/>
        <w:t xml:space="preserve">Plusieurs travaux ont documenté le fait que l’exposition à des pratiques discriminatoires dans le RSSS a des effets néfastes sur la santé des personnes et des communautés autochtones </w:t>
      </w:r>
      <w:r w:rsidRPr="00533C72">
        <w:rPr>
          <w:lang w:val="fr-CA"/>
        </w:rPr>
        <w:t>puisqu’elle participe au maintien d’un sentiment d’insécurité et de méfiance</w:t>
      </w:r>
      <w:r w:rsidRPr="00533C72">
        <w:rPr>
          <w:rStyle w:val="Appelnotedebasdep"/>
          <w:lang w:val="fr-CA"/>
        </w:rPr>
        <w:footnoteReference w:id="47"/>
      </w:r>
      <w:r w:rsidRPr="00533C72">
        <w:rPr>
          <w:lang w:val="fr-CA"/>
        </w:rPr>
        <w:t>. Ce sentiment se traduit notamment par une utilisation moindre et retardée des services, contribuant à creuser les inégalités de santé.</w:t>
      </w:r>
    </w:p>
    <w:p w14:paraId="6D5B75A5" w14:textId="2058B42A" w:rsidR="00C775BD" w:rsidRPr="00533C72" w:rsidRDefault="008B0BD8" w:rsidP="00533C72">
      <w:pPr>
        <w:pStyle w:val="Paragraphe"/>
        <w:rPr>
          <w:lang w:val="fr-CA"/>
        </w:rPr>
      </w:pPr>
      <w:r w:rsidRPr="00533C72">
        <w:rPr>
          <w:lang w:val="fr-CA"/>
        </w:rPr>
        <w:t xml:space="preserve">Ces inégalités sont </w:t>
      </w:r>
      <w:r w:rsidR="006C77A8" w:rsidRPr="00533C72">
        <w:rPr>
          <w:lang w:val="fr-CA"/>
        </w:rPr>
        <w:t>largement tri</w:t>
      </w:r>
      <w:r w:rsidR="006C77A8">
        <w:rPr>
          <w:lang w:val="fr-CA"/>
        </w:rPr>
        <w:t xml:space="preserve">butaires de </w:t>
      </w:r>
      <w:r w:rsidR="000724F4">
        <w:rPr>
          <w:lang w:val="fr-CA"/>
        </w:rPr>
        <w:t>déterminants sociaux :</w:t>
      </w:r>
    </w:p>
    <w:p w14:paraId="42CB9F3C" w14:textId="38483F05" w:rsidR="007D6CC0" w:rsidRPr="007D6CC0" w:rsidRDefault="00623A87" w:rsidP="00533C72">
      <w:pPr>
        <w:pStyle w:val="Citation"/>
      </w:pPr>
      <w:r>
        <w:t>«</w:t>
      </w:r>
      <w:r w:rsidR="001C4421">
        <w:t> </w:t>
      </w:r>
      <w:r w:rsidR="007D6CC0" w:rsidRPr="00533C72">
        <w:t>Les </w:t>
      </w:r>
      <w:r w:rsidR="007D6CC0" w:rsidRPr="00533C72">
        <w:rPr>
          <w:rStyle w:val="lev"/>
          <w:b w:val="0"/>
        </w:rPr>
        <w:t>déterminants sociaux de la santé</w:t>
      </w:r>
      <w:r w:rsidR="007D6CC0" w:rsidRPr="00533C72">
        <w:t> englobent des facteurs sociaux et économiques particuliers des déterminants généraux de la santé. Ces facteurs sont associés à la place de l</w:t>
      </w:r>
      <w:r w:rsidR="00B2090A">
        <w:t>’</w:t>
      </w:r>
      <w:r w:rsidR="007D6CC0" w:rsidRPr="00533C72">
        <w:t>individu dans la société, que ce soit en fonction du revenu, de l</w:t>
      </w:r>
      <w:r w:rsidR="00B2090A">
        <w:t>’</w:t>
      </w:r>
      <w:r w:rsidR="007D6CC0" w:rsidRPr="00533C72">
        <w:t>éducation ou de l</w:t>
      </w:r>
      <w:r w:rsidR="00B2090A">
        <w:t>’</w:t>
      </w:r>
      <w:r w:rsidR="007D6CC0" w:rsidRPr="00533C72">
        <w:t>emploi. L</w:t>
      </w:r>
      <w:r w:rsidR="00B2090A">
        <w:t>’</w:t>
      </w:r>
      <w:r w:rsidR="007D6CC0" w:rsidRPr="00533C72">
        <w:t>expérience de discrimination ou de racisme ou d</w:t>
      </w:r>
      <w:r w:rsidR="00B2090A">
        <w:t>’</w:t>
      </w:r>
      <w:r w:rsidR="007D6CC0" w:rsidRPr="00533C72">
        <w:t>un traumatisme historique est un important déterminant social de la santé pour certains groupes comme les peuples autochtones, la communauté LGBTQ et les communautés noires.</w:t>
      </w:r>
      <w:r w:rsidR="001C4421">
        <w:t> </w:t>
      </w:r>
      <w:r>
        <w:t>»</w:t>
      </w:r>
      <w:r w:rsidR="00533C72">
        <w:rPr>
          <w:rStyle w:val="Appelnotedebasdep"/>
        </w:rPr>
        <w:footnoteReference w:id="48"/>
      </w:r>
    </w:p>
    <w:p w14:paraId="3E79F70C" w14:textId="62506A21" w:rsidR="00AB26B2" w:rsidRPr="001D5F65" w:rsidRDefault="008B0BD8" w:rsidP="005345D9">
      <w:pPr>
        <w:pStyle w:val="Paragraphe"/>
        <w:rPr>
          <w:lang w:val="fr-CA"/>
        </w:rPr>
      </w:pPr>
      <w:r>
        <w:rPr>
          <w:lang w:val="fr-CA"/>
        </w:rPr>
        <w:t xml:space="preserve">Les </w:t>
      </w:r>
      <w:r w:rsidR="005345D9" w:rsidRPr="005345D9">
        <w:rPr>
          <w:lang w:val="fr-CA"/>
        </w:rPr>
        <w:t>conditions socioéconomiques</w:t>
      </w:r>
      <w:r w:rsidR="00A2742E">
        <w:rPr>
          <w:lang w:val="fr-CA"/>
        </w:rPr>
        <w:t xml:space="preserve">, </w:t>
      </w:r>
      <w:r w:rsidR="00DE6CC9">
        <w:rPr>
          <w:lang w:val="fr-CA"/>
        </w:rPr>
        <w:t>l’expérience du racisme et de la discrimination</w:t>
      </w:r>
      <w:r>
        <w:rPr>
          <w:lang w:val="fr-CA"/>
        </w:rPr>
        <w:t>,</w:t>
      </w:r>
      <w:r w:rsidR="000E092C">
        <w:rPr>
          <w:lang w:val="fr-CA"/>
        </w:rPr>
        <w:t xml:space="preserve"> </w:t>
      </w:r>
      <w:r>
        <w:rPr>
          <w:lang w:val="fr-CA"/>
        </w:rPr>
        <w:t>les</w:t>
      </w:r>
      <w:r w:rsidR="005345D9" w:rsidRPr="005345D9">
        <w:rPr>
          <w:lang w:val="fr-CA"/>
        </w:rPr>
        <w:t xml:space="preserve"> traumas </w:t>
      </w:r>
      <w:r>
        <w:rPr>
          <w:lang w:val="fr-CA"/>
        </w:rPr>
        <w:t>collectifs</w:t>
      </w:r>
      <w:r w:rsidR="00623A87">
        <w:rPr>
          <w:lang w:val="fr-CA"/>
        </w:rPr>
        <w:t xml:space="preserve"> et </w:t>
      </w:r>
      <w:r w:rsidR="00623A87" w:rsidRPr="005345D9">
        <w:rPr>
          <w:lang w:val="fr-CA"/>
        </w:rPr>
        <w:t>l’organisation inéquitable des services découlant du colonialisme</w:t>
      </w:r>
      <w:r w:rsidR="00623A87">
        <w:rPr>
          <w:lang w:val="fr-CA"/>
        </w:rPr>
        <w:t xml:space="preserve"> </w:t>
      </w:r>
      <w:r w:rsidR="000724F4">
        <w:rPr>
          <w:lang w:val="fr-CA"/>
        </w:rPr>
        <w:t>sont en effet reconnu</w:t>
      </w:r>
      <w:r w:rsidR="006F62F6">
        <w:rPr>
          <w:lang w:val="fr-CA"/>
        </w:rPr>
        <w:t>s</w:t>
      </w:r>
      <w:r w:rsidR="000724F4">
        <w:rPr>
          <w:lang w:val="fr-CA"/>
        </w:rPr>
        <w:t xml:space="preserve"> comme </w:t>
      </w:r>
      <w:r w:rsidR="00533C72">
        <w:rPr>
          <w:lang w:val="fr-CA"/>
        </w:rPr>
        <w:t>faisant obstacle</w:t>
      </w:r>
      <w:r w:rsidR="00FB7F42">
        <w:rPr>
          <w:lang w:val="fr-CA"/>
        </w:rPr>
        <w:t xml:space="preserve"> à la santé des </w:t>
      </w:r>
      <w:r w:rsidR="00533C72">
        <w:rPr>
          <w:lang w:val="fr-CA"/>
        </w:rPr>
        <w:t>peuples autochtones</w:t>
      </w:r>
      <w:bookmarkStart w:id="29" w:name="_Ref145329013"/>
      <w:r w:rsidR="007F67DF" w:rsidRPr="005345D9">
        <w:rPr>
          <w:rStyle w:val="Appelnotedebasdep"/>
          <w:lang w:val="fr-CA"/>
        </w:rPr>
        <w:footnoteReference w:id="49"/>
      </w:r>
      <w:bookmarkEnd w:id="29"/>
      <w:r w:rsidR="000E092C">
        <w:rPr>
          <w:lang w:val="fr-CA"/>
        </w:rPr>
        <w:t>.</w:t>
      </w:r>
      <w:r w:rsidR="005345D9" w:rsidRPr="00A8472C">
        <w:rPr>
          <w:lang w:val="fr-CA"/>
        </w:rPr>
        <w:t xml:space="preserve"> </w:t>
      </w:r>
      <w:r w:rsidR="005345D9">
        <w:rPr>
          <w:lang w:val="fr-CA"/>
        </w:rPr>
        <w:t>L</w:t>
      </w:r>
      <w:r w:rsidR="00E3205B" w:rsidRPr="001D5F65">
        <w:rPr>
          <w:lang w:val="fr-CA"/>
        </w:rPr>
        <w:t xml:space="preserve">a Commission </w:t>
      </w:r>
      <w:r w:rsidR="0091195C">
        <w:rPr>
          <w:lang w:val="fr-CA"/>
        </w:rPr>
        <w:t xml:space="preserve">de </w:t>
      </w:r>
      <w:r w:rsidR="00E3205B" w:rsidRPr="001D5F65">
        <w:rPr>
          <w:lang w:val="fr-CA"/>
        </w:rPr>
        <w:t xml:space="preserve">vérité </w:t>
      </w:r>
      <w:r w:rsidR="0035527D">
        <w:rPr>
          <w:lang w:val="fr-CA"/>
        </w:rPr>
        <w:t xml:space="preserve">et </w:t>
      </w:r>
      <w:r w:rsidR="00E3205B" w:rsidRPr="001D5F65">
        <w:rPr>
          <w:lang w:val="fr-CA"/>
        </w:rPr>
        <w:t xml:space="preserve">réconciliation du Canada a </w:t>
      </w:r>
      <w:r w:rsidR="005345D9">
        <w:rPr>
          <w:lang w:val="fr-CA"/>
        </w:rPr>
        <w:t xml:space="preserve">d’ailleurs </w:t>
      </w:r>
      <w:r w:rsidR="00FD5FF1" w:rsidRPr="001D5F65">
        <w:rPr>
          <w:lang w:val="fr-CA"/>
        </w:rPr>
        <w:t xml:space="preserve">conclu </w:t>
      </w:r>
      <w:r w:rsidR="0067624A" w:rsidRPr="001D5F65">
        <w:rPr>
          <w:lang w:val="fr-CA"/>
        </w:rPr>
        <w:t>que la situation actuelle sur le plan de la santé des Autochtones au Canada est le résultat direct des politiques des précédents gouvernements canadiens, y compris en ce qui touche les pensionnats,</w:t>
      </w:r>
      <w:r w:rsidR="00262595" w:rsidRPr="001D5F65">
        <w:rPr>
          <w:lang w:val="fr-CA"/>
        </w:rPr>
        <w:t xml:space="preserve"> et</w:t>
      </w:r>
      <w:r w:rsidR="00F73285" w:rsidRPr="001D5F65">
        <w:rPr>
          <w:lang w:val="fr-CA"/>
        </w:rPr>
        <w:t xml:space="preserve"> elle a</w:t>
      </w:r>
      <w:r w:rsidR="0067624A" w:rsidRPr="001D5F65">
        <w:rPr>
          <w:lang w:val="fr-CA"/>
        </w:rPr>
        <w:t xml:space="preserve"> </w:t>
      </w:r>
      <w:r w:rsidR="00E3205B" w:rsidRPr="001D5F65">
        <w:rPr>
          <w:lang w:val="fr-CA"/>
        </w:rPr>
        <w:t xml:space="preserve">interpellé les </w:t>
      </w:r>
      <w:r w:rsidR="00E3205B" w:rsidRPr="001D5F65">
        <w:rPr>
          <w:lang w:val="fr-CA"/>
        </w:rPr>
        <w:lastRenderedPageBreak/>
        <w:t>gouvernements, fédéral et provincia</w:t>
      </w:r>
      <w:r w:rsidR="00EE5075">
        <w:rPr>
          <w:lang w:val="fr-CA"/>
        </w:rPr>
        <w:t>ux</w:t>
      </w:r>
      <w:r w:rsidR="0050775E" w:rsidRPr="001D5F65">
        <w:rPr>
          <w:lang w:val="fr-CA"/>
        </w:rPr>
        <w:t xml:space="preserve"> </w:t>
      </w:r>
      <w:r w:rsidR="00E3205B" w:rsidRPr="001D5F65">
        <w:rPr>
          <w:lang w:val="fr-CA"/>
        </w:rPr>
        <w:t xml:space="preserve">afin qu’ils </w:t>
      </w:r>
      <w:r w:rsidR="0050775E" w:rsidRPr="001D5F65">
        <w:rPr>
          <w:lang w:val="fr-CA"/>
        </w:rPr>
        <w:t xml:space="preserve">le </w:t>
      </w:r>
      <w:r w:rsidR="00E3205B" w:rsidRPr="001D5F65">
        <w:rPr>
          <w:lang w:val="fr-CA"/>
        </w:rPr>
        <w:t>reconnaissent</w:t>
      </w:r>
      <w:bookmarkStart w:id="30" w:name="_Ref144810045"/>
      <w:r w:rsidR="00E3205B">
        <w:rPr>
          <w:rStyle w:val="Appelnotedebasdep"/>
        </w:rPr>
        <w:footnoteReference w:id="50"/>
      </w:r>
      <w:bookmarkEnd w:id="30"/>
      <w:r w:rsidR="00E3205B" w:rsidRPr="001D5F65">
        <w:rPr>
          <w:lang w:val="fr-CA"/>
        </w:rPr>
        <w:t>.</w:t>
      </w:r>
      <w:r w:rsidR="007E030A">
        <w:rPr>
          <w:lang w:val="fr-CA"/>
        </w:rPr>
        <w:t xml:space="preserve"> Il est à cet égard </w:t>
      </w:r>
      <w:r w:rsidR="001A7E80">
        <w:rPr>
          <w:lang w:val="fr-CA"/>
        </w:rPr>
        <w:t xml:space="preserve">essentiel </w:t>
      </w:r>
      <w:r w:rsidR="002B6357">
        <w:rPr>
          <w:lang w:val="fr-CA"/>
        </w:rPr>
        <w:t xml:space="preserve">de reconnaître les inégalités de santé </w:t>
      </w:r>
      <w:r w:rsidR="009A6F9B">
        <w:rPr>
          <w:lang w:val="fr-CA"/>
        </w:rPr>
        <w:t>et d’</w:t>
      </w:r>
      <w:r w:rsidR="002B6357">
        <w:rPr>
          <w:lang w:val="fr-CA"/>
        </w:rPr>
        <w:t>agir sur le</w:t>
      </w:r>
      <w:r w:rsidR="00EA702F">
        <w:rPr>
          <w:lang w:val="fr-CA"/>
        </w:rPr>
        <w:t>s</w:t>
      </w:r>
      <w:r w:rsidR="006E304F">
        <w:rPr>
          <w:lang w:val="fr-CA"/>
        </w:rPr>
        <w:t xml:space="preserve"> déterminants</w:t>
      </w:r>
      <w:r w:rsidR="00EA702F">
        <w:rPr>
          <w:lang w:val="fr-CA"/>
        </w:rPr>
        <w:t xml:space="preserve"> sociaux de la santé</w:t>
      </w:r>
      <w:r w:rsidR="006E304F">
        <w:rPr>
          <w:lang w:val="fr-CA"/>
        </w:rPr>
        <w:t>.</w:t>
      </w:r>
    </w:p>
    <w:p w14:paraId="2C95D11B" w14:textId="6C6FF6D3" w:rsidR="001926DF" w:rsidRPr="001D5F65" w:rsidRDefault="00137DAA" w:rsidP="008E050C">
      <w:pPr>
        <w:pStyle w:val="Paragraphe"/>
        <w:rPr>
          <w:lang w:val="fr-CA"/>
        </w:rPr>
      </w:pPr>
      <w:r w:rsidRPr="001D5F65">
        <w:rPr>
          <w:lang w:val="fr-CA"/>
        </w:rPr>
        <w:t>Or, le préambule du projet de loi ne fait pas mention des inégalités</w:t>
      </w:r>
      <w:r w:rsidR="004368C5">
        <w:rPr>
          <w:lang w:val="fr-CA"/>
        </w:rPr>
        <w:t xml:space="preserve"> vécues par les personnes autochtones</w:t>
      </w:r>
      <w:r w:rsidRPr="001D5F65">
        <w:rPr>
          <w:lang w:val="fr-CA"/>
        </w:rPr>
        <w:t xml:space="preserve"> justifiant le recours à la sécurisation </w:t>
      </w:r>
      <w:r w:rsidR="00FB66CD" w:rsidRPr="001D5F65">
        <w:rPr>
          <w:lang w:val="fr-CA"/>
        </w:rPr>
        <w:t>culturelle</w:t>
      </w:r>
      <w:r w:rsidR="00D149E6">
        <w:rPr>
          <w:lang w:val="fr-CA"/>
        </w:rPr>
        <w:t> </w:t>
      </w:r>
      <w:r w:rsidR="00FB66CD" w:rsidRPr="001D5F65">
        <w:rPr>
          <w:lang w:val="fr-CA"/>
        </w:rPr>
        <w:t>:</w:t>
      </w:r>
    </w:p>
    <w:p w14:paraId="686D67F2" w14:textId="77777777" w:rsidR="00541728" w:rsidRPr="00CD58C4" w:rsidRDefault="00541728" w:rsidP="00541728">
      <w:pPr>
        <w:pStyle w:val="Citation"/>
      </w:pPr>
      <w:r w:rsidRPr="00CD58C4">
        <w:t>CONSIDÉRANT que, dans la prise en compte des droits des usagers de recevoir des services de santé et des services sociaux adéquats, les autochtones doivent être distingués des autres usagers puisqu’ils forment des nations ayant une histoire et une culture distinctes ;</w:t>
      </w:r>
    </w:p>
    <w:p w14:paraId="48398B9A" w14:textId="77777777" w:rsidR="00541728" w:rsidRDefault="00541728" w:rsidP="00541728">
      <w:pPr>
        <w:pStyle w:val="Citation"/>
      </w:pPr>
      <w:r w:rsidRPr="00CD58C4">
        <w:t>CONSIDÉRANT que l’approche de sécurisation culturelle repose sur le principe de justice sociale et qu’elle contribue à favoriser des liens de confiance avec les usagers autochtones ;</w:t>
      </w:r>
    </w:p>
    <w:p w14:paraId="62AD60DE" w14:textId="36408C95" w:rsidR="00541728" w:rsidRPr="00943C54" w:rsidRDefault="00541728" w:rsidP="00541728">
      <w:pPr>
        <w:pStyle w:val="Citation"/>
      </w:pPr>
      <w:r w:rsidRPr="00943C54">
        <w:t>CONSIDÉRANT que la Commission d’enquête sur les relations entre les Autochtones et certains services publics recommande la mise en œuvre de l’approche de sécurisation culturelle par les établissements du réseau de la santé et des services sociaux</w:t>
      </w:r>
      <w:r w:rsidR="00523C51">
        <w:t> </w:t>
      </w:r>
      <w:r w:rsidRPr="00943C54">
        <w:t>;</w:t>
      </w:r>
    </w:p>
    <w:p w14:paraId="306A2141" w14:textId="655E095E" w:rsidR="00541728" w:rsidRPr="0017026D" w:rsidRDefault="00541728" w:rsidP="00541728">
      <w:pPr>
        <w:pStyle w:val="Citation"/>
      </w:pPr>
      <w:r w:rsidRPr="00943C54">
        <w:t>CONSIDÉRANT l’importance de cette approche pour les peuples autochtones, laquelle a notamment été mise de l’avant parmi les revendications du Principe de Joyce</w:t>
      </w:r>
      <w:r w:rsidR="00523C51">
        <w:t> </w:t>
      </w:r>
      <w:r w:rsidRPr="00943C54">
        <w:t>;</w:t>
      </w:r>
    </w:p>
    <w:p w14:paraId="728A9712" w14:textId="20DFD86C" w:rsidR="00541728" w:rsidRDefault="0011314F" w:rsidP="00F3662E">
      <w:pPr>
        <w:pStyle w:val="Paragraphe"/>
        <w:rPr>
          <w:lang w:val="fr-CA"/>
        </w:rPr>
      </w:pPr>
      <w:r w:rsidRPr="00A8472C">
        <w:rPr>
          <w:lang w:val="fr-CA"/>
        </w:rPr>
        <w:t>Le premier considérant met l’accent sur les différences historiques et culturelles des Premières Nation</w:t>
      </w:r>
      <w:r w:rsidR="00530D45">
        <w:rPr>
          <w:lang w:val="fr-CA"/>
        </w:rPr>
        <w:t>s</w:t>
      </w:r>
      <w:r w:rsidRPr="00A8472C">
        <w:rPr>
          <w:lang w:val="fr-CA"/>
        </w:rPr>
        <w:t xml:space="preserve"> et </w:t>
      </w:r>
      <w:proofErr w:type="gramStart"/>
      <w:r w:rsidRPr="00A8472C">
        <w:rPr>
          <w:lang w:val="fr-CA"/>
        </w:rPr>
        <w:t>des Inuit</w:t>
      </w:r>
      <w:proofErr w:type="gramEnd"/>
      <w:r w:rsidRPr="00A8472C">
        <w:rPr>
          <w:lang w:val="fr-CA"/>
        </w:rPr>
        <w:t xml:space="preserve">. Il </w:t>
      </w:r>
      <w:r w:rsidR="002765E5">
        <w:rPr>
          <w:lang w:val="fr-CA"/>
        </w:rPr>
        <w:t>serait</w:t>
      </w:r>
      <w:r w:rsidRPr="00A8472C">
        <w:rPr>
          <w:lang w:val="fr-CA"/>
        </w:rPr>
        <w:t xml:space="preserve"> également important d’y inscrire que ce sont </w:t>
      </w:r>
      <w:r w:rsidR="00541728" w:rsidRPr="001A4A5B">
        <w:rPr>
          <w:lang w:val="fr-CA"/>
        </w:rPr>
        <w:t>le traitement discriminatoire des personnes autochtones, le racisme et le manque de respect envers les croyances et pratiques culturelles autochtones qui justifient d’œuvrer à la sécurisation culturelle des services de santé et des services sociaux.</w:t>
      </w:r>
    </w:p>
    <w:p w14:paraId="49D29349" w14:textId="123A5250" w:rsidR="00541728" w:rsidRDefault="00541728" w:rsidP="00541728">
      <w:pPr>
        <w:pStyle w:val="Paragraphe"/>
        <w:rPr>
          <w:color w:val="auto"/>
          <w:lang w:val="fr-CA"/>
        </w:rPr>
      </w:pPr>
      <w:r>
        <w:rPr>
          <w:color w:val="auto"/>
          <w:szCs w:val="22"/>
          <w:lang w:val="fr-CA"/>
        </w:rPr>
        <w:t xml:space="preserve">Le </w:t>
      </w:r>
      <w:r w:rsidRPr="00CD58C4">
        <w:rPr>
          <w:color w:val="auto"/>
          <w:szCs w:val="22"/>
          <w:lang w:val="fr-CA"/>
        </w:rPr>
        <w:t>deuxième considérant</w:t>
      </w:r>
      <w:r w:rsidRPr="007C58E5">
        <w:rPr>
          <w:color w:val="auto"/>
          <w:lang w:val="fr-CA"/>
        </w:rPr>
        <w:t xml:space="preserve"> </w:t>
      </w:r>
      <w:r w:rsidRPr="00CD58C4">
        <w:rPr>
          <w:color w:val="auto"/>
          <w:lang w:val="fr-CA"/>
        </w:rPr>
        <w:t>sous-tend</w:t>
      </w:r>
      <w:r>
        <w:rPr>
          <w:color w:val="auto"/>
          <w:lang w:val="fr-CA"/>
        </w:rPr>
        <w:t xml:space="preserve"> quant à lui</w:t>
      </w:r>
      <w:r w:rsidRPr="00CD58C4">
        <w:rPr>
          <w:color w:val="auto"/>
          <w:lang w:val="fr-CA"/>
        </w:rPr>
        <w:t xml:space="preserve"> la réalisation de plusieurs droits de la Charte</w:t>
      </w:r>
      <w:r w:rsidR="00FA6A55">
        <w:rPr>
          <w:color w:val="auto"/>
          <w:lang w:val="fr-CA"/>
        </w:rPr>
        <w:t>.</w:t>
      </w:r>
      <w:r w:rsidRPr="00CD58C4">
        <w:rPr>
          <w:color w:val="auto"/>
          <w:lang w:val="fr-CA"/>
        </w:rPr>
        <w:t xml:space="preserve"> </w:t>
      </w:r>
      <w:r w:rsidR="00FA6A55">
        <w:rPr>
          <w:color w:val="auto"/>
          <w:lang w:val="fr-CA"/>
        </w:rPr>
        <w:t>Il</w:t>
      </w:r>
      <w:r w:rsidRPr="00CD58C4">
        <w:rPr>
          <w:color w:val="auto"/>
          <w:lang w:val="fr-CA"/>
        </w:rPr>
        <w:t xml:space="preserve"> </w:t>
      </w:r>
      <w:r>
        <w:rPr>
          <w:color w:val="auto"/>
          <w:lang w:val="fr-CA"/>
        </w:rPr>
        <w:t xml:space="preserve">serait </w:t>
      </w:r>
      <w:r w:rsidR="00FA6A55">
        <w:rPr>
          <w:color w:val="auto"/>
          <w:lang w:val="fr-CA"/>
        </w:rPr>
        <w:t xml:space="preserve">toutefois </w:t>
      </w:r>
      <w:r>
        <w:rPr>
          <w:color w:val="auto"/>
          <w:lang w:val="fr-CA"/>
        </w:rPr>
        <w:t xml:space="preserve">plus évocateur </w:t>
      </w:r>
      <w:r w:rsidRPr="00CD58C4">
        <w:rPr>
          <w:color w:val="auto"/>
          <w:lang w:val="fr-CA"/>
        </w:rPr>
        <w:t xml:space="preserve">de référer explicitement au </w:t>
      </w:r>
      <w:r>
        <w:rPr>
          <w:color w:val="auto"/>
          <w:lang w:val="fr-CA"/>
        </w:rPr>
        <w:t xml:space="preserve">concept de </w:t>
      </w:r>
      <w:r w:rsidR="0026332A">
        <w:rPr>
          <w:color w:val="auto"/>
          <w:lang w:val="fr-CA"/>
        </w:rPr>
        <w:t>racisme et</w:t>
      </w:r>
      <w:r>
        <w:rPr>
          <w:color w:val="auto"/>
          <w:lang w:val="fr-CA"/>
        </w:rPr>
        <w:t xml:space="preserve"> de discrimination systémiques.</w:t>
      </w:r>
      <w:r w:rsidRPr="00CD58C4">
        <w:rPr>
          <w:color w:val="auto"/>
          <w:lang w:val="fr-CA"/>
        </w:rPr>
        <w:t xml:space="preserve"> </w:t>
      </w:r>
      <w:r>
        <w:rPr>
          <w:color w:val="auto"/>
          <w:szCs w:val="22"/>
          <w:lang w:val="fr-CA"/>
        </w:rPr>
        <w:t>Soulignons ici que</w:t>
      </w:r>
      <w:r w:rsidRPr="00CD58C4" w:rsidDel="009E2B96">
        <w:rPr>
          <w:color w:val="auto"/>
          <w:lang w:val="fr-CA"/>
        </w:rPr>
        <w:t xml:space="preserve"> </w:t>
      </w:r>
      <w:r w:rsidRPr="00CD58C4">
        <w:rPr>
          <w:color w:val="auto"/>
          <w:lang w:val="fr-CA"/>
        </w:rPr>
        <w:t xml:space="preserve">le </w:t>
      </w:r>
      <w:r w:rsidR="004F14A9">
        <w:rPr>
          <w:color w:val="auto"/>
          <w:lang w:val="fr-CA"/>
        </w:rPr>
        <w:t>commissaire</w:t>
      </w:r>
      <w:r w:rsidR="004F14A9" w:rsidRPr="00CD58C4">
        <w:rPr>
          <w:color w:val="auto"/>
          <w:lang w:val="fr-CA"/>
        </w:rPr>
        <w:t xml:space="preserve"> </w:t>
      </w:r>
      <w:r w:rsidRPr="00CD58C4">
        <w:rPr>
          <w:color w:val="auto"/>
          <w:lang w:val="fr-CA"/>
        </w:rPr>
        <w:t xml:space="preserve">Viens </w:t>
      </w:r>
      <w:r>
        <w:rPr>
          <w:color w:val="auto"/>
          <w:lang w:val="fr-CA"/>
        </w:rPr>
        <w:t xml:space="preserve">inscrivait </w:t>
      </w:r>
      <w:r w:rsidR="001841CA">
        <w:rPr>
          <w:color w:val="auto"/>
          <w:lang w:val="fr-CA"/>
        </w:rPr>
        <w:t>s</w:t>
      </w:r>
      <w:r w:rsidRPr="00CD58C4">
        <w:rPr>
          <w:color w:val="auto"/>
          <w:lang w:val="fr-CA"/>
        </w:rPr>
        <w:t>es appels à l’action transversaux dans « une quête de justice sociale »</w:t>
      </w:r>
      <w:r w:rsidR="001841CA">
        <w:rPr>
          <w:color w:val="auto"/>
          <w:lang w:val="fr-CA"/>
        </w:rPr>
        <w:t xml:space="preserve"> </w:t>
      </w:r>
      <w:r w:rsidR="00445259">
        <w:rPr>
          <w:color w:val="auto"/>
          <w:lang w:val="fr-CA"/>
        </w:rPr>
        <w:t>avec l’objectif</w:t>
      </w:r>
      <w:r w:rsidR="00D92103">
        <w:rPr>
          <w:color w:val="auto"/>
          <w:lang w:val="fr-CA"/>
        </w:rPr>
        <w:t xml:space="preserve"> </w:t>
      </w:r>
      <w:r>
        <w:rPr>
          <w:color w:val="auto"/>
          <w:lang w:val="fr-CA"/>
        </w:rPr>
        <w:t>de</w:t>
      </w:r>
      <w:r w:rsidRPr="00CD58C4">
        <w:rPr>
          <w:color w:val="auto"/>
          <w:lang w:val="fr-CA"/>
        </w:rPr>
        <w:t xml:space="preserve"> permettre à tous de « bénéficier d’une réelle égalité des chances »</w:t>
      </w:r>
      <w:r w:rsidRPr="00CD58C4">
        <w:rPr>
          <w:rStyle w:val="Appelnotedebasdep"/>
          <w:color w:val="auto"/>
          <w:lang w:val="fr-CA"/>
        </w:rPr>
        <w:footnoteReference w:id="51"/>
      </w:r>
      <w:r w:rsidRPr="00CD58C4">
        <w:rPr>
          <w:color w:val="auto"/>
          <w:lang w:val="fr-CA"/>
        </w:rPr>
        <w:t>. Sa proposition</w:t>
      </w:r>
      <w:r w:rsidRPr="00CD58C4" w:rsidDel="00BC24DC">
        <w:rPr>
          <w:color w:val="auto"/>
          <w:lang w:val="fr-CA"/>
        </w:rPr>
        <w:t xml:space="preserve"> </w:t>
      </w:r>
      <w:r w:rsidR="00BC24DC">
        <w:rPr>
          <w:color w:val="auto"/>
          <w:lang w:val="fr-CA"/>
        </w:rPr>
        <w:t xml:space="preserve">consistait </w:t>
      </w:r>
      <w:r w:rsidR="00DD2277">
        <w:rPr>
          <w:color w:val="auto"/>
          <w:lang w:val="fr-CA"/>
        </w:rPr>
        <w:t xml:space="preserve">dès lors </w:t>
      </w:r>
      <w:r w:rsidR="00BC24DC">
        <w:rPr>
          <w:color w:val="auto"/>
          <w:lang w:val="fr-CA"/>
        </w:rPr>
        <w:t xml:space="preserve">à apporter </w:t>
      </w:r>
      <w:r w:rsidRPr="00CD58C4">
        <w:rPr>
          <w:color w:val="auto"/>
          <w:lang w:val="fr-CA"/>
        </w:rPr>
        <w:t xml:space="preserve">des changements structurants devant répondre aux besoins identifiés par les personnes autochtones. </w:t>
      </w:r>
    </w:p>
    <w:p w14:paraId="2E693A34" w14:textId="1CE88791" w:rsidR="00541728" w:rsidRPr="00CD58C4" w:rsidRDefault="00541728" w:rsidP="00541728">
      <w:pPr>
        <w:pStyle w:val="Paragraphe"/>
        <w:rPr>
          <w:color w:val="auto"/>
          <w:lang w:val="fr-CA"/>
        </w:rPr>
      </w:pPr>
      <w:r w:rsidRPr="00CD58C4">
        <w:rPr>
          <w:color w:val="auto"/>
          <w:lang w:val="fr-CA"/>
        </w:rPr>
        <w:lastRenderedPageBreak/>
        <w:t>Au sujet du</w:t>
      </w:r>
      <w:r>
        <w:rPr>
          <w:color w:val="auto"/>
          <w:lang w:val="fr-CA"/>
        </w:rPr>
        <w:t xml:space="preserve"> troisième considérant</w:t>
      </w:r>
      <w:r w:rsidRPr="00CD58C4">
        <w:rPr>
          <w:color w:val="auto"/>
          <w:lang w:val="fr-CA"/>
        </w:rPr>
        <w:t xml:space="preserve">, </w:t>
      </w:r>
      <w:r w:rsidR="005E77AE">
        <w:rPr>
          <w:color w:val="auto"/>
          <w:lang w:val="fr-CA"/>
        </w:rPr>
        <w:t xml:space="preserve">il faut </w:t>
      </w:r>
      <w:r w:rsidR="003F17A0">
        <w:rPr>
          <w:color w:val="auto"/>
          <w:lang w:val="fr-CA"/>
        </w:rPr>
        <w:t xml:space="preserve">souligner que </w:t>
      </w:r>
      <w:r w:rsidRPr="00CD58C4">
        <w:rPr>
          <w:color w:val="auto"/>
          <w:lang w:val="fr-CA"/>
        </w:rPr>
        <w:t>la Commission Viens recommand</w:t>
      </w:r>
      <w:r w:rsidR="00522F8A">
        <w:rPr>
          <w:color w:val="auto"/>
          <w:lang w:val="fr-CA"/>
        </w:rPr>
        <w:t>ait</w:t>
      </w:r>
      <w:r w:rsidRPr="00CD58C4">
        <w:rPr>
          <w:color w:val="auto"/>
          <w:lang w:val="fr-CA"/>
        </w:rPr>
        <w:t xml:space="preserve"> la mise en œuvre de l’approche de sécurisation culturelle par les établissements du </w:t>
      </w:r>
      <w:r w:rsidR="00890F77">
        <w:rPr>
          <w:color w:val="auto"/>
          <w:lang w:val="fr-CA"/>
        </w:rPr>
        <w:t>RSSS</w:t>
      </w:r>
      <w:r w:rsidR="00AA042A">
        <w:rPr>
          <w:color w:val="auto"/>
          <w:lang w:val="fr-CA"/>
        </w:rPr>
        <w:t xml:space="preserve"> </w:t>
      </w:r>
      <w:r w:rsidR="00CE23A4">
        <w:rPr>
          <w:color w:val="auto"/>
          <w:lang w:val="fr-CA"/>
        </w:rPr>
        <w:t xml:space="preserve">parce </w:t>
      </w:r>
      <w:r w:rsidR="0080392D" w:rsidRPr="00A8472C">
        <w:rPr>
          <w:color w:val="auto"/>
          <w:lang w:val="fr-CA"/>
        </w:rPr>
        <w:t>qu’elle a</w:t>
      </w:r>
      <w:r w:rsidR="00AA042A">
        <w:rPr>
          <w:color w:val="auto"/>
          <w:lang w:val="fr-CA"/>
        </w:rPr>
        <w:t>vait</w:t>
      </w:r>
      <w:r w:rsidR="0080392D" w:rsidRPr="00A8472C">
        <w:rPr>
          <w:color w:val="auto"/>
          <w:lang w:val="fr-CA"/>
        </w:rPr>
        <w:t xml:space="preserve"> constaté le caractère systémique des discriminations à l’endroit des personnes autochtones dans les services publics. Cette reconnaissance est en cela fondamentale.</w:t>
      </w:r>
    </w:p>
    <w:p w14:paraId="0B021EEB" w14:textId="26CD80D1" w:rsidR="003F3EA5" w:rsidRPr="00A8472C" w:rsidRDefault="007A7D33" w:rsidP="003F3EA5">
      <w:pPr>
        <w:pStyle w:val="Paragraphe"/>
        <w:rPr>
          <w:color w:val="auto"/>
          <w:lang w:val="fr-CA"/>
        </w:rPr>
      </w:pPr>
      <w:r>
        <w:rPr>
          <w:color w:val="auto"/>
          <w:lang w:val="fr-CA"/>
        </w:rPr>
        <w:t>Enfin, l</w:t>
      </w:r>
      <w:r w:rsidR="003F3EA5" w:rsidRPr="00A8472C">
        <w:rPr>
          <w:color w:val="auto"/>
          <w:lang w:val="fr-CA"/>
        </w:rPr>
        <w:t xml:space="preserve">e quatrième considérant précise que </w:t>
      </w:r>
      <w:r w:rsidR="003F3EA5" w:rsidRPr="00A8472C">
        <w:rPr>
          <w:lang w:val="fr-CA"/>
        </w:rPr>
        <w:t>l’approche de sécurisation culturelle est une revendication des peuples autochtones inscrite dans le Principe de Joyce</w:t>
      </w:r>
      <w:r w:rsidR="003F3EA5" w:rsidRPr="00A8472C">
        <w:rPr>
          <w:rStyle w:val="Appelnotedebasdep"/>
          <w:color w:val="auto"/>
          <w:lang w:val="fr-CA"/>
        </w:rPr>
        <w:footnoteReference w:id="52"/>
      </w:r>
      <w:r w:rsidR="003F3EA5" w:rsidRPr="00A8472C">
        <w:rPr>
          <w:lang w:val="fr-CA"/>
        </w:rPr>
        <w:t>. Ce dernier vise explicitement à garantir le droit des Autochtones à accéder aux services sociaux et de santé sans discrimination</w:t>
      </w:r>
      <w:r w:rsidR="003F3EA5" w:rsidRPr="00A8472C" w:rsidDel="000F59CD">
        <w:rPr>
          <w:lang w:val="fr-CA"/>
        </w:rPr>
        <w:t>,</w:t>
      </w:r>
      <w:r w:rsidR="003F3EA5" w:rsidRPr="00A8472C">
        <w:rPr>
          <w:lang w:val="fr-CA"/>
        </w:rPr>
        <w:t xml:space="preserve"> un objectif qui n’apparaît pas dans le projet de loi</w:t>
      </w:r>
      <w:r w:rsidR="003F3EA5" w:rsidRPr="004B1A29">
        <w:rPr>
          <w:rStyle w:val="Appelnotedebasdep"/>
          <w:color w:val="auto"/>
          <w:lang w:val="fr-CA"/>
        </w:rPr>
        <w:footnoteReference w:id="53"/>
      </w:r>
      <w:r w:rsidR="003F3EA5" w:rsidRPr="00A8472C">
        <w:rPr>
          <w:color w:val="auto"/>
          <w:lang w:val="fr-CA"/>
        </w:rPr>
        <w:t xml:space="preserve">. </w:t>
      </w:r>
    </w:p>
    <w:p w14:paraId="40D2AC32" w14:textId="06E207D7" w:rsidR="00CF5DD0" w:rsidRPr="001A4A5B" w:rsidRDefault="00ED6BBB" w:rsidP="00CF5DD0">
      <w:pPr>
        <w:pStyle w:val="Paragraphe"/>
        <w:rPr>
          <w:color w:val="auto"/>
          <w:szCs w:val="22"/>
          <w:lang w:val="fr-CA"/>
        </w:rPr>
      </w:pPr>
      <w:r>
        <w:rPr>
          <w:color w:val="auto"/>
          <w:szCs w:val="22"/>
          <w:lang w:val="fr-CA"/>
        </w:rPr>
        <w:t>À</w:t>
      </w:r>
      <w:r w:rsidR="00485BBF" w:rsidRPr="001A4A5B">
        <w:rPr>
          <w:color w:val="auto"/>
          <w:szCs w:val="22"/>
          <w:lang w:val="fr-CA"/>
        </w:rPr>
        <w:t xml:space="preserve"> la différence du projet de loi, </w:t>
      </w:r>
      <w:r w:rsidR="009E68F6" w:rsidRPr="001A4A5B">
        <w:rPr>
          <w:color w:val="auto"/>
          <w:szCs w:val="22"/>
          <w:lang w:val="fr-CA"/>
        </w:rPr>
        <w:t xml:space="preserve">un document du </w:t>
      </w:r>
      <w:r w:rsidR="0035596C">
        <w:rPr>
          <w:color w:val="auto"/>
          <w:szCs w:val="22"/>
          <w:lang w:val="fr-CA"/>
        </w:rPr>
        <w:t>ministère de la Santé et des Services sociaux</w:t>
      </w:r>
      <w:r w:rsidR="009E68F6" w:rsidRPr="001A4A5B">
        <w:rPr>
          <w:color w:val="auto"/>
          <w:szCs w:val="22"/>
          <w:lang w:val="fr-CA"/>
        </w:rPr>
        <w:t xml:space="preserve"> </w:t>
      </w:r>
      <w:r w:rsidR="0035596C">
        <w:rPr>
          <w:color w:val="auto"/>
          <w:szCs w:val="22"/>
          <w:lang w:val="fr-CA"/>
        </w:rPr>
        <w:t>(</w:t>
      </w:r>
      <w:r w:rsidR="009E68F6" w:rsidRPr="001A4A5B">
        <w:rPr>
          <w:color w:val="auto"/>
          <w:szCs w:val="22"/>
          <w:lang w:val="fr-CA"/>
        </w:rPr>
        <w:t>MSSS</w:t>
      </w:r>
      <w:r w:rsidR="0035596C">
        <w:rPr>
          <w:color w:val="auto"/>
          <w:szCs w:val="22"/>
          <w:lang w:val="fr-CA"/>
        </w:rPr>
        <w:t>)</w:t>
      </w:r>
      <w:r w:rsidR="00CF5DD0" w:rsidRPr="001A4A5B">
        <w:rPr>
          <w:color w:val="auto"/>
          <w:szCs w:val="22"/>
          <w:lang w:val="fr-CA"/>
        </w:rPr>
        <w:t xml:space="preserve"> sur la sécurisation culturelle </w:t>
      </w:r>
      <w:r>
        <w:rPr>
          <w:color w:val="auto"/>
          <w:szCs w:val="22"/>
          <w:lang w:val="fr-CA"/>
        </w:rPr>
        <w:t>exprime</w:t>
      </w:r>
      <w:r w:rsidR="00CF5DD0" w:rsidRPr="001A4A5B">
        <w:rPr>
          <w:color w:val="auto"/>
          <w:szCs w:val="22"/>
          <w:lang w:val="fr-CA"/>
        </w:rPr>
        <w:t xml:space="preserve"> clairement qu’il s’agit d’une « approche qui reconnaît la présence des iniquités vécues par les Autochtones et qui cherche à combler les écarts par des pratiques sécurisantes »</w:t>
      </w:r>
      <w:r w:rsidR="00F35D9B">
        <w:rPr>
          <w:rStyle w:val="Appelnotedebasdep"/>
          <w:color w:val="auto"/>
          <w:szCs w:val="22"/>
          <w:lang w:val="fr-CA"/>
        </w:rPr>
        <w:footnoteReference w:id="54"/>
      </w:r>
      <w:r w:rsidR="00CF5DD0" w:rsidRPr="001A4A5B">
        <w:rPr>
          <w:color w:val="auto"/>
          <w:szCs w:val="22"/>
          <w:lang w:val="fr-CA"/>
        </w:rPr>
        <w:t>. On y retrouve les énoncés suivants :</w:t>
      </w:r>
    </w:p>
    <w:p w14:paraId="1B7D3250" w14:textId="42045120" w:rsidR="00203D58" w:rsidRPr="0039744C" w:rsidRDefault="00203D58" w:rsidP="000457D8">
      <w:pPr>
        <w:pStyle w:val="Citation"/>
        <w:ind w:left="1080"/>
        <w:rPr>
          <w:rFonts w:cs="Arial"/>
        </w:rPr>
      </w:pPr>
      <w:r w:rsidRPr="0039744C">
        <w:rPr>
          <w:rFonts w:cs="Arial"/>
        </w:rPr>
        <w:t>«</w:t>
      </w:r>
      <w:r w:rsidR="00530D45">
        <w:rPr>
          <w:rFonts w:cs="Arial"/>
        </w:rPr>
        <w:t> </w:t>
      </w:r>
      <w:r w:rsidR="003B53A3" w:rsidRPr="0039744C">
        <w:rPr>
          <w:rFonts w:cs="Arial"/>
        </w:rPr>
        <w:t xml:space="preserve">Pendant près de deux siècles, </w:t>
      </w:r>
      <w:r w:rsidRPr="0039744C">
        <w:rPr>
          <w:rFonts w:cs="Arial"/>
        </w:rPr>
        <w:t>les gouvernements canadiens et québécois, en fonction de leurs responsabilités respectives, ont mis en place des mesures ayant contribué à la discrimination, à l’exclusion ou au racisme à l’égard des Premières Nations et des Inuit</w:t>
      </w:r>
      <w:r w:rsidR="00530D45">
        <w:rPr>
          <w:rFonts w:cs="Arial"/>
        </w:rPr>
        <w:t> </w:t>
      </w:r>
      <w:r w:rsidRPr="0039744C">
        <w:rPr>
          <w:rFonts w:cs="Arial"/>
        </w:rPr>
        <w:t>»</w:t>
      </w:r>
      <w:r w:rsidR="00E00B80">
        <w:rPr>
          <w:rFonts w:cs="Arial"/>
        </w:rPr>
        <w:t> </w:t>
      </w:r>
      <w:r w:rsidR="002C1674">
        <w:rPr>
          <w:rFonts w:cs="Arial"/>
        </w:rPr>
        <w:t>;</w:t>
      </w:r>
      <w:r w:rsidR="00F63935">
        <w:rPr>
          <w:rStyle w:val="Appelnotedebasdep"/>
          <w:rFonts w:cs="Arial"/>
        </w:rPr>
        <w:footnoteReference w:id="55"/>
      </w:r>
    </w:p>
    <w:p w14:paraId="2CFFEB8C" w14:textId="3AA909FF" w:rsidR="00203D58" w:rsidRPr="0039744C" w:rsidRDefault="00203D58" w:rsidP="000457D8">
      <w:pPr>
        <w:pStyle w:val="Citation"/>
        <w:ind w:left="1080"/>
        <w:rPr>
          <w:rFonts w:cs="Arial"/>
        </w:rPr>
      </w:pPr>
      <w:r w:rsidRPr="0039744C">
        <w:rPr>
          <w:rFonts w:cs="Arial"/>
        </w:rPr>
        <w:t xml:space="preserve">« Prenant racine dans le colonialisme, la discrimination envers les Premières Nations et </w:t>
      </w:r>
      <w:proofErr w:type="gramStart"/>
      <w:r w:rsidRPr="0039744C">
        <w:rPr>
          <w:rFonts w:cs="Arial"/>
        </w:rPr>
        <w:t>les Inuit</w:t>
      </w:r>
      <w:proofErr w:type="gramEnd"/>
      <w:r w:rsidRPr="0039744C">
        <w:rPr>
          <w:rFonts w:cs="Arial"/>
        </w:rPr>
        <w:t xml:space="preserve"> est un phénomène toujours actuel au sein de nos sociétés, y compris dans certains services publics</w:t>
      </w:r>
      <w:r w:rsidR="00530D45">
        <w:rPr>
          <w:rFonts w:cs="Arial"/>
        </w:rPr>
        <w:t> </w:t>
      </w:r>
      <w:r w:rsidRPr="0039744C">
        <w:rPr>
          <w:rFonts w:cs="Arial"/>
        </w:rPr>
        <w:t>»</w:t>
      </w:r>
      <w:r w:rsidR="00E00B80">
        <w:rPr>
          <w:rFonts w:cs="Arial"/>
        </w:rPr>
        <w:t> </w:t>
      </w:r>
      <w:r w:rsidR="002C1674">
        <w:rPr>
          <w:rFonts w:cs="Arial"/>
        </w:rPr>
        <w:t>;</w:t>
      </w:r>
      <w:r w:rsidR="003A032B">
        <w:rPr>
          <w:rStyle w:val="Appelnotedebasdep"/>
          <w:rFonts w:cs="Arial"/>
        </w:rPr>
        <w:footnoteReference w:id="56"/>
      </w:r>
      <w:r w:rsidRPr="0039744C">
        <w:rPr>
          <w:rFonts w:cs="Arial"/>
        </w:rPr>
        <w:t> </w:t>
      </w:r>
    </w:p>
    <w:p w14:paraId="70FC3472" w14:textId="5D33E3CC" w:rsidR="00203D58" w:rsidRPr="0039744C" w:rsidRDefault="00203D58" w:rsidP="000457D8">
      <w:pPr>
        <w:pStyle w:val="Citation"/>
        <w:ind w:left="1080"/>
        <w:rPr>
          <w:rFonts w:cs="Arial"/>
        </w:rPr>
      </w:pPr>
      <w:r w:rsidRPr="0039744C">
        <w:rPr>
          <w:rFonts w:cs="Arial"/>
        </w:rPr>
        <w:t>«</w:t>
      </w:r>
      <w:r w:rsidR="00530D45">
        <w:rPr>
          <w:rFonts w:cs="Arial"/>
        </w:rPr>
        <w:t> </w:t>
      </w:r>
      <w:proofErr w:type="gramStart"/>
      <w:r w:rsidRPr="0039744C">
        <w:rPr>
          <w:rFonts w:cs="Arial"/>
        </w:rPr>
        <w:t>un</w:t>
      </w:r>
      <w:proofErr w:type="gramEnd"/>
      <w:r w:rsidRPr="0039744C">
        <w:rPr>
          <w:rFonts w:cs="Arial"/>
        </w:rPr>
        <w:t xml:space="preserve"> obstacle à la santé des Premières Nations et des Inuit relève directement du système lui</w:t>
      </w:r>
      <w:r w:rsidRPr="0039744C">
        <w:rPr>
          <w:rFonts w:ascii="Cambria Math" w:hAnsi="Cambria Math" w:cs="Cambria Math"/>
        </w:rPr>
        <w:t>‑</w:t>
      </w:r>
      <w:r w:rsidRPr="0039744C">
        <w:rPr>
          <w:rFonts w:cs="Arial"/>
        </w:rPr>
        <w:t>même en raison de la discrimination que ces personnes subissent dans les pratiques de soins et de services sociaux ainsi que dans l’organisation de ces derniers</w:t>
      </w:r>
      <w:r w:rsidR="00530D45">
        <w:rPr>
          <w:rFonts w:cs="Arial"/>
        </w:rPr>
        <w:t> </w:t>
      </w:r>
      <w:r w:rsidRPr="0039744C">
        <w:rPr>
          <w:rFonts w:cs="Arial"/>
        </w:rPr>
        <w:t>»</w:t>
      </w:r>
      <w:r w:rsidR="00AB2E6A">
        <w:rPr>
          <w:rStyle w:val="Appelnotedebasdep"/>
          <w:rFonts w:cs="Arial"/>
        </w:rPr>
        <w:footnoteReference w:id="57"/>
      </w:r>
    </w:p>
    <w:p w14:paraId="01D17B74" w14:textId="2AB6DE87" w:rsidR="00C44E85" w:rsidRPr="001A4A5B" w:rsidRDefault="00203D58" w:rsidP="000457D8">
      <w:pPr>
        <w:pStyle w:val="Citation"/>
        <w:ind w:left="1080"/>
      </w:pPr>
      <w:r w:rsidRPr="0039744C">
        <w:rPr>
          <w:rFonts w:cs="Arial"/>
        </w:rPr>
        <w:t>«</w:t>
      </w:r>
      <w:r w:rsidR="00530D45">
        <w:rPr>
          <w:rFonts w:cs="Arial"/>
        </w:rPr>
        <w:t> </w:t>
      </w:r>
      <w:proofErr w:type="gramStart"/>
      <w:r w:rsidRPr="0039744C">
        <w:rPr>
          <w:rFonts w:cs="Arial"/>
        </w:rPr>
        <w:t>les</w:t>
      </w:r>
      <w:proofErr w:type="gramEnd"/>
      <w:r w:rsidRPr="0039744C">
        <w:rPr>
          <w:rFonts w:cs="Arial"/>
        </w:rPr>
        <w:t xml:space="preserve"> pratiques de la sécurisation culturelle sont nées en réponse au rapport de domination issu de la colonisation et vécu par les premiers peuples. […] La question </w:t>
      </w:r>
      <w:r w:rsidRPr="0039744C">
        <w:rPr>
          <w:rFonts w:cs="Arial"/>
        </w:rPr>
        <w:lastRenderedPageBreak/>
        <w:t>de la dynamique du pouvoir est centrale dans le concept de sécurisation culturell</w:t>
      </w:r>
      <w:r w:rsidR="00CD7930" w:rsidRPr="0039744C">
        <w:rPr>
          <w:rFonts w:cs="Arial"/>
        </w:rPr>
        <w:t>e</w:t>
      </w:r>
      <w:r w:rsidR="00CF5DD0" w:rsidRPr="0039744C">
        <w:rPr>
          <w:rFonts w:cs="Arial"/>
        </w:rPr>
        <w:t>.</w:t>
      </w:r>
      <w:r w:rsidR="009F5659">
        <w:t> </w:t>
      </w:r>
      <w:r w:rsidR="00CF5DD0" w:rsidRPr="001A4A5B">
        <w:t>»</w:t>
      </w:r>
      <w:bookmarkStart w:id="31" w:name="_Ref145083638"/>
      <w:r w:rsidR="00CF5DD0" w:rsidRPr="001A4A5B">
        <w:rPr>
          <w:rStyle w:val="Appelnotedebasdep"/>
        </w:rPr>
        <w:footnoteReference w:id="58"/>
      </w:r>
      <w:bookmarkEnd w:id="31"/>
    </w:p>
    <w:p w14:paraId="3AA93783" w14:textId="3F48AAB8" w:rsidR="00957CCB" w:rsidRPr="00C84C0A" w:rsidRDefault="004D254D" w:rsidP="0097791A">
      <w:pPr>
        <w:pStyle w:val="Paragraphe"/>
        <w:rPr>
          <w:rFonts w:cs="Arial"/>
          <w:szCs w:val="22"/>
          <w:lang w:val="fr-CA"/>
        </w:rPr>
      </w:pPr>
      <w:r w:rsidRPr="004207A5">
        <w:rPr>
          <w:lang w:val="fr-CA"/>
        </w:rPr>
        <w:t xml:space="preserve">La Commission </w:t>
      </w:r>
      <w:r w:rsidR="00DB0DB7" w:rsidRPr="00A8472C">
        <w:rPr>
          <w:lang w:val="fr-CA"/>
        </w:rPr>
        <w:t xml:space="preserve">s’explique d’autant plus mal l’absence de ces enjeux dans le projet de loi. Elle incite donc </w:t>
      </w:r>
      <w:r w:rsidRPr="004207A5">
        <w:rPr>
          <w:lang w:val="fr-CA"/>
        </w:rPr>
        <w:t>fortement le législateur à élargir sa réflexion sur le projet de loi n</w:t>
      </w:r>
      <w:r w:rsidRPr="004207A5">
        <w:rPr>
          <w:vertAlign w:val="superscript"/>
          <w:lang w:val="fr-CA"/>
        </w:rPr>
        <w:t>o</w:t>
      </w:r>
      <w:r w:rsidR="00633A95" w:rsidRPr="004207A5">
        <w:rPr>
          <w:lang w:val="fr-CA"/>
        </w:rPr>
        <w:t> </w:t>
      </w:r>
      <w:r w:rsidRPr="004207A5">
        <w:rPr>
          <w:lang w:val="fr-CA"/>
        </w:rPr>
        <w:t>32 en adhérant aux conclusions et constats faits au fils des enquêtes publiques</w:t>
      </w:r>
      <w:r w:rsidR="00413C8F" w:rsidRPr="004207A5">
        <w:rPr>
          <w:lang w:val="fr-CA"/>
        </w:rPr>
        <w:t xml:space="preserve"> et</w:t>
      </w:r>
      <w:r w:rsidR="0073112B" w:rsidRPr="004207A5">
        <w:rPr>
          <w:lang w:val="fr-CA"/>
        </w:rPr>
        <w:t xml:space="preserve"> </w:t>
      </w:r>
      <w:r w:rsidR="00413C8F" w:rsidRPr="004207A5">
        <w:rPr>
          <w:lang w:val="fr-CA"/>
        </w:rPr>
        <w:t xml:space="preserve">travaux de </w:t>
      </w:r>
      <w:r w:rsidRPr="004207A5">
        <w:rPr>
          <w:lang w:val="fr-CA"/>
        </w:rPr>
        <w:t xml:space="preserve">recherche </w:t>
      </w:r>
      <w:r w:rsidR="00413C8F" w:rsidRPr="004207A5">
        <w:rPr>
          <w:lang w:val="fr-CA"/>
        </w:rPr>
        <w:t>menés</w:t>
      </w:r>
      <w:r w:rsidRPr="004207A5">
        <w:rPr>
          <w:lang w:val="fr-CA"/>
        </w:rPr>
        <w:t xml:space="preserve"> au Québec</w:t>
      </w:r>
      <w:r w:rsidR="004827CB" w:rsidRPr="004207A5">
        <w:rPr>
          <w:lang w:val="fr-CA"/>
        </w:rPr>
        <w:t xml:space="preserve"> et</w:t>
      </w:r>
      <w:r w:rsidRPr="004207A5">
        <w:rPr>
          <w:lang w:val="fr-CA"/>
        </w:rPr>
        <w:t xml:space="preserve"> ailleurs au Canada quant à l’existence du racisme </w:t>
      </w:r>
      <w:r w:rsidR="00315276">
        <w:rPr>
          <w:lang w:val="fr-CA"/>
        </w:rPr>
        <w:t>et</w:t>
      </w:r>
      <w:r w:rsidRPr="004207A5">
        <w:rPr>
          <w:lang w:val="fr-CA"/>
        </w:rPr>
        <w:t xml:space="preserve"> </w:t>
      </w:r>
      <w:r w:rsidR="00315276" w:rsidRPr="004207A5">
        <w:rPr>
          <w:lang w:val="fr-CA"/>
        </w:rPr>
        <w:t xml:space="preserve">de la discrimination </w:t>
      </w:r>
      <w:r w:rsidRPr="004207A5">
        <w:rPr>
          <w:lang w:val="fr-CA"/>
        </w:rPr>
        <w:t>systémiques vécus par les personnes autochtones, incluant dans la prestation des services de santé et des services sociaux</w:t>
      </w:r>
      <w:r w:rsidR="00F91C69" w:rsidRPr="001A4A5B">
        <w:rPr>
          <w:rStyle w:val="Appelnotedebasdep"/>
        </w:rPr>
        <w:footnoteReference w:id="59"/>
      </w:r>
      <w:r w:rsidR="00957CCB" w:rsidRPr="004207A5">
        <w:rPr>
          <w:rFonts w:cs="Arial"/>
          <w:szCs w:val="22"/>
          <w:shd w:val="clear" w:color="auto" w:fill="FFFFFF"/>
          <w:lang w:val="fr-CA"/>
        </w:rPr>
        <w:t xml:space="preserve">. </w:t>
      </w:r>
      <w:r w:rsidR="00B21567" w:rsidRPr="00C84C0A">
        <w:rPr>
          <w:rFonts w:cs="Arial"/>
          <w:szCs w:val="22"/>
          <w:shd w:val="clear" w:color="auto" w:fill="FFFFFF"/>
          <w:lang w:val="fr-CA"/>
        </w:rPr>
        <w:t xml:space="preserve">À ce sujet, </w:t>
      </w:r>
      <w:r w:rsidR="00B27719" w:rsidRPr="00C84C0A">
        <w:rPr>
          <w:rFonts w:cs="Arial"/>
          <w:szCs w:val="22"/>
          <w:shd w:val="clear" w:color="auto" w:fill="FFFFFF"/>
          <w:lang w:val="fr-CA"/>
        </w:rPr>
        <w:t>la Commission notait en 2021 :</w:t>
      </w:r>
    </w:p>
    <w:p w14:paraId="7F404841" w14:textId="77777777" w:rsidR="00B27719" w:rsidRPr="00CD58C4" w:rsidRDefault="00B27719" w:rsidP="00B27719">
      <w:pPr>
        <w:pStyle w:val="Citation"/>
      </w:pPr>
      <w:r w:rsidRPr="00CD58C4">
        <w:t>« Largement documentés, les obstacles systémiques auxquels les nations autochtones continuent de se heurter dans le domaine de la santé et des services sociaux ont pour effet de conduire à des disparités de santé considérables et persistantes par rapport à l’ensemble de la population québécoise. La crainte et le manque de confiance face au système de santé observés chez les personnes autochtones peuvent donc conduire à des situations tragiques sur le plan humain. Il est urgent de combler ce fossé qui compromet la santé et le bien-être des personnes autochtones. »</w:t>
      </w:r>
      <w:r w:rsidRPr="00CD58C4">
        <w:rPr>
          <w:rStyle w:val="Appelnotedebasdep"/>
        </w:rPr>
        <w:footnoteReference w:id="60"/>
      </w:r>
    </w:p>
    <w:p w14:paraId="6A5F4277" w14:textId="6E1C6574" w:rsidR="00AE3DA7" w:rsidRPr="00DD2F6C" w:rsidRDefault="00AE3DA7" w:rsidP="0097791A">
      <w:pPr>
        <w:pStyle w:val="Paragraphe"/>
        <w:rPr>
          <w:lang w:val="fr-CA"/>
        </w:rPr>
      </w:pPr>
      <w:r w:rsidRPr="00DD2F6C">
        <w:rPr>
          <w:lang w:val="fr-CA"/>
        </w:rPr>
        <w:t xml:space="preserve">Sur la notion de racisme systémique, </w:t>
      </w:r>
      <w:r w:rsidR="00161A0A" w:rsidRPr="00DD2F6C">
        <w:rPr>
          <w:lang w:val="fr-CA"/>
        </w:rPr>
        <w:t>la Commission</w:t>
      </w:r>
      <w:r w:rsidR="001F3FB7" w:rsidRPr="00DD2F6C">
        <w:rPr>
          <w:lang w:val="fr-CA"/>
        </w:rPr>
        <w:t xml:space="preserve"> </w:t>
      </w:r>
      <w:r w:rsidRPr="00DD2F6C">
        <w:rPr>
          <w:lang w:val="fr-CA"/>
        </w:rPr>
        <w:t>fourni</w:t>
      </w:r>
      <w:r w:rsidR="001F3FB7" w:rsidRPr="00DD2F6C">
        <w:rPr>
          <w:lang w:val="fr-CA"/>
        </w:rPr>
        <w:t>ssait</w:t>
      </w:r>
      <w:r w:rsidRPr="00DD2F6C">
        <w:rPr>
          <w:lang w:val="fr-CA"/>
        </w:rPr>
        <w:t xml:space="preserve"> en 2021 les éléments de définition suivants</w:t>
      </w:r>
      <w:r w:rsidR="00775C0D" w:rsidRPr="00DD2F6C">
        <w:rPr>
          <w:lang w:val="fr-CA"/>
        </w:rPr>
        <w:t xml:space="preserve">, qui </w:t>
      </w:r>
      <w:r w:rsidR="00E33AD0" w:rsidRPr="00DD2F6C">
        <w:rPr>
          <w:lang w:val="fr-CA"/>
        </w:rPr>
        <w:t>mettent en lumière les effets</w:t>
      </w:r>
      <w:r w:rsidR="00CA0DD9" w:rsidRPr="00DD2F6C">
        <w:rPr>
          <w:lang w:val="fr-CA"/>
        </w:rPr>
        <w:t xml:space="preserve"> qu’il </w:t>
      </w:r>
      <w:r w:rsidR="00F23808" w:rsidRPr="00DD2F6C">
        <w:rPr>
          <w:lang w:val="fr-CA"/>
        </w:rPr>
        <w:t>entraîne</w:t>
      </w:r>
      <w:r w:rsidR="00CA0DD9" w:rsidRPr="00DD2F6C">
        <w:rPr>
          <w:lang w:val="fr-CA"/>
        </w:rPr>
        <w:t xml:space="preserve"> sur les </w:t>
      </w:r>
      <w:r w:rsidR="0044708A" w:rsidRPr="00DD2F6C">
        <w:rPr>
          <w:lang w:val="fr-CA"/>
        </w:rPr>
        <w:t>victimes</w:t>
      </w:r>
      <w:r w:rsidRPr="00DD2F6C">
        <w:rPr>
          <w:lang w:val="fr-CA"/>
        </w:rPr>
        <w:t> :</w:t>
      </w:r>
    </w:p>
    <w:p w14:paraId="578EC91A" w14:textId="55ED9042" w:rsidR="00CA0DD9" w:rsidRDefault="00CA0DD9" w:rsidP="00AE3DA7">
      <w:pPr>
        <w:pStyle w:val="Citation"/>
      </w:pPr>
      <w:r>
        <w:t xml:space="preserve">Les victimes du racisme systémique — c’est-à-dire les personnes racisées, dont les personnes des communautés noires, ainsi que les personnes autochtones — sont susceptibles de subir </w:t>
      </w:r>
      <w:r w:rsidRPr="000840A9">
        <w:t>des dynamiques d’exclusions cumulées et de désavantages persistants à travers différentes sphères de leur existence (sécurité publique, emploi, éducation, logement, santé, justice, etc.), les maintenant dans des situations de subordination. Par un mouvement circulaire insidieux, les effets du racisme nourrissent et renforcent en retour les stéréotypes et préjugés à leur égard, légitimant ainsi les situations d’inégalités que ces groupes subissent.</w:t>
      </w:r>
      <w:r>
        <w:t xml:space="preserve"> </w:t>
      </w:r>
      <w:r w:rsidR="00D420EB">
        <w:t>[…]</w:t>
      </w:r>
    </w:p>
    <w:p w14:paraId="6385CCBC" w14:textId="6EB60EC5" w:rsidR="00AE3DA7" w:rsidRPr="001A4A5B" w:rsidRDefault="00D420EB" w:rsidP="00AE3DA7">
      <w:pPr>
        <w:pStyle w:val="Citation"/>
      </w:pPr>
      <w:r>
        <w:t>En somme, o</w:t>
      </w:r>
      <w:r w:rsidR="00AE3DA7" w:rsidRPr="001A4A5B">
        <w:t xml:space="preserve">n comprend le racisme systémique comme un phénomène qui tire son origine de rapports de pouvoir inégalitaires historiques ayant façonné à des degrés divers la société, ses institutions (normes et pratiques), ses représentations, ainsi que les </w:t>
      </w:r>
      <w:r w:rsidR="00AE3DA7" w:rsidRPr="001A4A5B">
        <w:lastRenderedPageBreak/>
        <w:t>relations sociales et pratiques individuelles qui y prennent place, contribuant ainsi à la reproduction dans le temps des inégalités racistes et la persistance des dénis de droits en découlant.</w:t>
      </w:r>
    </w:p>
    <w:p w14:paraId="5EB4E459" w14:textId="6C02FE75" w:rsidR="00541728" w:rsidRPr="009A0416" w:rsidRDefault="00AE3DA7" w:rsidP="00C15CE5">
      <w:pPr>
        <w:pStyle w:val="Citation"/>
        <w:spacing w:after="240"/>
      </w:pPr>
      <w:r w:rsidRPr="001A4A5B">
        <w:t>Le racisme systémique désigne un rapport social inégalitaire constitué de dynamiques d’infériorisation, de subordination et d’exclusion issues de l’organisation sociale qui imposent aux groupes racisés, notamment aux communautés noires, et aux peuples autochtones un cumul de désavantages dans différentes sphères de leur existence</w:t>
      </w:r>
      <w:r w:rsidR="00D149E6">
        <w:t> </w:t>
      </w:r>
      <w:r w:rsidRPr="001A4A5B">
        <w:t>: éducation, travail, logement, santé, sécurité publique, système de justice, etc.</w:t>
      </w:r>
      <w:r w:rsidR="000E5B62">
        <w:rPr>
          <w:rStyle w:val="Appelnotedebasdep"/>
        </w:rPr>
        <w:footnoteReference w:id="61"/>
      </w:r>
    </w:p>
    <w:p w14:paraId="5CA90E36" w14:textId="58BB02AC" w:rsidR="00541728" w:rsidRDefault="00541728" w:rsidP="00C15CE5">
      <w:pPr>
        <w:pStyle w:val="TitreRecommandation"/>
        <w:spacing w:before="240"/>
      </w:pPr>
      <w:r>
        <w:t>RECOMMANDATION</w:t>
      </w:r>
      <w:r w:rsidR="00633A95">
        <w:rPr>
          <w:rFonts w:hint="eastAsia"/>
        </w:rPr>
        <w:t> </w:t>
      </w:r>
      <w:r w:rsidR="000228E5">
        <w:t>4</w:t>
      </w:r>
    </w:p>
    <w:p w14:paraId="5C6D3741" w14:textId="12569425" w:rsidR="000E42B2" w:rsidRPr="00A8472C" w:rsidRDefault="000E42B2" w:rsidP="000E42B2">
      <w:pPr>
        <w:pStyle w:val="Texterecommandation"/>
        <w:rPr>
          <w:szCs w:val="22"/>
        </w:rPr>
      </w:pPr>
      <w:r w:rsidRPr="00A8472C">
        <w:t xml:space="preserve">La Commission recommande de modifier le préambule de la loi proposé par le projet de loi en y intégrant les éléments suivants mis de l’avant par le </w:t>
      </w:r>
      <w:r w:rsidR="006966F6">
        <w:t>ministère de la Santé et des Services sociaux</w:t>
      </w:r>
      <w:r w:rsidR="006966F6" w:rsidRPr="00A8472C">
        <w:t xml:space="preserve"> </w:t>
      </w:r>
      <w:r w:rsidRPr="00A8472C">
        <w:t>dans son guide sur la sécurisation culturelle en santé et en services sociaux :</w:t>
      </w:r>
    </w:p>
    <w:p w14:paraId="64EDA808" w14:textId="01F15F85" w:rsidR="000E42B2" w:rsidRPr="006677AD" w:rsidRDefault="00CC1B52" w:rsidP="00912404">
      <w:pPr>
        <w:pStyle w:val="Paragraphe"/>
        <w:numPr>
          <w:ilvl w:val="0"/>
          <w:numId w:val="10"/>
        </w:numPr>
        <w:spacing w:before="120" w:after="120" w:line="240" w:lineRule="auto"/>
        <w:rPr>
          <w:b/>
          <w:bCs/>
          <w:color w:val="auto"/>
          <w:szCs w:val="22"/>
          <w:lang w:val="fr-CA"/>
        </w:rPr>
      </w:pPr>
      <w:r>
        <w:rPr>
          <w:b/>
          <w:bCs/>
          <w:color w:val="auto"/>
          <w:szCs w:val="22"/>
          <w:lang w:val="fr-CA"/>
        </w:rPr>
        <w:t xml:space="preserve">Pendant près de deux siècles, </w:t>
      </w:r>
      <w:r w:rsidR="000E42B2" w:rsidRPr="006677AD">
        <w:rPr>
          <w:b/>
          <w:bCs/>
          <w:color w:val="auto"/>
          <w:szCs w:val="22"/>
          <w:lang w:val="fr-CA"/>
        </w:rPr>
        <w:t xml:space="preserve">les gouvernements canadiens et québécois, en fonction de leurs responsabilités respectives, ont mis en place des mesures ayant contribué à la discrimination, à l’exclusion ou au racisme à l’égard des Premières Nations et </w:t>
      </w:r>
      <w:proofErr w:type="gramStart"/>
      <w:r w:rsidR="000E42B2" w:rsidRPr="006677AD">
        <w:rPr>
          <w:b/>
          <w:bCs/>
          <w:color w:val="auto"/>
          <w:szCs w:val="22"/>
          <w:lang w:val="fr-CA"/>
        </w:rPr>
        <w:t>des Inuit</w:t>
      </w:r>
      <w:proofErr w:type="gramEnd"/>
      <w:r w:rsidR="00E00B80">
        <w:rPr>
          <w:b/>
          <w:bCs/>
          <w:color w:val="auto"/>
          <w:szCs w:val="22"/>
          <w:lang w:val="fr-CA"/>
        </w:rPr>
        <w:t> </w:t>
      </w:r>
      <w:r w:rsidR="003B53A3">
        <w:rPr>
          <w:b/>
          <w:bCs/>
          <w:color w:val="auto"/>
          <w:szCs w:val="22"/>
          <w:lang w:val="fr-CA"/>
        </w:rPr>
        <w:t>;</w:t>
      </w:r>
    </w:p>
    <w:p w14:paraId="0C541892" w14:textId="23EA29AA" w:rsidR="000E42B2" w:rsidRPr="006677AD" w:rsidRDefault="000E42B2" w:rsidP="00912404">
      <w:pPr>
        <w:pStyle w:val="Paragraphe"/>
        <w:numPr>
          <w:ilvl w:val="0"/>
          <w:numId w:val="10"/>
        </w:numPr>
        <w:spacing w:before="120" w:after="120" w:line="240" w:lineRule="auto"/>
        <w:rPr>
          <w:b/>
          <w:bCs/>
          <w:color w:val="auto"/>
          <w:szCs w:val="22"/>
          <w:lang w:val="fr-CA"/>
        </w:rPr>
      </w:pPr>
      <w:r w:rsidRPr="006677AD">
        <w:rPr>
          <w:b/>
          <w:bCs/>
          <w:color w:val="auto"/>
          <w:szCs w:val="22"/>
          <w:lang w:val="fr-CA"/>
        </w:rPr>
        <w:t xml:space="preserve">Prenant racine dans le colonialisme, la discrimination envers les Premières Nations et </w:t>
      </w:r>
      <w:proofErr w:type="gramStart"/>
      <w:r w:rsidRPr="006677AD">
        <w:rPr>
          <w:b/>
          <w:bCs/>
          <w:color w:val="auto"/>
          <w:szCs w:val="22"/>
          <w:lang w:val="fr-CA"/>
        </w:rPr>
        <w:t>les Inuit</w:t>
      </w:r>
      <w:proofErr w:type="gramEnd"/>
      <w:r w:rsidRPr="006677AD">
        <w:rPr>
          <w:b/>
          <w:bCs/>
          <w:color w:val="auto"/>
          <w:szCs w:val="22"/>
          <w:lang w:val="fr-CA"/>
        </w:rPr>
        <w:t xml:space="preserve"> est un phénomène toujours actuel au sein de nos sociétés, y compris dans certains services publics</w:t>
      </w:r>
      <w:r w:rsidR="00E00B80">
        <w:rPr>
          <w:b/>
          <w:bCs/>
          <w:color w:val="auto"/>
          <w:szCs w:val="22"/>
          <w:lang w:val="fr-CA"/>
        </w:rPr>
        <w:t> </w:t>
      </w:r>
      <w:r w:rsidRPr="006677AD">
        <w:rPr>
          <w:b/>
          <w:bCs/>
          <w:color w:val="auto"/>
          <w:szCs w:val="22"/>
          <w:lang w:val="fr-CA"/>
        </w:rPr>
        <w:t xml:space="preserve">; </w:t>
      </w:r>
    </w:p>
    <w:p w14:paraId="64463F18" w14:textId="694D2903" w:rsidR="003B53A3" w:rsidRDefault="003B53A3" w:rsidP="00912404">
      <w:pPr>
        <w:pStyle w:val="Paragraphe"/>
        <w:numPr>
          <w:ilvl w:val="0"/>
          <w:numId w:val="10"/>
        </w:numPr>
        <w:spacing w:before="120" w:after="120" w:line="240" w:lineRule="auto"/>
        <w:rPr>
          <w:b/>
          <w:bCs/>
          <w:color w:val="auto"/>
          <w:szCs w:val="22"/>
          <w:lang w:val="fr-CA"/>
        </w:rPr>
      </w:pPr>
      <w:r>
        <w:rPr>
          <w:b/>
          <w:bCs/>
          <w:color w:val="auto"/>
          <w:szCs w:val="22"/>
          <w:lang w:val="fr-CA"/>
        </w:rPr>
        <w:t>U</w:t>
      </w:r>
      <w:r w:rsidR="000E42B2" w:rsidRPr="006677AD">
        <w:rPr>
          <w:b/>
          <w:bCs/>
          <w:color w:val="auto"/>
          <w:szCs w:val="22"/>
          <w:lang w:val="fr-CA"/>
        </w:rPr>
        <w:t xml:space="preserve">n obstacle à la santé des Premières Nations et </w:t>
      </w:r>
      <w:proofErr w:type="gramStart"/>
      <w:r w:rsidR="000E42B2" w:rsidRPr="006677AD">
        <w:rPr>
          <w:b/>
          <w:bCs/>
          <w:color w:val="auto"/>
          <w:szCs w:val="22"/>
          <w:lang w:val="fr-CA"/>
        </w:rPr>
        <w:t>des Inuit</w:t>
      </w:r>
      <w:proofErr w:type="gramEnd"/>
      <w:r w:rsidR="000E42B2" w:rsidRPr="006677AD">
        <w:rPr>
          <w:b/>
          <w:bCs/>
          <w:color w:val="auto"/>
          <w:szCs w:val="22"/>
          <w:lang w:val="fr-CA"/>
        </w:rPr>
        <w:t xml:space="preserve"> relève directement du système lui</w:t>
      </w:r>
      <w:r w:rsidR="000E42B2" w:rsidRPr="006677AD">
        <w:rPr>
          <w:rFonts w:ascii="Cambria Math" w:hAnsi="Cambria Math" w:cs="Cambria Math"/>
          <w:b/>
          <w:bCs/>
          <w:color w:val="auto"/>
          <w:szCs w:val="22"/>
          <w:lang w:val="fr-CA"/>
        </w:rPr>
        <w:t>‑</w:t>
      </w:r>
      <w:r w:rsidR="000E42B2" w:rsidRPr="006677AD">
        <w:rPr>
          <w:b/>
          <w:bCs/>
          <w:color w:val="auto"/>
          <w:szCs w:val="22"/>
          <w:lang w:val="fr-CA"/>
        </w:rPr>
        <w:t>m</w:t>
      </w:r>
      <w:r w:rsidR="000E42B2" w:rsidRPr="006677AD">
        <w:rPr>
          <w:rFonts w:cs="Arial"/>
          <w:b/>
          <w:bCs/>
          <w:color w:val="auto"/>
          <w:szCs w:val="22"/>
          <w:lang w:val="fr-CA"/>
        </w:rPr>
        <w:t>ê</w:t>
      </w:r>
      <w:r w:rsidR="000E42B2" w:rsidRPr="006677AD">
        <w:rPr>
          <w:b/>
          <w:bCs/>
          <w:color w:val="auto"/>
          <w:szCs w:val="22"/>
          <w:lang w:val="fr-CA"/>
        </w:rPr>
        <w:t>me en raison de la discrimination que ces personnes subissent dans les pratiques de soins et de services sociaux ainsi que dans l’organisation de ces derniers</w:t>
      </w:r>
      <w:r w:rsidR="00E00B80">
        <w:rPr>
          <w:b/>
          <w:bCs/>
          <w:color w:val="auto"/>
          <w:szCs w:val="22"/>
          <w:lang w:val="fr-CA"/>
        </w:rPr>
        <w:t> </w:t>
      </w:r>
      <w:r w:rsidR="000E42B2" w:rsidRPr="006677AD">
        <w:rPr>
          <w:b/>
          <w:bCs/>
          <w:color w:val="auto"/>
          <w:szCs w:val="22"/>
          <w:lang w:val="fr-CA"/>
        </w:rPr>
        <w:t>;</w:t>
      </w:r>
    </w:p>
    <w:p w14:paraId="5C930C53" w14:textId="29337005" w:rsidR="00541728" w:rsidRPr="003B53A3" w:rsidRDefault="003B53A3" w:rsidP="00912404">
      <w:pPr>
        <w:pStyle w:val="Paragraphe"/>
        <w:numPr>
          <w:ilvl w:val="0"/>
          <w:numId w:val="10"/>
        </w:numPr>
        <w:spacing w:before="120" w:line="240" w:lineRule="auto"/>
        <w:rPr>
          <w:b/>
          <w:bCs/>
          <w:color w:val="auto"/>
          <w:szCs w:val="22"/>
          <w:lang w:val="fr-CA"/>
        </w:rPr>
      </w:pPr>
      <w:r>
        <w:rPr>
          <w:b/>
          <w:bCs/>
          <w:color w:val="auto"/>
          <w:szCs w:val="22"/>
          <w:lang w:val="fr-CA"/>
        </w:rPr>
        <w:t>L</w:t>
      </w:r>
      <w:r w:rsidR="000E42B2" w:rsidRPr="003B53A3">
        <w:rPr>
          <w:b/>
          <w:bCs/>
          <w:color w:val="auto"/>
          <w:szCs w:val="22"/>
          <w:lang w:val="fr-CA"/>
        </w:rPr>
        <w:t>es pratiques de la sécurisation culturelle sont nées en réponse au rapport de domination issu de la colonisation et vécu par les premiers peuples. La question de la dynamique du pouvoir est centrale dans le concept de sécurisation culturelle.</w:t>
      </w:r>
    </w:p>
    <w:p w14:paraId="104CBCC6" w14:textId="4B8CFA86" w:rsidR="00541728" w:rsidRPr="00C84C0A" w:rsidRDefault="00541728" w:rsidP="0097791A">
      <w:pPr>
        <w:pStyle w:val="Paragraphe"/>
        <w:rPr>
          <w:lang w:val="fr-CA"/>
        </w:rPr>
      </w:pPr>
      <w:r w:rsidRPr="00C84C0A">
        <w:rPr>
          <w:rFonts w:eastAsiaTheme="minorHAnsi" w:cs="Arial"/>
          <w:iCs/>
          <w:szCs w:val="16"/>
          <w:lang w:val="fr-CA" w:eastAsia="en-US"/>
        </w:rPr>
        <w:t xml:space="preserve">Plus largement, la Commission </w:t>
      </w:r>
      <w:r w:rsidR="004218FB" w:rsidRPr="00C84C0A">
        <w:rPr>
          <w:rFonts w:eastAsiaTheme="minorHAnsi" w:cs="Arial"/>
          <w:iCs/>
          <w:szCs w:val="16"/>
          <w:lang w:val="fr-CA" w:eastAsia="en-US"/>
        </w:rPr>
        <w:t>ré</w:t>
      </w:r>
      <w:r w:rsidR="005C6197" w:rsidRPr="00C84C0A">
        <w:rPr>
          <w:rFonts w:eastAsiaTheme="minorHAnsi" w:cs="Arial"/>
          <w:iCs/>
          <w:szCs w:val="16"/>
          <w:lang w:val="fr-CA" w:eastAsia="en-US"/>
        </w:rPr>
        <w:t>itère</w:t>
      </w:r>
      <w:r w:rsidRPr="00C84C0A">
        <w:rPr>
          <w:rFonts w:eastAsiaTheme="minorHAnsi" w:cs="Arial"/>
          <w:iCs/>
          <w:szCs w:val="16"/>
          <w:lang w:val="fr-CA" w:eastAsia="en-US"/>
        </w:rPr>
        <w:t xml:space="preserve"> l’importance de mettre</w:t>
      </w:r>
      <w:r w:rsidRPr="00C84C0A">
        <w:rPr>
          <w:lang w:val="fr-CA"/>
        </w:rPr>
        <w:t xml:space="preserve"> en place une politique québécoise de lutte contre le racisme et la discrimination systémiques qui tient compte notamment des réalités particulières que vivent les personnes autochtones</w:t>
      </w:r>
      <w:r>
        <w:rPr>
          <w:rStyle w:val="Appelnotedebasdep"/>
        </w:rPr>
        <w:footnoteReference w:id="62"/>
      </w:r>
      <w:r w:rsidRPr="00C84C0A">
        <w:rPr>
          <w:lang w:val="fr-CA"/>
        </w:rPr>
        <w:t xml:space="preserve">. Celle-ci devrait servir de point d’ancrage à l’élaboration et au déploiement de toutes mesures visant à éliminer les manifestations de ces phénomènes, comme celle actuellement sous étude. Dans le respect du droit à l’autodétermination des peuples autochtones, </w:t>
      </w:r>
      <w:r w:rsidR="004353AE" w:rsidRPr="00C84C0A">
        <w:rPr>
          <w:lang w:val="fr-CA"/>
        </w:rPr>
        <w:t xml:space="preserve">les travaux d’élaboration devraient être </w:t>
      </w:r>
      <w:r w:rsidR="00D6497E" w:rsidRPr="00C84C0A">
        <w:rPr>
          <w:lang w:val="fr-CA"/>
        </w:rPr>
        <w:t xml:space="preserve">menés </w:t>
      </w:r>
      <w:r w:rsidRPr="00C84C0A">
        <w:rPr>
          <w:lang w:val="fr-CA"/>
        </w:rPr>
        <w:t xml:space="preserve">en collaboration </w:t>
      </w:r>
      <w:r w:rsidR="0050138C" w:rsidRPr="00C84C0A">
        <w:rPr>
          <w:lang w:val="fr-CA"/>
        </w:rPr>
        <w:t>avec les a</w:t>
      </w:r>
      <w:r w:rsidR="00EA240F" w:rsidRPr="00C84C0A">
        <w:rPr>
          <w:lang w:val="fr-CA"/>
        </w:rPr>
        <w:t>u</w:t>
      </w:r>
      <w:r w:rsidR="00EE1B16" w:rsidRPr="00C84C0A">
        <w:rPr>
          <w:lang w:val="fr-CA"/>
        </w:rPr>
        <w:t>torités des Premières Nations et Inuit</w:t>
      </w:r>
      <w:r w:rsidRPr="00C84C0A">
        <w:rPr>
          <w:lang w:val="fr-CA"/>
        </w:rPr>
        <w:t>.</w:t>
      </w:r>
    </w:p>
    <w:p w14:paraId="6AF2ABA1" w14:textId="5BE23E95" w:rsidR="00541728" w:rsidRDefault="00541728" w:rsidP="00912404">
      <w:pPr>
        <w:pStyle w:val="TitreRecommandation"/>
      </w:pPr>
      <w:r w:rsidRPr="00B81344">
        <w:lastRenderedPageBreak/>
        <w:t>RECOMMANDATION</w:t>
      </w:r>
      <w:r w:rsidR="00633A95">
        <w:t> </w:t>
      </w:r>
      <w:r w:rsidR="000228E5">
        <w:t>5</w:t>
      </w:r>
    </w:p>
    <w:p w14:paraId="1864376A" w14:textId="157CCD00" w:rsidR="004248FF" w:rsidRDefault="00541728" w:rsidP="00541728">
      <w:pPr>
        <w:pStyle w:val="Corpsdetexte"/>
        <w:spacing w:line="240" w:lineRule="auto"/>
        <w:ind w:left="706"/>
        <w:rPr>
          <w:b/>
          <w:bCs/>
        </w:rPr>
      </w:pPr>
      <w:r>
        <w:rPr>
          <w:rFonts w:eastAsiaTheme="minorHAnsi" w:cs="Arial"/>
          <w:b/>
          <w:bCs/>
          <w:iCs/>
          <w:szCs w:val="16"/>
          <w:lang w:eastAsia="en-US"/>
        </w:rPr>
        <w:t>L</w:t>
      </w:r>
      <w:r w:rsidRPr="00B81344">
        <w:rPr>
          <w:rFonts w:eastAsiaTheme="minorHAnsi" w:cs="Arial"/>
          <w:b/>
          <w:bCs/>
          <w:iCs/>
          <w:szCs w:val="16"/>
          <w:lang w:eastAsia="en-US"/>
        </w:rPr>
        <w:t>a Commission réit</w:t>
      </w:r>
      <w:r>
        <w:rPr>
          <w:rFonts w:eastAsiaTheme="minorHAnsi" w:cs="Arial"/>
          <w:b/>
          <w:bCs/>
          <w:iCs/>
          <w:szCs w:val="16"/>
          <w:lang w:eastAsia="en-US"/>
        </w:rPr>
        <w:t>è</w:t>
      </w:r>
      <w:r w:rsidRPr="00B81344">
        <w:rPr>
          <w:rFonts w:eastAsiaTheme="minorHAnsi" w:cs="Arial"/>
          <w:b/>
          <w:bCs/>
          <w:iCs/>
          <w:szCs w:val="16"/>
          <w:lang w:eastAsia="en-US"/>
        </w:rPr>
        <w:t>re</w:t>
      </w:r>
      <w:r w:rsidR="00276719">
        <w:rPr>
          <w:rFonts w:eastAsiaTheme="minorHAnsi" w:cs="Arial"/>
          <w:b/>
          <w:bCs/>
          <w:iCs/>
          <w:szCs w:val="16"/>
          <w:lang w:eastAsia="en-US"/>
        </w:rPr>
        <w:t xml:space="preserve"> </w:t>
      </w:r>
      <w:r w:rsidR="00276719" w:rsidRPr="00D31A94">
        <w:rPr>
          <w:rFonts w:eastAsiaTheme="minorHAnsi" w:cs="Arial"/>
          <w:b/>
          <w:bCs/>
          <w:iCs/>
          <w:szCs w:val="16"/>
          <w:lang w:eastAsia="en-US"/>
        </w:rPr>
        <w:t>sa recommandation</w:t>
      </w:r>
      <w:r w:rsidR="00F355CC" w:rsidRPr="00D31A94">
        <w:rPr>
          <w:rFonts w:eastAsiaTheme="minorHAnsi" w:cs="Arial"/>
          <w:b/>
          <w:bCs/>
          <w:iCs/>
          <w:szCs w:val="16"/>
          <w:lang w:eastAsia="en-US"/>
        </w:rPr>
        <w:t xml:space="preserve"> </w:t>
      </w:r>
      <w:r w:rsidR="00F43D22" w:rsidRPr="00D31A94">
        <w:rPr>
          <w:rFonts w:eastAsiaTheme="minorHAnsi" w:cs="Arial"/>
          <w:b/>
          <w:bCs/>
          <w:iCs/>
          <w:szCs w:val="16"/>
          <w:lang w:eastAsia="en-US"/>
        </w:rPr>
        <w:t>destinée au gouvernement</w:t>
      </w:r>
      <w:r w:rsidR="00276719" w:rsidRPr="00D31A94">
        <w:rPr>
          <w:rFonts w:eastAsiaTheme="minorHAnsi" w:cs="Arial"/>
          <w:b/>
          <w:bCs/>
          <w:iCs/>
          <w:szCs w:val="16"/>
          <w:lang w:eastAsia="en-US"/>
        </w:rPr>
        <w:t xml:space="preserve"> de </w:t>
      </w:r>
      <w:r w:rsidRPr="00D31A94">
        <w:rPr>
          <w:rFonts w:eastAsiaTheme="minorHAnsi" w:cs="Arial"/>
          <w:b/>
          <w:bCs/>
          <w:iCs/>
          <w:szCs w:val="16"/>
          <w:lang w:eastAsia="en-US"/>
        </w:rPr>
        <w:t>mett</w:t>
      </w:r>
      <w:r w:rsidRPr="00B81344">
        <w:rPr>
          <w:rFonts w:eastAsiaTheme="minorHAnsi" w:cs="Arial"/>
          <w:b/>
          <w:bCs/>
          <w:iCs/>
          <w:szCs w:val="16"/>
          <w:lang w:eastAsia="en-US"/>
        </w:rPr>
        <w:t>re</w:t>
      </w:r>
      <w:r w:rsidRPr="00B81344">
        <w:rPr>
          <w:b/>
          <w:bCs/>
        </w:rPr>
        <w:t xml:space="preserve"> en place une politique québécoise de lutte contre le racisme et la discrimination systémiques qui tient compte des réalités particulières que vivent les personnes autochtones</w:t>
      </w:r>
      <w:r w:rsidR="008B277F" w:rsidRPr="001A4A5B">
        <w:rPr>
          <w:b/>
          <w:bCs/>
        </w:rPr>
        <w:t>, et ce, en collaboration avec les autorités des Premières Nations et Inuit</w:t>
      </w:r>
      <w:r>
        <w:rPr>
          <w:b/>
          <w:bCs/>
        </w:rPr>
        <w:t>.</w:t>
      </w:r>
    </w:p>
    <w:p w14:paraId="06151663" w14:textId="77777777" w:rsidR="001E3DB6" w:rsidRPr="001A4A5B" w:rsidRDefault="001E3DB6" w:rsidP="004B49B2">
      <w:pPr>
        <w:pStyle w:val="Paragraphe"/>
        <w:rPr>
          <w:color w:val="auto"/>
          <w:lang w:val="fr-CA"/>
        </w:rPr>
      </w:pPr>
    </w:p>
    <w:p w14:paraId="64FEED2A" w14:textId="12B64ED1" w:rsidR="003F4E46" w:rsidRPr="00D84749" w:rsidRDefault="00C954FD" w:rsidP="00647C41">
      <w:pPr>
        <w:pStyle w:val="Titre1"/>
      </w:pPr>
      <w:bookmarkStart w:id="32" w:name="_Toc144313346"/>
      <w:bookmarkStart w:id="33" w:name="_Toc144314660"/>
      <w:bookmarkStart w:id="34" w:name="_Toc144313351"/>
      <w:bookmarkStart w:id="35" w:name="_Toc144314665"/>
      <w:bookmarkStart w:id="36" w:name="_Toc144313353"/>
      <w:bookmarkStart w:id="37" w:name="_Toc144314667"/>
      <w:bookmarkStart w:id="38" w:name="_Toc145331848"/>
      <w:bookmarkEnd w:id="32"/>
      <w:bookmarkEnd w:id="33"/>
      <w:bookmarkEnd w:id="34"/>
      <w:bookmarkEnd w:id="35"/>
      <w:bookmarkEnd w:id="36"/>
      <w:bookmarkEnd w:id="37"/>
      <w:r>
        <w:t>Le</w:t>
      </w:r>
      <w:r w:rsidR="00F37E78">
        <w:t xml:space="preserve"> droit à la santé</w:t>
      </w:r>
      <w:r w:rsidR="00047EA5">
        <w:t xml:space="preserve"> des peuples autochtones</w:t>
      </w:r>
      <w:r w:rsidR="00555F82">
        <w:t xml:space="preserve"> et </w:t>
      </w:r>
      <w:r w:rsidR="00A377D0">
        <w:t>les droits et libertés de la personne inscrit</w:t>
      </w:r>
      <w:r w:rsidR="00387DBA">
        <w:t>s</w:t>
      </w:r>
      <w:r w:rsidR="00A377D0">
        <w:t xml:space="preserve"> dans la Ch</w:t>
      </w:r>
      <w:r w:rsidR="007E03A5">
        <w:t>arte</w:t>
      </w:r>
      <w:bookmarkEnd w:id="38"/>
    </w:p>
    <w:p w14:paraId="2722A90A" w14:textId="6BEED5DB" w:rsidR="00B202D1" w:rsidRPr="002E7A28" w:rsidRDefault="00B202D1" w:rsidP="00E4721C">
      <w:pPr>
        <w:pStyle w:val="Titre2"/>
      </w:pPr>
      <w:bookmarkStart w:id="39" w:name="_Toc145331849"/>
      <w:r w:rsidRPr="002E7A28">
        <w:t>3.1</w:t>
      </w:r>
      <w:r w:rsidRPr="002E7A28">
        <w:tab/>
        <w:t>Le droit à la santé</w:t>
      </w:r>
      <w:bookmarkEnd w:id="39"/>
    </w:p>
    <w:p w14:paraId="6259A805" w14:textId="72702D6E" w:rsidR="00CA58E4" w:rsidRDefault="00506A35" w:rsidP="00944066">
      <w:pPr>
        <w:pStyle w:val="Paragraphe"/>
        <w:rPr>
          <w:color w:val="auto"/>
          <w:lang w:val="fr-CA"/>
        </w:rPr>
      </w:pPr>
      <w:r w:rsidRPr="001A4A5B">
        <w:rPr>
          <w:color w:val="auto"/>
          <w:lang w:val="fr-CA"/>
        </w:rPr>
        <w:t>Le droit à la santé</w:t>
      </w:r>
      <w:r w:rsidR="008860BC" w:rsidRPr="001A4A5B">
        <w:rPr>
          <w:color w:val="auto"/>
          <w:lang w:val="fr-CA"/>
        </w:rPr>
        <w:t xml:space="preserve"> est consacré à la fois </w:t>
      </w:r>
      <w:r w:rsidR="008860BC" w:rsidRPr="001A4A5B" w:rsidDel="00CA58E4">
        <w:rPr>
          <w:color w:val="auto"/>
          <w:lang w:val="fr-CA"/>
        </w:rPr>
        <w:t>par l’article</w:t>
      </w:r>
      <w:r w:rsidR="00633A95">
        <w:rPr>
          <w:color w:val="auto"/>
          <w:lang w:val="fr-CA"/>
        </w:rPr>
        <w:t> </w:t>
      </w:r>
      <w:r w:rsidR="008860BC" w:rsidRPr="001A4A5B">
        <w:rPr>
          <w:color w:val="auto"/>
          <w:lang w:val="fr-CA"/>
        </w:rPr>
        <w:t>1</w:t>
      </w:r>
      <w:r w:rsidR="000B32DE" w:rsidRPr="001A4A5B">
        <w:rPr>
          <w:color w:val="auto"/>
          <w:lang w:val="fr-CA"/>
        </w:rPr>
        <w:t>2</w:t>
      </w:r>
      <w:r w:rsidR="008860BC" w:rsidRPr="001A4A5B">
        <w:rPr>
          <w:color w:val="auto"/>
          <w:lang w:val="fr-CA"/>
        </w:rPr>
        <w:t xml:space="preserve"> du </w:t>
      </w:r>
      <w:r w:rsidR="00CC6D33">
        <w:rPr>
          <w:color w:val="auto"/>
          <w:lang w:val="fr-CA"/>
        </w:rPr>
        <w:t>PIDESC</w:t>
      </w:r>
      <w:r w:rsidR="00D63553" w:rsidRPr="001A4A5B">
        <w:rPr>
          <w:color w:val="auto"/>
          <w:lang w:val="fr-CA"/>
        </w:rPr>
        <w:t>,</w:t>
      </w:r>
      <w:r w:rsidR="00D63553" w:rsidRPr="001A4A5B">
        <w:rPr>
          <w:rFonts w:eastAsia="Calibri"/>
          <w:color w:val="auto"/>
          <w:lang w:val="fr-CA" w:eastAsia="en-US"/>
        </w:rPr>
        <w:t xml:space="preserve"> auquel le Québec s’est déclaré lié</w:t>
      </w:r>
      <w:r w:rsidR="00D63553" w:rsidRPr="001A4A5B">
        <w:rPr>
          <w:rStyle w:val="Appelnotedebasdep"/>
          <w:rFonts w:eastAsia="Calibri"/>
          <w:color w:val="auto"/>
          <w:lang w:eastAsia="en-US"/>
        </w:rPr>
        <w:footnoteReference w:id="63"/>
      </w:r>
      <w:r w:rsidR="00CA58E4" w:rsidRPr="001A4A5B">
        <w:rPr>
          <w:rFonts w:eastAsia="Calibri"/>
          <w:color w:val="auto"/>
          <w:lang w:val="fr-CA" w:eastAsia="en-US"/>
        </w:rPr>
        <w:t xml:space="preserve"> et </w:t>
      </w:r>
      <w:r w:rsidR="00CA58E4" w:rsidRPr="001A4A5B">
        <w:rPr>
          <w:color w:val="auto"/>
          <w:lang w:val="fr-CA"/>
        </w:rPr>
        <w:t>par l’article</w:t>
      </w:r>
      <w:r w:rsidR="00633A95">
        <w:rPr>
          <w:color w:val="auto"/>
          <w:lang w:val="fr-CA"/>
        </w:rPr>
        <w:t> </w:t>
      </w:r>
      <w:r w:rsidR="008D08E3" w:rsidRPr="001A4A5B">
        <w:rPr>
          <w:color w:val="auto"/>
          <w:lang w:val="fr-CA"/>
        </w:rPr>
        <w:t>24</w:t>
      </w:r>
      <w:r w:rsidR="00CA58E4" w:rsidRPr="001A4A5B">
        <w:rPr>
          <w:color w:val="auto"/>
          <w:lang w:val="fr-CA"/>
        </w:rPr>
        <w:t xml:space="preserve"> de la </w:t>
      </w:r>
      <w:r w:rsidR="000D445B" w:rsidRPr="003276E0">
        <w:rPr>
          <w:iCs/>
          <w:color w:val="auto"/>
          <w:lang w:val="fr-CA"/>
        </w:rPr>
        <w:t>DNUDPA</w:t>
      </w:r>
      <w:r w:rsidR="006016B6">
        <w:rPr>
          <w:i/>
          <w:color w:val="auto"/>
          <w:lang w:val="fr-CA"/>
        </w:rPr>
        <w:t xml:space="preserve"> </w:t>
      </w:r>
      <w:r w:rsidR="006016B6">
        <w:rPr>
          <w:iCs/>
          <w:color w:val="auto"/>
          <w:lang w:val="fr-CA"/>
        </w:rPr>
        <w:t>qui</w:t>
      </w:r>
      <w:r w:rsidR="002B6190">
        <w:rPr>
          <w:color w:val="auto"/>
          <w:lang w:val="fr-CA"/>
        </w:rPr>
        <w:t xml:space="preserve"> se l</w:t>
      </w:r>
      <w:r w:rsidR="00F03203">
        <w:rPr>
          <w:color w:val="auto"/>
          <w:lang w:val="fr-CA"/>
        </w:rPr>
        <w:t>i</w:t>
      </w:r>
      <w:r w:rsidR="002B6190">
        <w:rPr>
          <w:color w:val="auto"/>
          <w:lang w:val="fr-CA"/>
        </w:rPr>
        <w:t xml:space="preserve">t comme </w:t>
      </w:r>
      <w:r w:rsidR="00855CAE">
        <w:rPr>
          <w:color w:val="auto"/>
          <w:lang w:val="fr-CA"/>
        </w:rPr>
        <w:t>suit :</w:t>
      </w:r>
    </w:p>
    <w:p w14:paraId="7A242B40" w14:textId="77777777" w:rsidR="002B6190" w:rsidRDefault="002B6190" w:rsidP="002B6190">
      <w:pPr>
        <w:pStyle w:val="Citation"/>
      </w:pPr>
      <w:r>
        <w:t xml:space="preserve">1. Les peuples autochtones ont droit à leur pharmacopée traditionnelle et ils ont le droit de conserver leurs pratiques médicales, notamment de préserver leurs plantes médicinales, animaux et minéraux d’intérêt vital. Les autochtones ont aussi le droit d’avoir accès, sans aucune discrimination, à tous les services sociaux et de santé. </w:t>
      </w:r>
    </w:p>
    <w:p w14:paraId="084466DA" w14:textId="60C616E0" w:rsidR="002B6190" w:rsidRPr="002B6190" w:rsidRDefault="002B6190" w:rsidP="002B6190">
      <w:pPr>
        <w:pStyle w:val="Citation"/>
      </w:pPr>
      <w:r>
        <w:t>2. Les autochtones ont le droit, en toute égalité, de jouir du meilleur état possible de santé physique et mentale. Les États prennent les mesures nécessaires en vue d’assurer progressivement la pleine réalisation de ce droit.</w:t>
      </w:r>
      <w:r w:rsidR="006016B6" w:rsidRPr="001A4A5B">
        <w:rPr>
          <w:rStyle w:val="Appelnotedebasdep"/>
          <w:rFonts w:eastAsia="Calibri"/>
        </w:rPr>
        <w:footnoteReference w:id="64"/>
      </w:r>
    </w:p>
    <w:p w14:paraId="58F634F7" w14:textId="7DDD93F1" w:rsidR="004B7F40" w:rsidRDefault="00237E24" w:rsidP="00944066">
      <w:pPr>
        <w:pStyle w:val="Paragraphe"/>
        <w:rPr>
          <w:rFonts w:eastAsia="Calibri" w:cs="Arial"/>
          <w:color w:val="auto"/>
          <w:szCs w:val="22"/>
          <w:lang w:val="fr-CA" w:eastAsia="en-US"/>
        </w:rPr>
      </w:pPr>
      <w:r w:rsidRPr="00C84C0A">
        <w:rPr>
          <w:rFonts w:eastAsia="Calibri"/>
          <w:lang w:val="fr-CA"/>
        </w:rPr>
        <w:t>Le droit à la santé est</w:t>
      </w:r>
      <w:r w:rsidR="009A2B05" w:rsidRPr="00C84C0A">
        <w:rPr>
          <w:rFonts w:eastAsia="Calibri"/>
          <w:lang w:val="fr-CA"/>
        </w:rPr>
        <w:t xml:space="preserve"> </w:t>
      </w:r>
      <w:r w:rsidR="006016B6">
        <w:rPr>
          <w:rFonts w:eastAsia="Calibri"/>
          <w:lang w:val="fr-CA"/>
        </w:rPr>
        <w:t>reconnu</w:t>
      </w:r>
      <w:r w:rsidR="009A2B05" w:rsidRPr="00C84C0A">
        <w:rPr>
          <w:rFonts w:eastAsia="Calibri"/>
          <w:lang w:val="fr-CA"/>
        </w:rPr>
        <w:t xml:space="preserve"> </w:t>
      </w:r>
      <w:r w:rsidR="006016B6">
        <w:rPr>
          <w:rFonts w:eastAsia="Calibri"/>
          <w:lang w:val="fr-CA"/>
        </w:rPr>
        <w:t xml:space="preserve">par </w:t>
      </w:r>
      <w:r w:rsidR="009A2B05" w:rsidRPr="00C84C0A">
        <w:rPr>
          <w:rFonts w:eastAsia="Calibri"/>
          <w:lang w:val="fr-CA"/>
        </w:rPr>
        <w:t xml:space="preserve">la </w:t>
      </w:r>
      <w:r w:rsidR="009A2B05" w:rsidRPr="0034092E">
        <w:rPr>
          <w:rFonts w:eastAsia="Calibri"/>
          <w:i/>
          <w:iCs/>
          <w:lang w:val="fr-CA"/>
        </w:rPr>
        <w:t>Déclaration universelle des</w:t>
      </w:r>
      <w:r w:rsidR="009A2B05" w:rsidRPr="001A4A5B">
        <w:rPr>
          <w:rFonts w:eastAsia="Calibri"/>
          <w:i/>
          <w:color w:val="auto"/>
          <w:lang w:val="fr-CA" w:eastAsia="en-US"/>
        </w:rPr>
        <w:t xml:space="preserve"> droits de l’Homme</w:t>
      </w:r>
      <w:r w:rsidR="009A2B05" w:rsidRPr="001A4A5B">
        <w:rPr>
          <w:rStyle w:val="Appelnotedebasdep"/>
          <w:rFonts w:eastAsia="Calibri"/>
          <w:color w:val="auto"/>
          <w:lang w:eastAsia="en-US"/>
        </w:rPr>
        <w:footnoteReference w:id="65"/>
      </w:r>
      <w:r w:rsidR="009A2B05" w:rsidRPr="001A4A5B">
        <w:rPr>
          <w:rFonts w:eastAsia="Calibri" w:cs="Arial"/>
          <w:color w:val="auto"/>
          <w:szCs w:val="22"/>
          <w:lang w:val="fr-CA" w:eastAsia="en-US"/>
        </w:rPr>
        <w:t xml:space="preserve">, la </w:t>
      </w:r>
      <w:r w:rsidR="009A2B05" w:rsidRPr="001A4A5B">
        <w:rPr>
          <w:rFonts w:eastAsia="Calibri"/>
          <w:i/>
          <w:color w:val="auto"/>
          <w:lang w:val="fr-CA" w:eastAsia="en-US"/>
        </w:rPr>
        <w:t>Convention sur l’élimination de toutes les formes de discrimination raciale</w:t>
      </w:r>
      <w:r w:rsidR="009A2B05" w:rsidRPr="001A4A5B">
        <w:rPr>
          <w:rStyle w:val="Appelnotedebasdep"/>
          <w:rFonts w:eastAsia="Calibri"/>
          <w:color w:val="auto"/>
          <w:lang w:eastAsia="en-US"/>
        </w:rPr>
        <w:footnoteReference w:id="66"/>
      </w:r>
      <w:r w:rsidR="009A2B05" w:rsidRPr="001A4A5B">
        <w:rPr>
          <w:rFonts w:eastAsia="Calibri"/>
          <w:color w:val="auto"/>
          <w:lang w:val="fr-CA" w:eastAsia="en-US"/>
        </w:rPr>
        <w:t>,</w:t>
      </w:r>
      <w:r w:rsidR="009A2B05" w:rsidRPr="001A4A5B">
        <w:rPr>
          <w:rFonts w:eastAsia="Calibri" w:cs="Arial"/>
          <w:color w:val="auto"/>
          <w:szCs w:val="22"/>
          <w:lang w:val="fr-CA" w:eastAsia="en-US"/>
        </w:rPr>
        <w:t xml:space="preserve"> la </w:t>
      </w:r>
      <w:r w:rsidR="009A2B05" w:rsidRPr="001A4A5B">
        <w:rPr>
          <w:rFonts w:eastAsia="Calibri"/>
          <w:i/>
          <w:color w:val="auto"/>
          <w:lang w:val="fr-CA" w:eastAsia="en-US"/>
        </w:rPr>
        <w:t>Convention sur l’élimination de toutes les formes de discrimination à l’égard des femmes</w:t>
      </w:r>
      <w:r w:rsidR="009A2B05" w:rsidRPr="001A4A5B">
        <w:rPr>
          <w:rStyle w:val="Appelnotedebasdep"/>
          <w:rFonts w:eastAsia="Calibri"/>
          <w:color w:val="auto"/>
          <w:lang w:eastAsia="en-US"/>
        </w:rPr>
        <w:footnoteReference w:id="67"/>
      </w:r>
      <w:r w:rsidR="009A2B05" w:rsidRPr="001A4A5B">
        <w:rPr>
          <w:rFonts w:eastAsia="Calibri"/>
          <w:color w:val="auto"/>
          <w:lang w:val="fr-CA" w:eastAsia="en-US"/>
        </w:rPr>
        <w:t>,</w:t>
      </w:r>
      <w:r w:rsidR="00814AF6">
        <w:rPr>
          <w:rFonts w:eastAsia="Calibri"/>
          <w:color w:val="auto"/>
          <w:lang w:val="fr-CA" w:eastAsia="en-US"/>
        </w:rPr>
        <w:t xml:space="preserve"> la </w:t>
      </w:r>
      <w:r w:rsidR="00814AF6" w:rsidRPr="000C1F2C">
        <w:rPr>
          <w:rFonts w:eastAsia="Calibri"/>
          <w:i/>
          <w:iCs/>
          <w:color w:val="auto"/>
          <w:lang w:val="fr-CA" w:eastAsia="en-US"/>
        </w:rPr>
        <w:t xml:space="preserve">Convention </w:t>
      </w:r>
      <w:r w:rsidR="00814AF6" w:rsidRPr="000C1F2C">
        <w:rPr>
          <w:rFonts w:eastAsia="Calibri"/>
          <w:i/>
          <w:iCs/>
          <w:color w:val="auto"/>
          <w:lang w:val="fr-CA" w:eastAsia="en-US"/>
        </w:rPr>
        <w:lastRenderedPageBreak/>
        <w:t>relative aux droits de l’enfant</w:t>
      </w:r>
      <w:r w:rsidR="000C1F2C">
        <w:rPr>
          <w:rStyle w:val="Appelnotedebasdep"/>
          <w:rFonts w:eastAsia="Calibri"/>
          <w:i/>
          <w:iCs/>
          <w:color w:val="auto"/>
          <w:lang w:val="fr-CA" w:eastAsia="en-US"/>
        </w:rPr>
        <w:footnoteReference w:id="68"/>
      </w:r>
      <w:r w:rsidR="000C1F2C">
        <w:rPr>
          <w:rFonts w:eastAsia="Calibri"/>
          <w:color w:val="auto"/>
          <w:lang w:val="fr-CA" w:eastAsia="en-US"/>
        </w:rPr>
        <w:t>,</w:t>
      </w:r>
      <w:r w:rsidR="009A2B05" w:rsidRPr="001A4A5B">
        <w:rPr>
          <w:rFonts w:eastAsia="Calibri"/>
          <w:color w:val="auto"/>
          <w:lang w:val="fr-CA" w:eastAsia="en-US"/>
        </w:rPr>
        <w:t xml:space="preserve"> la </w:t>
      </w:r>
      <w:r w:rsidR="009A2B05" w:rsidRPr="001A4A5B">
        <w:rPr>
          <w:rFonts w:eastAsia="Calibri"/>
          <w:i/>
          <w:color w:val="auto"/>
          <w:lang w:val="fr-CA" w:eastAsia="en-US"/>
        </w:rPr>
        <w:t>Convention relative aux droits des personnes handicapées</w:t>
      </w:r>
      <w:r w:rsidR="009A2B05" w:rsidRPr="001A4A5B">
        <w:rPr>
          <w:rStyle w:val="Appelnotedebasdep"/>
          <w:rFonts w:eastAsia="Calibri"/>
          <w:color w:val="auto"/>
          <w:lang w:eastAsia="en-US"/>
        </w:rPr>
        <w:footnoteReference w:id="69"/>
      </w:r>
      <w:r w:rsidR="009A2B05" w:rsidRPr="001A4A5B">
        <w:rPr>
          <w:rFonts w:eastAsia="Calibri"/>
          <w:color w:val="auto"/>
          <w:lang w:val="fr-CA" w:eastAsia="en-US"/>
        </w:rPr>
        <w:t xml:space="preserve"> </w:t>
      </w:r>
      <w:r w:rsidR="009A2B05" w:rsidRPr="001A4A5B">
        <w:rPr>
          <w:rFonts w:eastAsia="Calibri" w:cs="Arial"/>
          <w:color w:val="auto"/>
          <w:szCs w:val="22"/>
          <w:lang w:val="fr-CA" w:eastAsia="en-US"/>
        </w:rPr>
        <w:t xml:space="preserve">et la </w:t>
      </w:r>
      <w:r w:rsidR="009A2B05" w:rsidRPr="001A4A5B">
        <w:rPr>
          <w:rFonts w:eastAsia="Calibri"/>
          <w:i/>
          <w:color w:val="auto"/>
          <w:lang w:val="fr-CA" w:eastAsia="en-US"/>
        </w:rPr>
        <w:t>Constitution de l’Organisation mondiale de la santé</w:t>
      </w:r>
      <w:r w:rsidR="009A2B05" w:rsidRPr="001A4A5B">
        <w:rPr>
          <w:rStyle w:val="Appelnotedebasdep"/>
          <w:rFonts w:eastAsia="Calibri"/>
          <w:color w:val="auto"/>
          <w:lang w:eastAsia="en-US"/>
        </w:rPr>
        <w:footnoteReference w:id="70"/>
      </w:r>
      <w:r w:rsidR="009A2B05" w:rsidRPr="001A4A5B">
        <w:rPr>
          <w:rFonts w:eastAsia="Calibri" w:cs="Arial"/>
          <w:color w:val="auto"/>
          <w:szCs w:val="22"/>
          <w:lang w:val="fr-CA" w:eastAsia="en-US"/>
        </w:rPr>
        <w:t>. Le Canada est parti à ces conventions et a affirmé son engagement envers la Déclaration</w:t>
      </w:r>
      <w:r w:rsidR="009A2B05" w:rsidRPr="001A4A5B">
        <w:rPr>
          <w:rStyle w:val="Appelnotedebasdep"/>
          <w:rFonts w:eastAsia="Calibri"/>
          <w:color w:val="auto"/>
          <w:lang w:eastAsia="en-US"/>
        </w:rPr>
        <w:footnoteReference w:id="71"/>
      </w:r>
      <w:r w:rsidR="009A2B05" w:rsidRPr="001A4A5B">
        <w:rPr>
          <w:rFonts w:eastAsia="Calibri" w:cs="Arial"/>
          <w:color w:val="auto"/>
          <w:szCs w:val="22"/>
          <w:lang w:val="fr-CA" w:eastAsia="en-US"/>
        </w:rPr>
        <w:t xml:space="preserve">. </w:t>
      </w:r>
    </w:p>
    <w:p w14:paraId="629F30FB" w14:textId="4483BD94" w:rsidR="00A474A2" w:rsidRPr="004207A5" w:rsidRDefault="007E43E3" w:rsidP="0097791A">
      <w:pPr>
        <w:pStyle w:val="Paragraphe"/>
        <w:rPr>
          <w:lang w:val="fr-CA"/>
        </w:rPr>
      </w:pPr>
      <w:r w:rsidRPr="00A8472C">
        <w:rPr>
          <w:lang w:val="fr-CA"/>
        </w:rPr>
        <w:t xml:space="preserve">Le droit à la santé n’est pas explicitement inscrit à la Charte, mais plusieurs autres droits </w:t>
      </w:r>
      <w:r w:rsidR="00DA3801" w:rsidRPr="004207A5">
        <w:rPr>
          <w:lang w:val="fr-CA"/>
        </w:rPr>
        <w:t xml:space="preserve">concourent indirectement à </w:t>
      </w:r>
      <w:r>
        <w:rPr>
          <w:lang w:val="fr-CA"/>
        </w:rPr>
        <w:t>s</w:t>
      </w:r>
      <w:r w:rsidR="00DA3801" w:rsidRPr="004207A5">
        <w:rPr>
          <w:lang w:val="fr-CA"/>
        </w:rPr>
        <w:t xml:space="preserve">a protection, dont le droit à la </w:t>
      </w:r>
      <w:r w:rsidR="00DD2F6C">
        <w:rPr>
          <w:lang w:val="fr-CA"/>
        </w:rPr>
        <w:t>sûreté</w:t>
      </w:r>
      <w:r w:rsidR="00DA3801" w:rsidRPr="004207A5">
        <w:rPr>
          <w:lang w:val="fr-CA"/>
        </w:rPr>
        <w:t xml:space="preserve"> et à l’intégrité de la personne, le droit à la sauvegarde de sa dignité et le droit à l’égalité, respectivement protégés par les articles</w:t>
      </w:r>
      <w:r w:rsidR="00633A95" w:rsidRPr="004207A5">
        <w:rPr>
          <w:lang w:val="fr-CA"/>
        </w:rPr>
        <w:t> </w:t>
      </w:r>
      <w:r w:rsidR="00DA3801" w:rsidRPr="004207A5">
        <w:rPr>
          <w:lang w:val="fr-CA"/>
        </w:rPr>
        <w:t>1, 4 et 10.</w:t>
      </w:r>
      <w:r w:rsidR="00A474A2" w:rsidRPr="004207A5">
        <w:rPr>
          <w:lang w:val="fr-CA"/>
        </w:rPr>
        <w:t xml:space="preserve"> </w:t>
      </w:r>
    </w:p>
    <w:p w14:paraId="19577CFC" w14:textId="13CBB40C" w:rsidR="00DF1D00" w:rsidRPr="001A4A5B" w:rsidRDefault="007E43E3" w:rsidP="00DF1D00">
      <w:pPr>
        <w:pStyle w:val="Paragraphe"/>
        <w:rPr>
          <w:color w:val="auto"/>
          <w:lang w:val="fr-CA"/>
        </w:rPr>
      </w:pPr>
      <w:r>
        <w:rPr>
          <w:lang w:val="fr-CA"/>
        </w:rPr>
        <w:t>L</w:t>
      </w:r>
      <w:r w:rsidR="00DF1D00" w:rsidRPr="00B8333F">
        <w:rPr>
          <w:lang w:val="fr-CA"/>
        </w:rPr>
        <w:t>e droit à la santé est indissociable de l’ensemble des autres droits et libertés de la personne et indispensable à leur exercice. Ainsi, le</w:t>
      </w:r>
      <w:r w:rsidR="00EF02CD" w:rsidRPr="00B8333F">
        <w:rPr>
          <w:lang w:val="fr-CA"/>
        </w:rPr>
        <w:t xml:space="preserve"> </w:t>
      </w:r>
      <w:r w:rsidR="003E4B8B" w:rsidRPr="00B8333F">
        <w:rPr>
          <w:lang w:val="fr-CA"/>
        </w:rPr>
        <w:t>Comité des droits économiques, sociaux et culturels</w:t>
      </w:r>
      <w:r w:rsidR="003E4B8B" w:rsidRPr="001A4A5B">
        <w:rPr>
          <w:color w:val="auto"/>
          <w:lang w:val="fr-CA"/>
        </w:rPr>
        <w:t xml:space="preserve"> de l’ONU </w:t>
      </w:r>
      <w:r w:rsidR="00AA61D8" w:rsidRPr="001A4A5B">
        <w:rPr>
          <w:color w:val="auto"/>
          <w:lang w:val="fr-CA"/>
        </w:rPr>
        <w:t>explique</w:t>
      </w:r>
      <w:r w:rsidR="00DF1D00" w:rsidRPr="001A4A5B">
        <w:rPr>
          <w:color w:val="auto"/>
          <w:lang w:val="fr-CA"/>
        </w:rPr>
        <w:t xml:space="preserve"> : </w:t>
      </w:r>
    </w:p>
    <w:p w14:paraId="4C628425" w14:textId="437AAECD" w:rsidR="00DF1D00" w:rsidRPr="00E0149F" w:rsidRDefault="00E43AD7" w:rsidP="00DF1D00">
      <w:pPr>
        <w:pStyle w:val="Citation"/>
      </w:pPr>
      <w:r>
        <w:t>«</w:t>
      </w:r>
      <w:r w:rsidR="009F5659">
        <w:t> </w:t>
      </w:r>
      <w:r w:rsidR="00DF1D00" w:rsidRPr="00E0149F">
        <w:t>Le droit à la santé est étroitement lié à d</w:t>
      </w:r>
      <w:r w:rsidR="00DF1D00">
        <w:t>’</w:t>
      </w:r>
      <w:r w:rsidR="00DF1D00" w:rsidRPr="00E0149F">
        <w:t>autres droits de l</w:t>
      </w:r>
      <w:r w:rsidR="00DF1D00">
        <w:t>’</w:t>
      </w:r>
      <w:r w:rsidR="00DF1D00" w:rsidRPr="00E0149F">
        <w:t>homme et dépend de leur réalisation</w:t>
      </w:r>
      <w:r w:rsidR="00DF1D00">
        <w:t> </w:t>
      </w:r>
      <w:r w:rsidR="00DF1D00" w:rsidRPr="00E0149F">
        <w:t>: il s</w:t>
      </w:r>
      <w:r w:rsidR="00DF1D00">
        <w:t>’</w:t>
      </w:r>
      <w:r w:rsidR="00DF1D00" w:rsidRPr="00E0149F">
        <w:t>agit des droits énoncés dans la Charte internationale des droits de l</w:t>
      </w:r>
      <w:r w:rsidR="00DF1D00">
        <w:t>’</w:t>
      </w:r>
      <w:r w:rsidR="00DF1D00" w:rsidRPr="00E0149F">
        <w:t>homme, à savoir les droits à l</w:t>
      </w:r>
      <w:r w:rsidR="00DF1D00">
        <w:t>’</w:t>
      </w:r>
      <w:r w:rsidR="00DF1D00" w:rsidRPr="00E0149F">
        <w:t>alimentation, au logement, au travail, à l</w:t>
      </w:r>
      <w:r w:rsidR="00DF1D00">
        <w:t>’</w:t>
      </w:r>
      <w:r w:rsidR="00DF1D00" w:rsidRPr="00E0149F">
        <w:t>éducation, à la dignité humaine, à la vie, à la non-discrimination et à l</w:t>
      </w:r>
      <w:r w:rsidR="00DF1D00">
        <w:t>’</w:t>
      </w:r>
      <w:r w:rsidR="00DF1D00" w:rsidRPr="00E0149F">
        <w:t>égalité, le droit de ne pas être soumis à la torture, le droit au respect de la vie privée, le droit d</w:t>
      </w:r>
      <w:r w:rsidR="00DF1D00">
        <w:t>’</w:t>
      </w:r>
      <w:r w:rsidR="00DF1D00" w:rsidRPr="00E0149F">
        <w:t>accès à l</w:t>
      </w:r>
      <w:r w:rsidR="00DF1D00">
        <w:t>’</w:t>
      </w:r>
      <w:r w:rsidR="00DF1D00" w:rsidRPr="00E0149F">
        <w:t>information et les droits à la liberté d</w:t>
      </w:r>
      <w:r w:rsidR="00DF1D00">
        <w:t>’</w:t>
      </w:r>
      <w:r w:rsidR="00DF1D00" w:rsidRPr="00E0149F">
        <w:t>association, de réunion et de mouvement. Ces droits et libertés, notamment, sont des composantes intrinsèques du droit à la santé</w:t>
      </w:r>
      <w:r w:rsidR="009F5659">
        <w:t> </w:t>
      </w:r>
      <w:r>
        <w:t>»</w:t>
      </w:r>
      <w:r w:rsidR="00DF1D00" w:rsidRPr="00E0149F">
        <w:rPr>
          <w:rStyle w:val="Appelnotedebasdep"/>
        </w:rPr>
        <w:footnoteReference w:id="72"/>
      </w:r>
      <w:r w:rsidR="00DF1D00" w:rsidRPr="00E0149F">
        <w:t>.</w:t>
      </w:r>
    </w:p>
    <w:p w14:paraId="374A573D" w14:textId="010BDA47" w:rsidR="007325B4" w:rsidRPr="00DF4D42" w:rsidRDefault="00CB2DC1" w:rsidP="00E06EFD">
      <w:pPr>
        <w:pStyle w:val="Paragraphe"/>
        <w:rPr>
          <w:lang w:val="fr-CA"/>
        </w:rPr>
      </w:pPr>
      <w:r w:rsidRPr="00C84C0A">
        <w:rPr>
          <w:lang w:val="fr-CA"/>
        </w:rPr>
        <w:t xml:space="preserve">Il a par ailleurs </w:t>
      </w:r>
      <w:r w:rsidR="0039441E" w:rsidRPr="00C84C0A">
        <w:rPr>
          <w:lang w:val="fr-CA"/>
        </w:rPr>
        <w:t xml:space="preserve">été </w:t>
      </w:r>
      <w:r w:rsidRPr="00C84C0A">
        <w:rPr>
          <w:lang w:val="fr-CA"/>
        </w:rPr>
        <w:t>démontré</w:t>
      </w:r>
      <w:r w:rsidR="00014576" w:rsidRPr="00C84C0A">
        <w:rPr>
          <w:lang w:val="fr-CA"/>
        </w:rPr>
        <w:t xml:space="preserve"> par le Comité sur l’élimination de la discrimination raciale</w:t>
      </w:r>
      <w:r w:rsidRPr="00C84C0A">
        <w:rPr>
          <w:lang w:val="fr-CA"/>
        </w:rPr>
        <w:t>, dans</w:t>
      </w:r>
      <w:r w:rsidR="007E6C71" w:rsidRPr="00C84C0A">
        <w:rPr>
          <w:lang w:val="fr-CA"/>
        </w:rPr>
        <w:t xml:space="preserve"> son très récent projet de recommandation générale sur la</w:t>
      </w:r>
      <w:r w:rsidR="007E6C71" w:rsidRPr="00DF4D42">
        <w:rPr>
          <w:lang w:val="fr-CA"/>
        </w:rPr>
        <w:t xml:space="preserve"> discrimination raciale dans l’exercice du droit à la santé,</w:t>
      </w:r>
      <w:r w:rsidR="00EA36A9" w:rsidRPr="00DF4D42">
        <w:rPr>
          <w:lang w:val="fr-CA"/>
        </w:rPr>
        <w:t xml:space="preserve"> </w:t>
      </w:r>
      <w:r w:rsidR="001F4651" w:rsidRPr="00DF4D42">
        <w:rPr>
          <w:lang w:val="fr-CA"/>
        </w:rPr>
        <w:t xml:space="preserve">l’existence d’un </w:t>
      </w:r>
      <w:r w:rsidR="007E6C71" w:rsidRPr="00DF4D42">
        <w:rPr>
          <w:lang w:val="fr-CA"/>
        </w:rPr>
        <w:t>lien entre la discrimination raciale et le droit à la santé</w:t>
      </w:r>
      <w:r w:rsidR="007E6C71" w:rsidRPr="00DF4D42">
        <w:rPr>
          <w:rStyle w:val="Appelnotedebasdep"/>
          <w:color w:val="auto"/>
          <w:lang w:val="fr-CA"/>
        </w:rPr>
        <w:footnoteReference w:id="73"/>
      </w:r>
      <w:r w:rsidR="007E6C71" w:rsidRPr="00DF4D42">
        <w:rPr>
          <w:lang w:val="fr-CA"/>
        </w:rPr>
        <w:t xml:space="preserve">. </w:t>
      </w:r>
      <w:r w:rsidR="007F2804" w:rsidRPr="00DF4D42">
        <w:rPr>
          <w:lang w:val="fr-CA"/>
        </w:rPr>
        <w:t>Le Comité</w:t>
      </w:r>
      <w:r w:rsidR="003A4305" w:rsidRPr="00DF4D42">
        <w:rPr>
          <w:lang w:val="fr-CA"/>
        </w:rPr>
        <w:t xml:space="preserve"> </w:t>
      </w:r>
      <w:r w:rsidR="00D10BEB" w:rsidRPr="00DF4D42">
        <w:rPr>
          <w:lang w:val="fr-CA"/>
        </w:rPr>
        <w:t xml:space="preserve">partageait ainsi le constat du </w:t>
      </w:r>
      <w:r w:rsidR="007325B4" w:rsidRPr="00DF4D42">
        <w:rPr>
          <w:lang w:val="fr-CA"/>
        </w:rPr>
        <w:t>Conseil des droits de l</w:t>
      </w:r>
      <w:r w:rsidR="00CE68CD">
        <w:rPr>
          <w:lang w:val="fr-CA"/>
        </w:rPr>
        <w:t>’</w:t>
      </w:r>
      <w:r w:rsidR="007325B4" w:rsidRPr="00DF4D42">
        <w:rPr>
          <w:lang w:val="fr-CA"/>
        </w:rPr>
        <w:t>homme</w:t>
      </w:r>
      <w:r w:rsidR="00D86E21" w:rsidRPr="00DF4D42">
        <w:rPr>
          <w:lang w:val="fr-CA"/>
        </w:rPr>
        <w:t xml:space="preserve"> </w:t>
      </w:r>
      <w:r w:rsidR="00335EEF" w:rsidRPr="00DF4D42">
        <w:rPr>
          <w:lang w:val="fr-CA"/>
        </w:rPr>
        <w:t xml:space="preserve">quant aux impacts négatifs </w:t>
      </w:r>
      <w:r w:rsidR="00335EEF" w:rsidRPr="00DF4D42">
        <w:rPr>
          <w:lang w:val="fr-CA"/>
        </w:rPr>
        <w:lastRenderedPageBreak/>
        <w:t>sur la jouissance effective de tous les droits de l</w:t>
      </w:r>
      <w:r w:rsidR="00CE68CD">
        <w:rPr>
          <w:lang w:val="fr-CA"/>
        </w:rPr>
        <w:t>’</w:t>
      </w:r>
      <w:r w:rsidR="00335EEF" w:rsidRPr="00DF4D42">
        <w:rPr>
          <w:lang w:val="fr-CA"/>
        </w:rPr>
        <w:t xml:space="preserve">homme </w:t>
      </w:r>
      <w:r w:rsidR="00CF4151" w:rsidRPr="00DF4D42">
        <w:rPr>
          <w:lang w:val="fr-CA"/>
        </w:rPr>
        <w:t>d</w:t>
      </w:r>
      <w:r w:rsidR="007325B4" w:rsidRPr="00DF4D42">
        <w:rPr>
          <w:lang w:val="fr-CA"/>
        </w:rPr>
        <w:t xml:space="preserve">es </w:t>
      </w:r>
      <w:r w:rsidR="00CF4151" w:rsidRPr="00DF4D42">
        <w:rPr>
          <w:lang w:val="fr-CA"/>
        </w:rPr>
        <w:t>«</w:t>
      </w:r>
      <w:r w:rsidR="009F5659">
        <w:rPr>
          <w:lang w:val="fr-CA"/>
        </w:rPr>
        <w:t> </w:t>
      </w:r>
      <w:r w:rsidR="007325B4" w:rsidRPr="00DF4D42">
        <w:rPr>
          <w:lang w:val="fr-CA"/>
        </w:rPr>
        <w:t>séquelles du colonialisme, telles que l</w:t>
      </w:r>
      <w:r w:rsidR="00CE68CD">
        <w:rPr>
          <w:lang w:val="fr-CA"/>
        </w:rPr>
        <w:t>’</w:t>
      </w:r>
      <w:r w:rsidR="007325B4" w:rsidRPr="00DF4D42">
        <w:rPr>
          <w:lang w:val="fr-CA"/>
        </w:rPr>
        <w:t>exploitation économique, l</w:t>
      </w:r>
      <w:r w:rsidR="00CE68CD">
        <w:rPr>
          <w:lang w:val="fr-CA"/>
        </w:rPr>
        <w:t>’</w:t>
      </w:r>
      <w:r w:rsidR="007325B4" w:rsidRPr="00DF4D42">
        <w:rPr>
          <w:lang w:val="fr-CA"/>
        </w:rPr>
        <w:t>inégalité au sein des États et entre eux, le racisme systémique, les violations des droits des peuples autochtones, les formes contemporaines d</w:t>
      </w:r>
      <w:r w:rsidR="00CE68CD">
        <w:rPr>
          <w:lang w:val="fr-CA"/>
        </w:rPr>
        <w:t>’</w:t>
      </w:r>
      <w:r w:rsidR="007325B4" w:rsidRPr="00DF4D42">
        <w:rPr>
          <w:lang w:val="fr-CA"/>
        </w:rPr>
        <w:t>esclavage</w:t>
      </w:r>
      <w:r w:rsidR="00676125">
        <w:rPr>
          <w:lang w:val="fr-CA"/>
        </w:rPr>
        <w:t>s</w:t>
      </w:r>
      <w:r w:rsidR="007325B4" w:rsidRPr="00DF4D42">
        <w:rPr>
          <w:lang w:val="fr-CA"/>
        </w:rPr>
        <w:t xml:space="preserve"> et les atteintes au patrimoine culturel</w:t>
      </w:r>
      <w:r w:rsidR="009F5659">
        <w:rPr>
          <w:lang w:val="fr-CA"/>
        </w:rPr>
        <w:t> </w:t>
      </w:r>
      <w:r w:rsidR="007325B4" w:rsidRPr="00DF4D42">
        <w:rPr>
          <w:lang w:val="fr-CA"/>
        </w:rPr>
        <w:t>»</w:t>
      </w:r>
      <w:r w:rsidR="007325B4" w:rsidRPr="00DF4D42">
        <w:rPr>
          <w:rStyle w:val="Appelnotedebasdep"/>
          <w:color w:val="auto"/>
          <w:lang w:val="fr-CA"/>
        </w:rPr>
        <w:footnoteReference w:id="74"/>
      </w:r>
      <w:r w:rsidR="007325B4" w:rsidRPr="00DF4D42">
        <w:rPr>
          <w:lang w:val="fr-CA"/>
        </w:rPr>
        <w:t xml:space="preserve">. </w:t>
      </w:r>
    </w:p>
    <w:p w14:paraId="7F0833B2" w14:textId="343ABA0B" w:rsidR="00443EBE" w:rsidRPr="00DF4D42" w:rsidRDefault="007E43E3" w:rsidP="00E06EFD">
      <w:pPr>
        <w:pStyle w:val="Paragraphe"/>
        <w:rPr>
          <w:lang w:val="fr-CA"/>
        </w:rPr>
      </w:pPr>
      <w:r>
        <w:rPr>
          <w:lang w:val="fr-CA"/>
        </w:rPr>
        <w:t>L</w:t>
      </w:r>
      <w:r w:rsidR="0014475A" w:rsidRPr="00DF4D42">
        <w:rPr>
          <w:lang w:val="fr-CA"/>
        </w:rPr>
        <w:t>es</w:t>
      </w:r>
      <w:r w:rsidR="00D325D7" w:rsidRPr="00DF4D42">
        <w:rPr>
          <w:lang w:val="fr-CA"/>
        </w:rPr>
        <w:t xml:space="preserve"> paragraphes</w:t>
      </w:r>
      <w:r w:rsidR="00633A95">
        <w:rPr>
          <w:lang w:val="fr-CA"/>
        </w:rPr>
        <w:t> </w:t>
      </w:r>
      <w:r w:rsidR="00D325D7" w:rsidRPr="00DF4D42">
        <w:rPr>
          <w:lang w:val="fr-CA"/>
        </w:rPr>
        <w:t>2 et 3 de l’article</w:t>
      </w:r>
      <w:r w:rsidR="00633A95">
        <w:rPr>
          <w:lang w:val="fr-CA"/>
        </w:rPr>
        <w:t> </w:t>
      </w:r>
      <w:r w:rsidR="00D325D7" w:rsidRPr="00DF4D42">
        <w:rPr>
          <w:lang w:val="fr-CA"/>
        </w:rPr>
        <w:t xml:space="preserve">2 du </w:t>
      </w:r>
      <w:r w:rsidR="00CC6D33" w:rsidRPr="00652707">
        <w:rPr>
          <w:iCs/>
          <w:lang w:val="fr-CA"/>
        </w:rPr>
        <w:t>PIDESC</w:t>
      </w:r>
      <w:r w:rsidR="00D325D7" w:rsidRPr="00DF4D42">
        <w:rPr>
          <w:lang w:val="fr-CA"/>
        </w:rPr>
        <w:t xml:space="preserve"> </w:t>
      </w:r>
      <w:r w:rsidR="008E4470">
        <w:rPr>
          <w:lang w:val="fr-CA"/>
        </w:rPr>
        <w:t>de même</w:t>
      </w:r>
      <w:r w:rsidR="00C93E1B" w:rsidRPr="00DF4D42">
        <w:rPr>
          <w:lang w:val="fr-CA"/>
        </w:rPr>
        <w:t xml:space="preserve"> que</w:t>
      </w:r>
      <w:r w:rsidR="00D325D7" w:rsidRPr="00DF4D42">
        <w:rPr>
          <w:lang w:val="fr-CA"/>
        </w:rPr>
        <w:t xml:space="preserve"> l’article</w:t>
      </w:r>
      <w:r w:rsidR="00633A95">
        <w:rPr>
          <w:lang w:val="fr-CA"/>
        </w:rPr>
        <w:t> </w:t>
      </w:r>
      <w:r w:rsidR="00D325D7" w:rsidRPr="00DF4D42">
        <w:rPr>
          <w:lang w:val="fr-CA"/>
        </w:rPr>
        <w:t xml:space="preserve">24 de la </w:t>
      </w:r>
      <w:r w:rsidR="00B2505C" w:rsidRPr="00652707">
        <w:rPr>
          <w:iCs/>
          <w:lang w:val="fr-CA"/>
        </w:rPr>
        <w:t>DNUDPA</w:t>
      </w:r>
      <w:r w:rsidR="00D325D7" w:rsidRPr="00DF4D42">
        <w:rPr>
          <w:lang w:val="fr-CA"/>
        </w:rPr>
        <w:t xml:space="preserve"> interdisent</w:t>
      </w:r>
      <w:r w:rsidR="003123F6" w:rsidRPr="00DF4D42">
        <w:rPr>
          <w:lang w:val="fr-CA"/>
        </w:rPr>
        <w:t xml:space="preserve"> spécifiquement</w:t>
      </w:r>
      <w:r w:rsidR="00D325D7" w:rsidRPr="00DF4D42">
        <w:rPr>
          <w:lang w:val="fr-CA"/>
        </w:rPr>
        <w:t xml:space="preserve"> toute discrimination dans l’accès aux soins de santé et aux déterminants fondamentaux de la santé. </w:t>
      </w:r>
      <w:r w:rsidR="00E45605" w:rsidRPr="00DF4D42">
        <w:rPr>
          <w:lang w:val="fr-CA"/>
        </w:rPr>
        <w:t>Cela signifie que l</w:t>
      </w:r>
      <w:r w:rsidR="00D325D7" w:rsidRPr="00DF4D42">
        <w:rPr>
          <w:lang w:val="fr-CA"/>
        </w:rPr>
        <w:t xml:space="preserve">es États </w:t>
      </w:r>
      <w:r w:rsidR="00797F36" w:rsidRPr="00DF4D42">
        <w:rPr>
          <w:lang w:val="fr-CA"/>
        </w:rPr>
        <w:t>doivent</w:t>
      </w:r>
      <w:r w:rsidR="00543B95" w:rsidRPr="00DF4D42">
        <w:rPr>
          <w:lang w:val="fr-CA"/>
        </w:rPr>
        <w:t xml:space="preserve"> </w:t>
      </w:r>
      <w:r w:rsidR="00D325D7" w:rsidRPr="00DF4D42">
        <w:rPr>
          <w:lang w:val="fr-CA"/>
        </w:rPr>
        <w:t>s’abstenir de refuser ou de restreindre l’accès des peuples autochtones aux installations, biens et services de santé publics. Il s’agit d’une obligation immédiate à laquelle le principe de réalisation progressive ne s’applique pas</w:t>
      </w:r>
      <w:bookmarkStart w:id="40" w:name="_Ref144807038"/>
      <w:r w:rsidR="00EE13E1" w:rsidRPr="00DF4D42">
        <w:rPr>
          <w:rStyle w:val="Appelnotedebasdep"/>
          <w:lang w:val="fr-CA"/>
        </w:rPr>
        <w:footnoteReference w:id="75"/>
      </w:r>
      <w:bookmarkEnd w:id="40"/>
      <w:r w:rsidR="00D325D7" w:rsidRPr="00DF4D42">
        <w:rPr>
          <w:lang w:val="fr-CA"/>
        </w:rPr>
        <w:t>.</w:t>
      </w:r>
      <w:r w:rsidR="00DD0236" w:rsidRPr="00DF4D42" w:rsidDel="00810521">
        <w:rPr>
          <w:lang w:val="fr-CA"/>
        </w:rPr>
        <w:t xml:space="preserve"> </w:t>
      </w:r>
    </w:p>
    <w:p w14:paraId="48C5EA60" w14:textId="5BD47955" w:rsidR="00D72EFE" w:rsidRDefault="00C67ADE" w:rsidP="0097791A">
      <w:pPr>
        <w:pStyle w:val="Paragraphe"/>
        <w:rPr>
          <w:lang w:val="fr-CA"/>
        </w:rPr>
      </w:pPr>
      <w:r w:rsidRPr="00163EAE">
        <w:rPr>
          <w:lang w:val="fr-CA"/>
        </w:rPr>
        <w:t>Les</w:t>
      </w:r>
      <w:r w:rsidR="00C20169" w:rsidRPr="00163EAE">
        <w:rPr>
          <w:lang w:val="fr-CA"/>
        </w:rPr>
        <w:t xml:space="preserve"> États </w:t>
      </w:r>
      <w:r w:rsidRPr="00163EAE">
        <w:rPr>
          <w:lang w:val="fr-CA"/>
        </w:rPr>
        <w:t xml:space="preserve">doivent </w:t>
      </w:r>
      <w:r w:rsidR="005D6EC8" w:rsidRPr="00163EAE">
        <w:rPr>
          <w:lang w:val="fr-CA"/>
        </w:rPr>
        <w:t>plutôt</w:t>
      </w:r>
      <w:r w:rsidRPr="00163EAE">
        <w:rPr>
          <w:lang w:val="fr-CA"/>
        </w:rPr>
        <w:t xml:space="preserve"> </w:t>
      </w:r>
      <w:r w:rsidR="00163EAE" w:rsidRPr="00163EAE">
        <w:rPr>
          <w:lang w:val="fr-CA"/>
        </w:rPr>
        <w:t>reconnaître</w:t>
      </w:r>
      <w:r w:rsidR="00C20169" w:rsidRPr="00163EAE">
        <w:rPr>
          <w:lang w:val="fr-CA"/>
        </w:rPr>
        <w:t xml:space="preserve"> que les peuples autochtones ont des besoins différents en matière de santé et de services sociaux et « doivent adopter des mesures spéciales […] afin d’assurer le progrès et l’égalité dans la jouissance du droit à la santé »</w:t>
      </w:r>
      <w:bookmarkStart w:id="41" w:name="_Ref141176174"/>
      <w:r w:rsidR="00C20169" w:rsidRPr="00CD58C4">
        <w:rPr>
          <w:rStyle w:val="Appelnotedebasdep"/>
        </w:rPr>
        <w:footnoteReference w:id="76"/>
      </w:r>
      <w:bookmarkEnd w:id="41"/>
      <w:r w:rsidR="00C20169" w:rsidRPr="00163EAE">
        <w:rPr>
          <w:lang w:val="fr-CA"/>
        </w:rPr>
        <w:t>.</w:t>
      </w:r>
      <w:r w:rsidR="00F5315D" w:rsidRPr="00163EAE">
        <w:rPr>
          <w:lang w:val="fr-CA"/>
        </w:rPr>
        <w:t xml:space="preserve"> </w:t>
      </w:r>
      <w:r w:rsidR="00F5315D" w:rsidRPr="00220DC8">
        <w:rPr>
          <w:lang w:val="fr-CA"/>
        </w:rPr>
        <w:t>Ils</w:t>
      </w:r>
      <w:r w:rsidR="00D72EFE" w:rsidRPr="00220DC8">
        <w:rPr>
          <w:lang w:val="fr-CA"/>
        </w:rPr>
        <w:t xml:space="preserve"> doivent</w:t>
      </w:r>
      <w:r w:rsidR="007D48F1" w:rsidRPr="00220DC8">
        <w:rPr>
          <w:lang w:val="fr-CA"/>
        </w:rPr>
        <w:t xml:space="preserve"> </w:t>
      </w:r>
      <w:r w:rsidR="00F5315D" w:rsidRPr="00220DC8">
        <w:rPr>
          <w:lang w:val="fr-CA"/>
        </w:rPr>
        <w:t xml:space="preserve">ainsi </w:t>
      </w:r>
      <w:r w:rsidR="00D72EFE" w:rsidRPr="00220DC8">
        <w:rPr>
          <w:lang w:val="fr-CA"/>
        </w:rPr>
        <w:t>s’assurer que les installations, biens et services de santé sont adaptés aux cultures des peuples autochtones, «</w:t>
      </w:r>
      <w:r w:rsidR="009F5659" w:rsidRPr="00220DC8">
        <w:rPr>
          <w:lang w:val="fr-CA"/>
        </w:rPr>
        <w:t> </w:t>
      </w:r>
      <w:r w:rsidR="00D72EFE" w:rsidRPr="00220DC8">
        <w:rPr>
          <w:lang w:val="fr-CA"/>
        </w:rPr>
        <w:t>ce qui implique de communiquer de manière respectueuse et ouverte, d’associer les patients à la prise de décisions et de nouer des relations afin que patients et professionnels travaillent ensemble pour garantir l’efficacité maximale des soins</w:t>
      </w:r>
      <w:r w:rsidR="009F5659" w:rsidRPr="00220DC8">
        <w:rPr>
          <w:lang w:val="fr-CA"/>
        </w:rPr>
        <w:t> </w:t>
      </w:r>
      <w:r w:rsidR="00D72EFE" w:rsidRPr="00220DC8">
        <w:rPr>
          <w:lang w:val="fr-CA"/>
        </w:rPr>
        <w:t>»</w:t>
      </w:r>
      <w:r w:rsidR="00D72EFE">
        <w:rPr>
          <w:rStyle w:val="Appelnotedebasdep"/>
        </w:rPr>
        <w:footnoteReference w:id="77"/>
      </w:r>
      <w:r w:rsidR="00D72EFE" w:rsidRPr="00220DC8">
        <w:rPr>
          <w:lang w:val="fr-CA"/>
        </w:rPr>
        <w:t>.</w:t>
      </w:r>
    </w:p>
    <w:p w14:paraId="1A909951" w14:textId="22E3938B" w:rsidR="00814E77" w:rsidRDefault="008E4470" w:rsidP="00787AC9">
      <w:pPr>
        <w:pStyle w:val="Paragraphe"/>
        <w:rPr>
          <w:color w:val="auto"/>
          <w:lang w:val="fr-CA"/>
        </w:rPr>
      </w:pPr>
      <w:r>
        <w:rPr>
          <w:color w:val="auto"/>
          <w:lang w:val="fr-CA"/>
        </w:rPr>
        <w:t>L</w:t>
      </w:r>
      <w:r w:rsidR="00F103A4" w:rsidRPr="001A4A5B">
        <w:rPr>
          <w:color w:val="auto"/>
          <w:lang w:val="fr-CA"/>
        </w:rPr>
        <w:t>e</w:t>
      </w:r>
      <w:r w:rsidR="00624A2F" w:rsidRPr="001A4A5B">
        <w:rPr>
          <w:color w:val="auto"/>
          <w:lang w:val="fr-CA"/>
        </w:rPr>
        <w:t xml:space="preserve"> droit à la santé</w:t>
      </w:r>
      <w:r w:rsidR="008D78EE" w:rsidRPr="001A4A5B">
        <w:rPr>
          <w:color w:val="auto"/>
          <w:lang w:val="fr-CA"/>
        </w:rPr>
        <w:t xml:space="preserve">, </w:t>
      </w:r>
      <w:r>
        <w:rPr>
          <w:color w:val="auto"/>
          <w:lang w:val="fr-CA"/>
        </w:rPr>
        <w:t xml:space="preserve">reconnu par ces outils internationaux, </w:t>
      </w:r>
      <w:r w:rsidR="0067157B" w:rsidRPr="001A4A5B">
        <w:rPr>
          <w:color w:val="auto"/>
          <w:lang w:val="fr-CA"/>
        </w:rPr>
        <w:t>balise</w:t>
      </w:r>
      <w:r w:rsidR="00B4790E" w:rsidRPr="001A4A5B">
        <w:rPr>
          <w:color w:val="auto"/>
          <w:lang w:val="fr-CA"/>
        </w:rPr>
        <w:t xml:space="preserve"> </w:t>
      </w:r>
      <w:r w:rsidR="00F15BDA" w:rsidRPr="001A4A5B">
        <w:rPr>
          <w:color w:val="auto"/>
          <w:lang w:val="fr-CA"/>
        </w:rPr>
        <w:t xml:space="preserve">les obligations de l’État </w:t>
      </w:r>
      <w:r w:rsidR="00B07D18" w:rsidRPr="001A4A5B">
        <w:rPr>
          <w:color w:val="auto"/>
          <w:lang w:val="fr-CA"/>
        </w:rPr>
        <w:t>envers les personnes autochtones</w:t>
      </w:r>
      <w:r w:rsidR="00EE2B10" w:rsidRPr="001A4A5B">
        <w:rPr>
          <w:color w:val="auto"/>
          <w:lang w:val="fr-CA"/>
        </w:rPr>
        <w:t xml:space="preserve">. </w:t>
      </w:r>
      <w:r>
        <w:rPr>
          <w:rFonts w:eastAsia="Calibri" w:cs="Arial"/>
          <w:color w:val="auto"/>
          <w:szCs w:val="22"/>
          <w:lang w:val="fr-CA" w:eastAsia="en-US"/>
        </w:rPr>
        <w:t>L</w:t>
      </w:r>
      <w:r w:rsidR="00916581" w:rsidRPr="001A4A5B">
        <w:rPr>
          <w:rFonts w:eastAsia="Calibri" w:cs="Arial"/>
          <w:color w:val="auto"/>
          <w:szCs w:val="22"/>
          <w:lang w:val="fr-CA" w:eastAsia="en-US"/>
        </w:rPr>
        <w:t>e Québec</w:t>
      </w:r>
      <w:r w:rsidR="00814E77" w:rsidRPr="001A4A5B">
        <w:rPr>
          <w:color w:val="auto"/>
          <w:lang w:val="fr-CA"/>
        </w:rPr>
        <w:t xml:space="preserve"> est tenu d’interpréter les dispositions de </w:t>
      </w:r>
      <w:r w:rsidR="003B7A7C">
        <w:rPr>
          <w:color w:val="auto"/>
          <w:lang w:val="fr-CA"/>
        </w:rPr>
        <w:t>toutes ses lois</w:t>
      </w:r>
      <w:r w:rsidR="00823E5D">
        <w:rPr>
          <w:color w:val="auto"/>
          <w:lang w:val="fr-CA"/>
        </w:rPr>
        <w:t xml:space="preserve"> </w:t>
      </w:r>
      <w:r w:rsidR="00814E77" w:rsidRPr="001A4A5B">
        <w:rPr>
          <w:color w:val="auto"/>
          <w:lang w:val="fr-CA"/>
        </w:rPr>
        <w:t>de façon à se conformer aux obligations qui découlent de ses engagements internationaux</w:t>
      </w:r>
      <w:r w:rsidR="00444535" w:rsidRPr="004B1A29">
        <w:rPr>
          <w:color w:val="auto"/>
          <w:vertAlign w:val="superscript"/>
          <w:lang w:val="fr-CA"/>
        </w:rPr>
        <w:footnoteReference w:id="78"/>
      </w:r>
      <w:r w:rsidR="00814E77" w:rsidRPr="001A4A5B">
        <w:rPr>
          <w:color w:val="auto"/>
          <w:lang w:val="fr-CA"/>
        </w:rPr>
        <w:t>.</w:t>
      </w:r>
    </w:p>
    <w:p w14:paraId="3D601C1C" w14:textId="14142C67" w:rsidR="00DC5458" w:rsidRPr="00E6429C" w:rsidRDefault="00AC2DD6" w:rsidP="0097791A">
      <w:pPr>
        <w:pStyle w:val="Paragraphe"/>
        <w:rPr>
          <w:lang w:val="fr-CA"/>
        </w:rPr>
      </w:pPr>
      <w:r w:rsidRPr="00C84C0A">
        <w:rPr>
          <w:lang w:val="fr-CA"/>
        </w:rPr>
        <w:lastRenderedPageBreak/>
        <w:t xml:space="preserve">La reconnaissance </w:t>
      </w:r>
      <w:r w:rsidR="00024D2D" w:rsidRPr="00C84C0A">
        <w:rPr>
          <w:lang w:val="fr-CA"/>
        </w:rPr>
        <w:t xml:space="preserve">explicite </w:t>
      </w:r>
      <w:r w:rsidRPr="00C84C0A">
        <w:rPr>
          <w:lang w:val="fr-CA"/>
        </w:rPr>
        <w:t>du</w:t>
      </w:r>
      <w:r w:rsidR="00DC5458" w:rsidRPr="00C84C0A">
        <w:rPr>
          <w:lang w:val="fr-CA"/>
        </w:rPr>
        <w:t xml:space="preserve"> droit à la santé dans la Charte</w:t>
      </w:r>
      <w:r w:rsidRPr="00C84C0A">
        <w:rPr>
          <w:lang w:val="fr-CA"/>
        </w:rPr>
        <w:t xml:space="preserve"> viendrait </w:t>
      </w:r>
      <w:r w:rsidR="00444535">
        <w:rPr>
          <w:lang w:val="fr-CA"/>
        </w:rPr>
        <w:t xml:space="preserve">toutefois </w:t>
      </w:r>
      <w:r w:rsidRPr="00C84C0A">
        <w:rPr>
          <w:lang w:val="fr-CA"/>
        </w:rPr>
        <w:t xml:space="preserve">renforcer </w:t>
      </w:r>
      <w:r w:rsidR="00EF35BB" w:rsidRPr="00C84C0A">
        <w:rPr>
          <w:lang w:val="fr-CA"/>
        </w:rPr>
        <w:t xml:space="preserve">la mise en œuvre des principes dégagés en droit </w:t>
      </w:r>
      <w:r w:rsidR="0027231D" w:rsidRPr="00C84C0A">
        <w:rPr>
          <w:lang w:val="fr-CA"/>
        </w:rPr>
        <w:t xml:space="preserve">international. </w:t>
      </w:r>
      <w:r w:rsidR="00671746" w:rsidRPr="00C84C0A">
        <w:rPr>
          <w:lang w:val="fr-CA"/>
        </w:rPr>
        <w:t>La Commission le recommande de</w:t>
      </w:r>
      <w:r w:rsidR="00DC5458" w:rsidRPr="00C84C0A">
        <w:rPr>
          <w:lang w:val="fr-CA"/>
        </w:rPr>
        <w:t>puis plus de vingt ans</w:t>
      </w:r>
      <w:r w:rsidR="00DC5458" w:rsidRPr="001A4A5B">
        <w:rPr>
          <w:rStyle w:val="Appelnotedebasdep"/>
        </w:rPr>
        <w:footnoteReference w:id="79"/>
      </w:r>
      <w:r w:rsidR="00DC5458" w:rsidRPr="00C84C0A">
        <w:rPr>
          <w:lang w:val="fr-CA"/>
        </w:rPr>
        <w:t xml:space="preserve">. </w:t>
      </w:r>
      <w:r w:rsidR="00E6429C">
        <w:rPr>
          <w:lang w:val="fr-CA"/>
        </w:rPr>
        <w:t>Compte tenu</w:t>
      </w:r>
      <w:r w:rsidR="00DC5458" w:rsidRPr="00E6429C">
        <w:rPr>
          <w:lang w:val="fr-CA"/>
        </w:rPr>
        <w:t xml:space="preserve"> </w:t>
      </w:r>
      <w:r w:rsidR="00444535">
        <w:rPr>
          <w:lang w:val="fr-CA"/>
        </w:rPr>
        <w:t xml:space="preserve">du fait </w:t>
      </w:r>
      <w:r w:rsidR="00DC5458" w:rsidRPr="00E6429C">
        <w:rPr>
          <w:lang w:val="fr-CA"/>
        </w:rPr>
        <w:t xml:space="preserve">que </w:t>
      </w:r>
      <w:r w:rsidR="003C2F96" w:rsidRPr="00E6429C">
        <w:rPr>
          <w:lang w:val="fr-CA"/>
        </w:rPr>
        <w:t xml:space="preserve">le projet de loi concerne précisément </w:t>
      </w:r>
      <w:r w:rsidR="00DC5458" w:rsidRPr="00E6429C">
        <w:rPr>
          <w:lang w:val="fr-CA"/>
        </w:rPr>
        <w:t xml:space="preserve">les services de santé et les services sociaux, </w:t>
      </w:r>
      <w:r w:rsidR="00A4481D" w:rsidRPr="00E6429C">
        <w:rPr>
          <w:lang w:val="fr-CA"/>
        </w:rPr>
        <w:t>elle</w:t>
      </w:r>
      <w:r w:rsidR="00DC5458" w:rsidRPr="00E6429C">
        <w:rPr>
          <w:lang w:val="fr-CA"/>
        </w:rPr>
        <w:t xml:space="preserve"> estime qu’il est pertinent de réitérer sa recommandation de formaliser en droit québécois le droit à la santé, </w:t>
      </w:r>
      <w:r w:rsidR="00E10E97" w:rsidRPr="00E6429C">
        <w:rPr>
          <w:lang w:val="fr-CA"/>
        </w:rPr>
        <w:t xml:space="preserve">et ce, </w:t>
      </w:r>
      <w:r w:rsidR="00DC5458" w:rsidRPr="00E6429C">
        <w:rPr>
          <w:lang w:val="fr-CA"/>
        </w:rPr>
        <w:t>en l’inscrivant dans la Charte</w:t>
      </w:r>
      <w:r w:rsidR="00DC5458">
        <w:rPr>
          <w:rStyle w:val="Appelnotedebasdep"/>
        </w:rPr>
        <w:footnoteReference w:id="80"/>
      </w:r>
      <w:r w:rsidR="00DC5458" w:rsidRPr="00E6429C">
        <w:rPr>
          <w:lang w:val="fr-CA"/>
        </w:rPr>
        <w:t>.</w:t>
      </w:r>
    </w:p>
    <w:p w14:paraId="2B2329A0" w14:textId="50B15FD5" w:rsidR="00DC5458" w:rsidRPr="00A76331" w:rsidRDefault="00DC5458" w:rsidP="008D2D06">
      <w:pPr>
        <w:pStyle w:val="TitreRecommandation"/>
      </w:pPr>
      <w:r w:rsidRPr="00A76331">
        <w:t>RECOMMANDATION</w:t>
      </w:r>
      <w:r w:rsidR="00633A95">
        <w:t> </w:t>
      </w:r>
      <w:r w:rsidR="000228E5">
        <w:t>6</w:t>
      </w:r>
    </w:p>
    <w:p w14:paraId="520601E9" w14:textId="77777777" w:rsidR="0065478C" w:rsidRDefault="0065478C" w:rsidP="0065478C">
      <w:pPr>
        <w:pStyle w:val="Texterecommandation"/>
        <w:ind w:left="706"/>
      </w:pPr>
      <w:r w:rsidRPr="004726C0">
        <w:t xml:space="preserve">La Commission réitère sa recommandation </w:t>
      </w:r>
      <w:r w:rsidRPr="00A263CD">
        <w:t xml:space="preserve">d’inscrire dans la </w:t>
      </w:r>
      <w:r w:rsidRPr="00311528">
        <w:rPr>
          <w:i/>
          <w:iCs/>
        </w:rPr>
        <w:t>Charte des droits et libertés de la personne</w:t>
      </w:r>
      <w:r>
        <w:t xml:space="preserve">, </w:t>
      </w:r>
      <w:r w:rsidRPr="005441A7">
        <w:t xml:space="preserve">le droit de toute personne de bénéficier des programmes, biens, services, installations et conditions lui permettant de jouir du meilleur état de santé physique et mentale qu’elle puisse atteindre. </w:t>
      </w:r>
    </w:p>
    <w:p w14:paraId="29FFFEEC" w14:textId="50B2AE24" w:rsidR="00FC610E" w:rsidRPr="00C60CBD" w:rsidRDefault="00D069A6" w:rsidP="00E4721C">
      <w:pPr>
        <w:pStyle w:val="Titre2"/>
      </w:pPr>
      <w:bookmarkStart w:id="42" w:name="_Toc145331850"/>
      <w:r w:rsidRPr="00E4721C">
        <w:t>3.2</w:t>
      </w:r>
      <w:r w:rsidRPr="00E4721C">
        <w:tab/>
      </w:r>
      <w:r w:rsidR="00B75892" w:rsidRPr="00E4721C">
        <w:t xml:space="preserve">Les droits </w:t>
      </w:r>
      <w:r w:rsidRPr="00E4721C">
        <w:t>et libertés de la Charte</w:t>
      </w:r>
      <w:bookmarkEnd w:id="42"/>
    </w:p>
    <w:p w14:paraId="67335808" w14:textId="7AAD4A48" w:rsidR="000845AB" w:rsidRDefault="00302C01" w:rsidP="000845AB">
      <w:pPr>
        <w:pStyle w:val="Paragraphe"/>
        <w:rPr>
          <w:color w:val="auto"/>
          <w:lang w:val="fr-CA"/>
        </w:rPr>
      </w:pPr>
      <w:r>
        <w:rPr>
          <w:rFonts w:eastAsia="Calibri"/>
          <w:lang w:val="fr-CA"/>
        </w:rPr>
        <w:t>L</w:t>
      </w:r>
      <w:r w:rsidR="000845AB" w:rsidRPr="00633A95">
        <w:rPr>
          <w:rFonts w:eastAsia="Calibri"/>
          <w:lang w:val="fr-CA"/>
        </w:rPr>
        <w:t>’approche de sécurisation culturelle trouve également son fondement</w:t>
      </w:r>
      <w:r w:rsidR="000845AB" w:rsidRPr="001A4A5B">
        <w:rPr>
          <w:rFonts w:eastAsia="Calibri"/>
          <w:color w:val="auto"/>
          <w:lang w:val="fr-CA"/>
        </w:rPr>
        <w:t xml:space="preserve"> dans les droits de la Charte, dont le droit à l’égalité</w:t>
      </w:r>
      <w:r w:rsidR="0047276A">
        <w:rPr>
          <w:rFonts w:eastAsia="Calibri"/>
          <w:color w:val="auto"/>
          <w:lang w:val="fr-CA"/>
        </w:rPr>
        <w:t xml:space="preserve"> protégé par</w:t>
      </w:r>
      <w:r w:rsidR="00DF4D42">
        <w:rPr>
          <w:rFonts w:eastAsia="Calibri"/>
          <w:color w:val="auto"/>
          <w:lang w:val="fr-CA"/>
        </w:rPr>
        <w:t xml:space="preserve"> l’article</w:t>
      </w:r>
      <w:r w:rsidR="00633A95">
        <w:rPr>
          <w:rFonts w:eastAsia="Calibri"/>
          <w:color w:val="auto"/>
          <w:lang w:val="fr-CA"/>
        </w:rPr>
        <w:t> </w:t>
      </w:r>
      <w:r w:rsidR="00DF4D42">
        <w:rPr>
          <w:rFonts w:eastAsia="Calibri"/>
          <w:color w:val="auto"/>
          <w:lang w:val="fr-CA"/>
        </w:rPr>
        <w:t>10 de la</w:t>
      </w:r>
      <w:r w:rsidR="0047276A">
        <w:rPr>
          <w:rFonts w:eastAsia="Calibri"/>
          <w:color w:val="auto"/>
          <w:lang w:val="fr-CA"/>
        </w:rPr>
        <w:t xml:space="preserve"> Charte</w:t>
      </w:r>
      <w:r w:rsidR="000845AB" w:rsidRPr="001A4A5B">
        <w:rPr>
          <w:rStyle w:val="Appelnotedebasdep"/>
          <w:rFonts w:eastAsia="Calibri"/>
          <w:color w:val="auto"/>
          <w:lang w:val="fr-CA"/>
        </w:rPr>
        <w:footnoteReference w:id="81"/>
      </w:r>
      <w:r w:rsidR="000845AB" w:rsidRPr="001A4A5B">
        <w:rPr>
          <w:rFonts w:eastAsia="Calibri"/>
          <w:color w:val="auto"/>
          <w:lang w:val="fr-CA"/>
        </w:rPr>
        <w:t xml:space="preserve">. </w:t>
      </w:r>
      <w:r w:rsidR="000845AB">
        <w:rPr>
          <w:color w:val="auto"/>
          <w:lang w:val="fr-CA"/>
        </w:rPr>
        <w:t>L</w:t>
      </w:r>
      <w:r w:rsidR="000845AB" w:rsidRPr="00CD58C4">
        <w:rPr>
          <w:color w:val="auto"/>
          <w:lang w:val="fr-CA"/>
        </w:rPr>
        <w:t xml:space="preserve">e rapport de la Commission Viens fait </w:t>
      </w:r>
      <w:r w:rsidR="000845AB">
        <w:rPr>
          <w:color w:val="auto"/>
          <w:lang w:val="fr-CA"/>
        </w:rPr>
        <w:t xml:space="preserve">spécifiquement </w:t>
      </w:r>
      <w:r w:rsidR="000845AB" w:rsidRPr="00CD58C4">
        <w:rPr>
          <w:color w:val="auto"/>
          <w:lang w:val="fr-CA"/>
        </w:rPr>
        <w:t xml:space="preserve">état de barrières culturelles et de préjugés et pratiques discriminatoires dans le RSSS qui </w:t>
      </w:r>
      <w:r w:rsidR="00AA0769">
        <w:rPr>
          <w:color w:val="auto"/>
          <w:lang w:val="fr-CA"/>
        </w:rPr>
        <w:t>impactent</w:t>
      </w:r>
      <w:r w:rsidR="00CE6747">
        <w:rPr>
          <w:color w:val="auto"/>
          <w:lang w:val="fr-CA"/>
        </w:rPr>
        <w:t xml:space="preserve"> </w:t>
      </w:r>
      <w:r w:rsidR="000845AB" w:rsidRPr="00CD58C4">
        <w:rPr>
          <w:color w:val="auto"/>
          <w:lang w:val="fr-CA"/>
        </w:rPr>
        <w:t>non seulement négativement l’offre de services, mais créent aussi un climat d’insécurité pour les usagers autochtones, au point d’entraîner une sous-utilisation des services</w:t>
      </w:r>
      <w:bookmarkStart w:id="43" w:name="_Ref144801342"/>
      <w:r w:rsidR="000845AB" w:rsidRPr="00CD58C4">
        <w:rPr>
          <w:rStyle w:val="Appelnotedebasdep"/>
          <w:color w:val="auto"/>
          <w:lang w:val="fr-CA"/>
        </w:rPr>
        <w:footnoteReference w:id="82"/>
      </w:r>
      <w:bookmarkEnd w:id="43"/>
      <w:r w:rsidR="000845AB" w:rsidRPr="00CD58C4">
        <w:rPr>
          <w:color w:val="auto"/>
          <w:lang w:val="fr-CA"/>
        </w:rPr>
        <w:t xml:space="preserve">. </w:t>
      </w:r>
    </w:p>
    <w:p w14:paraId="5575877E" w14:textId="5A3CD95E" w:rsidR="00612EAB" w:rsidRPr="001A4A5B" w:rsidRDefault="00302C01" w:rsidP="00612EAB">
      <w:pPr>
        <w:pStyle w:val="Paragraphe"/>
        <w:rPr>
          <w:rFonts w:cs="Arial"/>
          <w:color w:val="auto"/>
          <w:lang w:val="fr-CA"/>
        </w:rPr>
      </w:pPr>
      <w:r>
        <w:rPr>
          <w:rFonts w:eastAsia="Calibri"/>
          <w:color w:val="auto"/>
          <w:lang w:val="fr-CA"/>
        </w:rPr>
        <w:lastRenderedPageBreak/>
        <w:t>La</w:t>
      </w:r>
      <w:r w:rsidR="00612EAB" w:rsidRPr="001A4A5B">
        <w:rPr>
          <w:rFonts w:eastAsia="Calibri"/>
          <w:color w:val="auto"/>
          <w:lang w:val="fr-CA"/>
        </w:rPr>
        <w:t xml:space="preserve"> prestation </w:t>
      </w:r>
      <w:r>
        <w:rPr>
          <w:rFonts w:eastAsia="Calibri"/>
          <w:color w:val="auto"/>
          <w:lang w:val="fr-CA"/>
        </w:rPr>
        <w:t>inadaptée</w:t>
      </w:r>
      <w:r w:rsidR="00612EAB" w:rsidRPr="001A4A5B">
        <w:rPr>
          <w:rFonts w:eastAsia="Calibri"/>
          <w:color w:val="auto"/>
          <w:lang w:val="fr-CA"/>
        </w:rPr>
        <w:t xml:space="preserve"> de services de santé et des services sociaux auprès des personnes autochtones peut </w:t>
      </w:r>
      <w:r w:rsidR="00612EAB" w:rsidRPr="001A4A5B">
        <w:rPr>
          <w:rFonts w:cs="Arial"/>
          <w:color w:val="auto"/>
          <w:lang w:val="fr-CA"/>
        </w:rPr>
        <w:t>contrevenir à leur droit à l’exercice, en pleine égalité, de leur droit à la vie, à la sûreté et à l’intégrité, protégé par l’article</w:t>
      </w:r>
      <w:r w:rsidR="00633A95">
        <w:rPr>
          <w:rFonts w:cs="Arial"/>
          <w:color w:val="auto"/>
          <w:lang w:val="fr-CA"/>
        </w:rPr>
        <w:t> </w:t>
      </w:r>
      <w:r w:rsidR="00612EAB" w:rsidRPr="001A4A5B">
        <w:rPr>
          <w:rFonts w:cs="Arial"/>
          <w:color w:val="auto"/>
          <w:lang w:val="fr-CA"/>
        </w:rPr>
        <w:t>1 de la Charte. Le droit à la vie est considéré comme compromis « lorsqu’une mesure ou une loi prise par l’État a directement ou indirectement pour effet d’imposer la mort à une personne ou de l’exposer à un risque accru de mort »</w:t>
      </w:r>
      <w:r w:rsidR="00612EAB" w:rsidRPr="001A4A5B">
        <w:rPr>
          <w:rStyle w:val="Appelnotedebasdep"/>
          <w:rFonts w:cs="Arial"/>
          <w:color w:val="auto"/>
        </w:rPr>
        <w:footnoteReference w:id="83"/>
      </w:r>
      <w:r w:rsidR="00612EAB" w:rsidRPr="001A4A5B">
        <w:rPr>
          <w:rFonts w:cs="Arial"/>
          <w:color w:val="auto"/>
          <w:lang w:val="fr-CA"/>
        </w:rPr>
        <w:t>. Il implique l’adoption des mesures requises pour créer les conditions adéquates permettant sa protection, incluant les mesures propres à garantir l’accès aux soins de santé</w:t>
      </w:r>
      <w:r w:rsidR="00612EAB" w:rsidRPr="001A4A5B">
        <w:rPr>
          <w:rStyle w:val="Appelnotedebasdep"/>
          <w:rFonts w:cs="Arial"/>
          <w:color w:val="auto"/>
        </w:rPr>
        <w:footnoteReference w:id="84"/>
      </w:r>
      <w:r w:rsidR="00612EAB" w:rsidRPr="001A4A5B">
        <w:rPr>
          <w:rFonts w:cs="Arial"/>
          <w:color w:val="auto"/>
          <w:lang w:val="fr-CA"/>
        </w:rPr>
        <w:t>. Le droit à la sûreté a une fonction plus préventive, soit celle de protéger la personne contre des situations menaçantes qui minent la sérénité alors que le droit à l’intégrité a une fonction plus curative, soit de donner des garanties contre les actes agressants</w:t>
      </w:r>
      <w:r w:rsidR="00612EAB" w:rsidRPr="001A4A5B">
        <w:rPr>
          <w:rStyle w:val="Appelnotedebasdep"/>
          <w:rFonts w:cs="Arial"/>
          <w:color w:val="auto"/>
        </w:rPr>
        <w:footnoteReference w:id="85"/>
      </w:r>
      <w:r w:rsidR="00612EAB" w:rsidRPr="001A4A5B">
        <w:rPr>
          <w:rFonts w:cs="Arial"/>
          <w:color w:val="auto"/>
          <w:lang w:val="fr-CA"/>
        </w:rPr>
        <w:t>.</w:t>
      </w:r>
    </w:p>
    <w:p w14:paraId="5D7FDD9C" w14:textId="39DBF66A" w:rsidR="00E14D93" w:rsidRPr="00C10E45" w:rsidRDefault="00F83379" w:rsidP="00AB4833">
      <w:pPr>
        <w:pStyle w:val="Paragraphe"/>
        <w:rPr>
          <w:color w:val="auto"/>
          <w:lang w:val="fr-CA"/>
        </w:rPr>
      </w:pPr>
      <w:r w:rsidRPr="00CC347A">
        <w:rPr>
          <w:color w:val="auto"/>
          <w:lang w:val="fr-CA"/>
        </w:rPr>
        <w:t>Le</w:t>
      </w:r>
      <w:r w:rsidR="00B459D6" w:rsidRPr="00CC347A">
        <w:rPr>
          <w:color w:val="auto"/>
          <w:lang w:val="fr-CA"/>
        </w:rPr>
        <w:t xml:space="preserve"> droit à la sauvegarde</w:t>
      </w:r>
      <w:r w:rsidR="00AC291C" w:rsidRPr="00CC347A">
        <w:rPr>
          <w:color w:val="auto"/>
          <w:lang w:val="fr-CA"/>
        </w:rPr>
        <w:t xml:space="preserve"> de</w:t>
      </w:r>
      <w:r w:rsidR="00B459D6" w:rsidRPr="00CC347A">
        <w:rPr>
          <w:color w:val="auto"/>
          <w:lang w:val="fr-CA"/>
        </w:rPr>
        <w:t xml:space="preserve"> la dignité </w:t>
      </w:r>
      <w:r w:rsidR="008E2D61" w:rsidRPr="00CC347A">
        <w:rPr>
          <w:color w:val="auto"/>
          <w:lang w:val="fr-CA"/>
        </w:rPr>
        <w:t>protégé par l’article</w:t>
      </w:r>
      <w:r w:rsidR="00633A95">
        <w:rPr>
          <w:color w:val="auto"/>
          <w:lang w:val="fr-CA"/>
        </w:rPr>
        <w:t> </w:t>
      </w:r>
      <w:r w:rsidR="008E2D61" w:rsidRPr="00CC347A">
        <w:rPr>
          <w:color w:val="auto"/>
          <w:lang w:val="fr-CA"/>
        </w:rPr>
        <w:t>4 de la Charte</w:t>
      </w:r>
      <w:r w:rsidR="0061319D" w:rsidRPr="00CC347A">
        <w:rPr>
          <w:color w:val="auto"/>
          <w:lang w:val="fr-CA"/>
        </w:rPr>
        <w:t xml:space="preserve"> est </w:t>
      </w:r>
      <w:r w:rsidR="00BC50DB" w:rsidRPr="00CC347A">
        <w:rPr>
          <w:color w:val="auto"/>
          <w:lang w:val="fr-CA"/>
        </w:rPr>
        <w:t xml:space="preserve">également </w:t>
      </w:r>
      <w:r w:rsidRPr="00CC347A">
        <w:rPr>
          <w:color w:val="auto"/>
          <w:lang w:val="fr-CA"/>
        </w:rPr>
        <w:t>sus</w:t>
      </w:r>
      <w:r w:rsidR="00AB6230" w:rsidRPr="00CC347A">
        <w:rPr>
          <w:color w:val="auto"/>
          <w:lang w:val="fr-CA"/>
        </w:rPr>
        <w:t xml:space="preserve">ceptible </w:t>
      </w:r>
      <w:r w:rsidR="0098609F" w:rsidRPr="00CC347A">
        <w:rPr>
          <w:color w:val="auto"/>
          <w:lang w:val="fr-CA"/>
        </w:rPr>
        <w:t>d’être comp</w:t>
      </w:r>
      <w:r w:rsidR="005942C7" w:rsidRPr="00CC347A">
        <w:rPr>
          <w:color w:val="auto"/>
          <w:lang w:val="fr-CA"/>
        </w:rPr>
        <w:t>romis</w:t>
      </w:r>
      <w:r w:rsidR="00BC50DB" w:rsidRPr="00CC347A">
        <w:rPr>
          <w:color w:val="auto"/>
          <w:lang w:val="fr-CA"/>
        </w:rPr>
        <w:t xml:space="preserve"> </w:t>
      </w:r>
      <w:r w:rsidR="0019708A" w:rsidRPr="00CC347A">
        <w:rPr>
          <w:color w:val="auto"/>
          <w:lang w:val="fr-CA"/>
        </w:rPr>
        <w:t>si</w:t>
      </w:r>
      <w:r w:rsidR="001846CD" w:rsidRPr="00CC347A">
        <w:rPr>
          <w:color w:val="auto"/>
          <w:lang w:val="fr-CA"/>
        </w:rPr>
        <w:t xml:space="preserve"> la prestation des services de santé et des services sociaux</w:t>
      </w:r>
      <w:r w:rsidR="0019708A" w:rsidRPr="00CC347A">
        <w:rPr>
          <w:color w:val="auto"/>
          <w:lang w:val="fr-CA"/>
        </w:rPr>
        <w:t xml:space="preserve"> </w:t>
      </w:r>
      <w:r w:rsidR="00C21677" w:rsidRPr="00A8472C">
        <w:rPr>
          <w:color w:val="auto"/>
          <w:lang w:val="fr-CA"/>
        </w:rPr>
        <w:t xml:space="preserve">a pour effet de déshumaniser les personnes autochtones. Comme le soulignait la Cour suprême dans l’arrêt </w:t>
      </w:r>
      <w:r w:rsidR="00C21677" w:rsidRPr="00A8472C">
        <w:rPr>
          <w:i/>
          <w:iCs/>
          <w:color w:val="auto"/>
          <w:lang w:val="fr-CA"/>
        </w:rPr>
        <w:t xml:space="preserve">St-Ferdinand, </w:t>
      </w:r>
      <w:r w:rsidR="00C21677" w:rsidRPr="00A8472C">
        <w:rPr>
          <w:color w:val="auto"/>
          <w:lang w:val="fr-CA"/>
        </w:rPr>
        <w:t>l’article 4 de la Charte protège contre «</w:t>
      </w:r>
      <w:r w:rsidR="00530D45">
        <w:rPr>
          <w:color w:val="auto"/>
          <w:lang w:val="fr-CA"/>
        </w:rPr>
        <w:t> </w:t>
      </w:r>
      <w:r w:rsidR="00C21677" w:rsidRPr="00A8472C">
        <w:rPr>
          <w:color w:val="auto"/>
          <w:lang w:val="fr-CA"/>
        </w:rPr>
        <w:t>les atteintes aux attributs fondamentaux de l’être humain qui contreviennent au respect auquel toute personne a droit du seul fait qu’elle est un être humain et au respect qu’elle se doit à elle-même</w:t>
      </w:r>
      <w:r w:rsidR="00530D45">
        <w:rPr>
          <w:color w:val="auto"/>
          <w:lang w:val="fr-CA"/>
        </w:rPr>
        <w:t> </w:t>
      </w:r>
      <w:r w:rsidR="00C21677" w:rsidRPr="00A8472C">
        <w:rPr>
          <w:color w:val="auto"/>
          <w:lang w:val="fr-CA"/>
        </w:rPr>
        <w:t>»</w:t>
      </w:r>
      <w:r w:rsidR="00C21677" w:rsidRPr="00A8472C">
        <w:rPr>
          <w:rStyle w:val="Appelnotedebasdep"/>
          <w:color w:val="auto"/>
          <w:lang w:val="fr-CA"/>
        </w:rPr>
        <w:footnoteReference w:id="86"/>
      </w:r>
      <w:r w:rsidR="00C21677" w:rsidRPr="00A8472C">
        <w:rPr>
          <w:color w:val="auto"/>
          <w:lang w:val="fr-CA"/>
        </w:rPr>
        <w:t xml:space="preserve">. </w:t>
      </w:r>
      <w:r w:rsidR="001846CD" w:rsidRPr="00CC347A">
        <w:rPr>
          <w:color w:val="auto"/>
          <w:lang w:val="fr-CA"/>
        </w:rPr>
        <w:t>D</w:t>
      </w:r>
      <w:r w:rsidR="00810C44" w:rsidRPr="00CC347A">
        <w:rPr>
          <w:color w:val="auto"/>
          <w:lang w:val="fr-CA"/>
        </w:rPr>
        <w:t xml:space="preserve">ans de nombreux arrêts, la Cour suprême </w:t>
      </w:r>
      <w:r w:rsidR="00C34C1E" w:rsidRPr="00CC347A">
        <w:rPr>
          <w:color w:val="auto"/>
          <w:lang w:val="fr-CA"/>
        </w:rPr>
        <w:t>a reconnu l</w:t>
      </w:r>
      <w:r w:rsidR="007707A9" w:rsidRPr="00CC347A">
        <w:rPr>
          <w:color w:val="auto"/>
          <w:lang w:val="fr-CA"/>
        </w:rPr>
        <w:t>’importance fondamentale de la dignité inhérente à chaque être humain comme principe et valeur essentielle</w:t>
      </w:r>
      <w:r w:rsidR="007707A9" w:rsidRPr="001A4A5B">
        <w:rPr>
          <w:rStyle w:val="Appelnotedebasdep"/>
          <w:color w:val="auto"/>
        </w:rPr>
        <w:footnoteReference w:id="87"/>
      </w:r>
      <w:r w:rsidR="007707A9" w:rsidRPr="00C10E45">
        <w:rPr>
          <w:color w:val="auto"/>
          <w:lang w:val="fr-CA"/>
        </w:rPr>
        <w:t>.</w:t>
      </w:r>
      <w:r w:rsidR="00290AAB" w:rsidRPr="00C10E45">
        <w:rPr>
          <w:color w:val="auto"/>
          <w:lang w:val="fr-CA"/>
        </w:rPr>
        <w:t xml:space="preserve"> </w:t>
      </w:r>
      <w:r w:rsidR="00AA3827" w:rsidRPr="00A8472C">
        <w:rPr>
          <w:color w:val="auto"/>
          <w:lang w:val="fr-CA"/>
        </w:rPr>
        <w:t xml:space="preserve">Ce principe se retrouve également dans le préambule de la Charte, directement inspiré de la </w:t>
      </w:r>
      <w:r w:rsidR="00AA3827" w:rsidRPr="00A8472C">
        <w:rPr>
          <w:i/>
          <w:iCs/>
          <w:color w:val="auto"/>
          <w:lang w:val="fr-CA"/>
        </w:rPr>
        <w:t xml:space="preserve">Déclaration universelle des droits de l’Homme, </w:t>
      </w:r>
      <w:r w:rsidR="00AA3827" w:rsidRPr="00A8472C">
        <w:rPr>
          <w:color w:val="auto"/>
          <w:lang w:val="fr-CA"/>
        </w:rPr>
        <w:t>qui affirme que «</w:t>
      </w:r>
      <w:r w:rsidR="00530D45">
        <w:rPr>
          <w:color w:val="auto"/>
          <w:lang w:val="fr-CA"/>
        </w:rPr>
        <w:t> </w:t>
      </w:r>
      <w:r w:rsidR="00AA3827" w:rsidRPr="00A8472C">
        <w:rPr>
          <w:color w:val="auto"/>
          <w:lang w:val="fr-CA"/>
        </w:rPr>
        <w:t xml:space="preserve">tous les êtres humains sont égaux en valeur et en </w:t>
      </w:r>
      <w:r w:rsidR="00AA3827" w:rsidRPr="00A8472C">
        <w:rPr>
          <w:color w:val="auto"/>
          <w:lang w:val="fr-CA"/>
        </w:rPr>
        <w:lastRenderedPageBreak/>
        <w:t>dignité</w:t>
      </w:r>
      <w:r w:rsidR="00530D45">
        <w:rPr>
          <w:color w:val="auto"/>
          <w:lang w:val="fr-CA"/>
        </w:rPr>
        <w:t> </w:t>
      </w:r>
      <w:r w:rsidR="00AA3827" w:rsidRPr="00A8472C">
        <w:rPr>
          <w:color w:val="auto"/>
          <w:lang w:val="fr-CA"/>
        </w:rPr>
        <w:t>» et que «</w:t>
      </w:r>
      <w:r w:rsidR="00530D45">
        <w:rPr>
          <w:color w:val="auto"/>
          <w:lang w:val="fr-CA"/>
        </w:rPr>
        <w:t> </w:t>
      </w:r>
      <w:r w:rsidR="00AA3827" w:rsidRPr="00A8472C">
        <w:rPr>
          <w:color w:val="auto"/>
          <w:lang w:val="fr-CA"/>
        </w:rPr>
        <w:t>le respect de la dignité de l’être humain</w:t>
      </w:r>
      <w:r w:rsidR="00530D45">
        <w:rPr>
          <w:color w:val="auto"/>
          <w:lang w:val="fr-CA"/>
        </w:rPr>
        <w:t> </w:t>
      </w:r>
      <w:r w:rsidR="00AA3827" w:rsidRPr="00A8472C">
        <w:rPr>
          <w:color w:val="auto"/>
          <w:lang w:val="fr-CA"/>
        </w:rPr>
        <w:t>» constitue</w:t>
      </w:r>
      <w:r w:rsidR="00530D45">
        <w:rPr>
          <w:color w:val="auto"/>
          <w:lang w:val="fr-CA"/>
        </w:rPr>
        <w:t>nt</w:t>
      </w:r>
      <w:r w:rsidR="00AA3827" w:rsidRPr="00A8472C">
        <w:rPr>
          <w:color w:val="auto"/>
          <w:lang w:val="fr-CA"/>
        </w:rPr>
        <w:t xml:space="preserve"> l’un «</w:t>
      </w:r>
      <w:r w:rsidR="00530D45">
        <w:rPr>
          <w:color w:val="auto"/>
          <w:lang w:val="fr-CA"/>
        </w:rPr>
        <w:t> </w:t>
      </w:r>
      <w:r w:rsidR="00AA3827" w:rsidRPr="00A8472C">
        <w:rPr>
          <w:color w:val="auto"/>
          <w:lang w:val="fr-CA"/>
        </w:rPr>
        <w:t>des fondements de la justice, de la liberté et de la paix</w:t>
      </w:r>
      <w:r w:rsidR="00530D45">
        <w:rPr>
          <w:color w:val="auto"/>
          <w:lang w:val="fr-CA"/>
        </w:rPr>
        <w:t> </w:t>
      </w:r>
      <w:r w:rsidR="00AA3827" w:rsidRPr="00A8472C">
        <w:rPr>
          <w:color w:val="auto"/>
          <w:lang w:val="fr-CA"/>
        </w:rPr>
        <w:t>»</w:t>
      </w:r>
      <w:r w:rsidR="00AA3827" w:rsidRPr="00A8472C">
        <w:rPr>
          <w:rStyle w:val="Appelnotedebasdep"/>
          <w:color w:val="auto"/>
          <w:lang w:val="fr-CA"/>
        </w:rPr>
        <w:footnoteReference w:id="88"/>
      </w:r>
      <w:r w:rsidR="00AA3827" w:rsidRPr="00A8472C">
        <w:rPr>
          <w:color w:val="auto"/>
          <w:lang w:val="fr-CA"/>
        </w:rPr>
        <w:t>. La Cour suprême ajoutait récemment que «</w:t>
      </w:r>
      <w:r w:rsidR="00530D45">
        <w:rPr>
          <w:color w:val="auto"/>
          <w:lang w:val="fr-CA"/>
        </w:rPr>
        <w:t> </w:t>
      </w:r>
      <w:r w:rsidR="00AA3827" w:rsidRPr="00A8472C">
        <w:rPr>
          <w:color w:val="auto"/>
          <w:lang w:val="fr-CA"/>
        </w:rPr>
        <w:t>[l]</w:t>
      </w:r>
      <w:proofErr w:type="spellStart"/>
      <w:r w:rsidR="00AA3827" w:rsidRPr="00A8472C">
        <w:rPr>
          <w:color w:val="auto"/>
          <w:lang w:val="fr-CA"/>
        </w:rPr>
        <w:t>orsqu’une</w:t>
      </w:r>
      <w:proofErr w:type="spellEnd"/>
      <w:r w:rsidR="00AA3827" w:rsidRPr="00A8472C">
        <w:rPr>
          <w:color w:val="auto"/>
          <w:lang w:val="fr-CA"/>
        </w:rPr>
        <w:t xml:space="preserve"> personne se voit privée de son humanité par l’infliction de traitements qui l’avilissent, l’asservissent, la réifient, l’humilient ou la dégradent, sa dignité est indéniablement bafouée</w:t>
      </w:r>
      <w:r w:rsidR="00530D45">
        <w:rPr>
          <w:color w:val="auto"/>
          <w:lang w:val="fr-CA"/>
        </w:rPr>
        <w:t> </w:t>
      </w:r>
      <w:r w:rsidR="00AA3827" w:rsidRPr="00A8472C">
        <w:rPr>
          <w:color w:val="auto"/>
          <w:lang w:val="fr-CA"/>
        </w:rPr>
        <w:t>»</w:t>
      </w:r>
      <w:r w:rsidR="00AA3827" w:rsidRPr="00A8472C">
        <w:rPr>
          <w:rStyle w:val="Appelnotedebasdep"/>
          <w:color w:val="auto"/>
          <w:lang w:val="fr-CA"/>
        </w:rPr>
        <w:footnoteReference w:id="89"/>
      </w:r>
      <w:r w:rsidR="00AA3827" w:rsidRPr="00A8472C">
        <w:rPr>
          <w:color w:val="auto"/>
          <w:lang w:val="fr-CA"/>
        </w:rPr>
        <w:t>.</w:t>
      </w:r>
    </w:p>
    <w:p w14:paraId="0F0920DD" w14:textId="4709A372" w:rsidR="00405E5D" w:rsidRPr="00C10E45" w:rsidRDefault="00D159EA" w:rsidP="00AB4833">
      <w:pPr>
        <w:pStyle w:val="Paragraphe"/>
        <w:rPr>
          <w:rFonts w:cs="Arial"/>
          <w:color w:val="auto"/>
          <w:lang w:val="fr-CA"/>
        </w:rPr>
      </w:pPr>
      <w:r w:rsidRPr="001A4A5B">
        <w:rPr>
          <w:color w:val="auto"/>
          <w:lang w:val="fr-CA"/>
        </w:rPr>
        <w:t>À titre d’exemple</w:t>
      </w:r>
      <w:r w:rsidR="00C10E45">
        <w:rPr>
          <w:color w:val="auto"/>
          <w:lang w:val="fr-CA"/>
        </w:rPr>
        <w:t>, dans l’a</w:t>
      </w:r>
      <w:r w:rsidR="00EB25D1" w:rsidRPr="001A4A5B">
        <w:rPr>
          <w:color w:val="auto"/>
          <w:lang w:val="fr-CA"/>
        </w:rPr>
        <w:t xml:space="preserve">ffaire, </w:t>
      </w:r>
      <w:r w:rsidR="00EB25D1" w:rsidRPr="001A4A5B">
        <w:rPr>
          <w:i/>
          <w:color w:val="auto"/>
          <w:lang w:val="fr-CA"/>
        </w:rPr>
        <w:t xml:space="preserve">Syndicat interprofessionnel de Lanaudière </w:t>
      </w:r>
      <w:r w:rsidR="00EB25D1" w:rsidRPr="001A4A5B">
        <w:rPr>
          <w:color w:val="auto"/>
          <w:lang w:val="fr-CA"/>
        </w:rPr>
        <w:t>c.</w:t>
      </w:r>
      <w:r w:rsidR="00EB25D1" w:rsidRPr="001A4A5B">
        <w:rPr>
          <w:i/>
          <w:color w:val="auto"/>
          <w:lang w:val="fr-CA"/>
        </w:rPr>
        <w:t xml:space="preserve"> Centre intégré de santé et de services sociaux de Lanaudière</w:t>
      </w:r>
      <w:r w:rsidR="00B136A2" w:rsidRPr="001A4A5B">
        <w:rPr>
          <w:rStyle w:val="Appelnotedebasdep"/>
          <w:color w:val="auto"/>
          <w:lang w:val="fr-FR"/>
        </w:rPr>
        <w:footnoteReference w:id="90"/>
      </w:r>
      <w:r w:rsidR="00EB25D1" w:rsidRPr="001A4A5B">
        <w:rPr>
          <w:color w:val="auto"/>
          <w:lang w:val="fr-CA"/>
        </w:rPr>
        <w:t>, l’arbitre</w:t>
      </w:r>
      <w:r w:rsidR="008E1A33" w:rsidRPr="001A4A5B">
        <w:rPr>
          <w:color w:val="auto"/>
          <w:lang w:val="fr-CA"/>
        </w:rPr>
        <w:t xml:space="preserve"> </w:t>
      </w:r>
      <w:r w:rsidR="00544C25" w:rsidRPr="001A4A5B">
        <w:rPr>
          <w:rFonts w:cs="Arial"/>
          <w:color w:val="auto"/>
          <w:lang w:val="fr-CA"/>
        </w:rPr>
        <w:t>a</w:t>
      </w:r>
      <w:r w:rsidR="00C25BEA" w:rsidRPr="001A4A5B">
        <w:rPr>
          <w:rFonts w:cs="Arial"/>
          <w:color w:val="auto"/>
          <w:lang w:val="fr-CA"/>
        </w:rPr>
        <w:t xml:space="preserve"> souligné que </w:t>
      </w:r>
      <w:r w:rsidR="009902E1" w:rsidRPr="001A4A5B">
        <w:rPr>
          <w:rFonts w:cs="Arial"/>
          <w:color w:val="auto"/>
          <w:lang w:val="fr-CA"/>
        </w:rPr>
        <w:t>la demande d’</w:t>
      </w:r>
      <w:r w:rsidR="001D7282" w:rsidRPr="001A4A5B">
        <w:rPr>
          <w:rFonts w:cs="Arial"/>
          <w:color w:val="auto"/>
          <w:lang w:val="fr-CA"/>
        </w:rPr>
        <w:t xml:space="preserve">une </w:t>
      </w:r>
      <w:r w:rsidR="00797119" w:rsidRPr="001A4A5B">
        <w:rPr>
          <w:rFonts w:cs="Arial"/>
          <w:color w:val="auto"/>
          <w:lang w:val="fr-CA"/>
        </w:rPr>
        <w:t xml:space="preserve">infirmière qui dispensait des soins à une </w:t>
      </w:r>
      <w:r w:rsidR="00B079A0" w:rsidRPr="001A4A5B">
        <w:rPr>
          <w:rFonts w:cs="Arial"/>
          <w:color w:val="auto"/>
          <w:lang w:val="fr-CA"/>
        </w:rPr>
        <w:t>femme attikamek</w:t>
      </w:r>
      <w:r w:rsidR="00A2255F" w:rsidRPr="001A4A5B">
        <w:rPr>
          <w:rFonts w:cs="Arial"/>
          <w:color w:val="auto"/>
          <w:lang w:val="fr-CA"/>
        </w:rPr>
        <w:t xml:space="preserve"> </w:t>
      </w:r>
      <w:r w:rsidR="00797119" w:rsidRPr="001A4A5B">
        <w:rPr>
          <w:rFonts w:cs="Arial"/>
          <w:color w:val="auto"/>
          <w:lang w:val="fr-CA"/>
        </w:rPr>
        <w:t>de chanter une chanson dans sa langue</w:t>
      </w:r>
      <w:r w:rsidR="00544C25" w:rsidRPr="001A4A5B">
        <w:rPr>
          <w:rFonts w:cs="Arial"/>
          <w:color w:val="auto"/>
          <w:lang w:val="fr-CA"/>
        </w:rPr>
        <w:t xml:space="preserve"> était de nature à porter atteinte au droit à la dignité de l’usagère parce qu</w:t>
      </w:r>
      <w:r w:rsidR="00D16011" w:rsidRPr="001A4A5B">
        <w:rPr>
          <w:rFonts w:cs="Arial"/>
          <w:color w:val="auto"/>
          <w:lang w:val="fr-CA"/>
        </w:rPr>
        <w:t>’elle</w:t>
      </w:r>
      <w:r w:rsidR="00544C25" w:rsidRPr="001A4A5B">
        <w:rPr>
          <w:rFonts w:cs="Arial"/>
          <w:color w:val="auto"/>
          <w:lang w:val="fr-CA"/>
        </w:rPr>
        <w:t xml:space="preserve"> pouva</w:t>
      </w:r>
      <w:r w:rsidR="00D16011" w:rsidRPr="001A4A5B">
        <w:rPr>
          <w:rFonts w:cs="Arial"/>
          <w:color w:val="auto"/>
          <w:lang w:val="fr-CA"/>
        </w:rPr>
        <w:t>i</w:t>
      </w:r>
      <w:r w:rsidR="00544C25" w:rsidRPr="001A4A5B">
        <w:rPr>
          <w:rFonts w:cs="Arial"/>
          <w:color w:val="auto"/>
          <w:lang w:val="fr-CA"/>
        </w:rPr>
        <w:t>t raisonnablement être perçu</w:t>
      </w:r>
      <w:r w:rsidR="00D16011" w:rsidRPr="001A4A5B">
        <w:rPr>
          <w:rFonts w:cs="Arial"/>
          <w:color w:val="auto"/>
          <w:lang w:val="fr-CA"/>
        </w:rPr>
        <w:t>e</w:t>
      </w:r>
      <w:r w:rsidR="00544C25" w:rsidRPr="001A4A5B">
        <w:rPr>
          <w:rFonts w:cs="Arial"/>
          <w:color w:val="auto"/>
          <w:lang w:val="fr-CA"/>
        </w:rPr>
        <w:t xml:space="preserve"> de manière infantilisante et dégradante. </w:t>
      </w:r>
      <w:r w:rsidR="005C6E47" w:rsidRPr="001A4A5B">
        <w:rPr>
          <w:rFonts w:cs="Arial"/>
          <w:color w:val="auto"/>
          <w:lang w:val="fr-CA"/>
        </w:rPr>
        <w:t>Pour lui, cet événement «</w:t>
      </w:r>
      <w:r w:rsidR="00BF1864">
        <w:rPr>
          <w:rFonts w:cs="Arial"/>
          <w:color w:val="auto"/>
          <w:lang w:val="fr-CA"/>
        </w:rPr>
        <w:t> </w:t>
      </w:r>
      <w:r w:rsidR="00544C25" w:rsidRPr="001A4A5B">
        <w:rPr>
          <w:rFonts w:cs="Arial"/>
          <w:color w:val="auto"/>
          <w:lang w:val="fr-CA"/>
        </w:rPr>
        <w:t>traduit un manque de respect pour un être humain de cet âge et en position de vulnérabilité, en contexte où il reçoit un service public dans un établissement éloigné de sa communauté</w:t>
      </w:r>
      <w:r w:rsidR="00BF1864">
        <w:rPr>
          <w:rFonts w:cs="Arial"/>
          <w:color w:val="auto"/>
          <w:lang w:val="fr-CA"/>
        </w:rPr>
        <w:t> </w:t>
      </w:r>
      <w:r w:rsidR="005C6E47" w:rsidRPr="001A4A5B">
        <w:rPr>
          <w:rFonts w:cs="Arial"/>
          <w:color w:val="auto"/>
          <w:lang w:val="fr-CA"/>
        </w:rPr>
        <w:t>»</w:t>
      </w:r>
      <w:r w:rsidR="005C6E47" w:rsidRPr="001A4A5B">
        <w:rPr>
          <w:rStyle w:val="Appelnotedebasdep"/>
          <w:rFonts w:cs="Arial"/>
          <w:color w:val="auto"/>
        </w:rPr>
        <w:footnoteReference w:id="91"/>
      </w:r>
      <w:r w:rsidR="00544C25" w:rsidRPr="001A4A5B">
        <w:rPr>
          <w:rFonts w:cs="Arial"/>
          <w:color w:val="auto"/>
          <w:lang w:val="fr-CA"/>
        </w:rPr>
        <w:t>.</w:t>
      </w:r>
    </w:p>
    <w:p w14:paraId="40C12ED3" w14:textId="11C36731" w:rsidR="000F2D8F" w:rsidRDefault="00AA3827" w:rsidP="000F2D8F">
      <w:pPr>
        <w:pStyle w:val="Paragraphe"/>
        <w:rPr>
          <w:rFonts w:eastAsia="Calibri"/>
          <w:color w:val="auto"/>
          <w:lang w:val="fr-CA"/>
        </w:rPr>
      </w:pPr>
      <w:r>
        <w:rPr>
          <w:rFonts w:cs="Arial"/>
          <w:color w:val="auto"/>
          <w:lang w:val="fr-CA"/>
        </w:rPr>
        <w:t>D</w:t>
      </w:r>
      <w:r w:rsidR="008721AE" w:rsidRPr="001A4A5B">
        <w:rPr>
          <w:rFonts w:cs="Arial"/>
          <w:color w:val="auto"/>
          <w:lang w:val="fr-CA"/>
        </w:rPr>
        <w:t>’autres droits</w:t>
      </w:r>
      <w:r w:rsidR="00405E5D" w:rsidRPr="001A4A5B">
        <w:rPr>
          <w:rFonts w:cs="Arial"/>
          <w:color w:val="auto"/>
          <w:lang w:val="fr-CA"/>
        </w:rPr>
        <w:t xml:space="preserve"> </w:t>
      </w:r>
      <w:r w:rsidR="006B2DDD" w:rsidRPr="001A4A5B">
        <w:rPr>
          <w:rFonts w:cs="Arial"/>
          <w:color w:val="auto"/>
          <w:lang w:val="fr-CA"/>
        </w:rPr>
        <w:t xml:space="preserve">de la Charte </w:t>
      </w:r>
      <w:r w:rsidR="00405E5D" w:rsidRPr="001A4A5B">
        <w:rPr>
          <w:rFonts w:cs="Arial"/>
          <w:color w:val="auto"/>
          <w:lang w:val="fr-CA"/>
        </w:rPr>
        <w:t xml:space="preserve">pourraient être atteints </w:t>
      </w:r>
      <w:r w:rsidR="00C63F88" w:rsidRPr="001A4A5B">
        <w:rPr>
          <w:rFonts w:cs="Arial"/>
          <w:color w:val="auto"/>
          <w:lang w:val="fr-CA"/>
        </w:rPr>
        <w:t xml:space="preserve">en présence de </w:t>
      </w:r>
      <w:r w:rsidR="00852471" w:rsidRPr="001A4A5B">
        <w:rPr>
          <w:rFonts w:cs="Arial"/>
          <w:color w:val="auto"/>
          <w:lang w:val="fr-CA"/>
        </w:rPr>
        <w:t xml:space="preserve">services de santé et de services sociaux </w:t>
      </w:r>
      <w:r w:rsidR="00CF67BC" w:rsidRPr="001A4A5B">
        <w:rPr>
          <w:rFonts w:cs="Arial"/>
          <w:color w:val="auto"/>
          <w:lang w:val="fr-CA"/>
        </w:rPr>
        <w:t xml:space="preserve">lacunaires, tels que le droit au respect de </w:t>
      </w:r>
      <w:r w:rsidR="00BD4DF2" w:rsidRPr="001A4A5B">
        <w:rPr>
          <w:rFonts w:cs="Arial"/>
          <w:color w:val="auto"/>
          <w:lang w:val="fr-CA"/>
        </w:rPr>
        <w:t>sa vie privé</w:t>
      </w:r>
      <w:r w:rsidR="00530D45">
        <w:rPr>
          <w:rFonts w:cs="Arial"/>
          <w:color w:val="auto"/>
          <w:lang w:val="fr-CA"/>
        </w:rPr>
        <w:t>e</w:t>
      </w:r>
      <w:r w:rsidR="00BD4DF2" w:rsidRPr="001A4A5B">
        <w:rPr>
          <w:rFonts w:cs="Arial"/>
          <w:color w:val="auto"/>
          <w:lang w:val="fr-CA"/>
        </w:rPr>
        <w:t xml:space="preserve"> (art.</w:t>
      </w:r>
      <w:r w:rsidR="00633A95">
        <w:rPr>
          <w:rFonts w:cs="Arial"/>
          <w:color w:val="auto"/>
          <w:lang w:val="fr-CA"/>
        </w:rPr>
        <w:t> </w:t>
      </w:r>
      <w:r w:rsidR="00BD4DF2" w:rsidRPr="001A4A5B">
        <w:rPr>
          <w:rFonts w:cs="Arial"/>
          <w:color w:val="auto"/>
          <w:lang w:val="fr-CA"/>
        </w:rPr>
        <w:t>5)</w:t>
      </w:r>
      <w:r w:rsidR="0076351D" w:rsidRPr="001A4A5B">
        <w:rPr>
          <w:rFonts w:cs="Arial"/>
          <w:color w:val="auto"/>
          <w:lang w:val="fr-CA"/>
        </w:rPr>
        <w:t xml:space="preserve"> et</w:t>
      </w:r>
      <w:r w:rsidR="000F2D8F" w:rsidRPr="001A4A5B">
        <w:rPr>
          <w:rFonts w:cs="Arial"/>
          <w:color w:val="auto"/>
          <w:lang w:val="fr-CA"/>
        </w:rPr>
        <w:t xml:space="preserve"> </w:t>
      </w:r>
      <w:r w:rsidR="000F2D8F" w:rsidRPr="00CD58C4">
        <w:rPr>
          <w:rFonts w:eastAsia="Calibri"/>
          <w:color w:val="auto"/>
          <w:lang w:val="fr-CA"/>
        </w:rPr>
        <w:t>le droit de recevoir des services ordinairement offerts au public (art. 12)</w:t>
      </w:r>
      <w:r w:rsidR="0076351D">
        <w:rPr>
          <w:rFonts w:eastAsia="Calibri"/>
          <w:color w:val="auto"/>
          <w:lang w:val="fr-CA"/>
        </w:rPr>
        <w:t>. De plus,</w:t>
      </w:r>
      <w:r w:rsidR="003344F8">
        <w:rPr>
          <w:rFonts w:eastAsia="Calibri"/>
          <w:color w:val="auto"/>
          <w:lang w:val="fr-CA"/>
        </w:rPr>
        <w:t xml:space="preserve"> </w:t>
      </w:r>
      <w:r w:rsidR="00684D04">
        <w:rPr>
          <w:rFonts w:eastAsia="Calibri"/>
          <w:color w:val="auto"/>
          <w:lang w:val="fr-CA"/>
        </w:rPr>
        <w:t xml:space="preserve">comme indiqué plus haut, l’approche de sécurisation culturelle milite en faveur </w:t>
      </w:r>
      <w:r w:rsidR="00DE20C9">
        <w:rPr>
          <w:rFonts w:eastAsia="Calibri"/>
          <w:color w:val="auto"/>
          <w:lang w:val="fr-CA"/>
        </w:rPr>
        <w:t>d’une communication</w:t>
      </w:r>
      <w:r w:rsidR="009D23F8">
        <w:rPr>
          <w:rFonts w:eastAsia="Calibri"/>
          <w:color w:val="auto"/>
          <w:lang w:val="fr-CA"/>
        </w:rPr>
        <w:t xml:space="preserve"> </w:t>
      </w:r>
      <w:r w:rsidR="00CE6839">
        <w:rPr>
          <w:rFonts w:eastAsia="Calibri"/>
          <w:color w:val="auto"/>
          <w:lang w:val="fr-CA"/>
        </w:rPr>
        <w:t>libre de discrimination</w:t>
      </w:r>
      <w:r w:rsidR="00021357">
        <w:rPr>
          <w:rFonts w:eastAsia="Calibri"/>
          <w:color w:val="auto"/>
          <w:lang w:val="fr-CA"/>
        </w:rPr>
        <w:t xml:space="preserve"> de la part des prestataires de services</w:t>
      </w:r>
      <w:r w:rsidR="00CE6839">
        <w:rPr>
          <w:rFonts w:eastAsia="Calibri"/>
          <w:color w:val="auto"/>
          <w:lang w:val="fr-CA"/>
        </w:rPr>
        <w:t xml:space="preserve"> et favorisant </w:t>
      </w:r>
      <w:r w:rsidR="00A767B1">
        <w:rPr>
          <w:rFonts w:eastAsia="Calibri"/>
          <w:color w:val="auto"/>
          <w:lang w:val="fr-CA"/>
        </w:rPr>
        <w:t>une compréhension adéquate</w:t>
      </w:r>
      <w:r w:rsidR="00021357">
        <w:rPr>
          <w:rFonts w:eastAsia="Calibri"/>
          <w:color w:val="auto"/>
          <w:lang w:val="fr-CA"/>
        </w:rPr>
        <w:t xml:space="preserve"> de</w:t>
      </w:r>
      <w:r w:rsidR="003F40E2">
        <w:rPr>
          <w:rFonts w:eastAsia="Calibri"/>
          <w:color w:val="auto"/>
          <w:lang w:val="fr-CA"/>
        </w:rPr>
        <w:t xml:space="preserve"> la part des</w:t>
      </w:r>
      <w:r w:rsidR="00021357">
        <w:rPr>
          <w:rFonts w:eastAsia="Calibri"/>
          <w:color w:val="auto"/>
          <w:lang w:val="fr-CA"/>
        </w:rPr>
        <w:t xml:space="preserve"> usagers autochtones</w:t>
      </w:r>
      <w:r w:rsidR="003344F8">
        <w:rPr>
          <w:rFonts w:eastAsia="Calibri"/>
          <w:color w:val="auto"/>
          <w:lang w:val="fr-CA"/>
        </w:rPr>
        <w:t>, contribuant ainsi à l’exercice du droit à l’information (art.</w:t>
      </w:r>
      <w:r w:rsidR="00633A95">
        <w:rPr>
          <w:rFonts w:eastAsia="Calibri"/>
          <w:color w:val="auto"/>
          <w:lang w:val="fr-CA"/>
        </w:rPr>
        <w:t> </w:t>
      </w:r>
      <w:r w:rsidR="003344F8">
        <w:rPr>
          <w:rFonts w:eastAsia="Calibri"/>
          <w:color w:val="auto"/>
          <w:lang w:val="fr-CA"/>
        </w:rPr>
        <w:t xml:space="preserve">44). À cet égard, </w:t>
      </w:r>
      <w:r w:rsidR="00605158">
        <w:rPr>
          <w:rFonts w:eastAsia="Calibri"/>
          <w:color w:val="auto"/>
          <w:lang w:val="fr-CA"/>
        </w:rPr>
        <w:t xml:space="preserve">la sécurisation culturelle devrait </w:t>
      </w:r>
      <w:r w:rsidR="00F21D72">
        <w:rPr>
          <w:rFonts w:eastAsia="Calibri"/>
          <w:color w:val="auto"/>
          <w:lang w:val="fr-CA"/>
        </w:rPr>
        <w:t>aller de pair avec l’accès à des services d’interprètes dans la langue maternelle des usagers</w:t>
      </w:r>
      <w:r w:rsidR="00A778D0">
        <w:rPr>
          <w:rFonts w:eastAsia="Calibri"/>
          <w:color w:val="auto"/>
          <w:lang w:val="fr-CA"/>
        </w:rPr>
        <w:t xml:space="preserve"> autochtones.</w:t>
      </w:r>
    </w:p>
    <w:p w14:paraId="2B4FBDC8" w14:textId="46890E5C" w:rsidR="00705F50" w:rsidRDefault="001B456A" w:rsidP="00C25452">
      <w:pPr>
        <w:pStyle w:val="Paragraphe"/>
        <w:rPr>
          <w:color w:val="auto"/>
          <w:lang w:val="fr-CA"/>
        </w:rPr>
      </w:pPr>
      <w:r>
        <w:rPr>
          <w:color w:val="auto"/>
          <w:lang w:val="fr-CA"/>
        </w:rPr>
        <w:t>Il</w:t>
      </w:r>
      <w:r w:rsidR="0035336A">
        <w:rPr>
          <w:color w:val="auto"/>
          <w:lang w:val="fr-CA"/>
        </w:rPr>
        <w:t xml:space="preserve"> resso</w:t>
      </w:r>
      <w:r w:rsidR="000F0971">
        <w:rPr>
          <w:color w:val="auto"/>
          <w:lang w:val="fr-CA"/>
        </w:rPr>
        <w:t xml:space="preserve">rt clairement que le Québec a des obligations </w:t>
      </w:r>
      <w:r w:rsidR="003E3806">
        <w:rPr>
          <w:color w:val="auto"/>
          <w:lang w:val="fr-CA"/>
        </w:rPr>
        <w:t xml:space="preserve">précises à </w:t>
      </w:r>
      <w:r w:rsidR="00E57559">
        <w:rPr>
          <w:color w:val="auto"/>
          <w:lang w:val="fr-CA"/>
        </w:rPr>
        <w:t>respecter</w:t>
      </w:r>
      <w:r w:rsidR="003E3806">
        <w:rPr>
          <w:color w:val="auto"/>
          <w:lang w:val="fr-CA"/>
        </w:rPr>
        <w:t xml:space="preserve"> en matière de prestation des services de santé et des services </w:t>
      </w:r>
      <w:r w:rsidR="00E57559">
        <w:rPr>
          <w:color w:val="auto"/>
          <w:lang w:val="fr-CA"/>
        </w:rPr>
        <w:t xml:space="preserve">sociaux, tant en droit interne qu’en droit international. </w:t>
      </w:r>
      <w:r w:rsidR="00A64354">
        <w:rPr>
          <w:color w:val="auto"/>
          <w:lang w:val="fr-CA"/>
        </w:rPr>
        <w:t xml:space="preserve">La Commission est </w:t>
      </w:r>
      <w:r w:rsidR="00AA3827">
        <w:rPr>
          <w:color w:val="auto"/>
          <w:lang w:val="fr-CA"/>
        </w:rPr>
        <w:t xml:space="preserve">donc </w:t>
      </w:r>
      <w:r w:rsidR="00A64354">
        <w:rPr>
          <w:color w:val="auto"/>
          <w:lang w:val="fr-CA"/>
        </w:rPr>
        <w:t xml:space="preserve">d’avis que </w:t>
      </w:r>
      <w:r w:rsidR="008A54AE">
        <w:rPr>
          <w:color w:val="auto"/>
          <w:lang w:val="fr-CA"/>
        </w:rPr>
        <w:t>le préambule</w:t>
      </w:r>
      <w:r w:rsidR="00AA3827">
        <w:rPr>
          <w:color w:val="auto"/>
          <w:lang w:val="fr-CA"/>
        </w:rPr>
        <w:t xml:space="preserve"> proposé</w:t>
      </w:r>
      <w:r w:rsidR="008A54AE">
        <w:rPr>
          <w:color w:val="auto"/>
          <w:lang w:val="fr-CA"/>
        </w:rPr>
        <w:t xml:space="preserve"> devrait</w:t>
      </w:r>
      <w:r w:rsidR="00AD2C9E" w:rsidRPr="00CD58C4">
        <w:rPr>
          <w:color w:val="auto"/>
          <w:lang w:val="fr-CA"/>
        </w:rPr>
        <w:t xml:space="preserve"> </w:t>
      </w:r>
      <w:r w:rsidR="00C47069" w:rsidRPr="00A8472C">
        <w:rPr>
          <w:color w:val="auto"/>
          <w:lang w:val="fr-CA"/>
        </w:rPr>
        <w:t xml:space="preserve">reconnaître explicitement les obligations juridiques sous-jacentes à l’approche de sécurisation culturelle en référant à la Charte, étant entendu que la mise en œuvre des droits qui y sont consacrés </w:t>
      </w:r>
      <w:r w:rsidR="00C47069" w:rsidRPr="00A8472C">
        <w:rPr>
          <w:color w:val="auto"/>
          <w:lang w:val="fr-CA"/>
        </w:rPr>
        <w:lastRenderedPageBreak/>
        <w:t>participe</w:t>
      </w:r>
      <w:r w:rsidR="008F06F8">
        <w:rPr>
          <w:color w:val="auto"/>
          <w:lang w:val="fr-CA"/>
        </w:rPr>
        <w:t>nt</w:t>
      </w:r>
      <w:r w:rsidR="00C47069" w:rsidRPr="00A8472C">
        <w:rPr>
          <w:color w:val="auto"/>
          <w:lang w:val="fr-CA"/>
        </w:rPr>
        <w:t xml:space="preserve"> </w:t>
      </w:r>
      <w:r w:rsidR="00C47069" w:rsidRPr="00A8472C">
        <w:rPr>
          <w:lang w:val="fr-CA"/>
        </w:rPr>
        <w:t xml:space="preserve">au respect du droit des personnes </w:t>
      </w:r>
      <w:r w:rsidR="00C47069" w:rsidRPr="004B1A29">
        <w:rPr>
          <w:lang w:val="fr-CA"/>
        </w:rPr>
        <w:t>autochtones de jouir</w:t>
      </w:r>
      <w:r w:rsidR="00C47069" w:rsidRPr="00A8472C">
        <w:rPr>
          <w:lang w:val="fr-CA"/>
        </w:rPr>
        <w:t xml:space="preserve">, en toute égalité, </w:t>
      </w:r>
      <w:r w:rsidR="00C47069" w:rsidRPr="004B1A29">
        <w:rPr>
          <w:lang w:val="fr-CA"/>
        </w:rPr>
        <w:t>du meilleur état possible de santé physique et mentale</w:t>
      </w:r>
      <w:r w:rsidR="00C47069" w:rsidRPr="00A8472C">
        <w:rPr>
          <w:color w:val="auto"/>
          <w:lang w:val="fr-CA"/>
        </w:rPr>
        <w:t>.</w:t>
      </w:r>
    </w:p>
    <w:p w14:paraId="625F0D50" w14:textId="7F84D5B2" w:rsidR="00571A7C" w:rsidRDefault="00571A7C" w:rsidP="00571A7C">
      <w:pPr>
        <w:pStyle w:val="Corpsdetexte"/>
        <w:rPr>
          <w:b/>
          <w:bCs/>
        </w:rPr>
      </w:pPr>
      <w:r w:rsidRPr="00A76331">
        <w:rPr>
          <w:b/>
          <w:bCs/>
        </w:rPr>
        <w:t>RECOMMANDATION</w:t>
      </w:r>
      <w:r w:rsidR="00633A95">
        <w:rPr>
          <w:b/>
          <w:bCs/>
        </w:rPr>
        <w:t> </w:t>
      </w:r>
      <w:r w:rsidR="000228E5">
        <w:rPr>
          <w:b/>
          <w:bCs/>
        </w:rPr>
        <w:t>7</w:t>
      </w:r>
    </w:p>
    <w:p w14:paraId="11AD0902" w14:textId="105A8DA8" w:rsidR="009B013C" w:rsidRDefault="006D280C" w:rsidP="00AB4833">
      <w:pPr>
        <w:pStyle w:val="Texterecommandation"/>
        <w:ind w:left="706"/>
      </w:pPr>
      <w:r w:rsidRPr="00A8472C">
        <w:t xml:space="preserve">La Commission recommande de modifier le projet de la loi de façon à référer explicitement à la </w:t>
      </w:r>
      <w:r w:rsidRPr="0065478C">
        <w:rPr>
          <w:i/>
          <w:iCs/>
        </w:rPr>
        <w:t>Charte</w:t>
      </w:r>
      <w:r w:rsidR="0065478C" w:rsidRPr="0065478C">
        <w:rPr>
          <w:i/>
          <w:iCs/>
        </w:rPr>
        <w:t xml:space="preserve"> des droits et liberté</w:t>
      </w:r>
      <w:r w:rsidR="00530D45">
        <w:rPr>
          <w:i/>
          <w:iCs/>
        </w:rPr>
        <w:t>s</w:t>
      </w:r>
      <w:r w:rsidR="0065478C" w:rsidRPr="0065478C">
        <w:rPr>
          <w:i/>
          <w:iCs/>
        </w:rPr>
        <w:t xml:space="preserve"> de la personne</w:t>
      </w:r>
      <w:r>
        <w:t>.</w:t>
      </w:r>
    </w:p>
    <w:p w14:paraId="1898A881" w14:textId="69FC2061" w:rsidR="001E3DB6" w:rsidRDefault="008F7995" w:rsidP="00E4721C">
      <w:pPr>
        <w:pStyle w:val="Titre2"/>
      </w:pPr>
      <w:bookmarkStart w:id="44" w:name="_Toc145331851"/>
      <w:r>
        <w:t>3.</w:t>
      </w:r>
      <w:r w:rsidR="0076212D">
        <w:t>3</w:t>
      </w:r>
      <w:r>
        <w:tab/>
      </w:r>
      <w:r w:rsidR="001E3DB6">
        <w:t>L’importance de la prise en compte</w:t>
      </w:r>
      <w:r w:rsidR="00EF373F">
        <w:t xml:space="preserve"> </w:t>
      </w:r>
      <w:r w:rsidR="005A3D19">
        <w:t xml:space="preserve">des </w:t>
      </w:r>
      <w:r w:rsidR="009E4769">
        <w:t>réalités</w:t>
      </w:r>
      <w:r w:rsidR="00220212">
        <w:t xml:space="preserve"> et besoins</w:t>
      </w:r>
      <w:r w:rsidR="003226A4">
        <w:t xml:space="preserve"> </w:t>
      </w:r>
      <w:r w:rsidR="00F545F3">
        <w:t xml:space="preserve">individuels </w:t>
      </w:r>
      <w:r w:rsidR="009D017E">
        <w:t>de</w:t>
      </w:r>
      <w:r w:rsidR="00F545F3">
        <w:t>s</w:t>
      </w:r>
      <w:r w:rsidR="00220212">
        <w:t xml:space="preserve"> </w:t>
      </w:r>
      <w:r w:rsidR="00D33395">
        <w:t>personne</w:t>
      </w:r>
      <w:r w:rsidR="00F545F3">
        <w:t>s</w:t>
      </w:r>
      <w:r w:rsidR="00D33395">
        <w:t xml:space="preserve"> </w:t>
      </w:r>
      <w:r w:rsidR="007C78C5">
        <w:t>autochtone</w:t>
      </w:r>
      <w:r w:rsidR="00F545F3">
        <w:t>s</w:t>
      </w:r>
      <w:bookmarkEnd w:id="44"/>
    </w:p>
    <w:p w14:paraId="3385288B" w14:textId="2AB687BE" w:rsidR="001E3DB6" w:rsidRDefault="00F47440" w:rsidP="001E3DB6">
      <w:pPr>
        <w:pStyle w:val="Paragraphe"/>
        <w:rPr>
          <w:color w:val="auto"/>
          <w:lang w:val="fr-CA"/>
        </w:rPr>
      </w:pPr>
      <w:r w:rsidRPr="00A225FB">
        <w:rPr>
          <w:rFonts w:eastAsia="Calibri"/>
          <w:color w:val="auto"/>
          <w:lang w:val="fr-CA"/>
        </w:rPr>
        <w:t>L’approche</w:t>
      </w:r>
      <w:r w:rsidR="00FA29F5" w:rsidRPr="00A225FB">
        <w:rPr>
          <w:rFonts w:eastAsia="Calibri"/>
          <w:color w:val="auto"/>
          <w:lang w:val="fr-CA"/>
        </w:rPr>
        <w:t xml:space="preserve"> </w:t>
      </w:r>
      <w:r w:rsidRPr="00A225FB">
        <w:rPr>
          <w:rFonts w:eastAsia="Calibri"/>
          <w:color w:val="auto"/>
          <w:lang w:val="fr-CA"/>
        </w:rPr>
        <w:t>de sécurisation cult</w:t>
      </w:r>
      <w:r w:rsidR="00903133" w:rsidRPr="00A225FB">
        <w:rPr>
          <w:rFonts w:eastAsia="Calibri"/>
          <w:color w:val="auto"/>
          <w:lang w:val="fr-CA"/>
        </w:rPr>
        <w:t>urelle repos</w:t>
      </w:r>
      <w:r w:rsidR="00822F3A" w:rsidRPr="00A225FB">
        <w:rPr>
          <w:rFonts w:eastAsia="Calibri"/>
          <w:color w:val="auto"/>
          <w:lang w:val="fr-CA"/>
        </w:rPr>
        <w:t>e</w:t>
      </w:r>
      <w:r w:rsidR="002848C8" w:rsidRPr="00A225FB">
        <w:rPr>
          <w:rFonts w:eastAsia="Calibri"/>
          <w:color w:val="auto"/>
          <w:lang w:val="fr-CA"/>
        </w:rPr>
        <w:t xml:space="preserve">, </w:t>
      </w:r>
      <w:r w:rsidR="008A784D" w:rsidRPr="00A225FB">
        <w:rPr>
          <w:rFonts w:eastAsia="Calibri"/>
          <w:color w:val="auto"/>
          <w:lang w:val="fr-CA"/>
        </w:rPr>
        <w:t>rappelons-le,</w:t>
      </w:r>
      <w:r w:rsidR="00903133" w:rsidRPr="00A225FB">
        <w:rPr>
          <w:rFonts w:eastAsia="Calibri"/>
          <w:color w:val="auto"/>
          <w:lang w:val="fr-CA"/>
        </w:rPr>
        <w:t xml:space="preserve"> sur une </w:t>
      </w:r>
      <w:r w:rsidR="00FA29F5" w:rsidRPr="00A225FB">
        <w:rPr>
          <w:rFonts w:eastAsia="Calibri"/>
          <w:color w:val="auto"/>
          <w:lang w:val="fr-CA"/>
        </w:rPr>
        <w:t xml:space="preserve">communication </w:t>
      </w:r>
      <w:r w:rsidR="003E3EF1" w:rsidRPr="00A225FB">
        <w:rPr>
          <w:rFonts w:eastAsia="Calibri"/>
          <w:color w:val="auto"/>
          <w:lang w:val="fr-CA"/>
        </w:rPr>
        <w:t xml:space="preserve">qui doit être </w:t>
      </w:r>
      <w:r w:rsidR="00FA29F5" w:rsidRPr="00A225FB">
        <w:rPr>
          <w:rFonts w:eastAsia="Calibri"/>
          <w:color w:val="auto"/>
          <w:lang w:val="fr-CA"/>
        </w:rPr>
        <w:t>adaptée de façon à favoriser la compréhension et l’expression des patients</w:t>
      </w:r>
      <w:r w:rsidR="00CA6B50" w:rsidRPr="00A225FB">
        <w:rPr>
          <w:rFonts w:eastAsia="Calibri"/>
          <w:color w:val="auto"/>
          <w:lang w:val="fr-CA"/>
        </w:rPr>
        <w:t>. De ce fait,</w:t>
      </w:r>
      <w:r w:rsidR="00FA29F5" w:rsidRPr="00A225FB">
        <w:rPr>
          <w:rFonts w:eastAsia="Calibri"/>
          <w:color w:val="auto"/>
          <w:lang w:val="fr-CA"/>
        </w:rPr>
        <w:t xml:space="preserve"> les prestataires de services </w:t>
      </w:r>
      <w:r w:rsidR="001167A2" w:rsidRPr="00A225FB">
        <w:rPr>
          <w:rFonts w:eastAsia="Calibri"/>
          <w:color w:val="auto"/>
          <w:lang w:val="fr-CA"/>
        </w:rPr>
        <w:t xml:space="preserve">se doivent de </w:t>
      </w:r>
      <w:r w:rsidR="00FA29F5" w:rsidRPr="00A225FB">
        <w:rPr>
          <w:rFonts w:eastAsia="Calibri"/>
          <w:color w:val="auto"/>
          <w:lang w:val="fr-CA"/>
        </w:rPr>
        <w:t xml:space="preserve">traiter les personnes </w:t>
      </w:r>
      <w:r w:rsidR="006249FB" w:rsidRPr="00A225FB">
        <w:rPr>
          <w:rFonts w:eastAsia="Calibri"/>
          <w:color w:val="auto"/>
          <w:lang w:val="fr-CA"/>
        </w:rPr>
        <w:t xml:space="preserve">autochtones </w:t>
      </w:r>
      <w:r w:rsidR="00FA29F5" w:rsidRPr="00A225FB">
        <w:rPr>
          <w:rFonts w:eastAsia="Calibri"/>
          <w:color w:val="auto"/>
          <w:lang w:val="fr-CA"/>
        </w:rPr>
        <w:t>en considérant et en respectant ces différences</w:t>
      </w:r>
      <w:r w:rsidR="00A214B1" w:rsidRPr="00A225FB">
        <w:rPr>
          <w:rFonts w:eastAsia="Calibri"/>
          <w:color w:val="auto"/>
          <w:lang w:val="fr-CA"/>
        </w:rPr>
        <w:t xml:space="preserve"> et en tenant compte de</w:t>
      </w:r>
      <w:r w:rsidR="001A678A" w:rsidRPr="00A225FB">
        <w:rPr>
          <w:rFonts w:eastAsia="Calibri"/>
          <w:color w:val="auto"/>
          <w:lang w:val="fr-CA"/>
        </w:rPr>
        <w:t xml:space="preserve"> leur</w:t>
      </w:r>
      <w:r w:rsidR="00CE33E6">
        <w:rPr>
          <w:rFonts w:eastAsia="Calibri"/>
          <w:color w:val="auto"/>
          <w:lang w:val="fr-CA"/>
        </w:rPr>
        <w:t>s</w:t>
      </w:r>
      <w:r w:rsidR="00A214B1" w:rsidRPr="00A225FB">
        <w:rPr>
          <w:rFonts w:eastAsia="Calibri"/>
          <w:color w:val="auto"/>
          <w:lang w:val="fr-CA"/>
        </w:rPr>
        <w:t xml:space="preserve"> réalités et besoins</w:t>
      </w:r>
      <w:r w:rsidR="00FA29F5" w:rsidRPr="00A225FB">
        <w:rPr>
          <w:rStyle w:val="Appelnotedebasdep"/>
          <w:rFonts w:eastAsia="Calibri"/>
          <w:color w:val="auto"/>
          <w:lang w:val="fr-CA"/>
        </w:rPr>
        <w:footnoteReference w:id="92"/>
      </w:r>
      <w:r w:rsidR="00FA29F5" w:rsidRPr="00A225FB">
        <w:rPr>
          <w:rFonts w:eastAsia="Calibri"/>
          <w:color w:val="auto"/>
          <w:lang w:val="fr-CA"/>
        </w:rPr>
        <w:t xml:space="preserve">. </w:t>
      </w:r>
      <w:r w:rsidR="00DA6A32" w:rsidRPr="00A225FB">
        <w:rPr>
          <w:rFonts w:eastAsia="Calibri"/>
          <w:color w:val="auto"/>
          <w:lang w:val="fr-CA"/>
        </w:rPr>
        <w:t xml:space="preserve">La Commission estime </w:t>
      </w:r>
      <w:r w:rsidR="006F36BB" w:rsidRPr="00A225FB">
        <w:rPr>
          <w:rFonts w:eastAsia="Calibri"/>
          <w:color w:val="auto"/>
          <w:lang w:val="fr-CA"/>
        </w:rPr>
        <w:t xml:space="preserve">nécessaire d’exposer </w:t>
      </w:r>
      <w:r w:rsidR="00416D4E" w:rsidRPr="00A225FB">
        <w:rPr>
          <w:rFonts w:eastAsia="Calibri"/>
          <w:color w:val="auto"/>
          <w:lang w:val="fr-CA"/>
        </w:rPr>
        <w:t xml:space="preserve">les réalités et les besoins </w:t>
      </w:r>
      <w:r w:rsidR="001A678A" w:rsidRPr="00A225FB">
        <w:rPr>
          <w:rFonts w:eastAsia="Calibri"/>
          <w:color w:val="auto"/>
          <w:lang w:val="fr-CA"/>
        </w:rPr>
        <w:t>de certaines catégories de personnes</w:t>
      </w:r>
      <w:r w:rsidR="008D007D" w:rsidRPr="00A225FB">
        <w:rPr>
          <w:rFonts w:eastAsia="Calibri"/>
          <w:color w:val="auto"/>
          <w:lang w:val="fr-CA"/>
        </w:rPr>
        <w:t xml:space="preserve"> </w:t>
      </w:r>
      <w:r w:rsidR="00E637A3" w:rsidRPr="00A225FB">
        <w:rPr>
          <w:rFonts w:eastAsia="Calibri"/>
          <w:color w:val="auto"/>
          <w:lang w:val="fr-CA"/>
        </w:rPr>
        <w:t xml:space="preserve">qu’elle a </w:t>
      </w:r>
      <w:r w:rsidR="00287646" w:rsidRPr="00A225FB">
        <w:rPr>
          <w:rFonts w:eastAsia="Calibri"/>
          <w:color w:val="auto"/>
          <w:lang w:val="fr-CA"/>
        </w:rPr>
        <w:t>documentés au fil de ses travaux.</w:t>
      </w:r>
      <w:r w:rsidR="007361BF" w:rsidRPr="00A225FB">
        <w:rPr>
          <w:rFonts w:eastAsia="Calibri"/>
          <w:color w:val="auto"/>
          <w:lang w:val="fr-CA"/>
        </w:rPr>
        <w:t xml:space="preserve"> Elle souhaite ainsi </w:t>
      </w:r>
      <w:r w:rsidR="00BC4DE7" w:rsidRPr="00A225FB">
        <w:rPr>
          <w:rFonts w:eastAsia="Calibri"/>
          <w:color w:val="auto"/>
          <w:lang w:val="fr-CA"/>
        </w:rPr>
        <w:t xml:space="preserve">mettre en évidence </w:t>
      </w:r>
      <w:r w:rsidR="007A644C" w:rsidRPr="00A225FB">
        <w:rPr>
          <w:rFonts w:eastAsia="Calibri"/>
          <w:color w:val="auto"/>
          <w:lang w:val="fr-CA"/>
        </w:rPr>
        <w:t xml:space="preserve">une lacune </w:t>
      </w:r>
      <w:r w:rsidR="000C42B1" w:rsidRPr="00A225FB">
        <w:rPr>
          <w:rFonts w:eastAsia="Calibri"/>
          <w:color w:val="auto"/>
          <w:lang w:val="fr-CA"/>
        </w:rPr>
        <w:t>du projet de loi</w:t>
      </w:r>
      <w:r w:rsidR="0039270B" w:rsidRPr="00A225FB">
        <w:rPr>
          <w:rFonts w:eastAsia="Calibri"/>
          <w:color w:val="auto"/>
          <w:lang w:val="fr-CA"/>
        </w:rPr>
        <w:t xml:space="preserve"> </w:t>
      </w:r>
      <w:r w:rsidR="00771CF4" w:rsidRPr="00A225FB">
        <w:rPr>
          <w:rFonts w:eastAsia="Calibri"/>
          <w:color w:val="auto"/>
          <w:lang w:val="fr-CA"/>
        </w:rPr>
        <w:t xml:space="preserve">dans la </w:t>
      </w:r>
      <w:r w:rsidR="00533658" w:rsidRPr="00A225FB">
        <w:rPr>
          <w:rFonts w:eastAsia="Calibri"/>
          <w:color w:val="auto"/>
          <w:lang w:val="fr-CA"/>
        </w:rPr>
        <w:t>détermination des</w:t>
      </w:r>
      <w:r w:rsidR="002C5D43" w:rsidRPr="00A225FB">
        <w:rPr>
          <w:rFonts w:eastAsia="Calibri"/>
          <w:color w:val="auto"/>
          <w:lang w:val="fr-CA"/>
        </w:rPr>
        <w:t xml:space="preserve"> pratiques </w:t>
      </w:r>
      <w:r w:rsidR="00DE2616" w:rsidRPr="00A225FB">
        <w:rPr>
          <w:rFonts w:eastAsia="Calibri"/>
          <w:color w:val="auto"/>
          <w:lang w:val="fr-CA"/>
        </w:rPr>
        <w:t>sécurisantes</w:t>
      </w:r>
      <w:r w:rsidR="008E483E" w:rsidRPr="00A225FB">
        <w:rPr>
          <w:rFonts w:eastAsia="Calibri"/>
          <w:color w:val="auto"/>
          <w:lang w:val="fr-CA"/>
        </w:rPr>
        <w:t xml:space="preserve"> à adopter</w:t>
      </w:r>
      <w:r w:rsidR="00B808B8" w:rsidRPr="00A225FB">
        <w:rPr>
          <w:rFonts w:eastAsia="Calibri"/>
          <w:color w:val="auto"/>
          <w:lang w:val="fr-CA"/>
        </w:rPr>
        <w:t xml:space="preserve">, </w:t>
      </w:r>
      <w:r w:rsidR="00DD3E1E" w:rsidRPr="00A225FB">
        <w:rPr>
          <w:rFonts w:eastAsia="Calibri"/>
          <w:color w:val="auto"/>
          <w:lang w:val="fr-CA"/>
        </w:rPr>
        <w:t>énuméré</w:t>
      </w:r>
      <w:r w:rsidR="004177E5" w:rsidRPr="00A225FB">
        <w:rPr>
          <w:rFonts w:eastAsia="Calibri"/>
          <w:color w:val="auto"/>
          <w:lang w:val="fr-CA"/>
        </w:rPr>
        <w:t>es</w:t>
      </w:r>
      <w:r w:rsidR="00D72F67" w:rsidRPr="00A225FB">
        <w:rPr>
          <w:rFonts w:eastAsia="Calibri"/>
          <w:color w:val="auto"/>
          <w:lang w:val="fr-CA"/>
        </w:rPr>
        <w:t xml:space="preserve"> à l’articl</w:t>
      </w:r>
      <w:r w:rsidR="00DD3E1E" w:rsidRPr="00A225FB">
        <w:rPr>
          <w:rFonts w:eastAsia="Calibri"/>
          <w:color w:val="auto"/>
          <w:lang w:val="fr-CA"/>
        </w:rPr>
        <w:t>e</w:t>
      </w:r>
      <w:r w:rsidR="00633A95">
        <w:rPr>
          <w:rFonts w:eastAsia="Calibri"/>
          <w:color w:val="auto"/>
          <w:lang w:val="fr-CA"/>
        </w:rPr>
        <w:t> </w:t>
      </w:r>
      <w:r w:rsidR="00DD3E1E" w:rsidRPr="00A225FB">
        <w:rPr>
          <w:rFonts w:eastAsia="Calibri"/>
          <w:color w:val="auto"/>
          <w:lang w:val="fr-CA"/>
        </w:rPr>
        <w:t>1</w:t>
      </w:r>
      <w:r w:rsidR="008E483E" w:rsidRPr="00A225FB">
        <w:rPr>
          <w:rFonts w:eastAsia="Calibri"/>
          <w:color w:val="auto"/>
          <w:lang w:val="fr-CA"/>
        </w:rPr>
        <w:t>.</w:t>
      </w:r>
    </w:p>
    <w:p w14:paraId="1617AEF1" w14:textId="28015E98" w:rsidR="00CF68B9" w:rsidRPr="00E76BDB" w:rsidRDefault="00783D73" w:rsidP="00E4721C">
      <w:pPr>
        <w:pStyle w:val="Titre3"/>
      </w:pPr>
      <w:bookmarkStart w:id="45" w:name="_Toc145331852"/>
      <w:r>
        <w:t>3.</w:t>
      </w:r>
      <w:r w:rsidR="00E4721C">
        <w:t>3</w:t>
      </w:r>
      <w:r>
        <w:t>.1</w:t>
      </w:r>
      <w:r>
        <w:tab/>
      </w:r>
      <w:r w:rsidR="00CF68B9">
        <w:t xml:space="preserve">Les </w:t>
      </w:r>
      <w:r w:rsidR="00CF68B9" w:rsidRPr="00E76BDB">
        <w:t>femmes</w:t>
      </w:r>
      <w:r w:rsidR="00CB3EB1">
        <w:t xml:space="preserve"> et</w:t>
      </w:r>
      <w:r w:rsidR="00CF68B9" w:rsidRPr="00E76BDB">
        <w:t xml:space="preserve"> </w:t>
      </w:r>
      <w:r w:rsidR="00CF68B9">
        <w:t>l</w:t>
      </w:r>
      <w:r w:rsidR="00CF68B9" w:rsidRPr="00E76BDB">
        <w:t xml:space="preserve">es filles </w:t>
      </w:r>
      <w:r w:rsidR="00CB3EB1">
        <w:t>autochtones</w:t>
      </w:r>
      <w:bookmarkEnd w:id="45"/>
    </w:p>
    <w:p w14:paraId="5A36B472" w14:textId="77777777" w:rsidR="001426C0" w:rsidRPr="00C84C0A" w:rsidRDefault="00646957" w:rsidP="0097791A">
      <w:pPr>
        <w:pStyle w:val="Paragraphe"/>
        <w:rPr>
          <w:rFonts w:eastAsia="Calibri"/>
          <w:lang w:val="fr-CA"/>
        </w:rPr>
      </w:pPr>
      <w:r w:rsidRPr="00C84C0A">
        <w:rPr>
          <w:rFonts w:eastAsia="Calibri"/>
          <w:lang w:val="fr-CA"/>
        </w:rPr>
        <w:t>La Commission note avec satisfaction que le projet de loi mise sur la prise en compte des réalités propres aux femmes et aux filles autochtones</w:t>
      </w:r>
      <w:r>
        <w:rPr>
          <w:rStyle w:val="Appelnotedebasdep"/>
          <w:rFonts w:eastAsia="Calibri"/>
        </w:rPr>
        <w:footnoteReference w:id="93"/>
      </w:r>
      <w:r w:rsidRPr="00C84C0A">
        <w:rPr>
          <w:rFonts w:eastAsia="Calibri"/>
          <w:lang w:val="fr-CA"/>
        </w:rPr>
        <w:t>.</w:t>
      </w:r>
      <w:r w:rsidR="000B0EC7" w:rsidRPr="00C84C0A">
        <w:rPr>
          <w:rFonts w:eastAsia="Calibri"/>
          <w:lang w:val="fr-CA"/>
        </w:rPr>
        <w:t xml:space="preserve"> </w:t>
      </w:r>
      <w:r w:rsidR="00CF68B9" w:rsidRPr="00C84C0A">
        <w:rPr>
          <w:rFonts w:eastAsia="Calibri"/>
          <w:lang w:val="fr-CA"/>
        </w:rPr>
        <w:t>Plusieurs travaux sur la sécurisation culturelle reconnaissent en effet l’importance d’un focus sur le genre et les besoins des femmes et des filles autochtones, de même que ceux des personnes transgenres et bispirituelles</w:t>
      </w:r>
      <w:r w:rsidR="00CF68B9" w:rsidRPr="001A4A5B">
        <w:rPr>
          <w:rFonts w:eastAsia="Calibri"/>
          <w:vertAlign w:val="superscript"/>
        </w:rPr>
        <w:footnoteReference w:id="94"/>
      </w:r>
      <w:r w:rsidR="00CF68B9" w:rsidRPr="00C84C0A">
        <w:rPr>
          <w:rFonts w:eastAsia="Calibri"/>
          <w:lang w:val="fr-CA"/>
        </w:rPr>
        <w:t xml:space="preserve">. L’adoption d’une perspective sexospécifique est d’ailleurs recommandée par le Comité des droits économiques, sociaux et culturels afin de promouvoir l’exercice du droit à la santé des femmes, ce qui nécessite notamment « l’élimination de tous les obstacles qui entravent l’accès </w:t>
      </w:r>
      <w:r w:rsidR="00CF68B9" w:rsidRPr="00C84C0A">
        <w:rPr>
          <w:rFonts w:eastAsia="Calibri"/>
          <w:lang w:val="fr-CA"/>
        </w:rPr>
        <w:lastRenderedPageBreak/>
        <w:t>aux services de santé, ainsi qu’à l’éducation et à l’information, y compris en matière de santé sexuelle et génésique »</w:t>
      </w:r>
      <w:r w:rsidR="00CF68B9" w:rsidRPr="001A4A5B">
        <w:rPr>
          <w:rFonts w:eastAsia="Calibri"/>
          <w:vertAlign w:val="superscript"/>
        </w:rPr>
        <w:footnoteReference w:id="95"/>
      </w:r>
      <w:r w:rsidR="00CF68B9" w:rsidRPr="00C84C0A">
        <w:rPr>
          <w:rFonts w:eastAsia="Calibri"/>
          <w:lang w:val="fr-CA"/>
        </w:rPr>
        <w:t>.</w:t>
      </w:r>
      <w:r w:rsidR="00DB4049" w:rsidRPr="00C84C0A">
        <w:rPr>
          <w:rFonts w:eastAsia="Calibri"/>
          <w:lang w:val="fr-CA"/>
        </w:rPr>
        <w:t xml:space="preserve"> </w:t>
      </w:r>
    </w:p>
    <w:p w14:paraId="3BF9F654" w14:textId="77777777" w:rsidR="00F60F38" w:rsidRDefault="00B07E9C" w:rsidP="00051944">
      <w:pPr>
        <w:pStyle w:val="Paragraphe"/>
        <w:rPr>
          <w:lang w:val="fr-CA"/>
        </w:rPr>
      </w:pPr>
      <w:r w:rsidRPr="00051944">
        <w:rPr>
          <w:lang w:val="fr-CA"/>
        </w:rPr>
        <w:t xml:space="preserve">Le Comité </w:t>
      </w:r>
      <w:r w:rsidR="00E9759A" w:rsidRPr="00051944">
        <w:rPr>
          <w:rFonts w:eastAsia="Calibri"/>
          <w:lang w:val="fr-CA"/>
        </w:rPr>
        <w:t xml:space="preserve">pour l’élimination de la discrimination à l’égard des femmes </w:t>
      </w:r>
      <w:r w:rsidRPr="00051944">
        <w:rPr>
          <w:lang w:val="fr-CA"/>
        </w:rPr>
        <w:t>reconnaît que ces dernières se heurtent à la discrimination raciale et fondée sur le genre dans leur accès aux services de santé et aux informations sur la santé sexuelle et reproductive, qu’elles sont souvent traitées par du personnel médical portant des préjugés racistes et sexistes et peu soucieux de leur culture, de leur réalité, de leur consentement et de leurs opinions et qu’elles sont souvent victimes de violence fondée sur le genre, dont la violence obstétricale, la stérilisation non consentie et l’avortement imposé</w:t>
      </w:r>
      <w:r w:rsidR="006B143D">
        <w:rPr>
          <w:rStyle w:val="Appelnotedebasdep"/>
          <w:lang w:val="fr-CA"/>
        </w:rPr>
        <w:footnoteReference w:id="96"/>
      </w:r>
      <w:r w:rsidRPr="00051944">
        <w:rPr>
          <w:lang w:val="fr-CA"/>
        </w:rPr>
        <w:t xml:space="preserve">. </w:t>
      </w:r>
      <w:r w:rsidRPr="00533C04">
        <w:rPr>
          <w:lang w:val="fr-CA"/>
        </w:rPr>
        <w:t>Ainsi, le Comité recommande</w:t>
      </w:r>
      <w:r w:rsidRPr="00533C04">
        <w:rPr>
          <w:rFonts w:eastAsia="Calibri"/>
          <w:lang w:val="fr-CA"/>
        </w:rPr>
        <w:t xml:space="preserve"> notamment </w:t>
      </w:r>
      <w:r w:rsidRPr="00533C04">
        <w:rPr>
          <w:lang w:val="fr-CA"/>
        </w:rPr>
        <w:t>aux États</w:t>
      </w:r>
      <w:r w:rsidR="00F60F38">
        <w:rPr>
          <w:lang w:val="fr-CA"/>
        </w:rPr>
        <w:t> :</w:t>
      </w:r>
    </w:p>
    <w:p w14:paraId="574D8A7D" w14:textId="6E1C4A4E" w:rsidR="005D6D51" w:rsidRDefault="00B07E9C" w:rsidP="007A62CF">
      <w:pPr>
        <w:pStyle w:val="Citation"/>
      </w:pPr>
      <w:r w:rsidRPr="00533C04">
        <w:t>1) d’assurer que les services et infrastructures de santé sont adaptés sur le plan culturel et veiller au respect du consentement aux soins et de la vie privée</w:t>
      </w:r>
      <w:r w:rsidR="00523C51">
        <w:t> </w:t>
      </w:r>
      <w:r w:rsidRPr="00533C04">
        <w:t xml:space="preserve">; </w:t>
      </w:r>
    </w:p>
    <w:p w14:paraId="2F99F8B7" w14:textId="502B4928" w:rsidR="005D6D51" w:rsidRDefault="00B07E9C" w:rsidP="007A62CF">
      <w:pPr>
        <w:pStyle w:val="Citation"/>
      </w:pPr>
      <w:r w:rsidRPr="00533C04">
        <w:t>2) d’offrir aux professionnels de la santé des formations tenant compte des questions liées au genre et à la culture</w:t>
      </w:r>
      <w:r w:rsidR="00E00B80">
        <w:t> </w:t>
      </w:r>
      <w:r w:rsidR="007A62CF">
        <w:t xml:space="preserve">; </w:t>
      </w:r>
      <w:r w:rsidRPr="00533C04">
        <w:t>et</w:t>
      </w:r>
      <w:r w:rsidR="007A62CF">
        <w:t xml:space="preserve">, </w:t>
      </w:r>
      <w:r w:rsidRPr="00533C04">
        <w:t xml:space="preserve"> </w:t>
      </w:r>
    </w:p>
    <w:p w14:paraId="6310E10A" w14:textId="032B0823" w:rsidR="00CF68B9" w:rsidRDefault="00B07E9C" w:rsidP="007A62CF">
      <w:pPr>
        <w:pStyle w:val="Citation"/>
        <w:rPr>
          <w:rFonts w:eastAsia="Calibri"/>
        </w:rPr>
      </w:pPr>
      <w:r w:rsidRPr="00533C04">
        <w:t>3)</w:t>
      </w:r>
      <w:r w:rsidRPr="00533C04">
        <w:rPr>
          <w:rFonts w:eastAsia="Calibri"/>
        </w:rPr>
        <w:t xml:space="preserve"> « d’adopter des mesures pour prévenir toutes les formes de violence fondée sur le genre, les pratiques coercitives, la discrimination, les stéréotypes sexistes et les préjugés raciaux dans le cadre de la fourniture de services de santé</w:t>
      </w:r>
      <w:r w:rsidR="00BF1864">
        <w:rPr>
          <w:rFonts w:eastAsia="Calibri"/>
        </w:rPr>
        <w:t> </w:t>
      </w:r>
      <w:r w:rsidRPr="00533C04">
        <w:rPr>
          <w:rFonts w:eastAsia="Calibri"/>
        </w:rPr>
        <w:t>»</w:t>
      </w:r>
      <w:r>
        <w:rPr>
          <w:rStyle w:val="Appelnotedebasdep"/>
          <w:rFonts w:eastAsia="Calibri"/>
        </w:rPr>
        <w:footnoteReference w:id="97"/>
      </w:r>
      <w:r w:rsidRPr="00533C04">
        <w:rPr>
          <w:rFonts w:eastAsia="Calibri"/>
        </w:rPr>
        <w:t xml:space="preserve">. </w:t>
      </w:r>
    </w:p>
    <w:p w14:paraId="0DDA56C2" w14:textId="5695A095" w:rsidR="006F699D" w:rsidRDefault="006F699D" w:rsidP="006F699D">
      <w:pPr>
        <w:pStyle w:val="Paragraphe"/>
        <w:rPr>
          <w:rFonts w:eastAsia="Calibri"/>
          <w:lang w:val="fr-CA"/>
        </w:rPr>
      </w:pPr>
      <w:r w:rsidRPr="00533C04">
        <w:rPr>
          <w:rFonts w:eastAsia="Calibri"/>
          <w:lang w:val="fr-CA"/>
        </w:rPr>
        <w:t xml:space="preserve">La Commission tient </w:t>
      </w:r>
      <w:r>
        <w:rPr>
          <w:rFonts w:eastAsia="Calibri"/>
          <w:lang w:val="fr-CA"/>
        </w:rPr>
        <w:t xml:space="preserve">donc </w:t>
      </w:r>
      <w:r w:rsidRPr="00533C04">
        <w:rPr>
          <w:rFonts w:eastAsia="Calibri"/>
          <w:lang w:val="fr-CA"/>
        </w:rPr>
        <w:t xml:space="preserve">à souligner l’importance </w:t>
      </w:r>
      <w:r w:rsidR="00695AD1" w:rsidRPr="00A8472C">
        <w:rPr>
          <w:rFonts w:eastAsia="Calibri"/>
          <w:lang w:val="fr-CA"/>
        </w:rPr>
        <w:t xml:space="preserve">d’inclure </w:t>
      </w:r>
      <w:r w:rsidRPr="00533C04">
        <w:rPr>
          <w:rFonts w:eastAsia="Calibri"/>
          <w:lang w:val="fr-CA"/>
        </w:rPr>
        <w:t>les enjeux concernant la discrimination dans les services de santé sexuelle et reproductive</w:t>
      </w:r>
      <w:r w:rsidR="003E53DE">
        <w:rPr>
          <w:rFonts w:eastAsia="Calibri"/>
          <w:lang w:val="fr-CA"/>
        </w:rPr>
        <w:t xml:space="preserve"> </w:t>
      </w:r>
      <w:r w:rsidR="003E53DE" w:rsidRPr="00A8472C">
        <w:rPr>
          <w:rFonts w:eastAsia="Calibri"/>
          <w:lang w:val="fr-CA"/>
        </w:rPr>
        <w:t>dans la prise en compte des réalités propres aux femmes et aux filles autochtones</w:t>
      </w:r>
      <w:r w:rsidRPr="00533C04">
        <w:rPr>
          <w:rFonts w:eastAsia="Calibri"/>
          <w:lang w:val="fr-CA"/>
        </w:rPr>
        <w:t>. Les récents travaux menés sur la stérilisation non consentie et les violences obstétricales à l’endroit des femmes des Premières Nations et Inuit démontrent l’ampleur de la problématique et l’importance de la mise en œuvre de pratiques culturellement sécurisantes favorisant le respect du principe du consentement libre et éclairé aux soins</w:t>
      </w:r>
      <w:r w:rsidRPr="001A4A5B">
        <w:rPr>
          <w:rFonts w:eastAsia="Calibri"/>
          <w:vertAlign w:val="superscript"/>
        </w:rPr>
        <w:footnoteReference w:id="98"/>
      </w:r>
      <w:r w:rsidRPr="00533C04">
        <w:rPr>
          <w:rFonts w:eastAsia="Calibri"/>
          <w:lang w:val="fr-CA"/>
        </w:rPr>
        <w:t xml:space="preserve">. </w:t>
      </w:r>
    </w:p>
    <w:p w14:paraId="16712182" w14:textId="6F353081" w:rsidR="001E3DB6" w:rsidRDefault="00783D73" w:rsidP="00E4721C">
      <w:pPr>
        <w:pStyle w:val="Titre3"/>
      </w:pPr>
      <w:bookmarkStart w:id="46" w:name="_Toc145331853"/>
      <w:r>
        <w:lastRenderedPageBreak/>
        <w:t>3.</w:t>
      </w:r>
      <w:r w:rsidR="00E4721C">
        <w:t>3</w:t>
      </w:r>
      <w:r>
        <w:t>.2</w:t>
      </w:r>
      <w:r>
        <w:tab/>
      </w:r>
      <w:r w:rsidR="001E3DB6">
        <w:t>Les enfants autochtones et leur famille</w:t>
      </w:r>
      <w:bookmarkEnd w:id="46"/>
    </w:p>
    <w:p w14:paraId="5D8B259D" w14:textId="433D13F2" w:rsidR="00CB778E" w:rsidRPr="001A4A5B" w:rsidRDefault="00AF0365" w:rsidP="00FE036C">
      <w:pPr>
        <w:pStyle w:val="Paragraphe"/>
        <w:rPr>
          <w:lang w:val="fr-CA"/>
        </w:rPr>
      </w:pPr>
      <w:r>
        <w:rPr>
          <w:lang w:val="fr-CA"/>
        </w:rPr>
        <w:t>Tant la</w:t>
      </w:r>
      <w:r w:rsidR="001E3DB6" w:rsidRPr="001A4A5B">
        <w:rPr>
          <w:lang w:val="fr-CA"/>
        </w:rPr>
        <w:t xml:space="preserve"> </w:t>
      </w:r>
      <w:r w:rsidR="004F44D0">
        <w:rPr>
          <w:iCs/>
          <w:lang w:val="fr-CA"/>
        </w:rPr>
        <w:t>DNUDPA</w:t>
      </w:r>
      <w:r w:rsidR="001E3DB6" w:rsidRPr="001A4A5B">
        <w:rPr>
          <w:rStyle w:val="Appelnotedebasdep"/>
          <w:color w:val="auto"/>
          <w:lang w:val="fr-CA"/>
        </w:rPr>
        <w:footnoteReference w:id="99"/>
      </w:r>
      <w:r>
        <w:rPr>
          <w:lang w:val="fr-CA"/>
        </w:rPr>
        <w:t xml:space="preserve"> que </w:t>
      </w:r>
      <w:r w:rsidR="001E3DB6" w:rsidRPr="001A4A5B">
        <w:rPr>
          <w:lang w:val="fr-CA"/>
        </w:rPr>
        <w:t xml:space="preserve">la </w:t>
      </w:r>
      <w:r w:rsidR="001E3DB6" w:rsidRPr="001A4A5B">
        <w:rPr>
          <w:i/>
          <w:lang w:val="fr-CA"/>
        </w:rPr>
        <w:t>Convention relative aux droits de l’enfant</w:t>
      </w:r>
      <w:r>
        <w:rPr>
          <w:rStyle w:val="Appelnotedebasdep"/>
          <w:i/>
          <w:color w:val="auto"/>
          <w:lang w:val="fr-CA"/>
        </w:rPr>
        <w:footnoteReference w:id="100"/>
      </w:r>
      <w:r w:rsidR="001E3DB6" w:rsidRPr="001A4A5B">
        <w:rPr>
          <w:lang w:val="fr-CA"/>
        </w:rPr>
        <w:t xml:space="preserve"> </w:t>
      </w:r>
      <w:r w:rsidR="0032461C">
        <w:rPr>
          <w:lang w:val="fr-CA"/>
        </w:rPr>
        <w:t>enjoi</w:t>
      </w:r>
      <w:r w:rsidR="00BD0713">
        <w:rPr>
          <w:lang w:val="fr-CA"/>
        </w:rPr>
        <w:t>gnent les</w:t>
      </w:r>
      <w:r w:rsidR="001E3DB6" w:rsidRPr="001A4A5B">
        <w:rPr>
          <w:lang w:val="fr-CA"/>
        </w:rPr>
        <w:t xml:space="preserve"> États </w:t>
      </w:r>
      <w:r w:rsidR="00A62E7E">
        <w:rPr>
          <w:lang w:val="fr-CA"/>
        </w:rPr>
        <w:t>«</w:t>
      </w:r>
      <w:r w:rsidR="00BF1864">
        <w:rPr>
          <w:lang w:val="fr-CA"/>
        </w:rPr>
        <w:t> </w:t>
      </w:r>
      <w:r w:rsidR="00BD0713">
        <w:rPr>
          <w:lang w:val="fr-CA"/>
        </w:rPr>
        <w:t>à</w:t>
      </w:r>
      <w:r w:rsidR="001E3DB6" w:rsidRPr="001A4A5B">
        <w:rPr>
          <w:lang w:val="fr-CA"/>
        </w:rPr>
        <w:t xml:space="preserve"> prendre des mesures appropriées pour garantir la réalisation du droit de l’enfant de </w:t>
      </w:r>
      <w:r w:rsidR="001E3DB6" w:rsidRPr="00FD03DB">
        <w:rPr>
          <w:lang w:val="fr-CA"/>
        </w:rPr>
        <w:t>jouir</w:t>
      </w:r>
      <w:r w:rsidR="001E3DB6" w:rsidRPr="001A4A5B">
        <w:rPr>
          <w:lang w:val="fr-CA"/>
        </w:rPr>
        <w:t xml:space="preserve"> du meilleur état de santé possible</w:t>
      </w:r>
      <w:r w:rsidR="00BC7106">
        <w:rPr>
          <w:lang w:val="fr-CA"/>
        </w:rPr>
        <w:t xml:space="preserve"> ainsi que </w:t>
      </w:r>
      <w:r w:rsidR="00422E4C">
        <w:rPr>
          <w:lang w:val="fr-CA"/>
        </w:rPr>
        <w:t>celui</w:t>
      </w:r>
      <w:r w:rsidR="00CB778E" w:rsidRPr="001A4A5B">
        <w:rPr>
          <w:lang w:val="fr-CA"/>
        </w:rPr>
        <w:t xml:space="preserve"> d’avoir sa propre vie culturelle, de professer et de pratiquer sa propre religion ou d’employer sa propre langue en commun avec les autres membres de son groupe</w:t>
      </w:r>
      <w:r w:rsidR="00BF1864">
        <w:rPr>
          <w:lang w:val="fr-CA"/>
        </w:rPr>
        <w:t> </w:t>
      </w:r>
      <w:r w:rsidR="00CB778E" w:rsidRPr="001A4A5B">
        <w:rPr>
          <w:lang w:val="fr-CA"/>
        </w:rPr>
        <w:t>»</w:t>
      </w:r>
      <w:r w:rsidR="00CB778E" w:rsidRPr="001A4A5B">
        <w:rPr>
          <w:rStyle w:val="Appelnotedebasdep"/>
          <w:color w:val="auto"/>
          <w:lang w:val="fr-CA"/>
        </w:rPr>
        <w:footnoteReference w:id="101"/>
      </w:r>
      <w:r w:rsidR="00CB778E" w:rsidRPr="001A4A5B">
        <w:rPr>
          <w:lang w:val="fr-CA"/>
        </w:rPr>
        <w:t xml:space="preserve">. </w:t>
      </w:r>
    </w:p>
    <w:p w14:paraId="1CD66239" w14:textId="6952C33F" w:rsidR="003C1400" w:rsidRPr="00C84C0A" w:rsidRDefault="001E3DB6" w:rsidP="0097791A">
      <w:pPr>
        <w:pStyle w:val="Paragraphe"/>
        <w:rPr>
          <w:lang w:val="fr-CA"/>
        </w:rPr>
      </w:pPr>
      <w:r w:rsidRPr="00C84C0A">
        <w:rPr>
          <w:lang w:val="fr-CA"/>
        </w:rPr>
        <w:t xml:space="preserve">Le Comité des droits de l’enfant constate que </w:t>
      </w:r>
      <w:r w:rsidR="002C7578">
        <w:rPr>
          <w:lang w:val="fr-CA"/>
        </w:rPr>
        <w:t>«</w:t>
      </w:r>
      <w:r w:rsidR="0062701A">
        <w:rPr>
          <w:lang w:val="fr-CA"/>
        </w:rPr>
        <w:t> </w:t>
      </w:r>
      <w:r w:rsidR="00A76DCB" w:rsidRPr="00CD58C4">
        <w:rPr>
          <w:color w:val="auto"/>
          <w:lang w:val="fr-CA"/>
        </w:rPr>
        <w:t>[</w:t>
      </w:r>
      <w:r w:rsidR="00A76DCB">
        <w:rPr>
          <w:color w:val="auto"/>
          <w:lang w:val="fr-CA"/>
        </w:rPr>
        <w:t>l</w:t>
      </w:r>
      <w:r w:rsidR="00A76DCB" w:rsidRPr="00CD58C4">
        <w:rPr>
          <w:color w:val="auto"/>
          <w:lang w:val="fr-CA"/>
        </w:rPr>
        <w:t>]</w:t>
      </w:r>
      <w:r w:rsidR="002C7578" w:rsidRPr="00C84C0A">
        <w:rPr>
          <w:lang w:val="fr-CA"/>
        </w:rPr>
        <w:t xml:space="preserve">es </w:t>
      </w:r>
      <w:r w:rsidRPr="00C84C0A">
        <w:rPr>
          <w:lang w:val="fr-CA"/>
        </w:rPr>
        <w:t>enfants autochtones sont souvent en moins bonne santé que les autres en raison de la qualité inférieure des soins de santé dont ils bénéficient ou des difficultés d’accès aux services de santé</w:t>
      </w:r>
      <w:r w:rsidR="0062701A">
        <w:rPr>
          <w:lang w:val="fr-CA"/>
        </w:rPr>
        <w:t> </w:t>
      </w:r>
      <w:r w:rsidR="009B0A1E">
        <w:rPr>
          <w:lang w:val="fr-CA"/>
        </w:rPr>
        <w:t>»</w:t>
      </w:r>
      <w:r w:rsidR="00AB4D95">
        <w:rPr>
          <w:rStyle w:val="Appelnotedebasdep"/>
          <w:lang w:val="fr-CA"/>
        </w:rPr>
        <w:footnoteReference w:id="102"/>
      </w:r>
      <w:r w:rsidRPr="00C84C0A">
        <w:rPr>
          <w:lang w:val="fr-CA"/>
        </w:rPr>
        <w:t xml:space="preserve"> et qu’il pourrait être nécessaire </w:t>
      </w:r>
      <w:r w:rsidR="007637EE">
        <w:rPr>
          <w:lang w:val="fr-CA"/>
        </w:rPr>
        <w:t>«</w:t>
      </w:r>
      <w:r w:rsidR="008F00EB">
        <w:rPr>
          <w:lang w:val="fr-CA"/>
        </w:rPr>
        <w:t> </w:t>
      </w:r>
      <w:r w:rsidR="008F00EB" w:rsidRPr="00CD58C4">
        <w:rPr>
          <w:color w:val="auto"/>
          <w:lang w:val="fr-CA"/>
        </w:rPr>
        <w:t>[</w:t>
      </w:r>
      <w:r w:rsidR="008F00EB">
        <w:rPr>
          <w:color w:val="auto"/>
          <w:lang w:val="fr-CA"/>
        </w:rPr>
        <w:t>d</w:t>
      </w:r>
      <w:r w:rsidR="008F00EB" w:rsidRPr="00CD58C4">
        <w:rPr>
          <w:color w:val="auto"/>
          <w:lang w:val="fr-CA"/>
        </w:rPr>
        <w:t>]</w:t>
      </w:r>
      <w:r w:rsidRPr="00C84C0A">
        <w:rPr>
          <w:lang w:val="fr-CA"/>
        </w:rPr>
        <w:t xml:space="preserve">’adopter des mesures positives afin d’éliminer les facteurs qui sont à l’origine de la discrimination et de garantir à ces enfants l’exercice des droits consacrés par la </w:t>
      </w:r>
      <w:r w:rsidRPr="0038095B">
        <w:rPr>
          <w:lang w:val="fr-CA"/>
        </w:rPr>
        <w:t>Convention dans des conditions d’égalité avec les autres enfants</w:t>
      </w:r>
      <w:r w:rsidR="00530D45">
        <w:rPr>
          <w:lang w:val="fr-CA"/>
        </w:rPr>
        <w:t> </w:t>
      </w:r>
      <w:r w:rsidR="00F02588">
        <w:rPr>
          <w:lang w:val="fr-CA"/>
        </w:rPr>
        <w:t>»</w:t>
      </w:r>
      <w:r w:rsidR="00815E70" w:rsidRPr="001A4A5B">
        <w:rPr>
          <w:rStyle w:val="Appelnotedebasdep"/>
        </w:rPr>
        <w:footnoteReference w:id="103"/>
      </w:r>
      <w:r w:rsidR="00815E70" w:rsidRPr="00C84C0A">
        <w:rPr>
          <w:lang w:val="fr-CA"/>
        </w:rPr>
        <w:t>.</w:t>
      </w:r>
      <w:r w:rsidR="003C1400" w:rsidRPr="00C84C0A">
        <w:rPr>
          <w:lang w:val="fr-CA"/>
        </w:rPr>
        <w:t xml:space="preserve"> </w:t>
      </w:r>
    </w:p>
    <w:p w14:paraId="6D79CE3E" w14:textId="07A9B5B2" w:rsidR="001E3DB6" w:rsidRPr="00220DC8" w:rsidRDefault="001E3DB6" w:rsidP="0097791A">
      <w:pPr>
        <w:pStyle w:val="Paragraphe"/>
        <w:rPr>
          <w:lang w:val="fr-CA"/>
        </w:rPr>
      </w:pPr>
      <w:r w:rsidRPr="00C84C0A">
        <w:rPr>
          <w:lang w:val="fr-CA"/>
        </w:rPr>
        <w:t>Par conséquent, le Comité invite instamment les États parties à prendre des mesures spéciales pour veiller à ce que les enfants autochtones ne souffrent pas de discrimination et soient à même de préserver leur identité culturelle</w:t>
      </w:r>
      <w:r w:rsidR="00F11478" w:rsidRPr="00C84C0A">
        <w:rPr>
          <w:lang w:val="fr-CA"/>
        </w:rPr>
        <w:t xml:space="preserve">. Il note également que </w:t>
      </w:r>
      <w:r w:rsidRPr="00C84C0A">
        <w:rPr>
          <w:lang w:val="fr-CA"/>
        </w:rPr>
        <w:t xml:space="preserve">les États sont tenus de veiller à ce que les enfants autochtones aient accès aux services de santé dans des conditions d’égalité. </w:t>
      </w:r>
      <w:r w:rsidR="00976C6A" w:rsidRPr="00220DC8">
        <w:rPr>
          <w:lang w:val="fr-CA"/>
        </w:rPr>
        <w:t>Il</w:t>
      </w:r>
      <w:r w:rsidR="00B94D84" w:rsidRPr="00220DC8">
        <w:rPr>
          <w:lang w:val="fr-CA"/>
        </w:rPr>
        <w:t xml:space="preserve"> insiste sur l’importance</w:t>
      </w:r>
      <w:r w:rsidR="00A94FCB" w:rsidRPr="00220DC8">
        <w:rPr>
          <w:lang w:val="fr-CA"/>
        </w:rPr>
        <w:t xml:space="preserve"> de «</w:t>
      </w:r>
      <w:r w:rsidR="00BF1864" w:rsidRPr="00220DC8">
        <w:rPr>
          <w:lang w:val="fr-CA"/>
        </w:rPr>
        <w:t> </w:t>
      </w:r>
      <w:r w:rsidR="00976C6A" w:rsidRPr="00220DC8">
        <w:rPr>
          <w:lang w:val="fr-CA"/>
        </w:rPr>
        <w:t>veiller tout particulièrement à ce que les services de santé soient adaptés aux réalités culturelles et à ce que des informations sur ces services soient disponibles dans les langues autochtones</w:t>
      </w:r>
      <w:r w:rsidR="00BF1864" w:rsidRPr="00220DC8">
        <w:rPr>
          <w:lang w:val="fr-CA"/>
        </w:rPr>
        <w:t> </w:t>
      </w:r>
      <w:r w:rsidR="00A94FCB" w:rsidRPr="00220DC8">
        <w:rPr>
          <w:lang w:val="fr-CA"/>
        </w:rPr>
        <w:t>»</w:t>
      </w:r>
      <w:r w:rsidR="00A94FCB">
        <w:rPr>
          <w:rStyle w:val="Appelnotedebasdep"/>
        </w:rPr>
        <w:footnoteReference w:id="104"/>
      </w:r>
      <w:r w:rsidR="00976C6A" w:rsidRPr="00220DC8">
        <w:rPr>
          <w:lang w:val="fr-CA"/>
        </w:rPr>
        <w:t xml:space="preserve">. </w:t>
      </w:r>
      <w:r w:rsidR="00254AC4" w:rsidRPr="00220DC8">
        <w:rPr>
          <w:lang w:val="fr-CA"/>
        </w:rPr>
        <w:t xml:space="preserve">À ce titre, il </w:t>
      </w:r>
      <w:r w:rsidR="00FD03DB" w:rsidRPr="00220DC8">
        <w:rPr>
          <w:lang w:val="fr-CA"/>
        </w:rPr>
        <w:t xml:space="preserve">affirme </w:t>
      </w:r>
      <w:r w:rsidR="00254AC4" w:rsidRPr="00220DC8">
        <w:rPr>
          <w:lang w:val="fr-CA"/>
        </w:rPr>
        <w:t>que «</w:t>
      </w:r>
      <w:r w:rsidR="00BF1864" w:rsidRPr="00220DC8">
        <w:rPr>
          <w:lang w:val="fr-CA"/>
        </w:rPr>
        <w:t> </w:t>
      </w:r>
      <w:r w:rsidR="00254AC4" w:rsidRPr="00220DC8">
        <w:rPr>
          <w:lang w:val="fr-CA"/>
        </w:rPr>
        <w:t xml:space="preserve">des mesures spécifiquement ciblées devraient être élaborées en consultation avec les communautés </w:t>
      </w:r>
      <w:r w:rsidR="00254AC4" w:rsidRPr="00220DC8">
        <w:rPr>
          <w:lang w:val="fr-CA"/>
        </w:rPr>
        <w:lastRenderedPageBreak/>
        <w:t>autochtones afin de réduire le nombre d’enfants autochtones bénéficiant d’une protection de remplacement et de prévenir la perte de leur identité culturelle</w:t>
      </w:r>
      <w:r w:rsidR="00BF1864" w:rsidRPr="00220DC8">
        <w:rPr>
          <w:lang w:val="fr-CA"/>
        </w:rPr>
        <w:t> </w:t>
      </w:r>
      <w:r w:rsidR="00254AC4" w:rsidRPr="00220DC8">
        <w:rPr>
          <w:lang w:val="fr-CA"/>
        </w:rPr>
        <w:t>»</w:t>
      </w:r>
      <w:r w:rsidR="00254AC4">
        <w:rPr>
          <w:rStyle w:val="Appelnotedebasdep"/>
        </w:rPr>
        <w:footnoteReference w:id="105"/>
      </w:r>
      <w:r w:rsidR="00254AC4" w:rsidRPr="00220DC8">
        <w:rPr>
          <w:lang w:val="fr-CA"/>
        </w:rPr>
        <w:t>.</w:t>
      </w:r>
    </w:p>
    <w:p w14:paraId="539A810A" w14:textId="035DD548" w:rsidR="001E3DB6" w:rsidRPr="00C84C0A" w:rsidRDefault="00903E76" w:rsidP="0097791A">
      <w:pPr>
        <w:pStyle w:val="Paragraphe"/>
        <w:rPr>
          <w:lang w:val="fr-CA"/>
        </w:rPr>
      </w:pPr>
      <w:r>
        <w:rPr>
          <w:lang w:val="fr-CA"/>
        </w:rPr>
        <w:t>A</w:t>
      </w:r>
      <w:r w:rsidR="00D36E18" w:rsidRPr="00C84C0A">
        <w:rPr>
          <w:lang w:val="fr-CA"/>
        </w:rPr>
        <w:t>u Canada,</w:t>
      </w:r>
      <w:r w:rsidR="001E3DB6" w:rsidRPr="00C84C0A">
        <w:rPr>
          <w:lang w:val="fr-CA"/>
        </w:rPr>
        <w:t xml:space="preserve"> le Tribunal canadien des droits de la personne a reconnu, dans une décision concernant les services à l’enfance offerts aux enfants des Premières Nations vivant dans une communauté, qu’il est nécessaire de prendre des mesures particulières en faveur des </w:t>
      </w:r>
      <w:r w:rsidR="00680666" w:rsidRPr="00C84C0A">
        <w:rPr>
          <w:lang w:val="fr-CA"/>
        </w:rPr>
        <w:t>enfa</w:t>
      </w:r>
      <w:r w:rsidR="00D52FB7" w:rsidRPr="00C84C0A">
        <w:rPr>
          <w:lang w:val="fr-CA"/>
        </w:rPr>
        <w:t>nts</w:t>
      </w:r>
      <w:r w:rsidR="001E3DB6" w:rsidRPr="00C84C0A">
        <w:rPr>
          <w:lang w:val="fr-CA"/>
        </w:rPr>
        <w:t xml:space="preserve"> autochtones</w:t>
      </w:r>
      <w:r>
        <w:rPr>
          <w:lang w:val="fr-CA"/>
        </w:rPr>
        <w:t xml:space="preserve"> </w:t>
      </w:r>
      <w:r w:rsidR="001E3DB6" w:rsidRPr="00C84C0A">
        <w:rPr>
          <w:lang w:val="fr-CA"/>
        </w:rPr>
        <w:t>afin qu’ils puissent atteindre l’égalité réelle</w:t>
      </w:r>
      <w:r w:rsidR="001E3DB6">
        <w:rPr>
          <w:rStyle w:val="Appelnotedebasdep"/>
        </w:rPr>
        <w:footnoteReference w:id="106"/>
      </w:r>
      <w:r w:rsidR="001E3DB6" w:rsidRPr="00C84C0A">
        <w:rPr>
          <w:lang w:val="fr-CA"/>
        </w:rPr>
        <w:t xml:space="preserve">. </w:t>
      </w:r>
    </w:p>
    <w:p w14:paraId="07CBCA22" w14:textId="19D8BBB7" w:rsidR="00DE32B4" w:rsidRPr="00CE7DBF" w:rsidRDefault="00B37B55" w:rsidP="00AE255A">
      <w:pPr>
        <w:pStyle w:val="Paragraphe"/>
        <w:rPr>
          <w:rFonts w:cs="Times New Roman"/>
          <w:szCs w:val="24"/>
          <w:lang w:val="fr-CA"/>
        </w:rPr>
      </w:pPr>
      <w:r w:rsidRPr="00CE7DBF">
        <w:rPr>
          <w:lang w:val="fr-CA"/>
        </w:rPr>
        <w:t>L</w:t>
      </w:r>
      <w:r w:rsidR="00475BF8" w:rsidRPr="00CE7DBF">
        <w:rPr>
          <w:lang w:val="fr-CA"/>
        </w:rPr>
        <w:t>e Rapport de la Commission Viens est catégorique</w:t>
      </w:r>
      <w:r w:rsidRPr="00CE7DBF">
        <w:rPr>
          <w:lang w:val="fr-CA"/>
        </w:rPr>
        <w:t xml:space="preserve"> </w:t>
      </w:r>
      <w:r w:rsidR="002C5618" w:rsidRPr="00CE7DBF">
        <w:rPr>
          <w:lang w:val="fr-CA"/>
        </w:rPr>
        <w:t xml:space="preserve">quant aux </w:t>
      </w:r>
      <w:r w:rsidRPr="00CE7DBF">
        <w:rPr>
          <w:lang w:val="fr-CA"/>
        </w:rPr>
        <w:t xml:space="preserve">divergences évoquées </w:t>
      </w:r>
      <w:r w:rsidR="00582CF2" w:rsidRPr="00CE7DBF">
        <w:rPr>
          <w:lang w:val="fr-CA"/>
        </w:rPr>
        <w:t xml:space="preserve">lors des témoignages </w:t>
      </w:r>
      <w:r w:rsidRPr="00CE7DBF">
        <w:rPr>
          <w:lang w:val="fr-CA"/>
        </w:rPr>
        <w:t xml:space="preserve">entre les principes de la </w:t>
      </w:r>
      <w:proofErr w:type="spellStart"/>
      <w:r w:rsidR="00C91EA5" w:rsidRPr="00CE7DBF">
        <w:rPr>
          <w:lang w:val="fr-CA"/>
        </w:rPr>
        <w:t>L</w:t>
      </w:r>
      <w:r w:rsidR="00C91EA5">
        <w:rPr>
          <w:lang w:val="fr-CA"/>
        </w:rPr>
        <w:t>.p.j</w:t>
      </w:r>
      <w:proofErr w:type="spellEnd"/>
      <w:r w:rsidR="00C91EA5">
        <w:rPr>
          <w:lang w:val="fr-CA"/>
        </w:rPr>
        <w:t>.</w:t>
      </w:r>
      <w:r w:rsidR="00C91EA5" w:rsidRPr="00CE7DBF">
        <w:rPr>
          <w:lang w:val="fr-CA"/>
        </w:rPr>
        <w:t xml:space="preserve"> </w:t>
      </w:r>
      <w:r w:rsidRPr="00CE7DBF">
        <w:rPr>
          <w:lang w:val="fr-CA"/>
        </w:rPr>
        <w:t>et les valeurs autochtones</w:t>
      </w:r>
      <w:r w:rsidR="00B22D61">
        <w:rPr>
          <w:lang w:val="fr-CA"/>
        </w:rPr>
        <w:t>, ce qui justifie</w:t>
      </w:r>
      <w:r w:rsidRPr="00CE7DBF">
        <w:rPr>
          <w:lang w:val="fr-CA"/>
        </w:rPr>
        <w:t xml:space="preserve"> </w:t>
      </w:r>
      <w:r w:rsidR="00DA2ECD">
        <w:rPr>
          <w:lang w:val="fr-CA"/>
        </w:rPr>
        <w:t xml:space="preserve">selon lui </w:t>
      </w:r>
      <w:r w:rsidRPr="00CE7DBF">
        <w:rPr>
          <w:lang w:val="fr-CA"/>
        </w:rPr>
        <w:t>l’urgence d’opter des méthodes d’intervention et de prise de décision qui assurent une sécurité culturelle</w:t>
      </w:r>
      <w:r w:rsidR="00A16A6A" w:rsidRPr="00CE7DBF">
        <w:rPr>
          <w:rStyle w:val="Appelnotedebasdep"/>
          <w:lang w:val="fr-CA"/>
        </w:rPr>
        <w:footnoteReference w:id="107"/>
      </w:r>
      <w:r w:rsidRPr="00CE7DBF">
        <w:rPr>
          <w:lang w:val="fr-CA"/>
        </w:rPr>
        <w:t xml:space="preserve">. </w:t>
      </w:r>
      <w:r w:rsidR="00F70387">
        <w:rPr>
          <w:lang w:val="fr-CA"/>
        </w:rPr>
        <w:t>L</w:t>
      </w:r>
      <w:r w:rsidR="00373D12" w:rsidRPr="00CE7DBF">
        <w:rPr>
          <w:lang w:val="fr-CA"/>
        </w:rPr>
        <w:t>e principe d’égalité réelle exige</w:t>
      </w:r>
      <w:r w:rsidR="00926250">
        <w:rPr>
          <w:lang w:val="fr-CA"/>
        </w:rPr>
        <w:t xml:space="preserve"> à son avis</w:t>
      </w:r>
      <w:r w:rsidR="00373D12" w:rsidRPr="00CE7DBF">
        <w:rPr>
          <w:lang w:val="fr-CA"/>
        </w:rPr>
        <w:t xml:space="preserve"> que l’ensemble des interventions effectuées en protection de la jeunesse, incluant l’évaluation, tiennent compte des particularités autochtones</w:t>
      </w:r>
      <w:r w:rsidR="008E11A1" w:rsidRPr="00CE7DBF">
        <w:rPr>
          <w:rStyle w:val="Appelnotedebasdep"/>
          <w:lang w:val="fr-CA"/>
        </w:rPr>
        <w:footnoteReference w:id="108"/>
      </w:r>
      <w:r w:rsidR="00373D12" w:rsidRPr="00CE7DBF">
        <w:rPr>
          <w:lang w:val="fr-CA"/>
        </w:rPr>
        <w:t>.</w:t>
      </w:r>
    </w:p>
    <w:p w14:paraId="0C3D52C0" w14:textId="007DBC4E" w:rsidR="00B27C70" w:rsidRPr="00FD79D2" w:rsidRDefault="00B27C70" w:rsidP="00AE255A">
      <w:pPr>
        <w:pStyle w:val="Paragraphe"/>
        <w:rPr>
          <w:lang w:val="fr-CA"/>
        </w:rPr>
      </w:pPr>
      <w:r w:rsidRPr="00FD79D2">
        <w:rPr>
          <w:lang w:val="fr-CA"/>
        </w:rPr>
        <w:t>Les enquêtes que la Commission a menées en milieu autochtone ou concernant des enfants autochtones l’ont menée à dénoncer à nombreuses reprises l</w:t>
      </w:r>
      <w:r w:rsidR="00BE2C34" w:rsidRPr="00FD79D2">
        <w:rPr>
          <w:lang w:val="fr-CA"/>
        </w:rPr>
        <w:t xml:space="preserve">es </w:t>
      </w:r>
      <w:r w:rsidRPr="00FD79D2">
        <w:rPr>
          <w:lang w:val="fr-CA"/>
        </w:rPr>
        <w:t>impact</w:t>
      </w:r>
      <w:r w:rsidR="0011465C" w:rsidRPr="00FD79D2">
        <w:rPr>
          <w:lang w:val="fr-CA"/>
        </w:rPr>
        <w:t>s</w:t>
      </w:r>
      <w:r w:rsidRPr="00FD79D2">
        <w:rPr>
          <w:lang w:val="fr-CA"/>
        </w:rPr>
        <w:t xml:space="preserve"> </w:t>
      </w:r>
      <w:r w:rsidR="0011465C" w:rsidRPr="00FD79D2">
        <w:rPr>
          <w:lang w:val="fr-CA"/>
        </w:rPr>
        <w:t xml:space="preserve">négatifs </w:t>
      </w:r>
      <w:r w:rsidR="00BE2C34" w:rsidRPr="00FD79D2">
        <w:rPr>
          <w:lang w:val="fr-CA"/>
        </w:rPr>
        <w:t>disproportionné</w:t>
      </w:r>
      <w:r w:rsidR="0011465C" w:rsidRPr="00FD79D2">
        <w:rPr>
          <w:lang w:val="fr-CA"/>
        </w:rPr>
        <w:t>s</w:t>
      </w:r>
      <w:r w:rsidR="00BE2C34" w:rsidRPr="00FD79D2">
        <w:rPr>
          <w:lang w:val="fr-CA"/>
        </w:rPr>
        <w:t xml:space="preserve"> </w:t>
      </w:r>
      <w:r w:rsidRPr="00FD79D2">
        <w:rPr>
          <w:lang w:val="fr-CA"/>
        </w:rPr>
        <w:t xml:space="preserve">du système de protection de la jeunesse </w:t>
      </w:r>
      <w:r w:rsidR="0011465C" w:rsidRPr="00FD79D2">
        <w:rPr>
          <w:lang w:val="fr-CA"/>
        </w:rPr>
        <w:t>sur</w:t>
      </w:r>
      <w:r w:rsidRPr="00FD79D2">
        <w:rPr>
          <w:lang w:val="fr-CA"/>
        </w:rPr>
        <w:t xml:space="preserve"> </w:t>
      </w:r>
      <w:r w:rsidR="009063EC" w:rsidRPr="00FD79D2">
        <w:rPr>
          <w:lang w:val="fr-CA"/>
        </w:rPr>
        <w:t>c</w:t>
      </w:r>
      <w:r w:rsidR="0011465C" w:rsidRPr="00FD79D2">
        <w:rPr>
          <w:lang w:val="fr-CA"/>
        </w:rPr>
        <w:t>es</w:t>
      </w:r>
      <w:r w:rsidR="009063EC" w:rsidRPr="00FD79D2">
        <w:rPr>
          <w:lang w:val="fr-CA"/>
        </w:rPr>
        <w:t xml:space="preserve"> population</w:t>
      </w:r>
      <w:r w:rsidR="0011465C" w:rsidRPr="00FD79D2">
        <w:rPr>
          <w:lang w:val="fr-CA"/>
        </w:rPr>
        <w:t>s</w:t>
      </w:r>
      <w:r w:rsidRPr="00FD79D2">
        <w:rPr>
          <w:vertAlign w:val="superscript"/>
          <w:lang w:val="fr-CA"/>
        </w:rPr>
        <w:footnoteReference w:id="109"/>
      </w:r>
      <w:r w:rsidRPr="00FD79D2">
        <w:rPr>
          <w:lang w:val="fr-CA"/>
        </w:rPr>
        <w:t>. Elle a également insisté sur</w:t>
      </w:r>
      <w:r w:rsidRPr="00FD79D2" w:rsidDel="00C73CAB">
        <w:rPr>
          <w:lang w:val="fr-CA"/>
        </w:rPr>
        <w:t xml:space="preserve"> </w:t>
      </w:r>
      <w:r w:rsidRPr="00FD79D2">
        <w:rPr>
          <w:lang w:val="fr-CA"/>
        </w:rPr>
        <w:t>l’attention particulière à accorder aux enfants autochtones étant donné leur surreprésentation dans le système de protection de la jeunesse</w:t>
      </w:r>
      <w:r w:rsidRPr="00FD79D2">
        <w:rPr>
          <w:rStyle w:val="Appelnotedebasdep"/>
          <w:rFonts w:cs="Arial"/>
          <w:lang w:val="fr-CA"/>
        </w:rPr>
        <w:footnoteReference w:id="110"/>
      </w:r>
      <w:r w:rsidRPr="00FD79D2">
        <w:rPr>
          <w:lang w:val="fr-CA"/>
        </w:rPr>
        <w:t>.</w:t>
      </w:r>
    </w:p>
    <w:p w14:paraId="279C49BF" w14:textId="044A674A" w:rsidR="00B27C70" w:rsidRPr="00FD79D2" w:rsidRDefault="00226DD9" w:rsidP="00AE255A">
      <w:pPr>
        <w:pStyle w:val="Paragraphe"/>
        <w:rPr>
          <w:lang w:val="fr-CA"/>
        </w:rPr>
      </w:pPr>
      <w:r w:rsidRPr="00FD79D2">
        <w:rPr>
          <w:lang w:val="fr-CA"/>
        </w:rPr>
        <w:t>C</w:t>
      </w:r>
      <w:r w:rsidR="00B27C70" w:rsidRPr="00FD79D2">
        <w:rPr>
          <w:lang w:val="fr-CA"/>
        </w:rPr>
        <w:t xml:space="preserve">es enquêtes ont révélé les manquements importants </w:t>
      </w:r>
      <w:r w:rsidR="00520C7A">
        <w:rPr>
          <w:lang w:val="fr-CA"/>
        </w:rPr>
        <w:t xml:space="preserve">au </w:t>
      </w:r>
      <w:r w:rsidR="00520C7A" w:rsidRPr="00FD79D2">
        <w:rPr>
          <w:lang w:val="fr-CA"/>
        </w:rPr>
        <w:t xml:space="preserve">droit des enfants autochtones à la préservation de leur identité culturelle </w:t>
      </w:r>
      <w:r w:rsidR="00B27C70" w:rsidRPr="00FD79D2">
        <w:rPr>
          <w:lang w:val="fr-CA"/>
        </w:rPr>
        <w:t xml:space="preserve">non seulement au niveau du suivi social et du maintien </w:t>
      </w:r>
      <w:r w:rsidR="00B27C70" w:rsidRPr="00FD79D2">
        <w:rPr>
          <w:lang w:val="fr-CA"/>
        </w:rPr>
        <w:lastRenderedPageBreak/>
        <w:t xml:space="preserve">des liens entre ces jeunes et leurs communautés, mais aussi </w:t>
      </w:r>
      <w:r w:rsidR="00377C20">
        <w:rPr>
          <w:lang w:val="fr-CA"/>
        </w:rPr>
        <w:t>au niveau</w:t>
      </w:r>
      <w:r w:rsidR="00B27C70" w:rsidRPr="00FD79D2" w:rsidDel="0080201F">
        <w:rPr>
          <w:lang w:val="fr-CA"/>
        </w:rPr>
        <w:t xml:space="preserve"> </w:t>
      </w:r>
      <w:r w:rsidR="00B27C70" w:rsidRPr="00FD79D2">
        <w:rPr>
          <w:lang w:val="fr-CA"/>
        </w:rPr>
        <w:t>institutionnel</w:t>
      </w:r>
      <w:r w:rsidR="00B27C70" w:rsidRPr="00FD79D2">
        <w:rPr>
          <w:rStyle w:val="Appelnotedebasdep"/>
          <w:rFonts w:cs="Arial"/>
          <w:lang w:val="fr-CA"/>
        </w:rPr>
        <w:footnoteReference w:id="111"/>
      </w:r>
      <w:r w:rsidR="00B27C70" w:rsidRPr="00FD79D2">
        <w:rPr>
          <w:lang w:val="fr-CA"/>
        </w:rPr>
        <w:t>. La Commission a émis plusieurs recommandations en lien notamment avec l’affirmation du droit des jeunes autochtones hébergés de parler leur langue, la disponibilité de services d’interprètes et de documents traduits dans leur langue, l’accès à des activités culturelles qui répondent aux besoins des jeunes et les visites régulières dans leurs communautés</w:t>
      </w:r>
      <w:r w:rsidR="00B27C70" w:rsidRPr="00FD79D2">
        <w:rPr>
          <w:rStyle w:val="Appelnotedebasdep"/>
          <w:rFonts w:cs="Arial"/>
          <w:lang w:val="fr-CA"/>
        </w:rPr>
        <w:footnoteReference w:id="112"/>
      </w:r>
      <w:r w:rsidR="00B27C70" w:rsidRPr="00FD79D2">
        <w:rPr>
          <w:lang w:val="fr-CA"/>
        </w:rPr>
        <w:t xml:space="preserve">. </w:t>
      </w:r>
      <w:r w:rsidR="0082663E" w:rsidRPr="00FD79D2">
        <w:rPr>
          <w:lang w:val="fr-CA"/>
        </w:rPr>
        <w:t>Elle</w:t>
      </w:r>
      <w:r w:rsidR="00B27C70" w:rsidRPr="00FD79D2">
        <w:rPr>
          <w:lang w:val="fr-CA"/>
        </w:rPr>
        <w:t xml:space="preserve"> a également recommandé que les services de réadaptation offerts aux jeunes autochtones soient repensés et réorganisés en respectant les principes de sécurité culturelle</w:t>
      </w:r>
      <w:r w:rsidR="00B27C70" w:rsidRPr="00FD79D2">
        <w:rPr>
          <w:rStyle w:val="Appelnotedebasdep"/>
          <w:rFonts w:cs="Arial"/>
          <w:lang w:val="fr-CA"/>
        </w:rPr>
        <w:footnoteReference w:id="113"/>
      </w:r>
      <w:r w:rsidR="00B27C70" w:rsidRPr="00FD79D2">
        <w:rPr>
          <w:lang w:val="fr-CA"/>
        </w:rPr>
        <w:t xml:space="preserve">. </w:t>
      </w:r>
    </w:p>
    <w:p w14:paraId="1710F93E" w14:textId="0AF60552" w:rsidR="00E7538A" w:rsidRDefault="00E7538A" w:rsidP="00E7538A">
      <w:pPr>
        <w:pStyle w:val="Paragraphe"/>
        <w:rPr>
          <w:rFonts w:eastAsia="Calibri" w:cs="Arial"/>
          <w:color w:val="auto"/>
          <w:lang w:val="fr-CA"/>
        </w:rPr>
      </w:pPr>
      <w:r>
        <w:rPr>
          <w:rFonts w:cs="Arial"/>
          <w:color w:val="auto"/>
          <w:lang w:val="fr-CA"/>
        </w:rPr>
        <w:t>Le</w:t>
      </w:r>
      <w:r w:rsidRPr="001A4A5B">
        <w:rPr>
          <w:rFonts w:cs="Arial"/>
          <w:color w:val="auto"/>
          <w:lang w:val="fr-CA"/>
        </w:rPr>
        <w:t xml:space="preserve"> gouvernement a</w:t>
      </w:r>
      <w:r>
        <w:rPr>
          <w:rFonts w:cs="Arial"/>
          <w:color w:val="auto"/>
          <w:lang w:val="fr-CA"/>
        </w:rPr>
        <w:t xml:space="preserve"> ainsi</w:t>
      </w:r>
      <w:r w:rsidRPr="001A4A5B">
        <w:rPr>
          <w:rFonts w:cs="Arial"/>
          <w:color w:val="auto"/>
          <w:lang w:val="fr-CA"/>
        </w:rPr>
        <w:t xml:space="preserve"> des obligations spécifiques envers les enfants</w:t>
      </w:r>
      <w:r w:rsidR="000D67EB">
        <w:rPr>
          <w:rFonts w:cs="Arial"/>
          <w:color w:val="auto"/>
          <w:lang w:val="fr-CA"/>
        </w:rPr>
        <w:t xml:space="preserve"> autochtones</w:t>
      </w:r>
      <w:r w:rsidRPr="001A4A5B">
        <w:rPr>
          <w:rFonts w:eastAsia="Calibri" w:cs="Arial"/>
          <w:color w:val="auto"/>
          <w:lang w:val="fr-CA"/>
        </w:rPr>
        <w:t xml:space="preserve">. </w:t>
      </w:r>
      <w:r w:rsidR="0015475F" w:rsidRPr="00A8472C">
        <w:rPr>
          <w:rFonts w:eastAsia="Calibri" w:cs="Arial"/>
          <w:color w:val="auto"/>
          <w:lang w:val="fr-CA"/>
        </w:rPr>
        <w:t>Il reconnaît d’ailleurs que «</w:t>
      </w:r>
      <w:r w:rsidR="00530D45">
        <w:rPr>
          <w:rFonts w:eastAsia="Calibri" w:cs="Arial"/>
          <w:color w:val="auto"/>
          <w:lang w:val="fr-CA"/>
        </w:rPr>
        <w:t> </w:t>
      </w:r>
      <w:r w:rsidR="0015475F" w:rsidRPr="004B1A29">
        <w:rPr>
          <w:rFonts w:cs="Arial"/>
          <w:color w:val="212529"/>
          <w:szCs w:val="22"/>
          <w:shd w:val="clear" w:color="auto" w:fill="FFFFFF"/>
          <w:lang w:val="fr-CA"/>
        </w:rPr>
        <w:t>la sécurité culturelle est essentielle au mieux-être des enfants autochtones</w:t>
      </w:r>
      <w:r w:rsidR="00530D45">
        <w:rPr>
          <w:rFonts w:cs="Arial"/>
          <w:color w:val="212529"/>
          <w:szCs w:val="22"/>
          <w:shd w:val="clear" w:color="auto" w:fill="FFFFFF"/>
          <w:lang w:val="fr-CA"/>
        </w:rPr>
        <w:t> </w:t>
      </w:r>
      <w:r w:rsidR="0015475F">
        <w:rPr>
          <w:rFonts w:cs="Arial"/>
          <w:color w:val="212529"/>
          <w:szCs w:val="22"/>
          <w:shd w:val="clear" w:color="auto" w:fill="FFFFFF"/>
          <w:lang w:val="fr-CA"/>
        </w:rPr>
        <w:t>»</w:t>
      </w:r>
      <w:r w:rsidR="0015475F" w:rsidRPr="004B1A29">
        <w:rPr>
          <w:rFonts w:cs="Arial"/>
          <w:color w:val="212529"/>
          <w:szCs w:val="22"/>
          <w:shd w:val="clear" w:color="auto" w:fill="FFFFFF"/>
          <w:lang w:val="fr-CA"/>
        </w:rPr>
        <w:t xml:space="preserve"> dans le préambule de la </w:t>
      </w:r>
      <w:proofErr w:type="spellStart"/>
      <w:r w:rsidR="0015475F" w:rsidRPr="004B1A29">
        <w:rPr>
          <w:rFonts w:cs="Arial"/>
          <w:color w:val="212529"/>
          <w:szCs w:val="22"/>
          <w:shd w:val="clear" w:color="auto" w:fill="FFFFFF"/>
          <w:lang w:val="fr-CA"/>
        </w:rPr>
        <w:t>L</w:t>
      </w:r>
      <w:r w:rsidR="0015475F" w:rsidRPr="00A8472C">
        <w:rPr>
          <w:rFonts w:cs="Arial"/>
          <w:color w:val="212529"/>
          <w:szCs w:val="22"/>
          <w:shd w:val="clear" w:color="auto" w:fill="FFFFFF"/>
          <w:lang w:val="fr-CA"/>
        </w:rPr>
        <w:t>.</w:t>
      </w:r>
      <w:proofErr w:type="gramStart"/>
      <w:r w:rsidR="0015475F" w:rsidRPr="00A8472C">
        <w:rPr>
          <w:rFonts w:cs="Arial"/>
          <w:color w:val="212529"/>
          <w:szCs w:val="22"/>
          <w:shd w:val="clear" w:color="auto" w:fill="FFFFFF"/>
          <w:lang w:val="fr-CA"/>
        </w:rPr>
        <w:t>p.j</w:t>
      </w:r>
      <w:proofErr w:type="spellEnd"/>
      <w:proofErr w:type="gramEnd"/>
      <w:r w:rsidR="0015475F" w:rsidRPr="00A8472C">
        <w:rPr>
          <w:rStyle w:val="Appelnotedebasdep"/>
          <w:rFonts w:cs="Arial"/>
          <w:color w:val="212529"/>
          <w:szCs w:val="22"/>
          <w:shd w:val="clear" w:color="auto" w:fill="FFFFFF"/>
          <w:lang w:val="fr-CA"/>
        </w:rPr>
        <w:footnoteReference w:id="114"/>
      </w:r>
      <w:r w:rsidR="0015475F" w:rsidRPr="00A8472C">
        <w:rPr>
          <w:rFonts w:cs="Arial"/>
          <w:color w:val="212529"/>
          <w:szCs w:val="22"/>
          <w:shd w:val="clear" w:color="auto" w:fill="FFFFFF"/>
          <w:lang w:val="fr-CA"/>
        </w:rPr>
        <w:t xml:space="preserve">. </w:t>
      </w:r>
    </w:p>
    <w:p w14:paraId="31C0712B" w14:textId="4C9D01BA" w:rsidR="001E3DB6" w:rsidRPr="00055C22" w:rsidRDefault="00783D73" w:rsidP="00E4721C">
      <w:pPr>
        <w:pStyle w:val="Titre3"/>
      </w:pPr>
      <w:bookmarkStart w:id="47" w:name="_Toc145331854"/>
      <w:r w:rsidRPr="0066180C">
        <w:t>3.</w:t>
      </w:r>
      <w:r w:rsidR="00E4721C">
        <w:t>3</w:t>
      </w:r>
      <w:r w:rsidRPr="0066180C">
        <w:t>.3</w:t>
      </w:r>
      <w:r w:rsidRPr="0066180C">
        <w:tab/>
      </w:r>
      <w:r w:rsidR="001E3DB6" w:rsidRPr="0066180C">
        <w:t xml:space="preserve">Les personnes aînées et </w:t>
      </w:r>
      <w:r w:rsidR="00941E13" w:rsidRPr="0066180C">
        <w:t>l</w:t>
      </w:r>
      <w:r w:rsidR="001E3DB6" w:rsidRPr="0066180C">
        <w:t xml:space="preserve">es personnes </w:t>
      </w:r>
      <w:r w:rsidR="00E955BD" w:rsidRPr="0066180C">
        <w:t xml:space="preserve">autochtones </w:t>
      </w:r>
      <w:r w:rsidR="001E3DB6" w:rsidRPr="0066180C">
        <w:t>en situation de handicap</w:t>
      </w:r>
      <w:bookmarkEnd w:id="47"/>
      <w:r w:rsidR="001E3DB6">
        <w:t xml:space="preserve"> </w:t>
      </w:r>
    </w:p>
    <w:p w14:paraId="00B882B2" w14:textId="1B36E45F" w:rsidR="001E3DB6" w:rsidRPr="00994451" w:rsidRDefault="001E3DB6" w:rsidP="00761A23">
      <w:pPr>
        <w:pStyle w:val="Paragraphe"/>
        <w:rPr>
          <w:rFonts w:eastAsia="Calibri"/>
          <w:lang w:val="fr-CA"/>
        </w:rPr>
      </w:pPr>
      <w:r w:rsidRPr="00994451">
        <w:rPr>
          <w:rFonts w:eastAsia="Calibri"/>
          <w:lang w:val="fr-CA"/>
        </w:rPr>
        <w:t xml:space="preserve">À partir des données et témoignages qu’elle a recueillis, la Commission Viens a jugé nécessaire d’énoncer plusieurs appels à l’action relativement aux soins de longue durée et aux soins de fin de vie, </w:t>
      </w:r>
      <w:r w:rsidR="009457C2" w:rsidRPr="00994451">
        <w:rPr>
          <w:rFonts w:eastAsia="Calibri"/>
          <w:lang w:val="fr-CA"/>
        </w:rPr>
        <w:t>lesquels</w:t>
      </w:r>
      <w:r w:rsidRPr="00994451">
        <w:rPr>
          <w:rFonts w:eastAsia="Calibri"/>
          <w:lang w:val="fr-CA"/>
        </w:rPr>
        <w:t xml:space="preserve"> concernent </w:t>
      </w:r>
      <w:r w:rsidR="0066180C">
        <w:rPr>
          <w:rFonts w:eastAsia="Calibri"/>
          <w:lang w:val="fr-CA"/>
        </w:rPr>
        <w:t>particulièrement</w:t>
      </w:r>
      <w:r w:rsidRPr="00994451">
        <w:rPr>
          <w:rFonts w:eastAsia="Calibri"/>
          <w:lang w:val="fr-CA"/>
        </w:rPr>
        <w:t xml:space="preserve"> les personnes autochtones vieillissantes. Certains des appels à l’action</w:t>
      </w:r>
      <w:r w:rsidR="007C6DFB">
        <w:rPr>
          <w:rFonts w:eastAsia="Calibri"/>
          <w:lang w:val="fr-CA"/>
        </w:rPr>
        <w:t>, dont</w:t>
      </w:r>
      <w:r w:rsidR="00A043BD">
        <w:rPr>
          <w:rFonts w:eastAsia="Calibri"/>
          <w:lang w:val="fr-CA"/>
        </w:rPr>
        <w:t xml:space="preserve"> </w:t>
      </w:r>
      <w:r w:rsidR="001666A5">
        <w:rPr>
          <w:rFonts w:eastAsia="Calibri"/>
          <w:lang w:val="fr-CA"/>
        </w:rPr>
        <w:t>les</w:t>
      </w:r>
      <w:r w:rsidRPr="00994451">
        <w:rPr>
          <w:rFonts w:eastAsia="Calibri"/>
          <w:lang w:val="fr-CA"/>
        </w:rPr>
        <w:t xml:space="preserve"> </w:t>
      </w:r>
      <w:r w:rsidR="00822C1B" w:rsidRPr="00994451">
        <w:rPr>
          <w:rFonts w:eastAsia="Calibri"/>
          <w:lang w:val="fr-CA"/>
        </w:rPr>
        <w:t>n</w:t>
      </w:r>
      <w:r w:rsidR="00822C1B" w:rsidRPr="00994451">
        <w:rPr>
          <w:rFonts w:eastAsia="Calibri"/>
          <w:vertAlign w:val="superscript"/>
          <w:lang w:val="fr-CA"/>
        </w:rPr>
        <w:t>os</w:t>
      </w:r>
      <w:r w:rsidR="001F313E">
        <w:rPr>
          <w:rFonts w:eastAsia="Calibri"/>
          <w:lang w:val="fr-CA"/>
        </w:rPr>
        <w:t> </w:t>
      </w:r>
      <w:r w:rsidR="00822C1B" w:rsidRPr="00994451">
        <w:rPr>
          <w:rFonts w:eastAsia="Calibri"/>
          <w:lang w:val="fr-CA"/>
        </w:rPr>
        <w:t>78 et 81</w:t>
      </w:r>
      <w:r w:rsidR="001666A5">
        <w:rPr>
          <w:rFonts w:eastAsia="Calibri"/>
          <w:lang w:val="fr-CA"/>
        </w:rPr>
        <w:t>,</w:t>
      </w:r>
      <w:r w:rsidR="00822C1B" w:rsidRPr="00994451">
        <w:rPr>
          <w:rFonts w:eastAsia="Calibri"/>
          <w:lang w:val="fr-CA"/>
        </w:rPr>
        <w:t xml:space="preserve"> </w:t>
      </w:r>
      <w:r w:rsidRPr="00994451">
        <w:rPr>
          <w:rFonts w:eastAsia="Calibri"/>
          <w:lang w:val="fr-CA"/>
        </w:rPr>
        <w:t>impliquent explicitement la mise en œuvre d’une approche de sécurisation culturelle</w:t>
      </w:r>
      <w:r w:rsidR="00DE2002" w:rsidRPr="00994451">
        <w:rPr>
          <w:rFonts w:eastAsia="Calibri"/>
          <w:lang w:val="fr-CA"/>
        </w:rPr>
        <w:t xml:space="preserve"> auprès de ces personnes</w:t>
      </w:r>
      <w:r w:rsidR="005411CB">
        <w:rPr>
          <w:rStyle w:val="Appelnotedebasdep"/>
          <w:rFonts w:eastAsia="Calibri"/>
          <w:lang w:val="fr-CA"/>
        </w:rPr>
        <w:footnoteReference w:id="115"/>
      </w:r>
      <w:r w:rsidR="002E13D5" w:rsidRPr="00994451">
        <w:rPr>
          <w:rFonts w:eastAsia="Calibri"/>
          <w:lang w:val="fr-CA"/>
        </w:rPr>
        <w:t xml:space="preserve">. </w:t>
      </w:r>
      <w:r w:rsidRPr="00994451">
        <w:rPr>
          <w:rFonts w:eastAsia="Calibri"/>
          <w:lang w:val="fr-CA"/>
        </w:rPr>
        <w:t xml:space="preserve">La Commission Viens a aussi formulé </w:t>
      </w:r>
      <w:r w:rsidR="00CD6FB0" w:rsidRPr="00994451">
        <w:rPr>
          <w:rFonts w:eastAsia="Calibri"/>
          <w:lang w:val="fr-CA"/>
        </w:rPr>
        <w:t>l</w:t>
      </w:r>
      <w:r w:rsidRPr="00994451">
        <w:rPr>
          <w:rFonts w:eastAsia="Calibri"/>
          <w:lang w:val="fr-CA"/>
        </w:rPr>
        <w:t xml:space="preserve">es appels à l’action </w:t>
      </w:r>
      <w:r w:rsidR="00CD6FB0" w:rsidRPr="00994451">
        <w:rPr>
          <w:rFonts w:eastAsia="Calibri"/>
          <w:lang w:val="fr-CA"/>
        </w:rPr>
        <w:t>n</w:t>
      </w:r>
      <w:r w:rsidR="00CD6FB0" w:rsidRPr="00994451">
        <w:rPr>
          <w:rFonts w:eastAsia="Calibri"/>
          <w:vertAlign w:val="superscript"/>
          <w:lang w:val="fr-CA"/>
        </w:rPr>
        <w:t>os</w:t>
      </w:r>
      <w:r w:rsidR="00CD6FB0" w:rsidRPr="00994451">
        <w:rPr>
          <w:rFonts w:eastAsia="Calibri"/>
          <w:lang w:val="fr-CA"/>
        </w:rPr>
        <w:t xml:space="preserve"> 84 et 85</w:t>
      </w:r>
      <w:r w:rsidR="002F54BC" w:rsidRPr="00994451">
        <w:rPr>
          <w:rFonts w:eastAsia="Calibri"/>
          <w:lang w:val="fr-CA"/>
        </w:rPr>
        <w:t xml:space="preserve"> </w:t>
      </w:r>
      <w:r w:rsidR="000702FC" w:rsidRPr="00994451">
        <w:rPr>
          <w:rFonts w:eastAsia="Calibri"/>
          <w:lang w:val="fr-CA"/>
        </w:rPr>
        <w:t>concernant</w:t>
      </w:r>
      <w:r w:rsidR="000E6DF1" w:rsidRPr="00994451">
        <w:rPr>
          <w:rFonts w:eastAsia="Calibri"/>
          <w:lang w:val="fr-CA"/>
        </w:rPr>
        <w:t xml:space="preserve"> </w:t>
      </w:r>
      <w:r w:rsidR="00E84EA1" w:rsidRPr="00994451">
        <w:rPr>
          <w:rFonts w:eastAsia="Calibri"/>
          <w:lang w:val="fr-CA"/>
        </w:rPr>
        <w:t xml:space="preserve">l’offre de services de </w:t>
      </w:r>
      <w:r w:rsidR="00861F33" w:rsidRPr="00994451">
        <w:rPr>
          <w:rFonts w:eastAsia="Calibri"/>
          <w:lang w:val="fr-CA"/>
        </w:rPr>
        <w:t>répit culturellement sécurisant</w:t>
      </w:r>
      <w:r w:rsidR="00530D45">
        <w:rPr>
          <w:rFonts w:eastAsia="Calibri"/>
          <w:lang w:val="fr-CA"/>
        </w:rPr>
        <w:t>s</w:t>
      </w:r>
      <w:r w:rsidR="002F54BC" w:rsidRPr="00994451">
        <w:rPr>
          <w:rFonts w:eastAsia="Calibri"/>
          <w:lang w:val="fr-CA"/>
        </w:rPr>
        <w:t xml:space="preserve"> </w:t>
      </w:r>
      <w:r w:rsidRPr="00994451">
        <w:rPr>
          <w:rFonts w:eastAsia="Calibri"/>
          <w:lang w:val="fr-CA"/>
        </w:rPr>
        <w:t>et axé</w:t>
      </w:r>
      <w:r w:rsidR="00530D45">
        <w:rPr>
          <w:rFonts w:eastAsia="Calibri"/>
          <w:lang w:val="fr-CA"/>
        </w:rPr>
        <w:t>s</w:t>
      </w:r>
      <w:r w:rsidRPr="00994451">
        <w:rPr>
          <w:rFonts w:eastAsia="Calibri"/>
          <w:lang w:val="fr-CA"/>
        </w:rPr>
        <w:t xml:space="preserve"> sur la famille</w:t>
      </w:r>
      <w:r w:rsidR="000A0F52">
        <w:rPr>
          <w:rStyle w:val="Appelnotedebasdep"/>
          <w:rFonts w:eastAsia="Calibri"/>
          <w:lang w:val="fr-CA"/>
        </w:rPr>
        <w:footnoteReference w:id="116"/>
      </w:r>
      <w:r w:rsidR="00B61E8A" w:rsidRPr="00994451">
        <w:rPr>
          <w:rFonts w:eastAsia="Calibri"/>
          <w:lang w:val="fr-CA"/>
        </w:rPr>
        <w:t>.</w:t>
      </w:r>
      <w:r w:rsidR="002F54BC" w:rsidRPr="00994451">
        <w:rPr>
          <w:rFonts w:eastAsia="Calibri"/>
          <w:lang w:val="fr-CA"/>
        </w:rPr>
        <w:t xml:space="preserve"> </w:t>
      </w:r>
    </w:p>
    <w:p w14:paraId="16A37253" w14:textId="7924C613" w:rsidR="001E3DB6" w:rsidRPr="00761A23" w:rsidRDefault="00761A23" w:rsidP="00761A23">
      <w:pPr>
        <w:pStyle w:val="Paragraphe"/>
        <w:rPr>
          <w:rFonts w:eastAsia="Calibri" w:cs="Times New Roman"/>
          <w:szCs w:val="24"/>
          <w:lang w:val="fr-CA"/>
        </w:rPr>
      </w:pPr>
      <w:r w:rsidRPr="00880978">
        <w:rPr>
          <w:rFonts w:eastAsia="Calibri"/>
          <w:lang w:val="fr-CA"/>
        </w:rPr>
        <w:t>En effet, e</w:t>
      </w:r>
      <w:r w:rsidR="001E3DB6" w:rsidRPr="00880978">
        <w:rPr>
          <w:rFonts w:eastAsia="Calibri"/>
          <w:lang w:val="fr-CA"/>
        </w:rPr>
        <w:t xml:space="preserve">n l’absence de sécurisation culturelle, les facteurs de risque susceptibles de placer les personnes autochtones aînées et à besoins particuliers en situation de vulnérabilité pourraient être exacerbés. </w:t>
      </w:r>
      <w:r w:rsidR="001E3DB6" w:rsidRPr="00761A23">
        <w:rPr>
          <w:rFonts w:eastAsia="Calibri"/>
          <w:lang w:val="fr-CA"/>
        </w:rPr>
        <w:t xml:space="preserve">Une telle absence pourrait même, dans certaines circonstances, </w:t>
      </w:r>
      <w:r w:rsidR="001E3DB6" w:rsidRPr="00761A23">
        <w:rPr>
          <w:rFonts w:eastAsia="Calibri"/>
          <w:lang w:val="fr-CA"/>
        </w:rPr>
        <w:lastRenderedPageBreak/>
        <w:t>conduire à des situations de maltraitance</w:t>
      </w:r>
      <w:r w:rsidR="001E3DB6" w:rsidRPr="001A4A5B">
        <w:rPr>
          <w:rStyle w:val="Appelnotedebasdep"/>
          <w:rFonts w:cs="Arial"/>
          <w:szCs w:val="22"/>
          <w:shd w:val="clear" w:color="auto" w:fill="FFFFFF"/>
        </w:rPr>
        <w:footnoteReference w:id="117"/>
      </w:r>
      <w:r w:rsidR="001E3DB6" w:rsidRPr="00761A23">
        <w:rPr>
          <w:rFonts w:cs="Arial"/>
          <w:szCs w:val="22"/>
          <w:shd w:val="clear" w:color="auto" w:fill="FFFFFF"/>
          <w:lang w:val="fr-CA"/>
        </w:rPr>
        <w:t>, ou encore exposer ces personnes à l’exploitation</w:t>
      </w:r>
      <w:r w:rsidR="001E3DB6" w:rsidRPr="001A4A5B">
        <w:rPr>
          <w:rStyle w:val="Appelnotedebasdep"/>
          <w:rFonts w:cs="Arial"/>
          <w:szCs w:val="22"/>
          <w:shd w:val="clear" w:color="auto" w:fill="FFFFFF"/>
        </w:rPr>
        <w:footnoteReference w:id="118"/>
      </w:r>
      <w:r w:rsidR="001E3DB6" w:rsidRPr="00761A23">
        <w:rPr>
          <w:rFonts w:cs="Arial"/>
          <w:szCs w:val="22"/>
          <w:shd w:val="clear" w:color="auto" w:fill="FFFFFF"/>
          <w:lang w:val="fr-CA"/>
        </w:rPr>
        <w:t>.</w:t>
      </w:r>
    </w:p>
    <w:p w14:paraId="1D87AA0F" w14:textId="30B159CD" w:rsidR="001E3DB6" w:rsidRPr="0056582B" w:rsidRDefault="001E3DB6" w:rsidP="00545AD8">
      <w:pPr>
        <w:pStyle w:val="Paragraphe"/>
        <w:rPr>
          <w:color w:val="auto"/>
          <w:lang w:val="fr-CA"/>
        </w:rPr>
      </w:pPr>
      <w:r w:rsidRPr="0056582B">
        <w:rPr>
          <w:rFonts w:eastAsia="Calibri"/>
          <w:color w:val="auto"/>
          <w:lang w:val="fr-CA"/>
        </w:rPr>
        <w:t xml:space="preserve">Notons que le </w:t>
      </w:r>
      <w:r w:rsidRPr="0056582B">
        <w:rPr>
          <w:rFonts w:cs="Arial"/>
          <w:color w:val="auto"/>
          <w:lang w:val="fr-CA"/>
        </w:rPr>
        <w:t>Plan d’action gouvernemental pour contrer la maltraitance envers les personnes aînées</w:t>
      </w:r>
      <w:r w:rsidR="001F313E">
        <w:rPr>
          <w:rFonts w:cs="Arial"/>
          <w:color w:val="auto"/>
          <w:lang w:val="fr-CA"/>
        </w:rPr>
        <w:t> </w:t>
      </w:r>
      <w:r w:rsidRPr="0056582B">
        <w:rPr>
          <w:rFonts w:cs="Arial"/>
          <w:color w:val="auto"/>
          <w:lang w:val="fr-CA"/>
        </w:rPr>
        <w:t>2022-2027</w:t>
      </w:r>
      <w:r w:rsidRPr="0056582B">
        <w:rPr>
          <w:rFonts w:eastAsia="Calibri"/>
          <w:color w:val="auto"/>
          <w:lang w:val="fr-CA"/>
        </w:rPr>
        <w:t xml:space="preserve"> dresse le constat que peu de données existent sur la maltraitance envers les personnes autochtones vivant au Québec</w:t>
      </w:r>
      <w:r w:rsidRPr="001A4A5B">
        <w:rPr>
          <w:rStyle w:val="Appelnotedebasdep"/>
          <w:rFonts w:eastAsia="Calibri"/>
          <w:color w:val="auto"/>
        </w:rPr>
        <w:footnoteReference w:id="119"/>
      </w:r>
      <w:r w:rsidRPr="0056582B">
        <w:rPr>
          <w:rFonts w:eastAsia="Calibri"/>
          <w:color w:val="auto"/>
          <w:lang w:val="fr-CA"/>
        </w:rPr>
        <w:t xml:space="preserve">. Il identifie cependant certains facteurs de risque pour ces personnes à partir de recherches menées ailleurs, dont certains qui pourraient être atténués par la sécurisation culturelle, </w:t>
      </w:r>
      <w:r w:rsidR="00675BC8">
        <w:rPr>
          <w:rFonts w:eastAsia="Calibri"/>
          <w:color w:val="auto"/>
          <w:lang w:val="fr-CA"/>
        </w:rPr>
        <w:t>notamment</w:t>
      </w:r>
      <w:r w:rsidRPr="0056582B">
        <w:rPr>
          <w:rFonts w:eastAsia="Calibri"/>
          <w:color w:val="auto"/>
          <w:lang w:val="fr-CA"/>
        </w:rPr>
        <w:t xml:space="preserve"> «</w:t>
      </w:r>
      <w:r w:rsidR="00BF1864">
        <w:rPr>
          <w:rFonts w:eastAsia="Calibri"/>
          <w:color w:val="auto"/>
          <w:lang w:val="fr-CA"/>
        </w:rPr>
        <w:t> </w:t>
      </w:r>
      <w:r w:rsidRPr="0056582B">
        <w:rPr>
          <w:rFonts w:eastAsia="Calibri"/>
          <w:color w:val="auto"/>
          <w:lang w:val="fr-CA"/>
        </w:rPr>
        <w:t>q</w:t>
      </w:r>
      <w:r w:rsidRPr="0056582B">
        <w:rPr>
          <w:color w:val="auto"/>
          <w:lang w:val="fr-CA"/>
        </w:rPr>
        <w:t>uotidien dans une société véhiculant des stéréotypes négatifs, dont le racisme et l’âgisme, envers les peuples autochtones</w:t>
      </w:r>
      <w:r w:rsidR="00BF1864">
        <w:rPr>
          <w:color w:val="auto"/>
          <w:lang w:val="fr-CA"/>
        </w:rPr>
        <w:t> </w:t>
      </w:r>
      <w:r w:rsidRPr="0056582B">
        <w:rPr>
          <w:color w:val="auto"/>
          <w:lang w:val="fr-CA"/>
        </w:rPr>
        <w:t>» et un «</w:t>
      </w:r>
      <w:r w:rsidR="00BF1864">
        <w:rPr>
          <w:color w:val="auto"/>
          <w:lang w:val="fr-CA"/>
        </w:rPr>
        <w:t> </w:t>
      </w:r>
      <w:r w:rsidRPr="0056582B">
        <w:rPr>
          <w:color w:val="auto"/>
          <w:lang w:val="fr-CA"/>
        </w:rPr>
        <w:t>manque de soins de santé et de services sociaux spécifiquement réservés aux personnes aînées</w:t>
      </w:r>
      <w:r w:rsidR="00BF1864">
        <w:rPr>
          <w:color w:val="auto"/>
          <w:lang w:val="fr-CA"/>
        </w:rPr>
        <w:t> </w:t>
      </w:r>
      <w:r w:rsidRPr="0056582B">
        <w:rPr>
          <w:color w:val="auto"/>
          <w:lang w:val="fr-CA"/>
        </w:rPr>
        <w:t>»</w:t>
      </w:r>
      <w:r w:rsidRPr="001A4A5B">
        <w:rPr>
          <w:rStyle w:val="Appelnotedebasdep"/>
          <w:color w:val="auto"/>
        </w:rPr>
        <w:footnoteReference w:id="120"/>
      </w:r>
      <w:r w:rsidRPr="0056582B">
        <w:rPr>
          <w:color w:val="auto"/>
          <w:lang w:val="fr-CA"/>
        </w:rPr>
        <w:t>.</w:t>
      </w:r>
    </w:p>
    <w:p w14:paraId="05447FA9" w14:textId="211AC5A0" w:rsidR="001E3DB6" w:rsidRDefault="001E3DB6" w:rsidP="001A4A5B">
      <w:pPr>
        <w:pStyle w:val="Paragraphe"/>
        <w:rPr>
          <w:color w:val="auto"/>
          <w:lang w:val="fr-CA"/>
        </w:rPr>
      </w:pPr>
      <w:r w:rsidRPr="0056582B">
        <w:rPr>
          <w:rFonts w:cs="Arial"/>
          <w:color w:val="auto"/>
          <w:lang w:val="fr-CA"/>
        </w:rPr>
        <w:t xml:space="preserve">Dans ses orientations </w:t>
      </w:r>
      <w:r w:rsidRPr="00B8333F">
        <w:rPr>
          <w:lang w:val="fr-CA"/>
        </w:rPr>
        <w:t>en matière de protection</w:t>
      </w:r>
      <w:r w:rsidRPr="0056582B">
        <w:rPr>
          <w:rFonts w:cs="Arial"/>
          <w:color w:val="auto"/>
          <w:lang w:val="fr-CA"/>
        </w:rPr>
        <w:t xml:space="preserve"> contre l’exploitation des personnes âgées et des personnes handicapées, la Commission insiste notamment sur </w:t>
      </w:r>
      <w:r w:rsidRPr="0056582B">
        <w:rPr>
          <w:color w:val="auto"/>
          <w:lang w:val="fr-CA"/>
        </w:rPr>
        <w:t xml:space="preserve">l’importance de mettre en place des garanties et des conditions de vie susceptibles </w:t>
      </w:r>
      <w:r w:rsidR="00675BC8">
        <w:rPr>
          <w:color w:val="auto"/>
          <w:lang w:val="fr-CA"/>
        </w:rPr>
        <w:t>favorisant</w:t>
      </w:r>
      <w:r w:rsidRPr="0056582B">
        <w:rPr>
          <w:color w:val="auto"/>
          <w:lang w:val="fr-CA"/>
        </w:rPr>
        <w:t xml:space="preserve"> le respect de tous leurs droits</w:t>
      </w:r>
      <w:r w:rsidRPr="001A4A5B">
        <w:rPr>
          <w:rStyle w:val="Appelnotedebasdep"/>
          <w:color w:val="auto"/>
        </w:rPr>
        <w:footnoteReference w:id="121"/>
      </w:r>
      <w:r w:rsidRPr="0056582B">
        <w:rPr>
          <w:color w:val="auto"/>
          <w:lang w:val="fr-CA"/>
        </w:rPr>
        <w:t xml:space="preserve">. La sécurisation culturelle participe </w:t>
      </w:r>
      <w:r w:rsidR="0026455E">
        <w:rPr>
          <w:color w:val="auto"/>
          <w:lang w:val="fr-CA"/>
        </w:rPr>
        <w:t xml:space="preserve">à </w:t>
      </w:r>
      <w:r w:rsidRPr="0056582B">
        <w:rPr>
          <w:color w:val="auto"/>
          <w:lang w:val="fr-CA"/>
        </w:rPr>
        <w:t>de telles garanties susceptibles d’aider à prévenir des situations de vulnérabilité pouvant exposer à l’exploitation. Par conséquent, la Commission est d’avis que la spécificité de l’application de l’approche de sécurisation culturelle aux personnes aînées autochtones ainsi qu</w:t>
      </w:r>
      <w:r w:rsidR="005561F6">
        <w:rPr>
          <w:color w:val="auto"/>
          <w:lang w:val="fr-CA"/>
        </w:rPr>
        <w:t>’aux personnes</w:t>
      </w:r>
      <w:r w:rsidRPr="0056582B">
        <w:rPr>
          <w:color w:val="auto"/>
          <w:lang w:val="fr-CA"/>
        </w:rPr>
        <w:t xml:space="preserve"> en situation de handicap</w:t>
      </w:r>
      <w:r w:rsidR="006063EA">
        <w:rPr>
          <w:color w:val="auto"/>
          <w:lang w:val="fr-CA"/>
        </w:rPr>
        <w:t xml:space="preserve"> devrait être pris</w:t>
      </w:r>
      <w:r w:rsidR="0029200B">
        <w:rPr>
          <w:color w:val="auto"/>
          <w:lang w:val="fr-CA"/>
        </w:rPr>
        <w:t>e</w:t>
      </w:r>
      <w:r w:rsidR="006063EA">
        <w:rPr>
          <w:color w:val="auto"/>
          <w:lang w:val="fr-CA"/>
        </w:rPr>
        <w:t xml:space="preserve"> en compte par les établissem</w:t>
      </w:r>
      <w:r w:rsidR="00312AF6">
        <w:rPr>
          <w:color w:val="auto"/>
          <w:lang w:val="fr-CA"/>
        </w:rPr>
        <w:t>ents</w:t>
      </w:r>
      <w:r w:rsidRPr="0056582B">
        <w:rPr>
          <w:color w:val="auto"/>
          <w:lang w:val="fr-CA"/>
        </w:rPr>
        <w:t>.</w:t>
      </w:r>
    </w:p>
    <w:p w14:paraId="4E8359D3" w14:textId="59F70586" w:rsidR="00F55366" w:rsidRPr="0033211D" w:rsidRDefault="005561F6" w:rsidP="0097791A">
      <w:pPr>
        <w:pStyle w:val="Paragraphe"/>
        <w:rPr>
          <w:rFonts w:eastAsia="Calibri" w:cs="Arial"/>
          <w:lang w:val="fr-CA"/>
        </w:rPr>
      </w:pPr>
      <w:r>
        <w:rPr>
          <w:lang w:val="fr-CA"/>
        </w:rPr>
        <w:t>Outre les situations particulières évoquées dans les sections ci-dessus, l</w:t>
      </w:r>
      <w:r w:rsidR="002242FA" w:rsidRPr="00EC2C28">
        <w:rPr>
          <w:lang w:val="fr-CA"/>
        </w:rPr>
        <w:t xml:space="preserve">’adoption d’une approche de sécurisation culturelle </w:t>
      </w:r>
      <w:r w:rsidR="00F10491" w:rsidRPr="00EC2C28">
        <w:rPr>
          <w:lang w:val="fr-CA"/>
        </w:rPr>
        <w:t xml:space="preserve">devrait </w:t>
      </w:r>
      <w:r w:rsidR="008B352F" w:rsidRPr="00EC2C28">
        <w:rPr>
          <w:lang w:val="fr-CA"/>
        </w:rPr>
        <w:t xml:space="preserve">par ailleurs </w:t>
      </w:r>
      <w:r w:rsidR="00A4118C" w:rsidRPr="00EC2C28">
        <w:rPr>
          <w:lang w:val="fr-CA"/>
        </w:rPr>
        <w:t xml:space="preserve">mener </w:t>
      </w:r>
      <w:r w:rsidR="008074A1" w:rsidRPr="00EC2C28">
        <w:rPr>
          <w:lang w:val="fr-CA"/>
        </w:rPr>
        <w:t xml:space="preserve">à la prise en compte </w:t>
      </w:r>
      <w:r w:rsidR="003048C7" w:rsidRPr="00EC2C28">
        <w:rPr>
          <w:lang w:val="fr-CA"/>
        </w:rPr>
        <w:t>des besoins spécifiques à d’autres</w:t>
      </w:r>
      <w:r w:rsidR="002D4328" w:rsidRPr="00EC2C28">
        <w:rPr>
          <w:lang w:val="fr-CA"/>
        </w:rPr>
        <w:t xml:space="preserve"> catégories de </w:t>
      </w:r>
      <w:r w:rsidR="00882B30" w:rsidRPr="00EC2C28">
        <w:rPr>
          <w:lang w:val="fr-CA"/>
        </w:rPr>
        <w:t xml:space="preserve">la </w:t>
      </w:r>
      <w:r w:rsidR="002D4328" w:rsidRPr="00EC2C28">
        <w:rPr>
          <w:lang w:val="fr-CA"/>
        </w:rPr>
        <w:t>population</w:t>
      </w:r>
      <w:r w:rsidR="00882B30" w:rsidRPr="00EC2C28">
        <w:rPr>
          <w:lang w:val="fr-CA"/>
        </w:rPr>
        <w:t xml:space="preserve"> autochtone</w:t>
      </w:r>
      <w:r w:rsidR="00473F74" w:rsidRPr="00EC2C28">
        <w:rPr>
          <w:lang w:val="fr-CA"/>
        </w:rPr>
        <w:t xml:space="preserve">. </w:t>
      </w:r>
      <w:r w:rsidR="00473F74" w:rsidRPr="00C84C0A">
        <w:rPr>
          <w:lang w:val="fr-CA"/>
        </w:rPr>
        <w:t xml:space="preserve">Pensons, par </w:t>
      </w:r>
      <w:r w:rsidR="002156A8" w:rsidRPr="00C84C0A">
        <w:rPr>
          <w:lang w:val="fr-CA"/>
        </w:rPr>
        <w:t>exemple</w:t>
      </w:r>
      <w:r w:rsidR="0037113C" w:rsidRPr="00C84C0A">
        <w:rPr>
          <w:lang w:val="fr-CA"/>
        </w:rPr>
        <w:t>,</w:t>
      </w:r>
      <w:r w:rsidR="00473F74" w:rsidRPr="00C84C0A">
        <w:rPr>
          <w:lang w:val="fr-CA"/>
        </w:rPr>
        <w:t xml:space="preserve"> à celles </w:t>
      </w:r>
      <w:r w:rsidR="00CC351B" w:rsidRPr="00C84C0A">
        <w:rPr>
          <w:lang w:val="fr-CA"/>
        </w:rPr>
        <w:t xml:space="preserve">qui </w:t>
      </w:r>
      <w:r w:rsidR="00AE58E0" w:rsidRPr="00C84C0A">
        <w:rPr>
          <w:lang w:val="fr-CA"/>
        </w:rPr>
        <w:t xml:space="preserve">se trouvent en milieu </w:t>
      </w:r>
      <w:r w:rsidR="007D6394" w:rsidRPr="00C84C0A">
        <w:rPr>
          <w:lang w:val="fr-CA"/>
        </w:rPr>
        <w:t>carcéral</w:t>
      </w:r>
      <w:r w:rsidR="00E607CD">
        <w:rPr>
          <w:rStyle w:val="Appelnotedebasdep"/>
        </w:rPr>
        <w:footnoteReference w:id="122"/>
      </w:r>
      <w:r w:rsidR="00E607CD" w:rsidRPr="00C84C0A">
        <w:rPr>
          <w:lang w:val="fr-CA"/>
        </w:rPr>
        <w:t>.</w:t>
      </w:r>
      <w:r w:rsidR="00882B30" w:rsidRPr="00C84C0A">
        <w:rPr>
          <w:lang w:val="fr-CA"/>
        </w:rPr>
        <w:t xml:space="preserve"> </w:t>
      </w:r>
      <w:r w:rsidR="006436BC" w:rsidRPr="00CC4004">
        <w:rPr>
          <w:rFonts w:eastAsia="Calibri"/>
          <w:lang w:val="fr-CA"/>
        </w:rPr>
        <w:t xml:space="preserve">Il est aussi de plus en plus reconnu que les inégalités de </w:t>
      </w:r>
      <w:r w:rsidR="006436BC" w:rsidRPr="00CC4004">
        <w:rPr>
          <w:rFonts w:eastAsia="Calibri"/>
          <w:lang w:val="fr-CA"/>
        </w:rPr>
        <w:lastRenderedPageBreak/>
        <w:t>santé affectent de façon particulière les personnes</w:t>
      </w:r>
      <w:r w:rsidR="00A64E2D">
        <w:rPr>
          <w:rFonts w:eastAsia="Calibri"/>
          <w:lang w:val="fr-CA"/>
        </w:rPr>
        <w:t> </w:t>
      </w:r>
      <w:r w:rsidR="006436BC" w:rsidRPr="00CC4004">
        <w:rPr>
          <w:lang w:val="fr-CA"/>
        </w:rPr>
        <w:t>2ELGBTQQIA</w:t>
      </w:r>
      <w:r w:rsidR="006436BC" w:rsidRPr="00CC4004">
        <w:rPr>
          <w:vertAlign w:val="superscript"/>
        </w:rPr>
        <w:footnoteReference w:id="123"/>
      </w:r>
      <w:r w:rsidR="006436BC" w:rsidRPr="00CC4004">
        <w:rPr>
          <w:lang w:val="fr-CA"/>
        </w:rPr>
        <w:t xml:space="preserve"> en raison de leur exposition à des formes intersectionnelles d’opp</w:t>
      </w:r>
      <w:r w:rsidR="006436BC" w:rsidRPr="00CC4004">
        <w:rPr>
          <w:rFonts w:cs="Arial"/>
          <w:color w:val="212529"/>
          <w:shd w:val="clear" w:color="auto" w:fill="FFFFFF"/>
          <w:lang w:val="fr-CA"/>
        </w:rPr>
        <w:t>ression et de discrimination</w:t>
      </w:r>
      <w:r w:rsidR="006436BC" w:rsidRPr="00CC4004">
        <w:rPr>
          <w:rStyle w:val="Appelnotedebasdep"/>
          <w:rFonts w:cs="Arial"/>
          <w:color w:val="212529"/>
          <w:shd w:val="clear" w:color="auto" w:fill="FFFFFF"/>
          <w:lang w:val="fr-CA"/>
        </w:rPr>
        <w:footnoteReference w:id="124"/>
      </w:r>
      <w:r w:rsidR="006436BC" w:rsidRPr="00CC4004">
        <w:rPr>
          <w:rFonts w:cs="Arial"/>
          <w:color w:val="212529"/>
          <w:shd w:val="clear" w:color="auto" w:fill="FFFFFF"/>
          <w:lang w:val="fr-CA"/>
        </w:rPr>
        <w:t>.</w:t>
      </w:r>
      <w:r w:rsidR="006436BC" w:rsidRPr="00CC4004">
        <w:rPr>
          <w:rFonts w:eastAsia="Calibri" w:cs="Arial"/>
          <w:lang w:val="fr-CA"/>
        </w:rPr>
        <w:t xml:space="preserve"> La prise en compte des besoins spécifiques de ces personnes est aussi essentielle à une offre de services culturellement sécuritaire.</w:t>
      </w:r>
    </w:p>
    <w:p w14:paraId="35D3B801" w14:textId="77777777" w:rsidR="003712E9" w:rsidRPr="004D2054" w:rsidRDefault="003712E9" w:rsidP="003712E9">
      <w:pPr>
        <w:pStyle w:val="Paragraphe"/>
        <w:rPr>
          <w:lang w:val="fr-CA"/>
        </w:rPr>
      </w:pPr>
      <w:r w:rsidRPr="00CC4004">
        <w:rPr>
          <w:lang w:val="fr-CA"/>
        </w:rPr>
        <w:t>Ces catégories ne sont évidemment pas mutuellement exclusives et il importe de prendre en compte les réalités de personnes qui peuvent être situées à l’intersection de plusieurs axes d’oppression.</w:t>
      </w:r>
    </w:p>
    <w:p w14:paraId="14500BF6" w14:textId="55924F1A" w:rsidR="001E3DB6" w:rsidRPr="001308D8" w:rsidRDefault="001E3DB6" w:rsidP="001578CF">
      <w:pPr>
        <w:pStyle w:val="TitreRecommandation"/>
      </w:pPr>
      <w:r w:rsidRPr="001308D8">
        <w:t>RECOMMANDATION</w:t>
      </w:r>
      <w:r w:rsidR="001F313E">
        <w:t> </w:t>
      </w:r>
      <w:r w:rsidR="000228E5">
        <w:t>8</w:t>
      </w:r>
    </w:p>
    <w:p w14:paraId="61514118" w14:textId="07E16FBE" w:rsidR="00746164" w:rsidRDefault="001E3DB6" w:rsidP="00C15CE5">
      <w:pPr>
        <w:pStyle w:val="Paragraphe"/>
        <w:spacing w:before="120" w:after="120" w:line="240" w:lineRule="auto"/>
        <w:ind w:left="709"/>
        <w:rPr>
          <w:b/>
          <w:bCs/>
          <w:lang w:val="fr-CA"/>
        </w:rPr>
      </w:pPr>
      <w:bookmarkStart w:id="48" w:name="_Hlk145324401"/>
      <w:bookmarkStart w:id="49" w:name="_Hlk145173896"/>
      <w:r w:rsidRPr="00375E16">
        <w:rPr>
          <w:b/>
          <w:bCs/>
          <w:lang w:val="fr-CA"/>
        </w:rPr>
        <w:t>La Commission recommande de modifier l</w:t>
      </w:r>
      <w:r w:rsidR="00E55F5F" w:rsidRPr="00375E16">
        <w:rPr>
          <w:b/>
          <w:bCs/>
          <w:lang w:val="fr-CA"/>
        </w:rPr>
        <w:t>e deuxième alinéa de l</w:t>
      </w:r>
      <w:r w:rsidRPr="00375E16">
        <w:rPr>
          <w:b/>
          <w:bCs/>
          <w:lang w:val="fr-CA"/>
        </w:rPr>
        <w:t>’article</w:t>
      </w:r>
      <w:r w:rsidR="001F313E">
        <w:rPr>
          <w:b/>
          <w:bCs/>
          <w:lang w:val="fr-CA"/>
        </w:rPr>
        <w:t> </w:t>
      </w:r>
      <w:r w:rsidRPr="00375E16">
        <w:rPr>
          <w:b/>
          <w:bCs/>
          <w:lang w:val="fr-CA"/>
        </w:rPr>
        <w:t>1</w:t>
      </w:r>
      <w:r w:rsidR="002F6363" w:rsidRPr="00375E16">
        <w:rPr>
          <w:b/>
          <w:bCs/>
          <w:lang w:val="fr-CA"/>
        </w:rPr>
        <w:t xml:space="preserve"> </w:t>
      </w:r>
      <w:r w:rsidRPr="00375E16">
        <w:rPr>
          <w:b/>
          <w:bCs/>
          <w:lang w:val="fr-CA"/>
        </w:rPr>
        <w:t>du projet de loi afin</w:t>
      </w:r>
      <w:r w:rsidR="00EB5603">
        <w:rPr>
          <w:b/>
          <w:bCs/>
          <w:lang w:val="fr-CA"/>
        </w:rPr>
        <w:t xml:space="preserve"> que</w:t>
      </w:r>
      <w:r w:rsidRPr="00375E16">
        <w:rPr>
          <w:b/>
          <w:bCs/>
          <w:lang w:val="fr-CA"/>
        </w:rPr>
        <w:t xml:space="preserve"> </w:t>
      </w:r>
      <w:r w:rsidR="00047C78" w:rsidRPr="00375E16">
        <w:rPr>
          <w:b/>
          <w:bCs/>
          <w:lang w:val="fr-CA"/>
        </w:rPr>
        <w:t>les établisse</w:t>
      </w:r>
      <w:r w:rsidR="0082122D" w:rsidRPr="00375E16">
        <w:rPr>
          <w:b/>
          <w:bCs/>
          <w:lang w:val="fr-CA"/>
        </w:rPr>
        <w:t>ment</w:t>
      </w:r>
      <w:r w:rsidR="00882689" w:rsidRPr="00375E16">
        <w:rPr>
          <w:b/>
          <w:bCs/>
          <w:lang w:val="fr-CA"/>
        </w:rPr>
        <w:t>s</w:t>
      </w:r>
      <w:r w:rsidR="0082122D" w:rsidRPr="00375E16">
        <w:rPr>
          <w:b/>
          <w:bCs/>
          <w:lang w:val="fr-CA"/>
        </w:rPr>
        <w:t xml:space="preserve"> </w:t>
      </w:r>
      <w:r w:rsidR="00E638F3" w:rsidRPr="00375E16">
        <w:rPr>
          <w:b/>
          <w:bCs/>
          <w:lang w:val="fr-CA"/>
        </w:rPr>
        <w:t>visé</w:t>
      </w:r>
      <w:r w:rsidR="00882689" w:rsidRPr="00375E16">
        <w:rPr>
          <w:b/>
          <w:bCs/>
          <w:lang w:val="fr-CA"/>
        </w:rPr>
        <w:t xml:space="preserve">s soient tenus </w:t>
      </w:r>
      <w:r w:rsidR="00031540" w:rsidRPr="00375E16">
        <w:rPr>
          <w:b/>
          <w:bCs/>
          <w:lang w:val="fr-CA"/>
        </w:rPr>
        <w:t>d’a</w:t>
      </w:r>
      <w:r w:rsidR="00D04870" w:rsidRPr="00375E16">
        <w:rPr>
          <w:b/>
          <w:bCs/>
          <w:lang w:val="fr-CA"/>
        </w:rPr>
        <w:t xml:space="preserve">dopter des pratiques sécurisantes </w:t>
      </w:r>
      <w:r w:rsidR="009464A8" w:rsidRPr="00375E16">
        <w:rPr>
          <w:b/>
          <w:bCs/>
          <w:lang w:val="fr-CA"/>
        </w:rPr>
        <w:t>qui tiennent</w:t>
      </w:r>
      <w:r w:rsidR="009464A8" w:rsidRPr="00375E16">
        <w:rPr>
          <w:rFonts w:eastAsia="Calibri"/>
          <w:b/>
          <w:lang w:val="fr-CA"/>
        </w:rPr>
        <w:t xml:space="preserve"> </w:t>
      </w:r>
      <w:r w:rsidR="00746164" w:rsidRPr="00375E16">
        <w:rPr>
          <w:rFonts w:eastAsia="Calibri"/>
          <w:b/>
          <w:bCs/>
          <w:color w:val="auto"/>
          <w:lang w:val="fr-CA"/>
        </w:rPr>
        <w:t>compte de</w:t>
      </w:r>
      <w:r w:rsidR="00746164" w:rsidRPr="00375E16">
        <w:rPr>
          <w:rFonts w:eastAsia="Calibri"/>
          <w:b/>
          <w:bCs/>
          <w:lang w:val="fr-CA"/>
        </w:rPr>
        <w:t>s</w:t>
      </w:r>
      <w:r w:rsidR="00746164" w:rsidRPr="00375E16">
        <w:rPr>
          <w:rFonts w:eastAsia="Calibri"/>
          <w:b/>
          <w:bCs/>
          <w:color w:val="auto"/>
          <w:lang w:val="fr-CA"/>
        </w:rPr>
        <w:t xml:space="preserve"> réalités et besoins</w:t>
      </w:r>
      <w:r w:rsidR="00746164" w:rsidRPr="00375E16">
        <w:rPr>
          <w:b/>
          <w:bCs/>
          <w:lang w:val="fr-CA"/>
        </w:rPr>
        <w:t xml:space="preserve"> spécifique</w:t>
      </w:r>
      <w:r w:rsidR="00882689" w:rsidRPr="00375E16">
        <w:rPr>
          <w:b/>
          <w:bCs/>
          <w:lang w:val="fr-CA"/>
        </w:rPr>
        <w:t>s</w:t>
      </w:r>
      <w:r w:rsidR="00746164" w:rsidRPr="00375E16">
        <w:rPr>
          <w:b/>
          <w:bCs/>
          <w:lang w:val="fr-CA"/>
        </w:rPr>
        <w:t xml:space="preserve"> de la personne autochtone qui reçoit </w:t>
      </w:r>
      <w:r w:rsidR="00C75338">
        <w:rPr>
          <w:b/>
          <w:bCs/>
          <w:lang w:val="fr-CA"/>
        </w:rPr>
        <w:t>des services</w:t>
      </w:r>
      <w:r w:rsidR="00746164" w:rsidRPr="00375E16">
        <w:rPr>
          <w:b/>
          <w:bCs/>
          <w:lang w:val="fr-CA"/>
        </w:rPr>
        <w:t xml:space="preserve"> de santé ou </w:t>
      </w:r>
      <w:r w:rsidR="00F24A24">
        <w:rPr>
          <w:b/>
          <w:bCs/>
          <w:lang w:val="fr-CA"/>
        </w:rPr>
        <w:t>des servi</w:t>
      </w:r>
      <w:r w:rsidR="00211D77">
        <w:rPr>
          <w:b/>
          <w:bCs/>
          <w:lang w:val="fr-CA"/>
        </w:rPr>
        <w:t>ces sociaux</w:t>
      </w:r>
      <w:r w:rsidR="00746164" w:rsidRPr="00375E16">
        <w:rPr>
          <w:b/>
          <w:bCs/>
          <w:lang w:val="fr-CA"/>
        </w:rPr>
        <w:t>.</w:t>
      </w:r>
      <w:r w:rsidR="00746164" w:rsidRPr="00047C78">
        <w:rPr>
          <w:b/>
          <w:bCs/>
          <w:lang w:val="fr-CA"/>
        </w:rPr>
        <w:t xml:space="preserve"> </w:t>
      </w:r>
      <w:bookmarkEnd w:id="48"/>
    </w:p>
    <w:p w14:paraId="3A0EACB6" w14:textId="77777777" w:rsidR="0030235C" w:rsidRPr="00CC4004" w:rsidRDefault="0030235C" w:rsidP="0030235C">
      <w:pPr>
        <w:pStyle w:val="Paragraphe"/>
        <w:rPr>
          <w:lang w:val="fr-CA"/>
        </w:rPr>
      </w:pPr>
    </w:p>
    <w:p w14:paraId="2F08E958" w14:textId="6A0FCC26" w:rsidR="00923B1B" w:rsidRPr="00E76BDB" w:rsidRDefault="009A281A" w:rsidP="009F5613">
      <w:pPr>
        <w:pStyle w:val="Titre1"/>
        <w:rPr>
          <w:rFonts w:eastAsia="Calibri"/>
        </w:rPr>
      </w:pPr>
      <w:bookmarkStart w:id="50" w:name="_Toc145331855"/>
      <w:bookmarkEnd w:id="49"/>
      <w:r w:rsidRPr="00E76BDB">
        <w:rPr>
          <w:rFonts w:eastAsia="Calibri"/>
        </w:rPr>
        <w:t>L’embauche de personnel autochtone</w:t>
      </w:r>
      <w:r w:rsidR="00E77A08" w:rsidRPr="00E76BDB">
        <w:rPr>
          <w:rFonts w:eastAsia="Calibri"/>
        </w:rPr>
        <w:t> </w:t>
      </w:r>
      <w:r w:rsidR="005C45D1" w:rsidRPr="00E76BDB">
        <w:rPr>
          <w:rFonts w:eastAsia="Calibri"/>
        </w:rPr>
        <w:t>par les RSSS</w:t>
      </w:r>
      <w:bookmarkEnd w:id="50"/>
    </w:p>
    <w:p w14:paraId="0CDF2243" w14:textId="1ECD8320" w:rsidR="008B60A8" w:rsidRPr="00533C04" w:rsidRDefault="009A281A" w:rsidP="00D53E83">
      <w:pPr>
        <w:pStyle w:val="Paragraphe"/>
        <w:rPr>
          <w:rFonts w:eastAsia="Calibri"/>
          <w:lang w:val="fr-CA"/>
        </w:rPr>
      </w:pPr>
      <w:r w:rsidRPr="006705D8">
        <w:rPr>
          <w:rFonts w:eastAsia="Calibri"/>
          <w:lang w:val="fr-CA"/>
        </w:rPr>
        <w:t xml:space="preserve">Le projet de loi présente l’embauche de personnel autochtone comme un moyen </w:t>
      </w:r>
      <w:r w:rsidR="009805D0" w:rsidRPr="006705D8">
        <w:rPr>
          <w:rFonts w:eastAsia="Calibri"/>
          <w:lang w:val="fr-CA"/>
        </w:rPr>
        <w:t xml:space="preserve">favorisant </w:t>
      </w:r>
      <w:r w:rsidR="006E2494" w:rsidRPr="006705D8">
        <w:rPr>
          <w:rFonts w:eastAsia="Calibri"/>
          <w:lang w:val="fr-CA"/>
        </w:rPr>
        <w:t>l’adoption de pratique</w:t>
      </w:r>
      <w:r w:rsidR="00120818" w:rsidRPr="006705D8">
        <w:rPr>
          <w:rFonts w:eastAsia="Calibri"/>
          <w:lang w:val="fr-CA"/>
        </w:rPr>
        <w:t>s sécurisantes</w:t>
      </w:r>
      <w:r w:rsidR="00B100C3">
        <w:rPr>
          <w:rStyle w:val="Appelnotedebasdep"/>
          <w:rFonts w:eastAsia="Calibri"/>
        </w:rPr>
        <w:footnoteReference w:id="125"/>
      </w:r>
      <w:r w:rsidRPr="006705D8">
        <w:rPr>
          <w:rFonts w:eastAsia="Calibri"/>
          <w:lang w:val="fr-CA"/>
        </w:rPr>
        <w:t xml:space="preserve">. </w:t>
      </w:r>
      <w:r w:rsidRPr="00533C04">
        <w:rPr>
          <w:rFonts w:eastAsia="Calibri"/>
          <w:lang w:val="fr-CA"/>
        </w:rPr>
        <w:t xml:space="preserve">L’augmentation du nombre de </w:t>
      </w:r>
      <w:r w:rsidR="0090126E" w:rsidRPr="00533C04">
        <w:rPr>
          <w:rFonts w:eastAsia="Calibri"/>
          <w:lang w:val="fr-CA"/>
        </w:rPr>
        <w:t xml:space="preserve">personnes </w:t>
      </w:r>
      <w:r w:rsidRPr="00533C04">
        <w:rPr>
          <w:rFonts w:eastAsia="Calibri"/>
          <w:lang w:val="fr-CA"/>
        </w:rPr>
        <w:t>professionnel</w:t>
      </w:r>
      <w:r w:rsidR="0090126E" w:rsidRPr="00533C04">
        <w:rPr>
          <w:rFonts w:eastAsia="Calibri"/>
          <w:lang w:val="fr-CA"/>
        </w:rPr>
        <w:t>le</w:t>
      </w:r>
      <w:r w:rsidRPr="00533C04">
        <w:rPr>
          <w:rFonts w:eastAsia="Calibri"/>
          <w:lang w:val="fr-CA"/>
        </w:rPr>
        <w:t xml:space="preserve">s de la santé et des services sociaux autochtones est </w:t>
      </w:r>
      <w:r w:rsidR="00E442AD" w:rsidRPr="00533C04">
        <w:rPr>
          <w:rFonts w:eastAsia="Calibri"/>
          <w:lang w:val="fr-CA"/>
        </w:rPr>
        <w:t xml:space="preserve">effectivement </w:t>
      </w:r>
      <w:r w:rsidRPr="00533C04">
        <w:rPr>
          <w:rFonts w:eastAsia="Calibri"/>
          <w:lang w:val="fr-CA"/>
        </w:rPr>
        <w:t>reconnue comme un facteur contribuant à la sécurisation culturelle</w:t>
      </w:r>
      <w:bookmarkStart w:id="51" w:name="_Ref140156845"/>
      <w:bookmarkStart w:id="52" w:name="_Ref144388858"/>
      <w:r w:rsidRPr="001A4A5B">
        <w:rPr>
          <w:rFonts w:eastAsia="Calibri"/>
          <w:vertAlign w:val="superscript"/>
        </w:rPr>
        <w:footnoteReference w:id="126"/>
      </w:r>
      <w:bookmarkEnd w:id="51"/>
      <w:bookmarkEnd w:id="52"/>
      <w:r w:rsidRPr="00533C04">
        <w:rPr>
          <w:rFonts w:eastAsia="Calibri"/>
          <w:lang w:val="fr-CA"/>
        </w:rPr>
        <w:t xml:space="preserve">. </w:t>
      </w:r>
    </w:p>
    <w:p w14:paraId="6E8FFC49" w14:textId="5FBCB624" w:rsidR="009A281A" w:rsidRPr="00C84C0A" w:rsidRDefault="009D17CA" w:rsidP="0097791A">
      <w:pPr>
        <w:pStyle w:val="Paragraphe"/>
        <w:rPr>
          <w:rFonts w:eastAsia="Calibri"/>
          <w:lang w:val="fr-CA"/>
        </w:rPr>
      </w:pPr>
      <w:r w:rsidRPr="00C84C0A">
        <w:rPr>
          <w:rFonts w:eastAsia="Calibri"/>
          <w:lang w:val="fr-CA"/>
        </w:rPr>
        <w:lastRenderedPageBreak/>
        <w:t>L</w:t>
      </w:r>
      <w:r w:rsidR="009A281A" w:rsidRPr="00C84C0A">
        <w:rPr>
          <w:rFonts w:eastAsia="Calibri"/>
          <w:lang w:val="fr-CA"/>
        </w:rPr>
        <w:t xml:space="preserve">es personnes autochtones </w:t>
      </w:r>
      <w:r w:rsidRPr="00C84C0A">
        <w:rPr>
          <w:rFonts w:eastAsia="Calibri"/>
          <w:lang w:val="fr-CA"/>
        </w:rPr>
        <w:t>sont larg</w:t>
      </w:r>
      <w:r w:rsidR="006736F7" w:rsidRPr="00C84C0A">
        <w:rPr>
          <w:rFonts w:eastAsia="Calibri"/>
          <w:lang w:val="fr-CA"/>
        </w:rPr>
        <w:t>ement</w:t>
      </w:r>
      <w:r w:rsidR="009A281A" w:rsidRPr="00C84C0A">
        <w:rPr>
          <w:rFonts w:eastAsia="Calibri"/>
          <w:lang w:val="fr-CA"/>
        </w:rPr>
        <w:t xml:space="preserve"> sous-représentées</w:t>
      </w:r>
      <w:r w:rsidR="006736F7" w:rsidRPr="00C84C0A">
        <w:rPr>
          <w:rFonts w:eastAsia="Calibri"/>
          <w:lang w:val="fr-CA"/>
        </w:rPr>
        <w:t xml:space="preserve"> </w:t>
      </w:r>
      <w:r w:rsidR="00BD747B" w:rsidRPr="00C84C0A">
        <w:rPr>
          <w:rFonts w:eastAsia="Calibri"/>
          <w:lang w:val="fr-CA"/>
        </w:rPr>
        <w:t>dan</w:t>
      </w:r>
      <w:r w:rsidR="00460D9D" w:rsidRPr="00C84C0A">
        <w:rPr>
          <w:rFonts w:eastAsia="Calibri"/>
          <w:lang w:val="fr-CA"/>
        </w:rPr>
        <w:t>s le RSSS</w:t>
      </w:r>
      <w:r w:rsidR="009A281A" w:rsidRPr="00C84C0A">
        <w:rPr>
          <w:rFonts w:eastAsia="Calibri"/>
          <w:lang w:val="fr-CA"/>
        </w:rPr>
        <w:t xml:space="preserve">. En 2019, </w:t>
      </w:r>
      <w:r w:rsidR="00460D9D" w:rsidRPr="00C84C0A">
        <w:rPr>
          <w:rFonts w:eastAsia="Calibri"/>
          <w:lang w:val="fr-CA"/>
        </w:rPr>
        <w:t>leur taux de représentation</w:t>
      </w:r>
      <w:r w:rsidR="009A281A" w:rsidRPr="00C84C0A">
        <w:rPr>
          <w:rFonts w:eastAsia="Calibri"/>
          <w:lang w:val="fr-CA"/>
        </w:rPr>
        <w:t xml:space="preserve"> était de seulement 0,3 % alors que la cible était de 0,9 %</w:t>
      </w:r>
      <w:r w:rsidR="009A281A" w:rsidRPr="001A4A5B">
        <w:rPr>
          <w:rFonts w:eastAsia="Calibri"/>
          <w:vertAlign w:val="superscript"/>
        </w:rPr>
        <w:footnoteReference w:id="127"/>
      </w:r>
      <w:r w:rsidR="009A281A" w:rsidRPr="00C84C0A">
        <w:rPr>
          <w:rFonts w:eastAsia="Calibri"/>
          <w:lang w:val="fr-CA"/>
        </w:rPr>
        <w:t>.</w:t>
      </w:r>
      <w:r w:rsidR="00460D9D" w:rsidRPr="00C84C0A">
        <w:rPr>
          <w:rFonts w:eastAsia="Calibri"/>
          <w:lang w:val="fr-CA"/>
        </w:rPr>
        <w:t xml:space="preserve"> </w:t>
      </w:r>
      <w:r w:rsidR="009A281A" w:rsidRPr="00C84C0A">
        <w:rPr>
          <w:rFonts w:eastAsia="Calibri"/>
          <w:lang w:val="fr-CA"/>
        </w:rPr>
        <w:t xml:space="preserve">Certes, l’embauche de personne autochtone représente un défi pour les organismes du </w:t>
      </w:r>
      <w:r w:rsidR="00460D9D" w:rsidRPr="00C84C0A">
        <w:rPr>
          <w:rFonts w:eastAsia="Calibri"/>
          <w:lang w:val="fr-CA"/>
        </w:rPr>
        <w:t>réseau</w:t>
      </w:r>
      <w:r w:rsidR="009A281A" w:rsidRPr="00C84C0A">
        <w:rPr>
          <w:rFonts w:eastAsia="Calibri"/>
          <w:lang w:val="fr-CA"/>
        </w:rPr>
        <w:t xml:space="preserve">, notamment en raison du bassin </w:t>
      </w:r>
      <w:r w:rsidR="003712E9">
        <w:rPr>
          <w:rFonts w:eastAsia="Calibri"/>
          <w:lang w:val="fr-CA"/>
        </w:rPr>
        <w:t xml:space="preserve">limité </w:t>
      </w:r>
      <w:r w:rsidR="009A281A" w:rsidRPr="00C84C0A">
        <w:rPr>
          <w:rFonts w:eastAsia="Calibri"/>
          <w:lang w:val="fr-CA"/>
        </w:rPr>
        <w:t>de candidats ayant les qualifications professionnelles formelles requises</w:t>
      </w:r>
      <w:r w:rsidR="00443AE5">
        <w:rPr>
          <w:rFonts w:eastAsia="Calibri"/>
          <w:lang w:val="fr-CA"/>
        </w:rPr>
        <w:t xml:space="preserve"> </w:t>
      </w:r>
      <w:r w:rsidR="00443AE5" w:rsidRPr="004D2054">
        <w:rPr>
          <w:rFonts w:eastAsia="Calibri"/>
          <w:lang w:val="fr-CA"/>
        </w:rPr>
        <w:t>par les normes du MSSS</w:t>
      </w:r>
      <w:r w:rsidR="00443AE5" w:rsidRPr="004D2054">
        <w:rPr>
          <w:rStyle w:val="Appelnotedebasdep"/>
          <w:rFonts w:eastAsia="Calibri"/>
          <w:lang w:val="fr-CA"/>
        </w:rPr>
        <w:footnoteReference w:id="128"/>
      </w:r>
      <w:r w:rsidR="009A281A" w:rsidRPr="00C84C0A">
        <w:rPr>
          <w:rFonts w:eastAsia="Calibri"/>
          <w:lang w:val="fr-CA"/>
        </w:rPr>
        <w:t>.</w:t>
      </w:r>
    </w:p>
    <w:p w14:paraId="4D211AB8" w14:textId="07356DF0" w:rsidR="00734F43" w:rsidRPr="00C84C0A" w:rsidRDefault="009A281A" w:rsidP="0097791A">
      <w:pPr>
        <w:pStyle w:val="Paragraphe"/>
        <w:rPr>
          <w:rFonts w:eastAsia="Calibri"/>
          <w:lang w:val="fr-CA"/>
        </w:rPr>
      </w:pPr>
      <w:r w:rsidRPr="00C84C0A">
        <w:rPr>
          <w:rFonts w:eastAsia="Calibri"/>
          <w:lang w:val="fr-CA"/>
        </w:rPr>
        <w:t xml:space="preserve">L’objectif d’embaucher davantage de personnes autochtones doit aussi aller de pair </w:t>
      </w:r>
      <w:r w:rsidR="00443AE5">
        <w:rPr>
          <w:rFonts w:eastAsia="Calibri"/>
          <w:lang w:val="fr-CA"/>
        </w:rPr>
        <w:t xml:space="preserve">avec </w:t>
      </w:r>
      <w:r w:rsidR="009473B8" w:rsidRPr="00C84C0A">
        <w:rPr>
          <w:rFonts w:eastAsia="Calibri"/>
          <w:lang w:val="fr-CA"/>
        </w:rPr>
        <w:t>le fait d</w:t>
      </w:r>
      <w:r w:rsidR="005E16FC" w:rsidRPr="00C84C0A">
        <w:rPr>
          <w:rFonts w:eastAsia="Calibri"/>
          <w:lang w:val="fr-CA"/>
        </w:rPr>
        <w:t xml:space="preserve">’œuvrer </w:t>
      </w:r>
      <w:r w:rsidR="007C089B" w:rsidRPr="00C84C0A">
        <w:rPr>
          <w:rFonts w:eastAsia="Calibri"/>
          <w:lang w:val="fr-CA"/>
        </w:rPr>
        <w:t xml:space="preserve">à lever les obstacles à la formation et à l’embauche ainsi que de créer des milieux de travail culturellement sécuritaires favorisant </w:t>
      </w:r>
      <w:r w:rsidR="00F8071E" w:rsidRPr="00C84C0A">
        <w:rPr>
          <w:rFonts w:eastAsia="Calibri"/>
          <w:lang w:val="fr-CA"/>
        </w:rPr>
        <w:t>l’attraction,</w:t>
      </w:r>
      <w:r w:rsidR="007C089B" w:rsidRPr="00C84C0A">
        <w:rPr>
          <w:rFonts w:eastAsia="Calibri"/>
          <w:lang w:val="fr-CA"/>
        </w:rPr>
        <w:t xml:space="preserve"> le maintien et la progression en emploi</w:t>
      </w:r>
      <w:r w:rsidRPr="001A4A5B">
        <w:rPr>
          <w:rFonts w:eastAsia="Calibri"/>
          <w:vertAlign w:val="superscript"/>
        </w:rPr>
        <w:footnoteReference w:id="129"/>
      </w:r>
      <w:r w:rsidRPr="00C84C0A">
        <w:rPr>
          <w:rFonts w:eastAsia="Calibri"/>
          <w:lang w:val="fr-CA"/>
        </w:rPr>
        <w:t xml:space="preserve">. Cela implique de reconnaître que le racisme à l’endroit des Autochtones dans le RSSS n’affecte pas seulement les usagers, mais aussi le personnel autochtone. Par exemple, en Colombie-Britannique, </w:t>
      </w:r>
      <w:r w:rsidR="00F003A7" w:rsidRPr="00C84C0A">
        <w:rPr>
          <w:rFonts w:eastAsia="Calibri"/>
          <w:lang w:val="fr-CA"/>
        </w:rPr>
        <w:t>il a été constaté</w:t>
      </w:r>
      <w:r w:rsidRPr="00C84C0A">
        <w:rPr>
          <w:rFonts w:eastAsia="Calibri"/>
          <w:lang w:val="fr-CA"/>
        </w:rPr>
        <w:t xml:space="preserve"> que plus de la moitié du personnel autochtone en santé a subi du racisme au travail et une forte proportion ne se sentait pas en sécurité pour dénoncer le racisme ou croyait que cela ne changerait rien</w:t>
      </w:r>
      <w:r w:rsidRPr="001A4A5B">
        <w:rPr>
          <w:rFonts w:eastAsia="Calibri"/>
          <w:vertAlign w:val="superscript"/>
        </w:rPr>
        <w:footnoteReference w:id="130"/>
      </w:r>
      <w:r w:rsidRPr="00C84C0A">
        <w:rPr>
          <w:rFonts w:eastAsia="Calibri"/>
          <w:lang w:val="fr-CA"/>
        </w:rPr>
        <w:t>.</w:t>
      </w:r>
      <w:r w:rsidR="001201A1">
        <w:rPr>
          <w:rFonts w:eastAsia="Calibri"/>
          <w:lang w:val="fr-CA"/>
        </w:rPr>
        <w:t xml:space="preserve"> </w:t>
      </w:r>
      <w:r w:rsidR="001201A1" w:rsidRPr="001201A1">
        <w:rPr>
          <w:rFonts w:eastAsia="Calibri"/>
          <w:lang w:val="fr-CA"/>
        </w:rPr>
        <w:t xml:space="preserve">La Commission souligne à ce sujet le rôle incontournable des acteurs syndicaux dans la lutte </w:t>
      </w:r>
      <w:r w:rsidR="009A28F1" w:rsidRPr="001201A1">
        <w:rPr>
          <w:rFonts w:eastAsia="Calibri"/>
          <w:lang w:val="fr-CA"/>
        </w:rPr>
        <w:t xml:space="preserve">au racisme </w:t>
      </w:r>
      <w:r w:rsidR="009A28F1">
        <w:rPr>
          <w:rFonts w:eastAsia="Calibri"/>
          <w:lang w:val="fr-CA"/>
        </w:rPr>
        <w:t xml:space="preserve">et </w:t>
      </w:r>
      <w:r w:rsidR="001201A1" w:rsidRPr="001201A1">
        <w:rPr>
          <w:rFonts w:eastAsia="Calibri"/>
          <w:lang w:val="fr-CA"/>
        </w:rPr>
        <w:t>à la discrimination en milieu de travail</w:t>
      </w:r>
      <w:r w:rsidR="001201A1" w:rsidRPr="001201A1">
        <w:rPr>
          <w:rStyle w:val="Appelnotedebasdep"/>
          <w:rFonts w:eastAsia="Calibri"/>
          <w:lang w:val="fr-CA"/>
        </w:rPr>
        <w:footnoteReference w:id="131"/>
      </w:r>
      <w:r w:rsidR="001201A1" w:rsidRPr="001201A1">
        <w:rPr>
          <w:rFonts w:eastAsia="Calibri"/>
          <w:lang w:val="fr-CA"/>
        </w:rPr>
        <w:t>.</w:t>
      </w:r>
    </w:p>
    <w:p w14:paraId="0E76F7FE" w14:textId="7C8AE7AE" w:rsidR="00022A02" w:rsidRPr="00B8333F" w:rsidRDefault="00083FDE" w:rsidP="0097791A">
      <w:pPr>
        <w:pStyle w:val="Paragraphe"/>
        <w:rPr>
          <w:rFonts w:eastAsia="Calibri"/>
          <w:lang w:val="fr-CA"/>
        </w:rPr>
      </w:pPr>
      <w:r>
        <w:rPr>
          <w:rFonts w:eastAsia="Calibri"/>
          <w:lang w:val="fr-CA"/>
        </w:rPr>
        <w:t>De plus, l</w:t>
      </w:r>
      <w:r w:rsidR="008F31B6" w:rsidRPr="00B8333F">
        <w:rPr>
          <w:rFonts w:eastAsia="Calibri"/>
          <w:lang w:val="fr-CA"/>
        </w:rPr>
        <w:t>a Commission s’interroge sur la formulation utilisée dans le projet de loi</w:t>
      </w:r>
      <w:r w:rsidR="00D46739" w:rsidRPr="00B8333F">
        <w:rPr>
          <w:rFonts w:eastAsia="Calibri"/>
          <w:lang w:val="fr-CA"/>
        </w:rPr>
        <w:t>, laquelle</w:t>
      </w:r>
      <w:r w:rsidR="002C4ECB" w:rsidRPr="00B8333F">
        <w:rPr>
          <w:rFonts w:eastAsia="Calibri"/>
          <w:lang w:val="fr-CA"/>
        </w:rPr>
        <w:t xml:space="preserve"> </w:t>
      </w:r>
      <w:r w:rsidR="00B12281" w:rsidRPr="00B8333F">
        <w:rPr>
          <w:rFonts w:eastAsia="Calibri"/>
          <w:lang w:val="fr-CA"/>
        </w:rPr>
        <w:t xml:space="preserve">indique </w:t>
      </w:r>
      <w:r w:rsidR="00D92461" w:rsidRPr="00B8333F">
        <w:rPr>
          <w:rFonts w:eastAsia="Calibri"/>
          <w:lang w:val="fr-CA"/>
        </w:rPr>
        <w:t xml:space="preserve">que </w:t>
      </w:r>
      <w:r w:rsidR="00814FF2" w:rsidRPr="00B8333F">
        <w:rPr>
          <w:rFonts w:eastAsia="Calibri"/>
          <w:lang w:val="fr-CA"/>
        </w:rPr>
        <w:t>l’embauche de personnel autochtone est un des moyens que</w:t>
      </w:r>
      <w:r w:rsidR="00520BAF" w:rsidRPr="00B8333F">
        <w:rPr>
          <w:rFonts w:eastAsia="Calibri"/>
          <w:lang w:val="fr-CA"/>
        </w:rPr>
        <w:t xml:space="preserve"> </w:t>
      </w:r>
      <w:r w:rsidR="00BD0946" w:rsidRPr="00B8333F">
        <w:rPr>
          <w:rFonts w:eastAsia="Calibri"/>
          <w:lang w:val="fr-CA"/>
        </w:rPr>
        <w:t>les établissement</w:t>
      </w:r>
      <w:r w:rsidR="00D76054" w:rsidRPr="00B8333F">
        <w:rPr>
          <w:rFonts w:eastAsia="Calibri"/>
          <w:lang w:val="fr-CA"/>
        </w:rPr>
        <w:t>s</w:t>
      </w:r>
      <w:r w:rsidR="00BD0946" w:rsidRPr="00B8333F">
        <w:rPr>
          <w:rFonts w:eastAsia="Calibri"/>
          <w:lang w:val="fr-CA"/>
        </w:rPr>
        <w:t xml:space="preserve"> pourraient </w:t>
      </w:r>
      <w:r w:rsidR="0075723A" w:rsidRPr="00B8333F">
        <w:rPr>
          <w:rFonts w:eastAsia="Calibri"/>
          <w:lang w:val="fr-CA"/>
        </w:rPr>
        <w:t>adopter pour adapter leur offre de services</w:t>
      </w:r>
      <w:r w:rsidR="00520BAF" w:rsidRPr="00B8333F">
        <w:rPr>
          <w:rFonts w:eastAsia="Calibri"/>
          <w:lang w:val="fr-CA"/>
        </w:rPr>
        <w:t>, et ce</w:t>
      </w:r>
      <w:r w:rsidR="00AB7DDF" w:rsidRPr="00B8333F">
        <w:rPr>
          <w:rFonts w:eastAsia="Calibri"/>
          <w:lang w:val="fr-CA"/>
        </w:rPr>
        <w:t xml:space="preserve">, </w:t>
      </w:r>
      <w:r w:rsidR="0079513A">
        <w:rPr>
          <w:rFonts w:eastAsia="Calibri"/>
          <w:lang w:val="fr-CA"/>
        </w:rPr>
        <w:t>«</w:t>
      </w:r>
      <w:r w:rsidR="00530D45">
        <w:rPr>
          <w:rFonts w:eastAsia="Calibri"/>
          <w:lang w:val="fr-CA"/>
        </w:rPr>
        <w:t> </w:t>
      </w:r>
      <w:r w:rsidR="00AB7DDF" w:rsidRPr="00B8333F">
        <w:rPr>
          <w:rFonts w:eastAsia="Calibri"/>
          <w:lang w:val="fr-CA"/>
        </w:rPr>
        <w:t>lorsque possible</w:t>
      </w:r>
      <w:r w:rsidR="00530D45">
        <w:rPr>
          <w:rFonts w:eastAsia="Calibri"/>
          <w:lang w:val="fr-CA"/>
        </w:rPr>
        <w:t> </w:t>
      </w:r>
      <w:r w:rsidR="0079513A">
        <w:rPr>
          <w:rFonts w:eastAsia="Calibri"/>
          <w:lang w:val="fr-CA"/>
        </w:rPr>
        <w:t>»</w:t>
      </w:r>
      <w:r w:rsidR="0075723A" w:rsidRPr="00B8333F">
        <w:rPr>
          <w:rFonts w:eastAsia="Calibri"/>
          <w:lang w:val="fr-CA"/>
        </w:rPr>
        <w:t>.</w:t>
      </w:r>
      <w:r w:rsidR="00D76054" w:rsidRPr="00B8333F">
        <w:rPr>
          <w:rFonts w:eastAsia="Calibri"/>
          <w:lang w:val="fr-CA"/>
        </w:rPr>
        <w:t xml:space="preserve"> Or, i</w:t>
      </w:r>
      <w:r w:rsidR="00D46415" w:rsidRPr="00B8333F">
        <w:rPr>
          <w:rFonts w:eastAsia="Calibri"/>
          <w:lang w:val="fr-CA"/>
        </w:rPr>
        <w:t xml:space="preserve">l est nécessaire ici </w:t>
      </w:r>
      <w:r w:rsidR="00AF79E2">
        <w:rPr>
          <w:rFonts w:eastAsia="Calibri"/>
          <w:lang w:val="fr-CA"/>
        </w:rPr>
        <w:t>de souligner</w:t>
      </w:r>
      <w:r w:rsidR="00975795">
        <w:rPr>
          <w:rFonts w:eastAsia="Calibri"/>
          <w:lang w:val="fr-CA"/>
        </w:rPr>
        <w:t xml:space="preserve"> que les </w:t>
      </w:r>
      <w:r w:rsidR="00566B5F">
        <w:rPr>
          <w:rFonts w:eastAsia="Calibri"/>
          <w:lang w:val="fr-CA"/>
        </w:rPr>
        <w:t xml:space="preserve">établissements du </w:t>
      </w:r>
      <w:r w:rsidR="00975795" w:rsidRPr="00B8333F">
        <w:rPr>
          <w:rFonts w:eastAsia="Calibri"/>
          <w:lang w:val="fr-CA"/>
        </w:rPr>
        <w:t xml:space="preserve">RSSS </w:t>
      </w:r>
      <w:r w:rsidR="00975795">
        <w:rPr>
          <w:rFonts w:eastAsia="Calibri"/>
          <w:lang w:val="fr-CA"/>
        </w:rPr>
        <w:t xml:space="preserve">ont </w:t>
      </w:r>
      <w:r w:rsidR="002B3C9F">
        <w:rPr>
          <w:rFonts w:eastAsia="Calibri"/>
          <w:lang w:val="fr-CA"/>
        </w:rPr>
        <w:t>d</w:t>
      </w:r>
      <w:r w:rsidR="009A281A" w:rsidRPr="00B8333F">
        <w:rPr>
          <w:rFonts w:eastAsia="Calibri"/>
          <w:lang w:val="fr-CA"/>
        </w:rPr>
        <w:t xml:space="preserve">es obligations légales </w:t>
      </w:r>
      <w:r w:rsidR="007A2A23" w:rsidRPr="00B8333F">
        <w:rPr>
          <w:rFonts w:eastAsia="Calibri"/>
          <w:lang w:val="fr-CA"/>
        </w:rPr>
        <w:t xml:space="preserve">pour corriger la situation de discrimination historique des personnes autochtones </w:t>
      </w:r>
      <w:r w:rsidR="009A281A" w:rsidRPr="00B8333F">
        <w:rPr>
          <w:rFonts w:eastAsia="Calibri"/>
          <w:lang w:val="fr-CA"/>
        </w:rPr>
        <w:t xml:space="preserve">en </w:t>
      </w:r>
      <w:r w:rsidR="007A2A23" w:rsidRPr="00B8333F">
        <w:rPr>
          <w:rFonts w:eastAsia="Calibri"/>
          <w:lang w:val="fr-CA"/>
        </w:rPr>
        <w:t>emploi</w:t>
      </w:r>
      <w:r w:rsidR="004C7CCD" w:rsidRPr="00B8333F">
        <w:rPr>
          <w:rFonts w:eastAsia="Calibri"/>
          <w:lang w:val="fr-CA"/>
        </w:rPr>
        <w:t xml:space="preserve">. </w:t>
      </w:r>
    </w:p>
    <w:p w14:paraId="1435779B" w14:textId="0BA7A8D0" w:rsidR="009A281A" w:rsidRPr="004C4C6E" w:rsidRDefault="00D76054" w:rsidP="0097791A">
      <w:pPr>
        <w:pStyle w:val="Paragraphe"/>
        <w:rPr>
          <w:rFonts w:eastAsia="Calibri"/>
          <w:lang w:val="fr-CA"/>
        </w:rPr>
      </w:pPr>
      <w:r w:rsidRPr="00C84C0A">
        <w:rPr>
          <w:rFonts w:eastAsia="Calibri"/>
          <w:lang w:val="fr-CA"/>
        </w:rPr>
        <w:t xml:space="preserve">En effet, en vertu de la </w:t>
      </w:r>
      <w:r w:rsidRPr="00C84C0A">
        <w:rPr>
          <w:rFonts w:eastAsia="Calibri"/>
          <w:i/>
          <w:lang w:val="fr-CA"/>
        </w:rPr>
        <w:t>Loi sur l’accès à l’égalité en emploi dans des organismes publics</w:t>
      </w:r>
      <w:r w:rsidRPr="00C7331E">
        <w:rPr>
          <w:rFonts w:eastAsia="Calibri"/>
          <w:i/>
          <w:vertAlign w:val="superscript"/>
        </w:rPr>
        <w:footnoteReference w:id="132"/>
      </w:r>
      <w:r w:rsidRPr="00C84C0A">
        <w:rPr>
          <w:rFonts w:eastAsia="Calibri"/>
          <w:lang w:val="fr-CA"/>
        </w:rPr>
        <w:t xml:space="preserve">, </w:t>
      </w:r>
      <w:r w:rsidR="00A516FF">
        <w:rPr>
          <w:rFonts w:eastAsia="Calibri"/>
          <w:lang w:val="fr-CA"/>
        </w:rPr>
        <w:t xml:space="preserve">ils </w:t>
      </w:r>
      <w:r w:rsidRPr="00C84C0A">
        <w:rPr>
          <w:rFonts w:eastAsia="Calibri"/>
          <w:lang w:val="fr-CA"/>
        </w:rPr>
        <w:t xml:space="preserve">doivent </w:t>
      </w:r>
      <w:r w:rsidR="00D94368" w:rsidRPr="00C84C0A">
        <w:rPr>
          <w:rFonts w:eastAsia="Calibri"/>
          <w:lang w:val="fr-CA"/>
        </w:rPr>
        <w:t xml:space="preserve">mettre en place un programme d’accès à l’égalité en emploi </w:t>
      </w:r>
      <w:r w:rsidR="00EB06B4" w:rsidRPr="00C84C0A">
        <w:rPr>
          <w:rFonts w:eastAsia="Calibri"/>
          <w:lang w:val="fr-CA"/>
        </w:rPr>
        <w:t>visant cinq groupes</w:t>
      </w:r>
      <w:r w:rsidR="0080076E" w:rsidRPr="00C84C0A">
        <w:rPr>
          <w:rFonts w:eastAsia="Calibri"/>
          <w:lang w:val="fr-CA"/>
        </w:rPr>
        <w:t xml:space="preserve">, </w:t>
      </w:r>
      <w:r w:rsidR="00091BD7" w:rsidRPr="00C84C0A">
        <w:rPr>
          <w:rFonts w:eastAsia="Calibri"/>
          <w:lang w:val="fr-CA"/>
        </w:rPr>
        <w:t xml:space="preserve">dont </w:t>
      </w:r>
      <w:r w:rsidR="00091BD7" w:rsidRPr="00C84C0A">
        <w:rPr>
          <w:rFonts w:eastAsia="Calibri"/>
          <w:lang w:val="fr-CA"/>
        </w:rPr>
        <w:lastRenderedPageBreak/>
        <w:t xml:space="preserve">les </w:t>
      </w:r>
      <w:r w:rsidR="00E10718" w:rsidRPr="00C84C0A">
        <w:rPr>
          <w:rFonts w:eastAsia="Calibri"/>
          <w:lang w:val="fr-CA"/>
        </w:rPr>
        <w:t>Autochtones.</w:t>
      </w:r>
      <w:r w:rsidR="00497113" w:rsidRPr="00C84C0A">
        <w:rPr>
          <w:rFonts w:eastAsia="Calibri"/>
          <w:lang w:val="fr-CA"/>
        </w:rPr>
        <w:t xml:space="preserve"> </w:t>
      </w:r>
      <w:r w:rsidR="003A52A6" w:rsidRPr="00C84C0A">
        <w:rPr>
          <w:rFonts w:eastAsia="Calibri"/>
          <w:lang w:val="fr-CA"/>
        </w:rPr>
        <w:t xml:space="preserve">Ces organismes publics sont tenus </w:t>
      </w:r>
      <w:r w:rsidR="00A30C2B" w:rsidRPr="00C84C0A">
        <w:rPr>
          <w:rFonts w:eastAsia="Calibri"/>
          <w:lang w:val="fr-CA"/>
        </w:rPr>
        <w:t>d</w:t>
      </w:r>
      <w:r w:rsidR="00EB7B33" w:rsidRPr="00C84C0A">
        <w:rPr>
          <w:rFonts w:eastAsia="Calibri"/>
          <w:lang w:val="fr-CA"/>
        </w:rPr>
        <w:t>’analyser leur système d’emploi</w:t>
      </w:r>
      <w:r w:rsidR="008E4291" w:rsidRPr="00C84C0A">
        <w:rPr>
          <w:rFonts w:eastAsia="Calibri"/>
          <w:lang w:val="fr-CA"/>
        </w:rPr>
        <w:t>,</w:t>
      </w:r>
      <w:r w:rsidR="00EB7B33" w:rsidRPr="00C84C0A">
        <w:rPr>
          <w:rFonts w:eastAsia="Calibri"/>
          <w:lang w:val="fr-CA"/>
        </w:rPr>
        <w:t xml:space="preserve"> d’adopter</w:t>
      </w:r>
      <w:r w:rsidR="00A30C2B" w:rsidRPr="00C84C0A">
        <w:rPr>
          <w:rFonts w:eastAsia="Calibri"/>
          <w:lang w:val="fr-CA"/>
        </w:rPr>
        <w:t xml:space="preserve"> différentes mesures visant l’embauche </w:t>
      </w:r>
      <w:r w:rsidR="00995189" w:rsidRPr="00C84C0A">
        <w:rPr>
          <w:rFonts w:eastAsia="Calibri"/>
          <w:lang w:val="fr-CA"/>
        </w:rPr>
        <w:t>des personnes autochtones</w:t>
      </w:r>
      <w:r w:rsidR="00ED0A49">
        <w:rPr>
          <w:rFonts w:eastAsia="Calibri"/>
          <w:lang w:val="fr-CA"/>
        </w:rPr>
        <w:t>,</w:t>
      </w:r>
      <w:r w:rsidR="00A30C2B" w:rsidRPr="00C84C0A">
        <w:rPr>
          <w:rFonts w:eastAsia="Calibri"/>
          <w:lang w:val="fr-CA"/>
        </w:rPr>
        <w:t xml:space="preserve"> leur intégration, leur maintien et leur promotion en emploi</w:t>
      </w:r>
      <w:r w:rsidR="000310DC" w:rsidRPr="00C84C0A">
        <w:rPr>
          <w:rFonts w:eastAsia="Calibri"/>
          <w:lang w:val="fr-CA"/>
        </w:rPr>
        <w:t xml:space="preserve"> ainsi que d’adopter des mesures </w:t>
      </w:r>
      <w:r w:rsidR="004555EB" w:rsidRPr="00C84C0A">
        <w:rPr>
          <w:rFonts w:eastAsia="Calibri"/>
          <w:lang w:val="fr-CA"/>
        </w:rPr>
        <w:t>pour éliminer les pratiques de gestion discriminatoires</w:t>
      </w:r>
      <w:r w:rsidR="00995189" w:rsidRPr="00C84C0A">
        <w:rPr>
          <w:rFonts w:eastAsia="Calibri"/>
          <w:lang w:val="fr-CA"/>
        </w:rPr>
        <w:t>.</w:t>
      </w:r>
      <w:r w:rsidR="00497113" w:rsidRPr="00C84C0A">
        <w:rPr>
          <w:rFonts w:eastAsia="Calibri"/>
          <w:lang w:val="fr-CA"/>
        </w:rPr>
        <w:t xml:space="preserve"> </w:t>
      </w:r>
      <w:r w:rsidR="00EF380A" w:rsidRPr="004C4C6E">
        <w:rPr>
          <w:rFonts w:eastAsia="Calibri"/>
          <w:lang w:val="fr-CA"/>
        </w:rPr>
        <w:t>L’em</w:t>
      </w:r>
      <w:r w:rsidR="00CC335B" w:rsidRPr="004C4C6E">
        <w:rPr>
          <w:rFonts w:eastAsia="Calibri"/>
          <w:lang w:val="fr-CA"/>
        </w:rPr>
        <w:t>bauche de personnel autochtone ne devrait donc pas être présenté</w:t>
      </w:r>
      <w:r w:rsidR="00EC2C28" w:rsidRPr="004C4C6E">
        <w:rPr>
          <w:rFonts w:eastAsia="Calibri"/>
          <w:lang w:val="fr-CA"/>
        </w:rPr>
        <w:t>e</w:t>
      </w:r>
      <w:r w:rsidR="00CC335B" w:rsidRPr="004C4C6E">
        <w:rPr>
          <w:rFonts w:eastAsia="Calibri"/>
          <w:lang w:val="fr-CA"/>
        </w:rPr>
        <w:t xml:space="preserve"> comme </w:t>
      </w:r>
      <w:r w:rsidR="00F207B8" w:rsidRPr="004C4C6E">
        <w:rPr>
          <w:rFonts w:eastAsia="Calibri"/>
          <w:lang w:val="fr-CA"/>
        </w:rPr>
        <w:t>un moyen</w:t>
      </w:r>
      <w:r w:rsidR="00CC335B" w:rsidRPr="004C4C6E">
        <w:rPr>
          <w:rFonts w:eastAsia="Calibri"/>
          <w:lang w:val="fr-CA"/>
        </w:rPr>
        <w:t xml:space="preserve"> parmi tant d’autres d’adapter les services</w:t>
      </w:r>
      <w:r w:rsidR="000B30AD" w:rsidRPr="004C4C6E">
        <w:rPr>
          <w:rFonts w:eastAsia="Calibri"/>
          <w:lang w:val="fr-CA"/>
        </w:rPr>
        <w:t xml:space="preserve"> </w:t>
      </w:r>
      <w:r w:rsidR="005C1190">
        <w:rPr>
          <w:rFonts w:eastAsia="Calibri"/>
          <w:lang w:val="fr-CA"/>
        </w:rPr>
        <w:t>puis</w:t>
      </w:r>
      <w:r w:rsidR="000B30AD" w:rsidRPr="004C4C6E">
        <w:rPr>
          <w:rFonts w:eastAsia="Calibri"/>
          <w:lang w:val="fr-CA"/>
        </w:rPr>
        <w:t>qu’il s’agit d’une obli</w:t>
      </w:r>
      <w:r w:rsidR="00B10B08" w:rsidRPr="004C4C6E">
        <w:rPr>
          <w:rFonts w:eastAsia="Calibri"/>
          <w:lang w:val="fr-CA"/>
        </w:rPr>
        <w:t xml:space="preserve">gation </w:t>
      </w:r>
      <w:r w:rsidR="008D25F0">
        <w:rPr>
          <w:rFonts w:eastAsia="Calibri"/>
          <w:lang w:val="fr-CA"/>
        </w:rPr>
        <w:t xml:space="preserve">légale </w:t>
      </w:r>
      <w:r w:rsidR="00A930EA" w:rsidRPr="004C4C6E">
        <w:rPr>
          <w:rFonts w:eastAsia="Calibri"/>
          <w:lang w:val="fr-CA"/>
        </w:rPr>
        <w:t>qui incombe</w:t>
      </w:r>
      <w:r w:rsidR="00D6196E" w:rsidRPr="004C4C6E">
        <w:rPr>
          <w:rFonts w:eastAsia="Calibri"/>
          <w:lang w:val="fr-CA"/>
        </w:rPr>
        <w:t xml:space="preserve"> aux</w:t>
      </w:r>
      <w:r w:rsidR="009A281A" w:rsidRPr="004C4C6E">
        <w:rPr>
          <w:rFonts w:eastAsia="Calibri"/>
          <w:lang w:val="fr-CA"/>
        </w:rPr>
        <w:t xml:space="preserve"> organismes du RSSS en </w:t>
      </w:r>
      <w:r w:rsidR="008A0ACA">
        <w:rPr>
          <w:rFonts w:eastAsia="Calibri"/>
          <w:lang w:val="fr-CA"/>
        </w:rPr>
        <w:t>matière de représentation en emploi</w:t>
      </w:r>
      <w:r w:rsidR="009A281A" w:rsidRPr="004C4C6E">
        <w:rPr>
          <w:rFonts w:eastAsia="Calibri"/>
          <w:lang w:val="fr-CA"/>
        </w:rPr>
        <w:t xml:space="preserve">. </w:t>
      </w:r>
    </w:p>
    <w:p w14:paraId="46885061" w14:textId="4A6140B4" w:rsidR="00CC5533" w:rsidRDefault="00CC5533" w:rsidP="00AB4833">
      <w:pPr>
        <w:pStyle w:val="TitreRecommandation"/>
      </w:pPr>
      <w:r>
        <w:t>Recommandation</w:t>
      </w:r>
      <w:r w:rsidR="001F313E">
        <w:rPr>
          <w:rFonts w:hint="eastAsia"/>
        </w:rPr>
        <w:t> </w:t>
      </w:r>
      <w:r w:rsidR="00083404">
        <w:t>9</w:t>
      </w:r>
    </w:p>
    <w:p w14:paraId="58148595" w14:textId="37CD2D07" w:rsidR="00CC5533" w:rsidRPr="00C87BF4" w:rsidRDefault="002351D6" w:rsidP="002351D6">
      <w:pPr>
        <w:pStyle w:val="Default"/>
        <w:ind w:left="706"/>
        <w:rPr>
          <w:rFonts w:ascii="Arial" w:eastAsia="Calibri" w:hAnsi="Arial" w:cs="Arial"/>
          <w:i/>
        </w:rPr>
      </w:pPr>
      <w:r w:rsidRPr="004D2054">
        <w:rPr>
          <w:rFonts w:ascii="Arial" w:hAnsi="Arial" w:cs="Arial"/>
          <w:b/>
          <w:bCs/>
          <w:sz w:val="22"/>
          <w:szCs w:val="22"/>
        </w:rPr>
        <w:t xml:space="preserve">La Commission recommande de modifier l’article 1 al. 2, par. 4 a) du projet de loi </w:t>
      </w:r>
      <w:r w:rsidR="00D06CC0">
        <w:rPr>
          <w:rFonts w:ascii="Arial" w:hAnsi="Arial" w:cs="Arial"/>
          <w:b/>
          <w:bCs/>
          <w:sz w:val="22"/>
          <w:szCs w:val="22"/>
        </w:rPr>
        <w:t>pour tenir compte du fait</w:t>
      </w:r>
      <w:r w:rsidRPr="004D2054">
        <w:rPr>
          <w:rFonts w:ascii="Arial" w:hAnsi="Arial" w:cs="Arial"/>
          <w:b/>
          <w:bCs/>
          <w:sz w:val="22"/>
          <w:szCs w:val="22"/>
        </w:rPr>
        <w:t xml:space="preserve"> que l’embauche de personne</w:t>
      </w:r>
      <w:r w:rsidR="007D04AD">
        <w:rPr>
          <w:rFonts w:ascii="Arial" w:hAnsi="Arial" w:cs="Arial"/>
          <w:b/>
          <w:bCs/>
          <w:sz w:val="22"/>
          <w:szCs w:val="22"/>
        </w:rPr>
        <w:t>l</w:t>
      </w:r>
      <w:r w:rsidRPr="004D2054">
        <w:rPr>
          <w:rFonts w:ascii="Arial" w:hAnsi="Arial" w:cs="Arial"/>
          <w:b/>
          <w:bCs/>
          <w:sz w:val="22"/>
          <w:szCs w:val="22"/>
        </w:rPr>
        <w:t xml:space="preserve"> autochtone relève d’une obligation légale à respecter.</w:t>
      </w:r>
    </w:p>
    <w:p w14:paraId="601E7567" w14:textId="320E2584" w:rsidR="00A01B87" w:rsidRDefault="00744211" w:rsidP="0097791A">
      <w:pPr>
        <w:pStyle w:val="Paragraphe"/>
        <w:rPr>
          <w:rFonts w:eastAsia="Calibri"/>
          <w:lang w:val="fr-CA"/>
        </w:rPr>
      </w:pPr>
      <w:r>
        <w:rPr>
          <w:rFonts w:eastAsia="Calibri"/>
          <w:lang w:val="fr-CA"/>
        </w:rPr>
        <w:t>Ajoutons qu’</w:t>
      </w:r>
      <w:r w:rsidR="00625778" w:rsidRPr="00CE48ED">
        <w:rPr>
          <w:rFonts w:eastAsia="Calibri"/>
          <w:lang w:val="fr-CA"/>
        </w:rPr>
        <w:t>a</w:t>
      </w:r>
      <w:r w:rsidR="00CF2F36" w:rsidRPr="00CE48ED">
        <w:rPr>
          <w:rFonts w:eastAsia="Calibri"/>
          <w:lang w:val="fr-CA"/>
        </w:rPr>
        <w:t>fin d’a</w:t>
      </w:r>
      <w:r w:rsidR="004F62ED" w:rsidRPr="00CE48ED">
        <w:rPr>
          <w:rFonts w:eastAsia="Calibri"/>
          <w:lang w:val="fr-CA"/>
        </w:rPr>
        <w:t>ugmenter la</w:t>
      </w:r>
      <w:r w:rsidR="00CF2F36" w:rsidRPr="00CE48ED">
        <w:rPr>
          <w:rFonts w:eastAsia="Calibri"/>
          <w:lang w:val="fr-CA"/>
        </w:rPr>
        <w:t xml:space="preserve"> représentation </w:t>
      </w:r>
      <w:r w:rsidR="004F62ED" w:rsidRPr="00CE48ED">
        <w:rPr>
          <w:rFonts w:eastAsia="Calibri"/>
          <w:lang w:val="fr-CA"/>
        </w:rPr>
        <w:t>en emploi</w:t>
      </w:r>
      <w:r w:rsidR="00CF2F36" w:rsidRPr="00CE48ED">
        <w:rPr>
          <w:rFonts w:eastAsia="Calibri"/>
          <w:lang w:val="fr-CA"/>
        </w:rPr>
        <w:t xml:space="preserve"> de</w:t>
      </w:r>
      <w:r w:rsidR="002A3063" w:rsidRPr="00CE48ED">
        <w:rPr>
          <w:rFonts w:eastAsia="Calibri"/>
          <w:lang w:val="fr-CA"/>
        </w:rPr>
        <w:t>s personnes autochtones</w:t>
      </w:r>
      <w:r w:rsidR="00DA0D22" w:rsidRPr="00CE48ED">
        <w:rPr>
          <w:rFonts w:eastAsia="Calibri"/>
          <w:lang w:val="fr-CA"/>
        </w:rPr>
        <w:t xml:space="preserve"> dans le RSSS </w:t>
      </w:r>
      <w:r w:rsidR="00C22DF0" w:rsidRPr="00CE48ED">
        <w:rPr>
          <w:rFonts w:eastAsia="Calibri"/>
          <w:lang w:val="fr-CA"/>
        </w:rPr>
        <w:t xml:space="preserve">et ainsi favoriser l’offre de services culturellement sécuritaires, il est nécessaire </w:t>
      </w:r>
      <w:r w:rsidR="004A6797" w:rsidRPr="00CE48ED">
        <w:rPr>
          <w:rFonts w:eastAsia="Calibri"/>
          <w:lang w:val="fr-CA"/>
        </w:rPr>
        <w:t>d</w:t>
      </w:r>
      <w:r w:rsidR="009A473E" w:rsidRPr="00CE48ED">
        <w:rPr>
          <w:rFonts w:eastAsia="Calibri"/>
          <w:lang w:val="fr-CA"/>
        </w:rPr>
        <w:t>’œuvrer à favoriser l’accès</w:t>
      </w:r>
      <w:r w:rsidR="004A6797" w:rsidRPr="00CE48ED">
        <w:rPr>
          <w:rFonts w:eastAsia="Calibri"/>
          <w:lang w:val="fr-CA"/>
        </w:rPr>
        <w:t xml:space="preserve"> </w:t>
      </w:r>
      <w:r w:rsidR="000432CE" w:rsidRPr="00CE48ED">
        <w:rPr>
          <w:rFonts w:eastAsia="Calibri"/>
          <w:lang w:val="fr-CA"/>
        </w:rPr>
        <w:t>à des formations qualifiantes</w:t>
      </w:r>
      <w:r w:rsidR="005E4F27" w:rsidRPr="00CE48ED">
        <w:rPr>
          <w:rFonts w:eastAsia="Calibri"/>
          <w:lang w:val="fr-CA"/>
        </w:rPr>
        <w:t xml:space="preserve">. </w:t>
      </w:r>
      <w:r w:rsidR="008B460A" w:rsidRPr="004207A5">
        <w:rPr>
          <w:rFonts w:eastAsia="Calibri"/>
          <w:lang w:val="fr-CA"/>
        </w:rPr>
        <w:t>La Commission</w:t>
      </w:r>
      <w:r w:rsidR="00286DBC" w:rsidRPr="004207A5">
        <w:rPr>
          <w:rFonts w:eastAsia="Calibri"/>
          <w:lang w:val="fr-CA"/>
        </w:rPr>
        <w:t xml:space="preserve"> </w:t>
      </w:r>
      <w:r w:rsidR="002158DA" w:rsidRPr="004207A5">
        <w:rPr>
          <w:rFonts w:eastAsia="Calibri"/>
          <w:lang w:val="fr-CA"/>
        </w:rPr>
        <w:t xml:space="preserve">insiste </w:t>
      </w:r>
      <w:r w:rsidR="004F62ED" w:rsidRPr="004207A5">
        <w:rPr>
          <w:rFonts w:eastAsia="Calibri"/>
          <w:lang w:val="fr-CA"/>
        </w:rPr>
        <w:t>donc</w:t>
      </w:r>
      <w:r w:rsidR="002158DA" w:rsidRPr="004207A5">
        <w:rPr>
          <w:rFonts w:eastAsia="Calibri"/>
          <w:lang w:val="fr-CA"/>
        </w:rPr>
        <w:t xml:space="preserve"> sur l’importance de répondre </w:t>
      </w:r>
      <w:r w:rsidR="002B2226" w:rsidRPr="004207A5">
        <w:rPr>
          <w:rFonts w:eastAsia="Calibri"/>
          <w:lang w:val="fr-CA"/>
        </w:rPr>
        <w:t>à l’appel à la justice</w:t>
      </w:r>
      <w:r w:rsidR="001F313E" w:rsidRPr="004207A5">
        <w:rPr>
          <w:rFonts w:eastAsia="Calibri"/>
          <w:lang w:val="fr-CA"/>
        </w:rPr>
        <w:t> </w:t>
      </w:r>
      <w:r w:rsidR="002B2226" w:rsidRPr="004207A5">
        <w:rPr>
          <w:rFonts w:eastAsia="Calibri"/>
          <w:lang w:val="fr-CA"/>
        </w:rPr>
        <w:t>7.7 de l’ENFFADA</w:t>
      </w:r>
      <w:r w:rsidR="0070500C" w:rsidRPr="004207A5">
        <w:rPr>
          <w:rFonts w:eastAsia="Calibri"/>
          <w:lang w:val="fr-CA"/>
        </w:rPr>
        <w:t xml:space="preserve"> concernant </w:t>
      </w:r>
      <w:r w:rsidR="00877BF2" w:rsidRPr="004207A5">
        <w:rPr>
          <w:rFonts w:eastAsia="Calibri"/>
          <w:lang w:val="fr-CA"/>
        </w:rPr>
        <w:t>l’encouragement, le soutien</w:t>
      </w:r>
      <w:r w:rsidR="00D53331" w:rsidRPr="004207A5">
        <w:rPr>
          <w:rFonts w:eastAsia="Calibri"/>
          <w:lang w:val="fr-CA"/>
        </w:rPr>
        <w:t xml:space="preserve"> et </w:t>
      </w:r>
      <w:r w:rsidR="00877BF2" w:rsidRPr="004207A5">
        <w:rPr>
          <w:rFonts w:eastAsia="Calibri"/>
          <w:lang w:val="fr-CA"/>
        </w:rPr>
        <w:t>le financement équitable de</w:t>
      </w:r>
      <w:r w:rsidR="00D53331" w:rsidRPr="004207A5">
        <w:rPr>
          <w:rFonts w:eastAsia="Calibri"/>
          <w:lang w:val="fr-CA"/>
        </w:rPr>
        <w:t xml:space="preserve"> la formation des Autochtones dans le domaine de la santé et du bien-être.</w:t>
      </w:r>
      <w:r w:rsidR="00877BF2" w:rsidRPr="004207A5">
        <w:rPr>
          <w:rFonts w:eastAsia="Calibri"/>
          <w:lang w:val="fr-CA"/>
        </w:rPr>
        <w:t xml:space="preserve"> </w:t>
      </w:r>
    </w:p>
    <w:p w14:paraId="7757BAA8" w14:textId="77777777" w:rsidR="00FD079F" w:rsidRPr="007D0434" w:rsidRDefault="00FD079F" w:rsidP="00FD079F">
      <w:pPr>
        <w:pStyle w:val="Paragraphe"/>
        <w:rPr>
          <w:rFonts w:eastAsia="Calibri"/>
          <w:lang w:val="fr-CA"/>
        </w:rPr>
      </w:pPr>
    </w:p>
    <w:p w14:paraId="3097B237" w14:textId="5052ABDB" w:rsidR="003524CC" w:rsidRDefault="003524CC" w:rsidP="00AB4833">
      <w:pPr>
        <w:pStyle w:val="Titre1"/>
      </w:pPr>
      <w:bookmarkStart w:id="54" w:name="_Toc145331856"/>
      <w:r>
        <w:t xml:space="preserve">La formation </w:t>
      </w:r>
      <w:r w:rsidR="00326EA3">
        <w:t xml:space="preserve">OBLIGATOIRE </w:t>
      </w:r>
      <w:r>
        <w:t>du personnel</w:t>
      </w:r>
      <w:bookmarkEnd w:id="54"/>
    </w:p>
    <w:p w14:paraId="6ABC33B2" w14:textId="11564F89" w:rsidR="00B15276" w:rsidRDefault="007E5AA9" w:rsidP="007E5AA9">
      <w:pPr>
        <w:pStyle w:val="Paragraphe"/>
        <w:rPr>
          <w:color w:val="auto"/>
          <w:lang w:val="fr-CA"/>
        </w:rPr>
      </w:pPr>
      <w:r w:rsidRPr="00220DC8">
        <w:rPr>
          <w:lang w:val="fr-CA"/>
        </w:rPr>
        <w:t xml:space="preserve">Le projet de loi prévoit que tout établissement doit adapter, </w:t>
      </w:r>
      <w:r w:rsidR="002351D6">
        <w:rPr>
          <w:lang w:val="fr-CA"/>
        </w:rPr>
        <w:t>«</w:t>
      </w:r>
      <w:r w:rsidR="00530D45">
        <w:rPr>
          <w:lang w:val="fr-CA"/>
        </w:rPr>
        <w:t> </w:t>
      </w:r>
      <w:r w:rsidRPr="00220DC8">
        <w:rPr>
          <w:lang w:val="fr-CA"/>
        </w:rPr>
        <w:t>lorsque possible</w:t>
      </w:r>
      <w:r w:rsidR="00530D45">
        <w:rPr>
          <w:lang w:val="fr-CA"/>
        </w:rPr>
        <w:t> </w:t>
      </w:r>
      <w:r w:rsidR="002351D6">
        <w:rPr>
          <w:lang w:val="fr-CA"/>
        </w:rPr>
        <w:t>»</w:t>
      </w:r>
      <w:r w:rsidRPr="00220DC8">
        <w:rPr>
          <w:lang w:val="fr-CA"/>
        </w:rPr>
        <w:t>, son offre de services par «</w:t>
      </w:r>
      <w:r w:rsidR="00BF1864" w:rsidRPr="00220DC8">
        <w:rPr>
          <w:lang w:val="fr-CA"/>
        </w:rPr>
        <w:t> </w:t>
      </w:r>
      <w:r w:rsidRPr="00220DC8">
        <w:rPr>
          <w:lang w:val="fr-CA"/>
        </w:rPr>
        <w:t>la formation obligatoire de tous les employés sur les réalités culturelles et historiques</w:t>
      </w:r>
      <w:r w:rsidRPr="001A4A5B">
        <w:rPr>
          <w:color w:val="auto"/>
          <w:lang w:val="fr-CA"/>
        </w:rPr>
        <w:t xml:space="preserve"> des autochtones</w:t>
      </w:r>
      <w:r w:rsidR="00BF1864">
        <w:rPr>
          <w:color w:val="auto"/>
          <w:lang w:val="fr-CA"/>
        </w:rPr>
        <w:t> </w:t>
      </w:r>
      <w:r w:rsidRPr="001A4A5B">
        <w:rPr>
          <w:color w:val="auto"/>
          <w:lang w:val="fr-CA"/>
        </w:rPr>
        <w:t>»</w:t>
      </w:r>
      <w:r w:rsidRPr="001A4A5B">
        <w:rPr>
          <w:rStyle w:val="Appelnotedebasdep"/>
          <w:color w:val="auto"/>
          <w:lang w:val="fr-CA"/>
        </w:rPr>
        <w:footnoteReference w:id="133"/>
      </w:r>
      <w:r w:rsidR="00895609">
        <w:rPr>
          <w:color w:val="auto"/>
          <w:lang w:val="fr-CA"/>
        </w:rPr>
        <w:t xml:space="preserve">, </w:t>
      </w:r>
      <w:r w:rsidR="00895609" w:rsidRPr="00F94964">
        <w:rPr>
          <w:color w:val="auto"/>
          <w:lang w:val="fr-CA"/>
        </w:rPr>
        <w:t>et ce, sans nommer explicitement la sécurisation culturelle</w:t>
      </w:r>
      <w:r w:rsidRPr="00F94964">
        <w:rPr>
          <w:color w:val="auto"/>
          <w:lang w:val="fr-CA"/>
        </w:rPr>
        <w:t>.</w:t>
      </w:r>
      <w:r w:rsidRPr="001A4A5B">
        <w:rPr>
          <w:color w:val="auto"/>
          <w:lang w:val="fr-CA"/>
        </w:rPr>
        <w:t xml:space="preserve"> </w:t>
      </w:r>
    </w:p>
    <w:p w14:paraId="75D9F35F" w14:textId="529CC836" w:rsidR="007E5AA9" w:rsidRPr="001A4A5B" w:rsidRDefault="009632DC" w:rsidP="007E5AA9">
      <w:pPr>
        <w:pStyle w:val="Paragraphe"/>
        <w:rPr>
          <w:color w:val="auto"/>
          <w:lang w:val="fr-CA"/>
        </w:rPr>
      </w:pPr>
      <w:r w:rsidRPr="009632DC">
        <w:rPr>
          <w:lang w:val="fr-CA"/>
        </w:rPr>
        <w:t>A</w:t>
      </w:r>
      <w:r w:rsidR="00194F5E" w:rsidRPr="009632DC">
        <w:rPr>
          <w:lang w:val="fr-CA"/>
        </w:rPr>
        <w:t>u moment du dépôt du projet de loi</w:t>
      </w:r>
      <w:r w:rsidR="00194F5E">
        <w:rPr>
          <w:lang w:val="fr-CA"/>
        </w:rPr>
        <w:t>,</w:t>
      </w:r>
      <w:r w:rsidR="00025958">
        <w:rPr>
          <w:lang w:val="fr-CA"/>
        </w:rPr>
        <w:t xml:space="preserve"> le</w:t>
      </w:r>
      <w:r w:rsidR="007E5AA9">
        <w:rPr>
          <w:lang w:val="fr-CA"/>
        </w:rPr>
        <w:t xml:space="preserve"> </w:t>
      </w:r>
      <w:r w:rsidR="007E5AA9" w:rsidRPr="001A4A5B">
        <w:rPr>
          <w:color w:val="auto"/>
          <w:lang w:val="fr-CA"/>
        </w:rPr>
        <w:t>gouvernement a fait savoir que «</w:t>
      </w:r>
      <w:r w:rsidR="00BF1864">
        <w:rPr>
          <w:color w:val="auto"/>
          <w:lang w:val="fr-CA"/>
        </w:rPr>
        <w:t> </w:t>
      </w:r>
      <w:r w:rsidR="007E5AA9" w:rsidRPr="001A4A5B">
        <w:rPr>
          <w:color w:val="auto"/>
          <w:lang w:val="fr-CA"/>
        </w:rPr>
        <w:t>près de 90</w:t>
      </w:r>
      <w:r w:rsidR="00C11D25">
        <w:rPr>
          <w:color w:val="auto"/>
          <w:lang w:val="fr-CA"/>
        </w:rPr>
        <w:t> </w:t>
      </w:r>
      <w:r w:rsidR="007E5AA9" w:rsidRPr="001A4A5B">
        <w:rPr>
          <w:color w:val="auto"/>
          <w:lang w:val="fr-CA"/>
        </w:rPr>
        <w:t>% du personnel du réseau de la santé a reçu une formation en sécurisation culturelle</w:t>
      </w:r>
      <w:r w:rsidR="00BF1864">
        <w:rPr>
          <w:color w:val="auto"/>
          <w:lang w:val="fr-CA"/>
        </w:rPr>
        <w:t> </w:t>
      </w:r>
      <w:r w:rsidR="007E5AA9" w:rsidRPr="001A4A5B">
        <w:rPr>
          <w:color w:val="auto"/>
          <w:lang w:val="fr-CA"/>
        </w:rPr>
        <w:t>»</w:t>
      </w:r>
      <w:r w:rsidR="007E5AA9" w:rsidRPr="001A4A5B">
        <w:rPr>
          <w:rStyle w:val="Appelnotedebasdep"/>
          <w:color w:val="auto"/>
          <w:lang w:val="fr-CA"/>
        </w:rPr>
        <w:footnoteReference w:id="134"/>
      </w:r>
      <w:r w:rsidR="007E5AA9" w:rsidRPr="001A4A5B">
        <w:rPr>
          <w:color w:val="auto"/>
          <w:lang w:val="fr-CA"/>
        </w:rPr>
        <w:t>.</w:t>
      </w:r>
      <w:r w:rsidR="00FE6359" w:rsidRPr="001A4A5B">
        <w:rPr>
          <w:color w:val="auto"/>
          <w:lang w:val="fr-CA"/>
        </w:rPr>
        <w:t xml:space="preserve"> </w:t>
      </w:r>
      <w:r w:rsidR="007E5AA9" w:rsidRPr="001A4A5B">
        <w:rPr>
          <w:color w:val="auto"/>
          <w:lang w:val="fr-CA"/>
        </w:rPr>
        <w:t xml:space="preserve">Or, il semble que </w:t>
      </w:r>
      <w:r w:rsidR="004044AD">
        <w:rPr>
          <w:color w:val="auto"/>
          <w:lang w:val="fr-CA"/>
        </w:rPr>
        <w:t xml:space="preserve">la </w:t>
      </w:r>
      <w:r w:rsidR="007E5AA9" w:rsidRPr="001A4A5B">
        <w:rPr>
          <w:color w:val="auto"/>
          <w:lang w:val="fr-CA"/>
        </w:rPr>
        <w:t xml:space="preserve">formation </w:t>
      </w:r>
      <w:r w:rsidR="004044AD">
        <w:rPr>
          <w:color w:val="auto"/>
          <w:lang w:val="fr-CA"/>
        </w:rPr>
        <w:t>«</w:t>
      </w:r>
      <w:r w:rsidR="00BF1864">
        <w:rPr>
          <w:color w:val="auto"/>
          <w:lang w:val="fr-CA"/>
        </w:rPr>
        <w:t> </w:t>
      </w:r>
      <w:r w:rsidR="004044AD">
        <w:rPr>
          <w:color w:val="auto"/>
          <w:lang w:val="fr-CA"/>
        </w:rPr>
        <w:t>Sensibilisation aux réalité</w:t>
      </w:r>
      <w:r w:rsidR="00AB239A">
        <w:rPr>
          <w:color w:val="auto"/>
          <w:lang w:val="fr-CA"/>
        </w:rPr>
        <w:t>s</w:t>
      </w:r>
      <w:r w:rsidR="004044AD">
        <w:rPr>
          <w:color w:val="auto"/>
          <w:lang w:val="fr-CA"/>
        </w:rPr>
        <w:t xml:space="preserve"> autochtones</w:t>
      </w:r>
      <w:r w:rsidR="00BF1864">
        <w:rPr>
          <w:color w:val="auto"/>
          <w:lang w:val="fr-CA"/>
        </w:rPr>
        <w:t> </w:t>
      </w:r>
      <w:r w:rsidR="004044AD">
        <w:rPr>
          <w:color w:val="auto"/>
          <w:lang w:val="fr-CA"/>
        </w:rPr>
        <w:t xml:space="preserve">» </w:t>
      </w:r>
      <w:r w:rsidR="007E5AA9" w:rsidRPr="001A4A5B">
        <w:rPr>
          <w:color w:val="auto"/>
          <w:lang w:val="fr-CA"/>
        </w:rPr>
        <w:t xml:space="preserve">n’aborde pas </w:t>
      </w:r>
      <w:r w:rsidR="00FE6359" w:rsidRPr="001A4A5B">
        <w:rPr>
          <w:color w:val="auto"/>
          <w:lang w:val="fr-CA"/>
        </w:rPr>
        <w:t>l</w:t>
      </w:r>
      <w:r w:rsidR="00401DCC">
        <w:rPr>
          <w:color w:val="auto"/>
          <w:lang w:val="fr-CA"/>
        </w:rPr>
        <w:t xml:space="preserve">’approche </w:t>
      </w:r>
      <w:r w:rsidR="009E719F" w:rsidRPr="001A4A5B">
        <w:rPr>
          <w:color w:val="auto"/>
          <w:lang w:val="fr-CA"/>
        </w:rPr>
        <w:t xml:space="preserve">de </w:t>
      </w:r>
      <w:r w:rsidR="00401DCC">
        <w:rPr>
          <w:color w:val="auto"/>
          <w:lang w:val="fr-CA"/>
        </w:rPr>
        <w:lastRenderedPageBreak/>
        <w:t>la sécurisation</w:t>
      </w:r>
      <w:r w:rsidR="009E719F" w:rsidRPr="001A4A5B">
        <w:rPr>
          <w:color w:val="auto"/>
          <w:lang w:val="fr-CA"/>
        </w:rPr>
        <w:t xml:space="preserve"> culturelle</w:t>
      </w:r>
      <w:r w:rsidR="007E5AA9" w:rsidRPr="001A4A5B">
        <w:rPr>
          <w:rStyle w:val="Appelnotedebasdep"/>
          <w:color w:val="auto"/>
          <w:lang w:val="fr-CA"/>
        </w:rPr>
        <w:footnoteReference w:id="135"/>
      </w:r>
      <w:r w:rsidR="00F94964">
        <w:rPr>
          <w:color w:val="auto"/>
          <w:lang w:val="fr-CA"/>
        </w:rPr>
        <w:t>.</w:t>
      </w:r>
      <w:r w:rsidR="007E5AA9" w:rsidRPr="001A4A5B">
        <w:rPr>
          <w:color w:val="auto"/>
          <w:lang w:val="fr-CA"/>
        </w:rPr>
        <w:t xml:space="preserve"> D’ailleurs, comme l’ont noté les personnes qui ont produit le contenu de la formation en question, celle-ci ne visait </w:t>
      </w:r>
      <w:r w:rsidR="00E0108D" w:rsidRPr="001A4A5B">
        <w:rPr>
          <w:color w:val="auto"/>
          <w:lang w:val="fr-CA"/>
        </w:rPr>
        <w:t xml:space="preserve">pas </w:t>
      </w:r>
      <w:r w:rsidR="00DC1D3A" w:rsidRPr="001A4A5B">
        <w:rPr>
          <w:color w:val="auto"/>
          <w:lang w:val="fr-CA"/>
        </w:rPr>
        <w:t xml:space="preserve">spécifiquement </w:t>
      </w:r>
      <w:r w:rsidR="007E5AA9" w:rsidRPr="001A4A5B">
        <w:rPr>
          <w:color w:val="auto"/>
          <w:lang w:val="fr-CA"/>
        </w:rPr>
        <w:t>à assurer la sécurisation culturelle dans les services de santé et les services sociaux</w:t>
      </w:r>
      <w:r w:rsidR="007E5AA9" w:rsidRPr="001A4A5B">
        <w:rPr>
          <w:rStyle w:val="Appelnotedebasdep"/>
          <w:color w:val="auto"/>
          <w:lang w:val="fr-CA"/>
        </w:rPr>
        <w:footnoteReference w:id="136"/>
      </w:r>
      <w:r w:rsidR="007E5AA9" w:rsidRPr="001A4A5B">
        <w:rPr>
          <w:color w:val="auto"/>
          <w:lang w:val="fr-CA"/>
        </w:rPr>
        <w:t xml:space="preserve">. </w:t>
      </w:r>
    </w:p>
    <w:p w14:paraId="5A397DDA" w14:textId="4AFA3A1E" w:rsidR="007E5AA9" w:rsidRPr="001A4A5B" w:rsidRDefault="007F2916" w:rsidP="007E5AA9">
      <w:pPr>
        <w:pStyle w:val="Paragraphe"/>
        <w:rPr>
          <w:color w:val="auto"/>
          <w:lang w:val="fr-CA"/>
        </w:rPr>
      </w:pPr>
      <w:r w:rsidRPr="00887A36">
        <w:rPr>
          <w:lang w:val="fr-CA"/>
        </w:rPr>
        <w:t xml:space="preserve">La plus-value des </w:t>
      </w:r>
      <w:r w:rsidR="007E5AA9" w:rsidRPr="00887A36">
        <w:rPr>
          <w:lang w:val="fr-CA"/>
        </w:rPr>
        <w:t xml:space="preserve">formations en sécurisation culturelle </w:t>
      </w:r>
      <w:r w:rsidRPr="00887A36">
        <w:rPr>
          <w:lang w:val="fr-CA"/>
        </w:rPr>
        <w:t xml:space="preserve">a </w:t>
      </w:r>
      <w:r w:rsidR="00306685" w:rsidRPr="00887A36">
        <w:rPr>
          <w:lang w:val="fr-CA"/>
        </w:rPr>
        <w:t xml:space="preserve">récemment </w:t>
      </w:r>
      <w:r w:rsidRPr="00887A36">
        <w:rPr>
          <w:lang w:val="fr-CA"/>
        </w:rPr>
        <w:t>été mis</w:t>
      </w:r>
      <w:r w:rsidR="00306685" w:rsidRPr="00887A36">
        <w:rPr>
          <w:lang w:val="fr-CA"/>
        </w:rPr>
        <w:t>e</w:t>
      </w:r>
      <w:r w:rsidRPr="00887A36">
        <w:rPr>
          <w:lang w:val="fr-CA"/>
        </w:rPr>
        <w:t xml:space="preserve"> en lumière par </w:t>
      </w:r>
      <w:r w:rsidR="007E5AA9" w:rsidRPr="00887A36">
        <w:rPr>
          <w:color w:val="auto"/>
          <w:lang w:val="fr-CA"/>
        </w:rPr>
        <w:t>l’INSPQ</w:t>
      </w:r>
      <w:r w:rsidR="00574068" w:rsidRPr="00887A36">
        <w:rPr>
          <w:rStyle w:val="Appelnotedebasdep"/>
          <w:color w:val="auto"/>
          <w:lang w:val="fr-CA"/>
        </w:rPr>
        <w:footnoteReference w:id="137"/>
      </w:r>
      <w:r w:rsidR="000A3E2E" w:rsidRPr="00887A36">
        <w:rPr>
          <w:color w:val="auto"/>
          <w:lang w:val="fr-CA"/>
        </w:rPr>
        <w:t>.</w:t>
      </w:r>
      <w:r w:rsidR="000A3E2E" w:rsidRPr="001A4A5B">
        <w:rPr>
          <w:color w:val="auto"/>
          <w:lang w:val="fr-CA"/>
        </w:rPr>
        <w:t xml:space="preserve"> </w:t>
      </w:r>
      <w:r w:rsidR="00306685">
        <w:rPr>
          <w:color w:val="auto"/>
          <w:lang w:val="fr-CA"/>
        </w:rPr>
        <w:t>Ce</w:t>
      </w:r>
      <w:r w:rsidR="004D2A78">
        <w:rPr>
          <w:color w:val="auto"/>
          <w:lang w:val="fr-CA"/>
        </w:rPr>
        <w:t xml:space="preserve">lui-ci note </w:t>
      </w:r>
      <w:r w:rsidR="00306685">
        <w:rPr>
          <w:color w:val="auto"/>
          <w:lang w:val="fr-CA"/>
        </w:rPr>
        <w:t>que c</w:t>
      </w:r>
      <w:r w:rsidR="007E5AA9" w:rsidRPr="001A4A5B">
        <w:rPr>
          <w:color w:val="auto"/>
          <w:lang w:val="fr-CA"/>
        </w:rPr>
        <w:t xml:space="preserve">es formations </w:t>
      </w:r>
      <w:r w:rsidR="00AC0EA5">
        <w:rPr>
          <w:color w:val="auto"/>
          <w:lang w:val="fr-CA"/>
        </w:rPr>
        <w:t>permettent d’aller</w:t>
      </w:r>
      <w:r w:rsidR="007E5AA9" w:rsidRPr="001A4A5B">
        <w:rPr>
          <w:color w:val="auto"/>
          <w:lang w:val="fr-CA"/>
        </w:rPr>
        <w:t xml:space="preserve"> au-delà de la sensibilisation et abordent de front les rapports de pouvoirs et </w:t>
      </w:r>
      <w:r w:rsidR="003F7A7B" w:rsidRPr="001A4A5B">
        <w:rPr>
          <w:color w:val="auto"/>
          <w:lang w:val="fr-CA"/>
        </w:rPr>
        <w:t xml:space="preserve">les </w:t>
      </w:r>
      <w:r w:rsidR="007E5AA9" w:rsidRPr="001A4A5B">
        <w:rPr>
          <w:color w:val="auto"/>
          <w:lang w:val="fr-CA"/>
        </w:rPr>
        <w:t>discriminations découlant du colonialisme :</w:t>
      </w:r>
    </w:p>
    <w:p w14:paraId="6A9DFD64" w14:textId="4801DE16" w:rsidR="007E5AA9" w:rsidRPr="00DB3993" w:rsidRDefault="007E5AA9" w:rsidP="007E5AA9">
      <w:pPr>
        <w:pStyle w:val="Citation"/>
      </w:pPr>
      <w:r>
        <w:t>«</w:t>
      </w:r>
      <w:r w:rsidR="0040512D">
        <w:t> </w:t>
      </w:r>
      <w:r w:rsidRPr="00DB3993">
        <w:t>Dans cette approche, les activités de formation vont au-delà de la sensibilisation et de la prise de conscience des différences culturelles pour analyser les déséquilibres de pouvoir, la discrimination et les effets persistants du colonialisme sur les iniquités sociales et de santé vécus par les Autochtones. Plutôt qu’attribuer les différences entre les personnes à la culture, la sécurisation culturelle met en lumière la façon dont les relations sociales sont imbues de pouvoir et de privilèges exercés (en grande partie inconsciemment) par le personnel de santé et services sociaux, dans les politiques, les pratiques et les procédures quotidiennes des systèmes de santé</w:t>
      </w:r>
      <w:r>
        <w:t xml:space="preserve"> (Renvoi omis)</w:t>
      </w:r>
      <w:r w:rsidR="0040512D">
        <w:t> </w:t>
      </w:r>
      <w:r>
        <w:t>».</w:t>
      </w:r>
      <w:r>
        <w:rPr>
          <w:rStyle w:val="Appelnotedebasdep"/>
        </w:rPr>
        <w:footnoteReference w:id="138"/>
      </w:r>
    </w:p>
    <w:p w14:paraId="4A0EE66E" w14:textId="40F4C50A" w:rsidR="007E5AA9" w:rsidRPr="001A4A5B" w:rsidRDefault="004D2A78" w:rsidP="007E5AA9">
      <w:pPr>
        <w:pStyle w:val="Paragraphe"/>
        <w:rPr>
          <w:color w:val="auto"/>
          <w:lang w:val="fr-CA"/>
        </w:rPr>
      </w:pPr>
      <w:r>
        <w:rPr>
          <w:color w:val="auto"/>
          <w:lang w:val="fr-CA"/>
        </w:rPr>
        <w:t>S</w:t>
      </w:r>
      <w:r w:rsidR="007E5AA9" w:rsidRPr="001A4A5B">
        <w:rPr>
          <w:color w:val="auto"/>
          <w:lang w:val="fr-CA"/>
        </w:rPr>
        <w:t xml:space="preserve">ans se prononcer sur le contenu de cette formation offerte au Québec, l’INSPQ a relevé que les formations axées sur la sensibilisation culturelle </w:t>
      </w:r>
      <w:r w:rsidR="0009148F">
        <w:rPr>
          <w:color w:val="auto"/>
          <w:lang w:val="fr-CA"/>
        </w:rPr>
        <w:t>—</w:t>
      </w:r>
      <w:r w:rsidR="005B3539">
        <w:rPr>
          <w:color w:val="auto"/>
          <w:lang w:val="fr-CA"/>
        </w:rPr>
        <w:t xml:space="preserve"> </w:t>
      </w:r>
      <w:r w:rsidR="0009148F" w:rsidRPr="00887A36">
        <w:rPr>
          <w:lang w:val="fr-CA"/>
        </w:rPr>
        <w:t>contrairement à celles sur la sécurisation culturelle</w:t>
      </w:r>
      <w:r w:rsidR="00340254">
        <w:rPr>
          <w:lang w:val="fr-CA"/>
        </w:rPr>
        <w:t xml:space="preserve"> </w:t>
      </w:r>
      <w:r w:rsidR="0009148F" w:rsidRPr="00887A36">
        <w:rPr>
          <w:lang w:val="fr-CA"/>
        </w:rPr>
        <w:t>—</w:t>
      </w:r>
      <w:r w:rsidR="0009148F">
        <w:rPr>
          <w:lang w:val="fr-CA"/>
        </w:rPr>
        <w:t xml:space="preserve"> </w:t>
      </w:r>
      <w:r w:rsidR="007E5AA9" w:rsidRPr="001A4A5B">
        <w:rPr>
          <w:color w:val="auto"/>
          <w:lang w:val="fr-CA"/>
        </w:rPr>
        <w:t>peuvent renforcer les stéréotypes ou semer la confusion chez les apprenants lorsqu’elles ne comportent pas une dimension de réflexion critique</w:t>
      </w:r>
      <w:r w:rsidR="007E5AA9" w:rsidRPr="001A4A5B">
        <w:rPr>
          <w:rStyle w:val="Appelnotedebasdep"/>
          <w:color w:val="auto"/>
          <w:lang w:val="fr-CA"/>
        </w:rPr>
        <w:footnoteReference w:id="139"/>
      </w:r>
      <w:r w:rsidR="007E5AA9" w:rsidRPr="001A4A5B">
        <w:rPr>
          <w:color w:val="auto"/>
          <w:lang w:val="fr-CA"/>
        </w:rPr>
        <w:t>.</w:t>
      </w:r>
    </w:p>
    <w:p w14:paraId="67BA709A" w14:textId="679C54C7" w:rsidR="00A30BCF" w:rsidRDefault="00401B53" w:rsidP="009F60F9">
      <w:pPr>
        <w:pStyle w:val="Paragraphe"/>
        <w:shd w:val="clear" w:color="auto" w:fill="auto"/>
        <w:rPr>
          <w:color w:val="auto"/>
          <w:lang w:val="fr-CA"/>
        </w:rPr>
      </w:pPr>
      <w:r w:rsidRPr="001A4A5B">
        <w:rPr>
          <w:color w:val="auto"/>
          <w:lang w:val="fr-CA"/>
        </w:rPr>
        <w:t xml:space="preserve">Sur la base de tels constats, la Commission est d’avis </w:t>
      </w:r>
      <w:r w:rsidR="00D673C2" w:rsidRPr="001A4A5B">
        <w:rPr>
          <w:color w:val="auto"/>
          <w:lang w:val="fr-CA"/>
        </w:rPr>
        <w:t xml:space="preserve">que la formation visée par le projet de loi devrait </w:t>
      </w:r>
      <w:r w:rsidR="00D278B7" w:rsidRPr="001A4A5B">
        <w:rPr>
          <w:color w:val="auto"/>
          <w:lang w:val="fr-CA"/>
        </w:rPr>
        <w:t>porter spécifiquement sur l’approche de sécurisation culturelle</w:t>
      </w:r>
      <w:r w:rsidR="00BE7E48">
        <w:rPr>
          <w:color w:val="auto"/>
          <w:lang w:val="fr-CA"/>
        </w:rPr>
        <w:t>.</w:t>
      </w:r>
      <w:r w:rsidR="00AD55A8">
        <w:rPr>
          <w:color w:val="auto"/>
          <w:lang w:val="fr-CA"/>
        </w:rPr>
        <w:t xml:space="preserve"> </w:t>
      </w:r>
      <w:r w:rsidR="007B3CA5">
        <w:rPr>
          <w:color w:val="auto"/>
          <w:lang w:val="fr-CA"/>
        </w:rPr>
        <w:t>Comme d’autres l’on</w:t>
      </w:r>
      <w:r w:rsidR="001563DF">
        <w:rPr>
          <w:color w:val="auto"/>
          <w:lang w:val="fr-CA"/>
        </w:rPr>
        <w:t xml:space="preserve">t fait remarquer, </w:t>
      </w:r>
      <w:r w:rsidR="00B60B6E" w:rsidRPr="003F11D8">
        <w:rPr>
          <w:color w:val="auto"/>
          <w:lang w:val="fr-CA"/>
        </w:rPr>
        <w:t>«</w:t>
      </w:r>
      <w:r w:rsidR="0040512D">
        <w:rPr>
          <w:color w:val="auto"/>
          <w:lang w:val="fr-CA"/>
        </w:rPr>
        <w:t> </w:t>
      </w:r>
      <w:r w:rsidR="00A15FEC" w:rsidRPr="003F11D8">
        <w:rPr>
          <w:color w:val="auto"/>
          <w:lang w:val="fr-CA"/>
        </w:rPr>
        <w:t>la compétence</w:t>
      </w:r>
      <w:r w:rsidR="00C93826" w:rsidRPr="003F11D8">
        <w:rPr>
          <w:color w:val="auto"/>
          <w:lang w:val="fr-CA"/>
        </w:rPr>
        <w:t xml:space="preserve"> </w:t>
      </w:r>
      <w:r w:rsidR="00C76B23" w:rsidRPr="003F11D8">
        <w:rPr>
          <w:color w:val="auto"/>
          <w:lang w:val="fr-CA"/>
        </w:rPr>
        <w:t>culturelle</w:t>
      </w:r>
      <w:r w:rsidR="00DF5CDF" w:rsidRPr="003F11D8">
        <w:rPr>
          <w:color w:val="auto"/>
          <w:lang w:val="fr-CA"/>
        </w:rPr>
        <w:t xml:space="preserve"> nécessaire à </w:t>
      </w:r>
      <w:r w:rsidR="00753DC7" w:rsidRPr="003F11D8">
        <w:rPr>
          <w:color w:val="auto"/>
          <w:lang w:val="fr-CA"/>
        </w:rPr>
        <w:t xml:space="preserve">la sécurisation culturelle, </w:t>
      </w:r>
      <w:r w:rsidR="00E72ABD" w:rsidRPr="003F11D8">
        <w:rPr>
          <w:color w:val="auto"/>
          <w:lang w:val="fr-CA"/>
        </w:rPr>
        <w:t xml:space="preserve">ne </w:t>
      </w:r>
      <w:r w:rsidR="00517E20" w:rsidRPr="003F11D8">
        <w:rPr>
          <w:color w:val="auto"/>
          <w:lang w:val="fr-CA"/>
        </w:rPr>
        <w:t>s’acquière</w:t>
      </w:r>
      <w:r w:rsidR="00E93B2D" w:rsidRPr="003F11D8">
        <w:rPr>
          <w:color w:val="auto"/>
          <w:lang w:val="fr-CA"/>
        </w:rPr>
        <w:t xml:space="preserve"> </w:t>
      </w:r>
      <w:r w:rsidR="00B60B6E" w:rsidRPr="003F11D8">
        <w:rPr>
          <w:color w:val="auto"/>
          <w:lang w:val="fr-CA"/>
        </w:rPr>
        <w:t xml:space="preserve">généralement </w:t>
      </w:r>
      <w:r w:rsidR="007979BE" w:rsidRPr="003F11D8">
        <w:rPr>
          <w:color w:val="auto"/>
          <w:lang w:val="fr-CA"/>
        </w:rPr>
        <w:t>pas</w:t>
      </w:r>
      <w:r w:rsidR="00B60B6E" w:rsidRPr="003F11D8">
        <w:rPr>
          <w:color w:val="auto"/>
          <w:lang w:val="fr-CA"/>
        </w:rPr>
        <w:t xml:space="preserve"> </w:t>
      </w:r>
      <w:r w:rsidR="00BD0BD7" w:rsidRPr="003F11D8">
        <w:rPr>
          <w:color w:val="auto"/>
          <w:lang w:val="fr-CA"/>
        </w:rPr>
        <w:t>spontanément</w:t>
      </w:r>
      <w:r w:rsidR="0040512D">
        <w:rPr>
          <w:color w:val="auto"/>
          <w:lang w:val="fr-CA"/>
        </w:rPr>
        <w:t> </w:t>
      </w:r>
      <w:r w:rsidR="00BD0BD7" w:rsidRPr="003F11D8">
        <w:rPr>
          <w:color w:val="auto"/>
          <w:lang w:val="fr-CA"/>
        </w:rPr>
        <w:t>»</w:t>
      </w:r>
      <w:r w:rsidR="00BD0BD7" w:rsidRPr="003F11D8">
        <w:rPr>
          <w:rStyle w:val="Appelnotedebasdep"/>
          <w:color w:val="auto"/>
          <w:lang w:val="fr-CA"/>
        </w:rPr>
        <w:footnoteReference w:id="140"/>
      </w:r>
      <w:r w:rsidR="00BE3CBC" w:rsidRPr="003F11D8">
        <w:rPr>
          <w:color w:val="auto"/>
          <w:lang w:val="fr-CA"/>
        </w:rPr>
        <w:t xml:space="preserve">. </w:t>
      </w:r>
      <w:r w:rsidR="00311249" w:rsidRPr="003F11D8">
        <w:rPr>
          <w:color w:val="auto"/>
          <w:lang w:val="fr-CA"/>
        </w:rPr>
        <w:t>Il s’</w:t>
      </w:r>
      <w:r w:rsidR="007E23C9" w:rsidRPr="003F11D8">
        <w:rPr>
          <w:color w:val="auto"/>
          <w:lang w:val="fr-CA"/>
        </w:rPr>
        <w:t>agi</w:t>
      </w:r>
      <w:r w:rsidR="003B6CE4">
        <w:rPr>
          <w:color w:val="auto"/>
          <w:lang w:val="fr-CA"/>
        </w:rPr>
        <w:t>t</w:t>
      </w:r>
      <w:r w:rsidR="00311249" w:rsidRPr="003F11D8">
        <w:rPr>
          <w:color w:val="auto"/>
          <w:lang w:val="fr-CA"/>
        </w:rPr>
        <w:t xml:space="preserve"> davantage </w:t>
      </w:r>
      <w:r w:rsidR="007E23C9" w:rsidRPr="003F11D8">
        <w:rPr>
          <w:color w:val="auto"/>
          <w:lang w:val="fr-CA"/>
        </w:rPr>
        <w:t>d’un cheminement personnel</w:t>
      </w:r>
      <w:r w:rsidR="001E65EE" w:rsidRPr="003F11D8">
        <w:rPr>
          <w:color w:val="auto"/>
          <w:lang w:val="fr-CA"/>
        </w:rPr>
        <w:t xml:space="preserve"> </w:t>
      </w:r>
      <w:r w:rsidR="001E65EE" w:rsidRPr="003F11D8">
        <w:rPr>
          <w:color w:val="auto"/>
          <w:lang w:val="fr-CA"/>
        </w:rPr>
        <w:lastRenderedPageBreak/>
        <w:t xml:space="preserve">nécessitant le passage de </w:t>
      </w:r>
      <w:r w:rsidR="007D3A1A" w:rsidRPr="003F11D8">
        <w:rPr>
          <w:color w:val="auto"/>
          <w:lang w:val="fr-CA"/>
        </w:rPr>
        <w:t>certai</w:t>
      </w:r>
      <w:r w:rsidR="002E340D" w:rsidRPr="003F11D8">
        <w:rPr>
          <w:color w:val="auto"/>
          <w:lang w:val="fr-CA"/>
        </w:rPr>
        <w:t>ns stades</w:t>
      </w:r>
      <w:r w:rsidR="001870EE" w:rsidRPr="003F11D8">
        <w:rPr>
          <w:rStyle w:val="Appelnotedebasdep"/>
          <w:color w:val="auto"/>
          <w:lang w:val="fr-CA"/>
        </w:rPr>
        <w:footnoteReference w:id="141"/>
      </w:r>
      <w:r w:rsidR="003F11D8">
        <w:rPr>
          <w:color w:val="auto"/>
          <w:lang w:val="fr-CA"/>
        </w:rPr>
        <w:t xml:space="preserve">. </w:t>
      </w:r>
      <w:r w:rsidR="00902EB8">
        <w:rPr>
          <w:color w:val="auto"/>
          <w:lang w:val="fr-CA"/>
        </w:rPr>
        <w:t xml:space="preserve">Ainsi, </w:t>
      </w:r>
      <w:r w:rsidR="00902EB8" w:rsidRPr="004D2054">
        <w:rPr>
          <w:color w:val="auto"/>
          <w:lang w:val="fr-CA"/>
        </w:rPr>
        <w:t xml:space="preserve">le législateur devrait prévoir une offre de formation continue. </w:t>
      </w:r>
    </w:p>
    <w:p w14:paraId="498DBCC6" w14:textId="5DC2FB01" w:rsidR="00D2283C" w:rsidRPr="009F60F9" w:rsidRDefault="00A30BCF" w:rsidP="009F60F9">
      <w:pPr>
        <w:pStyle w:val="Paragraphe"/>
        <w:shd w:val="clear" w:color="auto" w:fill="auto"/>
        <w:rPr>
          <w:lang w:val="fr-CA"/>
        </w:rPr>
      </w:pPr>
      <w:r w:rsidRPr="00BB3005">
        <w:rPr>
          <w:color w:val="auto"/>
          <w:lang w:val="fr-CA"/>
        </w:rPr>
        <w:t xml:space="preserve">Il est entendu </w:t>
      </w:r>
      <w:r w:rsidR="00902EB8" w:rsidRPr="00CA7873">
        <w:rPr>
          <w:lang w:val="fr-CA"/>
        </w:rPr>
        <w:t>qu</w:t>
      </w:r>
      <w:r w:rsidR="00902EB8" w:rsidRPr="00CA7873">
        <w:rPr>
          <w:color w:val="auto"/>
          <w:lang w:val="fr-CA"/>
        </w:rPr>
        <w:t xml:space="preserve">e la formation </w:t>
      </w:r>
      <w:r w:rsidRPr="00CA7873">
        <w:rPr>
          <w:color w:val="auto"/>
          <w:lang w:val="fr-CA"/>
        </w:rPr>
        <w:t>obligatoire</w:t>
      </w:r>
      <w:r w:rsidR="00902EB8" w:rsidRPr="00CA7873">
        <w:rPr>
          <w:color w:val="auto"/>
          <w:lang w:val="fr-CA"/>
        </w:rPr>
        <w:t xml:space="preserve"> visée </w:t>
      </w:r>
      <w:r w:rsidRPr="00CA7873">
        <w:rPr>
          <w:color w:val="auto"/>
          <w:lang w:val="fr-CA"/>
        </w:rPr>
        <w:t xml:space="preserve">par le projet de loi </w:t>
      </w:r>
      <w:r w:rsidRPr="00CA7873">
        <w:rPr>
          <w:lang w:val="fr-CA"/>
        </w:rPr>
        <w:t>serait</w:t>
      </w:r>
      <w:r w:rsidR="00902EB8" w:rsidRPr="00CA7873">
        <w:rPr>
          <w:lang w:val="fr-CA"/>
        </w:rPr>
        <w:t xml:space="preserve"> dispensée à tous les membres du personnel d</w:t>
      </w:r>
      <w:r w:rsidR="0048249B" w:rsidRPr="00CA7873">
        <w:rPr>
          <w:lang w:val="fr-CA"/>
        </w:rPr>
        <w:t>u</w:t>
      </w:r>
      <w:r w:rsidR="00902EB8" w:rsidRPr="00CA7873">
        <w:rPr>
          <w:lang w:val="fr-CA"/>
        </w:rPr>
        <w:t xml:space="preserve"> RSSS, qu’ils soient employés, gestionnaires ou représentants de la haute direction.</w:t>
      </w:r>
      <w:r w:rsidR="009F60F9" w:rsidRPr="00CA7873">
        <w:rPr>
          <w:lang w:val="fr-CA"/>
        </w:rPr>
        <w:t xml:space="preserve"> </w:t>
      </w:r>
      <w:r w:rsidR="00D116BE" w:rsidRPr="00CA7873">
        <w:rPr>
          <w:lang w:val="fr-CA"/>
        </w:rPr>
        <w:t>Or, l</w:t>
      </w:r>
      <w:r w:rsidR="009F60F9" w:rsidRPr="00CA7873">
        <w:rPr>
          <w:lang w:val="fr-CA"/>
        </w:rPr>
        <w:t>a Commission croit qu’afin de parvenir efficacement à une mise en œuvre des pratiques sécurisantes, les membres des conseils d’administration des établissements du RSSS devraient également recevoir une formation sur la sécurisation culturelle.</w:t>
      </w:r>
      <w:r w:rsidR="009F60F9" w:rsidRPr="009F60F9">
        <w:rPr>
          <w:lang w:val="fr-CA"/>
        </w:rPr>
        <w:t xml:space="preserve"> </w:t>
      </w:r>
    </w:p>
    <w:p w14:paraId="75217544" w14:textId="4E1BA742" w:rsidR="00E21798" w:rsidRPr="001A4A5B" w:rsidRDefault="009D25F7" w:rsidP="00B33265">
      <w:pPr>
        <w:pStyle w:val="Paragraphe"/>
        <w:shd w:val="clear" w:color="auto" w:fill="auto"/>
        <w:rPr>
          <w:color w:val="auto"/>
          <w:lang w:val="fr-FR"/>
        </w:rPr>
      </w:pPr>
      <w:r w:rsidRPr="00502DB5">
        <w:rPr>
          <w:color w:val="auto"/>
          <w:lang w:val="fr-CA"/>
        </w:rPr>
        <w:t>La</w:t>
      </w:r>
      <w:r w:rsidR="00ED4A58">
        <w:rPr>
          <w:color w:val="auto"/>
          <w:lang w:val="fr-CA"/>
        </w:rPr>
        <w:t xml:space="preserve"> Commission est par ailleurs d’avis que la</w:t>
      </w:r>
      <w:r w:rsidRPr="00502DB5">
        <w:rPr>
          <w:color w:val="auto"/>
          <w:lang w:val="fr-CA"/>
        </w:rPr>
        <w:t xml:space="preserve"> formation obligatoire</w:t>
      </w:r>
      <w:r w:rsidR="00170B07">
        <w:rPr>
          <w:color w:val="auto"/>
          <w:lang w:val="fr-CA"/>
        </w:rPr>
        <w:t>, un des moyens incontournables pour adapter l’offre de santé et de services sociaux,</w:t>
      </w:r>
      <w:r w:rsidR="00BE7E48" w:rsidRPr="00502DB5">
        <w:rPr>
          <w:color w:val="auto"/>
          <w:lang w:val="fr-CA"/>
        </w:rPr>
        <w:t xml:space="preserve"> </w:t>
      </w:r>
      <w:r w:rsidR="00BA6D11" w:rsidRPr="00502DB5">
        <w:rPr>
          <w:color w:val="auto"/>
          <w:lang w:val="fr-CA"/>
        </w:rPr>
        <w:t>devrait</w:t>
      </w:r>
      <w:r w:rsidR="008474E0" w:rsidRPr="00502DB5">
        <w:rPr>
          <w:color w:val="auto"/>
          <w:lang w:val="fr-CA"/>
        </w:rPr>
        <w:t xml:space="preserve"> </w:t>
      </w:r>
      <w:r w:rsidRPr="00502DB5">
        <w:rPr>
          <w:color w:val="auto"/>
          <w:lang w:val="fr-CA"/>
        </w:rPr>
        <w:t xml:space="preserve">nécessairement aborder </w:t>
      </w:r>
      <w:r w:rsidR="008474E0" w:rsidRPr="00502DB5">
        <w:rPr>
          <w:color w:val="auto"/>
          <w:lang w:val="fr-CA"/>
        </w:rPr>
        <w:t>le cadre des droits et libertés de la personne</w:t>
      </w:r>
      <w:r w:rsidR="00710A20" w:rsidRPr="00502DB5">
        <w:rPr>
          <w:color w:val="auto"/>
          <w:lang w:val="fr-CA"/>
        </w:rPr>
        <w:t xml:space="preserve"> de façon </w:t>
      </w:r>
      <w:r w:rsidR="00893E1D" w:rsidRPr="00502DB5">
        <w:rPr>
          <w:color w:val="auto"/>
          <w:lang w:val="fr-CA"/>
        </w:rPr>
        <w:t xml:space="preserve">à favoriser une </w:t>
      </w:r>
      <w:r w:rsidR="00A92B86" w:rsidRPr="00502DB5">
        <w:rPr>
          <w:color w:val="auto"/>
          <w:lang w:val="fr-CA"/>
        </w:rPr>
        <w:t xml:space="preserve">bonne compréhension </w:t>
      </w:r>
      <w:r w:rsidR="002E17BE" w:rsidRPr="00502DB5">
        <w:rPr>
          <w:color w:val="auto"/>
          <w:lang w:val="fr-CA"/>
        </w:rPr>
        <w:t>des enjeux de discrimination par le personnel du RSSS</w:t>
      </w:r>
      <w:r w:rsidR="008474E0" w:rsidRPr="00502DB5">
        <w:rPr>
          <w:color w:val="auto"/>
          <w:lang w:val="fr-CA"/>
        </w:rPr>
        <w:t>.</w:t>
      </w:r>
      <w:r w:rsidR="0073072F" w:rsidRPr="00502DB5">
        <w:rPr>
          <w:color w:val="auto"/>
          <w:lang w:val="fr-CA"/>
        </w:rPr>
        <w:t xml:space="preserve"> </w:t>
      </w:r>
      <w:r w:rsidR="00767BE3" w:rsidRPr="00502DB5">
        <w:rPr>
          <w:color w:val="auto"/>
          <w:lang w:val="fr-CA"/>
        </w:rPr>
        <w:t>Le</w:t>
      </w:r>
      <w:r w:rsidR="00E21798" w:rsidRPr="00502DB5">
        <w:rPr>
          <w:color w:val="auto"/>
          <w:lang w:val="fr-CA"/>
        </w:rPr>
        <w:t xml:space="preserve"> Comité pour l’élimination de la discrimination raciale </w:t>
      </w:r>
      <w:r w:rsidR="007748FD" w:rsidRPr="00502DB5">
        <w:rPr>
          <w:color w:val="auto"/>
          <w:lang w:val="fr-CA"/>
        </w:rPr>
        <w:t>enjoi</w:t>
      </w:r>
      <w:r w:rsidR="00FB0BAF" w:rsidRPr="00502DB5">
        <w:rPr>
          <w:color w:val="auto"/>
          <w:lang w:val="fr-CA"/>
        </w:rPr>
        <w:t>n</w:t>
      </w:r>
      <w:r w:rsidR="007748FD" w:rsidRPr="00502DB5">
        <w:rPr>
          <w:color w:val="auto"/>
          <w:lang w:val="fr-CA"/>
        </w:rPr>
        <w:t>t</w:t>
      </w:r>
      <w:r w:rsidR="00FB0BAF" w:rsidRPr="00502DB5">
        <w:rPr>
          <w:color w:val="auto"/>
          <w:lang w:val="fr-CA"/>
        </w:rPr>
        <w:t xml:space="preserve"> </w:t>
      </w:r>
      <w:r w:rsidR="00194B4F">
        <w:rPr>
          <w:color w:val="auto"/>
          <w:lang w:val="fr-CA"/>
        </w:rPr>
        <w:t>à cet égard</w:t>
      </w:r>
      <w:r w:rsidR="00751AC7" w:rsidRPr="00502DB5">
        <w:rPr>
          <w:color w:val="auto"/>
          <w:lang w:val="fr-CA"/>
        </w:rPr>
        <w:t xml:space="preserve"> </w:t>
      </w:r>
      <w:r w:rsidR="00E21798" w:rsidRPr="00502DB5">
        <w:rPr>
          <w:color w:val="auto"/>
          <w:lang w:val="fr-CA"/>
        </w:rPr>
        <w:t xml:space="preserve">les États parties </w:t>
      </w:r>
      <w:r w:rsidR="00751AC7" w:rsidRPr="00502DB5">
        <w:rPr>
          <w:color w:val="auto"/>
          <w:lang w:val="fr-CA"/>
        </w:rPr>
        <w:t xml:space="preserve">à </w:t>
      </w:r>
      <w:r w:rsidR="00E21798" w:rsidRPr="00502DB5">
        <w:rPr>
          <w:color w:val="auto"/>
          <w:lang w:val="fr-CA"/>
        </w:rPr>
        <w:t>rendre obligatoire pour le personnel de la santé et des services sociaux une formation aux droits de la personne axée sur la discrimination raciale</w:t>
      </w:r>
      <w:r w:rsidR="00E21798" w:rsidRPr="00502DB5">
        <w:rPr>
          <w:rStyle w:val="Appelnotedebasdep"/>
          <w:color w:val="auto"/>
          <w:lang w:val="fr-CA"/>
        </w:rPr>
        <w:footnoteReference w:id="142"/>
      </w:r>
      <w:r w:rsidR="00E21798" w:rsidRPr="00502DB5">
        <w:rPr>
          <w:color w:val="auto"/>
          <w:lang w:val="fr-FR"/>
        </w:rPr>
        <w:t>.</w:t>
      </w:r>
    </w:p>
    <w:p w14:paraId="59635D54" w14:textId="2383928E" w:rsidR="003F048F" w:rsidRPr="00D73466" w:rsidRDefault="0073072F" w:rsidP="00CE4394">
      <w:pPr>
        <w:pStyle w:val="Paragraphe"/>
        <w:rPr>
          <w:color w:val="auto"/>
          <w:lang w:val="fr-CA"/>
        </w:rPr>
      </w:pPr>
      <w:r w:rsidRPr="00D73466">
        <w:rPr>
          <w:color w:val="auto"/>
          <w:lang w:val="fr-CA"/>
        </w:rPr>
        <w:t xml:space="preserve">La formation offerte devrait </w:t>
      </w:r>
      <w:r w:rsidR="002A4851" w:rsidRPr="00D73466">
        <w:rPr>
          <w:color w:val="auto"/>
          <w:lang w:val="fr-CA"/>
        </w:rPr>
        <w:t>de plus</w:t>
      </w:r>
      <w:r w:rsidRPr="00D73466">
        <w:rPr>
          <w:color w:val="auto"/>
          <w:lang w:val="fr-CA"/>
        </w:rPr>
        <w:t xml:space="preserve"> </w:t>
      </w:r>
      <w:r w:rsidR="000E5613" w:rsidRPr="00D73466">
        <w:rPr>
          <w:color w:val="auto"/>
          <w:lang w:val="fr-CA"/>
        </w:rPr>
        <w:t xml:space="preserve">permettre de répondre </w:t>
      </w:r>
      <w:r w:rsidR="00DE6469" w:rsidRPr="00D73466">
        <w:rPr>
          <w:color w:val="auto"/>
          <w:lang w:val="fr-CA"/>
        </w:rPr>
        <w:t>aux</w:t>
      </w:r>
      <w:r w:rsidR="000E5613" w:rsidRPr="00D73466">
        <w:rPr>
          <w:color w:val="auto"/>
          <w:lang w:val="fr-CA"/>
        </w:rPr>
        <w:t xml:space="preserve"> appel</w:t>
      </w:r>
      <w:r w:rsidR="00DE6469" w:rsidRPr="00D73466">
        <w:rPr>
          <w:color w:val="auto"/>
          <w:lang w:val="fr-CA"/>
        </w:rPr>
        <w:t>s</w:t>
      </w:r>
      <w:r w:rsidR="000E5613" w:rsidRPr="00D73466">
        <w:rPr>
          <w:color w:val="auto"/>
          <w:lang w:val="fr-CA"/>
        </w:rPr>
        <w:t xml:space="preserve"> à l</w:t>
      </w:r>
      <w:r w:rsidR="00CE4394" w:rsidRPr="00D73466">
        <w:rPr>
          <w:color w:val="auto"/>
          <w:lang w:val="fr-CA"/>
        </w:rPr>
        <w:t>a justice</w:t>
      </w:r>
      <w:r w:rsidR="001F313E">
        <w:rPr>
          <w:color w:val="auto"/>
          <w:lang w:val="fr-CA"/>
        </w:rPr>
        <w:t> </w:t>
      </w:r>
      <w:r w:rsidR="003B50A3" w:rsidRPr="00D73466">
        <w:rPr>
          <w:color w:val="auto"/>
          <w:lang w:val="fr-CA"/>
        </w:rPr>
        <w:t>7.</w:t>
      </w:r>
      <w:r w:rsidR="005D21A6" w:rsidRPr="00D73466">
        <w:rPr>
          <w:color w:val="auto"/>
          <w:lang w:val="fr-CA"/>
        </w:rPr>
        <w:t>6 et 12.2</w:t>
      </w:r>
      <w:r w:rsidR="00CE4394" w:rsidRPr="00D73466">
        <w:rPr>
          <w:color w:val="auto"/>
          <w:lang w:val="fr-CA"/>
        </w:rPr>
        <w:t xml:space="preserve"> de l’ENFFADA</w:t>
      </w:r>
      <w:r w:rsidR="005D21A6" w:rsidRPr="00D73466">
        <w:rPr>
          <w:color w:val="auto"/>
          <w:lang w:val="fr-CA"/>
        </w:rPr>
        <w:t xml:space="preserve"> qui concernent </w:t>
      </w:r>
      <w:r w:rsidR="003750B3" w:rsidRPr="00D73466">
        <w:rPr>
          <w:color w:val="auto"/>
          <w:lang w:val="fr-CA"/>
        </w:rPr>
        <w:t>l’offre de services continus de formation, d’éducation et de sensibil</w:t>
      </w:r>
      <w:r w:rsidR="00201869" w:rsidRPr="00D73466">
        <w:rPr>
          <w:color w:val="auto"/>
          <w:lang w:val="fr-CA"/>
        </w:rPr>
        <w:t>isation</w:t>
      </w:r>
      <w:r w:rsidR="001708D8" w:rsidRPr="00D73466">
        <w:rPr>
          <w:color w:val="auto"/>
          <w:lang w:val="fr-CA"/>
        </w:rPr>
        <w:t xml:space="preserve">, </w:t>
      </w:r>
      <w:r w:rsidR="0069442A" w:rsidRPr="00D73466">
        <w:rPr>
          <w:color w:val="auto"/>
          <w:lang w:val="fr-CA"/>
        </w:rPr>
        <w:t xml:space="preserve">notamment sur les éléments </w:t>
      </w:r>
      <w:r w:rsidR="003D62FC" w:rsidRPr="00D73466">
        <w:rPr>
          <w:color w:val="auto"/>
          <w:lang w:val="fr-CA"/>
        </w:rPr>
        <w:t>suivants</w:t>
      </w:r>
      <w:r w:rsidR="00D149E6">
        <w:rPr>
          <w:color w:val="auto"/>
          <w:lang w:val="fr-CA"/>
        </w:rPr>
        <w:t> </w:t>
      </w:r>
      <w:r w:rsidR="00CE4394" w:rsidRPr="00D73466">
        <w:rPr>
          <w:color w:val="auto"/>
          <w:lang w:val="fr-CA"/>
        </w:rPr>
        <w:t>:</w:t>
      </w:r>
      <w:r w:rsidR="000E5613" w:rsidRPr="00D73466">
        <w:rPr>
          <w:color w:val="auto"/>
          <w:lang w:val="fr-CA"/>
        </w:rPr>
        <w:t xml:space="preserve"> </w:t>
      </w:r>
    </w:p>
    <w:p w14:paraId="0B0915BB" w14:textId="306DD309" w:rsidR="003F048F" w:rsidRPr="00D33E4F" w:rsidRDefault="003F048F" w:rsidP="00D33E4F">
      <w:pPr>
        <w:pStyle w:val="Citation"/>
        <w:numPr>
          <w:ilvl w:val="0"/>
          <w:numId w:val="17"/>
        </w:numPr>
        <w:ind w:left="993" w:hanging="284"/>
        <w:rPr>
          <w:sz w:val="22"/>
        </w:rPr>
      </w:pPr>
      <w:proofErr w:type="gramStart"/>
      <w:r w:rsidRPr="00D33E4F">
        <w:rPr>
          <w:sz w:val="22"/>
        </w:rPr>
        <w:t>le</w:t>
      </w:r>
      <w:proofErr w:type="gramEnd"/>
      <w:r w:rsidRPr="00D33E4F">
        <w:rPr>
          <w:sz w:val="22"/>
        </w:rPr>
        <w:t xml:space="preserve"> rôle du colonialisme dans l’oppression et le génocide des </w:t>
      </w:r>
      <w:r w:rsidR="00AD4EA7" w:rsidRPr="00D33E4F">
        <w:rPr>
          <w:sz w:val="22"/>
        </w:rPr>
        <w:t>Inuit</w:t>
      </w:r>
      <w:r w:rsidRPr="00D33E4F">
        <w:rPr>
          <w:sz w:val="22"/>
        </w:rPr>
        <w:t>, des Métis et des Premières Nations</w:t>
      </w:r>
      <w:r w:rsidR="00371576" w:rsidRPr="00D33E4F">
        <w:rPr>
          <w:sz w:val="22"/>
        </w:rPr>
        <w:t xml:space="preserve">, y compris </w:t>
      </w:r>
      <w:r w:rsidR="008C6569" w:rsidRPr="00D33E4F">
        <w:rPr>
          <w:sz w:val="22"/>
        </w:rPr>
        <w:t>l’historique du système de protection de l’enfance</w:t>
      </w:r>
      <w:r w:rsidR="00523C51" w:rsidRPr="00D33E4F">
        <w:rPr>
          <w:sz w:val="22"/>
        </w:rPr>
        <w:t> </w:t>
      </w:r>
      <w:r w:rsidRPr="00D33E4F">
        <w:rPr>
          <w:sz w:val="22"/>
        </w:rPr>
        <w:t xml:space="preserve">; </w:t>
      </w:r>
    </w:p>
    <w:p w14:paraId="0FB80C08" w14:textId="05D2ABD3" w:rsidR="003F048F" w:rsidRPr="00D33E4F" w:rsidRDefault="003F048F" w:rsidP="00D33E4F">
      <w:pPr>
        <w:pStyle w:val="Citation"/>
        <w:numPr>
          <w:ilvl w:val="0"/>
          <w:numId w:val="17"/>
        </w:numPr>
        <w:ind w:left="993" w:hanging="284"/>
        <w:rPr>
          <w:sz w:val="22"/>
        </w:rPr>
      </w:pPr>
      <w:proofErr w:type="gramStart"/>
      <w:r w:rsidRPr="00D33E4F">
        <w:rPr>
          <w:sz w:val="22"/>
        </w:rPr>
        <w:t>la</w:t>
      </w:r>
      <w:proofErr w:type="gramEnd"/>
      <w:r w:rsidRPr="00D33E4F">
        <w:rPr>
          <w:sz w:val="22"/>
        </w:rPr>
        <w:t xml:space="preserve"> lutte contre les préjugés et le racisme</w:t>
      </w:r>
      <w:r w:rsidR="00523C51" w:rsidRPr="00D33E4F">
        <w:rPr>
          <w:sz w:val="22"/>
        </w:rPr>
        <w:t> </w:t>
      </w:r>
      <w:r w:rsidRPr="00D33E4F">
        <w:rPr>
          <w:sz w:val="22"/>
        </w:rPr>
        <w:t xml:space="preserve">; </w:t>
      </w:r>
    </w:p>
    <w:p w14:paraId="2ED9D68C" w14:textId="7E167F36" w:rsidR="003F048F" w:rsidRPr="00D33E4F" w:rsidRDefault="003F048F" w:rsidP="00D33E4F">
      <w:pPr>
        <w:pStyle w:val="Citation"/>
        <w:numPr>
          <w:ilvl w:val="0"/>
          <w:numId w:val="17"/>
        </w:numPr>
        <w:ind w:left="993" w:hanging="284"/>
        <w:rPr>
          <w:sz w:val="22"/>
        </w:rPr>
      </w:pPr>
      <w:proofErr w:type="gramStart"/>
      <w:r w:rsidRPr="00D33E4F">
        <w:rPr>
          <w:sz w:val="22"/>
        </w:rPr>
        <w:t>les</w:t>
      </w:r>
      <w:proofErr w:type="gramEnd"/>
      <w:r w:rsidRPr="00D33E4F">
        <w:rPr>
          <w:sz w:val="22"/>
        </w:rPr>
        <w:t xml:space="preserve"> langues et les cultures locales</w:t>
      </w:r>
      <w:r w:rsidR="00523C51" w:rsidRPr="00D33E4F">
        <w:rPr>
          <w:sz w:val="22"/>
        </w:rPr>
        <w:t> </w:t>
      </w:r>
      <w:r w:rsidRPr="00D33E4F">
        <w:rPr>
          <w:sz w:val="22"/>
        </w:rPr>
        <w:t xml:space="preserve">; </w:t>
      </w:r>
    </w:p>
    <w:p w14:paraId="2701511B" w14:textId="27A2610B" w:rsidR="003F048F" w:rsidRPr="00D33E4F" w:rsidRDefault="003F048F" w:rsidP="00D33E4F">
      <w:pPr>
        <w:pStyle w:val="Citation"/>
        <w:numPr>
          <w:ilvl w:val="0"/>
          <w:numId w:val="17"/>
        </w:numPr>
        <w:ind w:left="993" w:hanging="284"/>
        <w:rPr>
          <w:sz w:val="22"/>
        </w:rPr>
      </w:pPr>
      <w:proofErr w:type="gramStart"/>
      <w:r w:rsidRPr="00D33E4F">
        <w:rPr>
          <w:sz w:val="22"/>
        </w:rPr>
        <w:t>les</w:t>
      </w:r>
      <w:proofErr w:type="gramEnd"/>
      <w:r w:rsidRPr="00D33E4F">
        <w:rPr>
          <w:sz w:val="22"/>
        </w:rPr>
        <w:t xml:space="preserve"> pratiques locales en matière de santé et de guérison</w:t>
      </w:r>
      <w:r w:rsidR="00E00B80">
        <w:rPr>
          <w:sz w:val="22"/>
        </w:rPr>
        <w:t> </w:t>
      </w:r>
      <w:r w:rsidR="003E6940">
        <w:rPr>
          <w:sz w:val="22"/>
        </w:rPr>
        <w:t>;</w:t>
      </w:r>
      <w:r w:rsidR="00422D1D">
        <w:rPr>
          <w:sz w:val="22"/>
        </w:rPr>
        <w:t xml:space="preserve"> et</w:t>
      </w:r>
    </w:p>
    <w:p w14:paraId="3C192F7F" w14:textId="3682C037" w:rsidR="00371576" w:rsidRPr="00D33E4F" w:rsidRDefault="00371576" w:rsidP="00D33E4F">
      <w:pPr>
        <w:pStyle w:val="Citation"/>
        <w:numPr>
          <w:ilvl w:val="0"/>
          <w:numId w:val="17"/>
        </w:numPr>
        <w:ind w:left="993" w:hanging="284"/>
        <w:rPr>
          <w:sz w:val="22"/>
        </w:rPr>
      </w:pPr>
      <w:proofErr w:type="gramStart"/>
      <w:r w:rsidRPr="00D33E4F">
        <w:rPr>
          <w:sz w:val="22"/>
        </w:rPr>
        <w:t>l’exploitation</w:t>
      </w:r>
      <w:proofErr w:type="gramEnd"/>
      <w:r w:rsidRPr="00D33E4F">
        <w:rPr>
          <w:sz w:val="22"/>
        </w:rPr>
        <w:t xml:space="preserve"> sexuelle et la traite des personnes afin d’être en mesure de reconnaître les signes et de prévoir des mesures d’intervention spécialisées.</w:t>
      </w:r>
    </w:p>
    <w:p w14:paraId="16BA14A4" w14:textId="7CD97180" w:rsidR="007E5AA9" w:rsidRPr="001A4A5B" w:rsidRDefault="007E5AA9" w:rsidP="007E5AA9">
      <w:pPr>
        <w:pStyle w:val="Paragraphe"/>
        <w:rPr>
          <w:color w:val="auto"/>
          <w:lang w:val="fr-CA"/>
        </w:rPr>
      </w:pPr>
      <w:r w:rsidRPr="001A4A5B">
        <w:rPr>
          <w:color w:val="auto"/>
          <w:lang w:val="fr-FR"/>
        </w:rPr>
        <w:t xml:space="preserve">Cela </w:t>
      </w:r>
      <w:r w:rsidR="00170B07">
        <w:rPr>
          <w:color w:val="auto"/>
          <w:lang w:val="fr-FR"/>
        </w:rPr>
        <w:t>serait</w:t>
      </w:r>
      <w:r w:rsidRPr="001A4A5B">
        <w:rPr>
          <w:color w:val="auto"/>
          <w:lang w:val="fr-FR"/>
        </w:rPr>
        <w:t xml:space="preserve"> aussi cohérent avec le Principe de Joyce qui énonce que les organisations du RSSS doivent s’engager à offrir une formation continue relative au Principe et que </w:t>
      </w:r>
      <w:r w:rsidRPr="001A4A5B">
        <w:rPr>
          <w:color w:val="auto"/>
          <w:lang w:val="fr-CA"/>
        </w:rPr>
        <w:t>«</w:t>
      </w:r>
      <w:r w:rsidR="0040512D">
        <w:rPr>
          <w:color w:val="auto"/>
          <w:lang w:val="fr-CA"/>
        </w:rPr>
        <w:t> </w:t>
      </w:r>
      <w:r w:rsidRPr="001A4A5B">
        <w:rPr>
          <w:color w:val="auto"/>
          <w:lang w:val="fr-CA"/>
        </w:rPr>
        <w:t xml:space="preserve">[c]es formations </w:t>
      </w:r>
      <w:r w:rsidRPr="001A4A5B">
        <w:rPr>
          <w:color w:val="auto"/>
          <w:lang w:val="fr-CA"/>
        </w:rPr>
        <w:lastRenderedPageBreak/>
        <w:t>doivent être élaborées par, ou à tout le moins en collaboration avec, les acteurs autochtones de la santé et des services sociaux</w:t>
      </w:r>
      <w:r w:rsidR="0040512D">
        <w:rPr>
          <w:color w:val="auto"/>
          <w:lang w:val="fr-CA"/>
        </w:rPr>
        <w:t> </w:t>
      </w:r>
      <w:r w:rsidRPr="001A4A5B">
        <w:rPr>
          <w:color w:val="auto"/>
          <w:lang w:val="fr-CA"/>
        </w:rPr>
        <w:t>»</w:t>
      </w:r>
      <w:r w:rsidRPr="001A4A5B">
        <w:rPr>
          <w:rStyle w:val="Appelnotedebasdep"/>
          <w:color w:val="auto"/>
          <w:lang w:val="fr-CA"/>
        </w:rPr>
        <w:footnoteReference w:id="143"/>
      </w:r>
      <w:r w:rsidRPr="001A4A5B">
        <w:rPr>
          <w:color w:val="auto"/>
          <w:lang w:val="fr-CA"/>
        </w:rPr>
        <w:t>.</w:t>
      </w:r>
    </w:p>
    <w:p w14:paraId="1C3CB99B" w14:textId="7A1F0AAA" w:rsidR="00DA4ACA" w:rsidRDefault="00FC7946" w:rsidP="00AB4833">
      <w:pPr>
        <w:pStyle w:val="TitreRecommandation"/>
      </w:pPr>
      <w:r>
        <w:t>Recommandation</w:t>
      </w:r>
      <w:r w:rsidR="001F313E">
        <w:rPr>
          <w:rFonts w:hint="eastAsia"/>
        </w:rPr>
        <w:t> </w:t>
      </w:r>
      <w:r w:rsidR="00F929D1">
        <w:t>10</w:t>
      </w:r>
    </w:p>
    <w:p w14:paraId="672B07EE" w14:textId="7430B80A" w:rsidR="00347D80" w:rsidRDefault="007E5AA9" w:rsidP="00322B22">
      <w:pPr>
        <w:pStyle w:val="Texterecommandation"/>
        <w:ind w:left="706"/>
      </w:pPr>
      <w:bookmarkStart w:id="55" w:name="_Hlk145326218"/>
      <w:r w:rsidRPr="00F94964">
        <w:t xml:space="preserve">La Commission </w:t>
      </w:r>
      <w:r w:rsidR="00C84A7C" w:rsidRPr="00F94964">
        <w:t>recommande</w:t>
      </w:r>
      <w:r w:rsidRPr="00F94964">
        <w:t xml:space="preserve"> </w:t>
      </w:r>
      <w:r w:rsidR="0032559F" w:rsidRPr="00F94964">
        <w:t xml:space="preserve">de modifier le projet de loi afin </w:t>
      </w:r>
      <w:r w:rsidR="00575632" w:rsidRPr="00F94964">
        <w:t xml:space="preserve">qu’il soit prévu </w:t>
      </w:r>
      <w:r w:rsidRPr="00F94964">
        <w:t xml:space="preserve">que la formation obligatoire visée par </w:t>
      </w:r>
      <w:r w:rsidR="00322B22" w:rsidRPr="00F94964">
        <w:rPr>
          <w:rFonts w:ascii="Arial" w:hAnsi="Arial" w:cs="Arial"/>
          <w:bCs/>
          <w:szCs w:val="22"/>
        </w:rPr>
        <w:t>l</w:t>
      </w:r>
      <w:r w:rsidR="00322B22" w:rsidRPr="00F94964">
        <w:rPr>
          <w:rFonts w:ascii="Arial" w:hAnsi="Arial" w:cs="Arial"/>
          <w:b w:val="0"/>
          <w:bCs/>
          <w:szCs w:val="22"/>
        </w:rPr>
        <w:t>’</w:t>
      </w:r>
      <w:r w:rsidR="00322B22" w:rsidRPr="00F94964">
        <w:rPr>
          <w:rFonts w:ascii="Arial" w:hAnsi="Arial" w:cs="Arial"/>
          <w:bCs/>
          <w:szCs w:val="22"/>
        </w:rPr>
        <w:t>art</w:t>
      </w:r>
      <w:r w:rsidR="00322B22" w:rsidRPr="00F94964">
        <w:rPr>
          <w:rFonts w:ascii="Arial" w:hAnsi="Arial" w:cs="Arial"/>
          <w:szCs w:val="22"/>
        </w:rPr>
        <w:t>icle</w:t>
      </w:r>
      <w:r w:rsidR="00322B22" w:rsidRPr="00F94964">
        <w:rPr>
          <w:rFonts w:ascii="Arial" w:hAnsi="Arial" w:cs="Arial"/>
          <w:bCs/>
          <w:szCs w:val="22"/>
        </w:rPr>
        <w:t xml:space="preserve"> 1 al. 2, par. 4</w:t>
      </w:r>
      <w:r w:rsidR="0082014E">
        <w:rPr>
          <w:rFonts w:ascii="Arial" w:hAnsi="Arial" w:cs="Arial"/>
          <w:bCs/>
          <w:szCs w:val="22"/>
        </w:rPr>
        <w:t> </w:t>
      </w:r>
      <w:r w:rsidR="00322B22" w:rsidRPr="00F94964">
        <w:rPr>
          <w:rFonts w:ascii="Arial" w:hAnsi="Arial" w:cs="Arial"/>
          <w:bCs/>
          <w:szCs w:val="22"/>
        </w:rPr>
        <w:t xml:space="preserve">c) </w:t>
      </w:r>
      <w:r w:rsidR="00112E82" w:rsidRPr="00F94964">
        <w:t>porte sur</w:t>
      </w:r>
      <w:r w:rsidRPr="00F94964">
        <w:t xml:space="preserve"> la </w:t>
      </w:r>
      <w:r w:rsidR="00112E82" w:rsidRPr="00F94964">
        <w:t>sécurisation culturelle</w:t>
      </w:r>
      <w:r w:rsidR="00D37991">
        <w:t>.</w:t>
      </w:r>
      <w:r w:rsidR="009C5F3F" w:rsidRPr="004D2054">
        <w:t xml:space="preserve"> </w:t>
      </w:r>
      <w:r w:rsidR="00347D80">
        <w:t>Cette formation</w:t>
      </w:r>
      <w:r w:rsidR="009C5F3F" w:rsidRPr="004D2054">
        <w:t xml:space="preserve"> </w:t>
      </w:r>
      <w:r w:rsidR="00D37991">
        <w:t xml:space="preserve">devrait </w:t>
      </w:r>
      <w:r w:rsidR="009C5F3F" w:rsidRPr="004D2054">
        <w:t>aborde</w:t>
      </w:r>
      <w:r w:rsidR="00D37991">
        <w:t>r</w:t>
      </w:r>
      <w:r w:rsidR="009C5F3F" w:rsidRPr="004D2054">
        <w:t xml:space="preserve"> le cadre des </w:t>
      </w:r>
      <w:r w:rsidR="00BF2FF9">
        <w:t xml:space="preserve">droits et libertés de la </w:t>
      </w:r>
      <w:r w:rsidR="009C5F3F" w:rsidRPr="004D2054">
        <w:t>personne</w:t>
      </w:r>
      <w:r w:rsidR="00D37991">
        <w:t>, les droits des peuples autochtones</w:t>
      </w:r>
      <w:r w:rsidR="009C5F3F" w:rsidRPr="004D2054">
        <w:t xml:space="preserve"> et </w:t>
      </w:r>
      <w:r w:rsidR="00D37991">
        <w:t>être</w:t>
      </w:r>
      <w:r w:rsidR="008E0932" w:rsidRPr="00F94964">
        <w:t xml:space="preserve"> élabor</w:t>
      </w:r>
      <w:r w:rsidR="00E85549" w:rsidRPr="00F94964">
        <w:t>ée</w:t>
      </w:r>
      <w:r w:rsidRPr="00F94964">
        <w:t xml:space="preserve"> en collaboration avec </w:t>
      </w:r>
      <w:r w:rsidR="00127423" w:rsidRPr="00F94964">
        <w:t>les</w:t>
      </w:r>
      <w:r w:rsidR="001308D8" w:rsidRPr="00F94964">
        <w:t xml:space="preserve"> autorités</w:t>
      </w:r>
      <w:r w:rsidRPr="00F94964">
        <w:t xml:space="preserve"> autochtones</w:t>
      </w:r>
      <w:r w:rsidR="002C2A58" w:rsidRPr="00F94964">
        <w:t xml:space="preserve">. </w:t>
      </w:r>
    </w:p>
    <w:p w14:paraId="7BB6A487" w14:textId="211EDF4A" w:rsidR="007E5AA9" w:rsidRDefault="008E0932" w:rsidP="00322B22">
      <w:pPr>
        <w:pStyle w:val="Texterecommandation"/>
        <w:ind w:left="706"/>
      </w:pPr>
      <w:r w:rsidRPr="00F94964">
        <w:t xml:space="preserve">De plus, </w:t>
      </w:r>
      <w:r w:rsidR="00127423" w:rsidRPr="00F94964">
        <w:t>le projet d</w:t>
      </w:r>
      <w:r w:rsidR="00E85549" w:rsidRPr="00F94964">
        <w:t xml:space="preserve">e </w:t>
      </w:r>
      <w:r w:rsidR="00127423" w:rsidRPr="00F94964">
        <w:t>loi devrait prévoir</w:t>
      </w:r>
      <w:r w:rsidR="002827C2">
        <w:t xml:space="preserve"> </w:t>
      </w:r>
      <w:r w:rsidR="002827C2" w:rsidRPr="00310EF1">
        <w:t xml:space="preserve">que cette formation </w:t>
      </w:r>
      <w:r w:rsidR="00A33F6C" w:rsidRPr="00310EF1">
        <w:t>soit</w:t>
      </w:r>
      <w:r w:rsidR="00E0666C" w:rsidRPr="00310EF1">
        <w:t xml:space="preserve"> continue</w:t>
      </w:r>
      <w:r w:rsidR="00A33F6C" w:rsidRPr="00310EF1">
        <w:t xml:space="preserve"> et soumise à</w:t>
      </w:r>
      <w:r w:rsidR="00C62801" w:rsidRPr="00310EF1">
        <w:t xml:space="preserve"> </w:t>
      </w:r>
      <w:r w:rsidR="007E5AA9" w:rsidRPr="00310EF1">
        <w:t>une évaluation formelle des acquis</w:t>
      </w:r>
      <w:r w:rsidR="007E5AA9" w:rsidRPr="009F617A">
        <w:t>.</w:t>
      </w:r>
      <w:r w:rsidR="007E5AA9" w:rsidRPr="00F94964">
        <w:t xml:space="preserve"> </w:t>
      </w:r>
    </w:p>
    <w:bookmarkEnd w:id="55"/>
    <w:p w14:paraId="4F19E69D" w14:textId="35B50859" w:rsidR="003C25A4" w:rsidRPr="001F313E" w:rsidRDefault="003722C6" w:rsidP="0097791A">
      <w:pPr>
        <w:pStyle w:val="Paragraphe"/>
        <w:rPr>
          <w:lang w:val="fr-CA"/>
        </w:rPr>
      </w:pPr>
      <w:r w:rsidRPr="00CE48ED">
        <w:rPr>
          <w:lang w:val="fr-CA"/>
        </w:rPr>
        <w:t>En amont d’une formation en emploi</w:t>
      </w:r>
      <w:r w:rsidR="00165857">
        <w:rPr>
          <w:lang w:val="fr-CA"/>
        </w:rPr>
        <w:t xml:space="preserve"> continue</w:t>
      </w:r>
      <w:r w:rsidRPr="00CE48ED">
        <w:rPr>
          <w:lang w:val="fr-CA"/>
        </w:rPr>
        <w:t xml:space="preserve"> obligatoire, l</w:t>
      </w:r>
      <w:r w:rsidR="005305A9" w:rsidRPr="00CE48ED">
        <w:rPr>
          <w:lang w:val="fr-CA"/>
        </w:rPr>
        <w:t xml:space="preserve">a Commission est d’avis </w:t>
      </w:r>
      <w:r w:rsidR="00177A8C" w:rsidRPr="00CE48ED">
        <w:rPr>
          <w:lang w:val="fr-CA"/>
        </w:rPr>
        <w:t>que</w:t>
      </w:r>
      <w:r w:rsidR="00B82BC2" w:rsidRPr="00CE48ED">
        <w:rPr>
          <w:lang w:val="fr-CA"/>
        </w:rPr>
        <w:t xml:space="preserve"> la formation initiale est un facteur clé</w:t>
      </w:r>
      <w:r w:rsidR="00D92BC0" w:rsidRPr="00CE48ED">
        <w:rPr>
          <w:lang w:val="fr-CA"/>
        </w:rPr>
        <w:t xml:space="preserve"> du su</w:t>
      </w:r>
      <w:r w:rsidR="002521A5" w:rsidRPr="00CE48ED">
        <w:rPr>
          <w:lang w:val="fr-CA"/>
        </w:rPr>
        <w:t>ccès</w:t>
      </w:r>
      <w:r w:rsidR="009C601A" w:rsidRPr="00CE48ED">
        <w:rPr>
          <w:lang w:val="fr-CA"/>
        </w:rPr>
        <w:t xml:space="preserve"> de</w:t>
      </w:r>
      <w:r w:rsidR="00EB787C" w:rsidRPr="00CE48ED">
        <w:rPr>
          <w:lang w:val="fr-CA"/>
        </w:rPr>
        <w:t xml:space="preserve"> l’</w:t>
      </w:r>
      <w:r w:rsidR="009C601A" w:rsidRPr="00CE48ED">
        <w:rPr>
          <w:lang w:val="fr-CA"/>
        </w:rPr>
        <w:t xml:space="preserve">adoption </w:t>
      </w:r>
      <w:r w:rsidR="001F48F9" w:rsidRPr="00CE48ED">
        <w:rPr>
          <w:lang w:val="fr-CA"/>
        </w:rPr>
        <w:t>d’une approche de sécurisation</w:t>
      </w:r>
      <w:r w:rsidR="006F56BA" w:rsidRPr="00CE48ED">
        <w:rPr>
          <w:lang w:val="fr-CA"/>
        </w:rPr>
        <w:t xml:space="preserve"> culturelle en santé et en services sociaux</w:t>
      </w:r>
      <w:r w:rsidR="009C601A" w:rsidRPr="00CE48ED">
        <w:rPr>
          <w:lang w:val="fr-CA"/>
        </w:rPr>
        <w:t xml:space="preserve">. </w:t>
      </w:r>
      <w:r w:rsidR="00FC57D1" w:rsidRPr="001F313E">
        <w:rPr>
          <w:lang w:val="fr-CA"/>
        </w:rPr>
        <w:t xml:space="preserve">Cela rejoint </w:t>
      </w:r>
      <w:r w:rsidR="009C601A" w:rsidRPr="001F313E">
        <w:rPr>
          <w:lang w:val="fr-CA"/>
        </w:rPr>
        <w:t xml:space="preserve">notamment </w:t>
      </w:r>
      <w:r w:rsidR="00FC57D1" w:rsidRPr="001F313E">
        <w:rPr>
          <w:lang w:val="fr-CA"/>
        </w:rPr>
        <w:t>l’</w:t>
      </w:r>
      <w:r w:rsidR="003C25A4" w:rsidRPr="001F313E">
        <w:rPr>
          <w:lang w:val="fr-CA"/>
        </w:rPr>
        <w:t>appel à l’action n</w:t>
      </w:r>
      <w:r w:rsidR="003C25A4" w:rsidRPr="001F313E">
        <w:rPr>
          <w:vertAlign w:val="superscript"/>
          <w:lang w:val="fr-CA"/>
        </w:rPr>
        <w:t>o</w:t>
      </w:r>
      <w:r w:rsidR="001F313E" w:rsidRPr="001F313E">
        <w:rPr>
          <w:vertAlign w:val="superscript"/>
          <w:lang w:val="fr-CA"/>
        </w:rPr>
        <w:t> </w:t>
      </w:r>
      <w:r w:rsidR="003C25A4" w:rsidRPr="001F313E">
        <w:rPr>
          <w:lang w:val="fr-CA"/>
        </w:rPr>
        <w:t>23 de la Commission Viens et l’appel à l</w:t>
      </w:r>
      <w:r w:rsidR="00624A64">
        <w:rPr>
          <w:lang w:val="fr-CA"/>
        </w:rPr>
        <w:t>’action</w:t>
      </w:r>
      <w:r w:rsidR="003C25A4" w:rsidRPr="001F313E">
        <w:rPr>
          <w:lang w:val="fr-CA"/>
        </w:rPr>
        <w:t xml:space="preserve"> n</w:t>
      </w:r>
      <w:r w:rsidR="003C25A4" w:rsidRPr="001F313E">
        <w:rPr>
          <w:vertAlign w:val="superscript"/>
          <w:lang w:val="fr-CA"/>
        </w:rPr>
        <w:t>o</w:t>
      </w:r>
      <w:r w:rsidR="001F313E" w:rsidRPr="001F313E">
        <w:rPr>
          <w:lang w:val="fr-CA"/>
        </w:rPr>
        <w:t> </w:t>
      </w:r>
      <w:r w:rsidR="003C25A4" w:rsidRPr="001F313E">
        <w:rPr>
          <w:lang w:val="fr-CA"/>
        </w:rPr>
        <w:t>24 de la Commission de vérité et réconciliation</w:t>
      </w:r>
      <w:r w:rsidR="003C25A4">
        <w:rPr>
          <w:rStyle w:val="Appelnotedebasdep"/>
        </w:rPr>
        <w:footnoteReference w:id="144"/>
      </w:r>
      <w:r w:rsidR="003C25A4" w:rsidRPr="001F313E">
        <w:rPr>
          <w:lang w:val="fr-CA"/>
        </w:rPr>
        <w:t xml:space="preserve"> </w:t>
      </w:r>
      <w:r w:rsidR="00FC57D1" w:rsidRPr="001F313E">
        <w:rPr>
          <w:lang w:val="fr-CA"/>
        </w:rPr>
        <w:t xml:space="preserve">qui </w:t>
      </w:r>
      <w:r w:rsidR="003C25A4" w:rsidRPr="001F313E">
        <w:rPr>
          <w:lang w:val="fr-CA"/>
        </w:rPr>
        <w:t>port</w:t>
      </w:r>
      <w:r w:rsidR="00FC57D1" w:rsidRPr="001F313E">
        <w:rPr>
          <w:lang w:val="fr-CA"/>
        </w:rPr>
        <w:t>e</w:t>
      </w:r>
      <w:r w:rsidR="003C25A4" w:rsidRPr="001F313E">
        <w:rPr>
          <w:lang w:val="fr-CA"/>
        </w:rPr>
        <w:t>nt sur l’inclusion d’un volet sur la santé et les droits autochtones dans le cadre de la formation des étudiantes et étudiants en médecine, en sciences infirmières et en travail social.</w:t>
      </w:r>
      <w:r w:rsidRPr="001F313E">
        <w:rPr>
          <w:lang w:val="fr-CA"/>
        </w:rPr>
        <w:t xml:space="preserve"> </w:t>
      </w:r>
    </w:p>
    <w:p w14:paraId="303B3249" w14:textId="39B4A559" w:rsidR="003722C6" w:rsidRPr="0082014E" w:rsidRDefault="00852EB9" w:rsidP="0097791A">
      <w:pPr>
        <w:pStyle w:val="Paragraphe"/>
        <w:rPr>
          <w:lang w:val="fr-CA"/>
        </w:rPr>
      </w:pPr>
      <w:r w:rsidRPr="00C84C0A">
        <w:rPr>
          <w:lang w:val="fr-CA"/>
        </w:rPr>
        <w:t xml:space="preserve">Qui plus est, </w:t>
      </w:r>
      <w:r w:rsidR="00126ED1" w:rsidRPr="00C84C0A">
        <w:rPr>
          <w:lang w:val="fr-CA"/>
        </w:rPr>
        <w:t>p</w:t>
      </w:r>
      <w:r w:rsidR="003722C6" w:rsidRPr="00C84C0A">
        <w:rPr>
          <w:lang w:val="fr-CA"/>
        </w:rPr>
        <w:t xml:space="preserve">uisque les médecins ne sont </w:t>
      </w:r>
      <w:r w:rsidR="00734D39">
        <w:rPr>
          <w:lang w:val="fr-CA"/>
        </w:rPr>
        <w:t xml:space="preserve">pas </w:t>
      </w:r>
      <w:r w:rsidR="003722C6" w:rsidRPr="00C84C0A">
        <w:rPr>
          <w:lang w:val="fr-CA"/>
        </w:rPr>
        <w:t>employés par les établissements du RSSS, ces professionnels ne seraient manifestement pas visés par la formation obligatoire prévue au projet de loi</w:t>
      </w:r>
      <w:r w:rsidR="005E41B4" w:rsidRPr="001A4A5B">
        <w:rPr>
          <w:rStyle w:val="Appelnotedebasdep"/>
        </w:rPr>
        <w:footnoteReference w:id="145"/>
      </w:r>
      <w:r w:rsidR="003722C6" w:rsidRPr="00C84C0A">
        <w:rPr>
          <w:lang w:val="fr-CA"/>
        </w:rPr>
        <w:t xml:space="preserve">. </w:t>
      </w:r>
      <w:r w:rsidR="004458A1" w:rsidRPr="0082014E">
        <w:rPr>
          <w:lang w:val="fr-CA"/>
        </w:rPr>
        <w:t xml:space="preserve">Or, </w:t>
      </w:r>
      <w:r w:rsidR="00294901" w:rsidRPr="0082014E">
        <w:rPr>
          <w:lang w:val="fr-CA"/>
        </w:rPr>
        <w:t xml:space="preserve">bien </w:t>
      </w:r>
      <w:r w:rsidR="00786CCF" w:rsidRPr="0082014E">
        <w:rPr>
          <w:lang w:val="fr-CA"/>
        </w:rPr>
        <w:t xml:space="preserve">que </w:t>
      </w:r>
      <w:r w:rsidR="00687DC1" w:rsidRPr="0082014E">
        <w:rPr>
          <w:lang w:val="fr-CA"/>
        </w:rPr>
        <w:t>les programmes de médecine des universités québécoises comprennent déjà, à différents niveaux, des enseignements relatifs à la santé autochtone</w:t>
      </w:r>
      <w:r w:rsidR="00C9074F" w:rsidRPr="0082014E">
        <w:rPr>
          <w:lang w:val="fr-CA"/>
        </w:rPr>
        <w:t xml:space="preserve">, un sondage mené auprès </w:t>
      </w:r>
      <w:r w:rsidR="00C91387" w:rsidRPr="0082014E">
        <w:rPr>
          <w:lang w:val="fr-CA"/>
        </w:rPr>
        <w:t>de la population étudiante en médecine a révélé que 51,2</w:t>
      </w:r>
      <w:r w:rsidR="0082014E" w:rsidRPr="0082014E">
        <w:rPr>
          <w:lang w:val="fr-CA"/>
        </w:rPr>
        <w:t> </w:t>
      </w:r>
      <w:r w:rsidR="00C91387" w:rsidRPr="0082014E">
        <w:rPr>
          <w:lang w:val="fr-CA"/>
        </w:rPr>
        <w:t>% considèrent que leur formation actuelle n’est pas satisfaisante pour répondre aux besoins des Premières Nations et des Inuit</w:t>
      </w:r>
      <w:r w:rsidR="007C2DFD">
        <w:rPr>
          <w:rStyle w:val="Appelnotedebasdep"/>
        </w:rPr>
        <w:footnoteReference w:id="146"/>
      </w:r>
      <w:r w:rsidR="00A52410" w:rsidRPr="0082014E">
        <w:rPr>
          <w:lang w:val="fr-CA"/>
        </w:rPr>
        <w:t>.</w:t>
      </w:r>
    </w:p>
    <w:p w14:paraId="623CD72C" w14:textId="048E727A" w:rsidR="003C25A4" w:rsidRPr="00C84C0A" w:rsidRDefault="00CB0AD2" w:rsidP="0097791A">
      <w:pPr>
        <w:pStyle w:val="Paragraphe"/>
        <w:rPr>
          <w:lang w:val="fr-CA"/>
        </w:rPr>
      </w:pPr>
      <w:r w:rsidRPr="00C84C0A">
        <w:rPr>
          <w:lang w:val="fr-CA"/>
        </w:rPr>
        <w:t xml:space="preserve">La Commission a déjà formulé des recommandations </w:t>
      </w:r>
      <w:r w:rsidR="00C525D4" w:rsidRPr="00C84C0A">
        <w:rPr>
          <w:lang w:val="fr-CA"/>
        </w:rPr>
        <w:t xml:space="preserve">allant dans le sens de l’intégration </w:t>
      </w:r>
      <w:r w:rsidR="00ED7FC2" w:rsidRPr="00C84C0A">
        <w:rPr>
          <w:lang w:val="fr-CA"/>
        </w:rPr>
        <w:t xml:space="preserve">des enjeux liés à la discrimination, au racisme et aux rapports sociaux de pouvoir dans la formation </w:t>
      </w:r>
      <w:r w:rsidR="00ED7FC2" w:rsidRPr="00C84C0A">
        <w:rPr>
          <w:lang w:val="fr-CA"/>
        </w:rPr>
        <w:lastRenderedPageBreak/>
        <w:t>in</w:t>
      </w:r>
      <w:r w:rsidR="00724421" w:rsidRPr="00C84C0A">
        <w:rPr>
          <w:lang w:val="fr-CA"/>
        </w:rPr>
        <w:t>itiale des personnes œuvrant dans les services publics, y compris le</w:t>
      </w:r>
      <w:r w:rsidR="002209A8" w:rsidRPr="00C84C0A">
        <w:rPr>
          <w:lang w:val="fr-CA"/>
        </w:rPr>
        <w:t xml:space="preserve"> RSSS</w:t>
      </w:r>
      <w:r w:rsidR="002209A8" w:rsidRPr="001A4A5B">
        <w:rPr>
          <w:rStyle w:val="Appelnotedebasdep"/>
        </w:rPr>
        <w:footnoteReference w:id="147"/>
      </w:r>
      <w:r w:rsidR="002209A8" w:rsidRPr="00C84C0A">
        <w:rPr>
          <w:lang w:val="fr-CA"/>
        </w:rPr>
        <w:t>.</w:t>
      </w:r>
      <w:r w:rsidR="00E53444" w:rsidRPr="00C84C0A">
        <w:rPr>
          <w:lang w:val="fr-CA"/>
        </w:rPr>
        <w:t xml:space="preserve"> Elle réitère cette recommandation en l’adaptant afin </w:t>
      </w:r>
      <w:r w:rsidR="00875BC6" w:rsidRPr="00C84C0A">
        <w:rPr>
          <w:lang w:val="fr-CA"/>
        </w:rPr>
        <w:t xml:space="preserve">de </w:t>
      </w:r>
      <w:r w:rsidR="00E53444" w:rsidRPr="00C84C0A">
        <w:rPr>
          <w:lang w:val="fr-CA"/>
        </w:rPr>
        <w:t>renvoyer explicitement à la sécurisation culturelle.</w:t>
      </w:r>
    </w:p>
    <w:p w14:paraId="6DFB9608" w14:textId="4D97F40F" w:rsidR="00A05C7A" w:rsidRDefault="00A05C7A" w:rsidP="00AB4833">
      <w:pPr>
        <w:pStyle w:val="TitreRecommandation"/>
      </w:pPr>
      <w:r>
        <w:t>Recommandation</w:t>
      </w:r>
      <w:r w:rsidR="001F313E">
        <w:rPr>
          <w:rFonts w:hint="eastAsia"/>
        </w:rPr>
        <w:t> </w:t>
      </w:r>
      <w:r w:rsidR="005F1E53">
        <w:t>1</w:t>
      </w:r>
      <w:r w:rsidR="00F929D1">
        <w:t>1</w:t>
      </w:r>
    </w:p>
    <w:p w14:paraId="54BDA68A" w14:textId="5AF119A0" w:rsidR="00875BC6" w:rsidRDefault="00875BC6" w:rsidP="004265C8">
      <w:pPr>
        <w:pStyle w:val="Texterecommandation"/>
        <w:ind w:left="706"/>
      </w:pPr>
      <w:r w:rsidRPr="00875BC6">
        <w:t xml:space="preserve">La Commission recommande </w:t>
      </w:r>
      <w:r w:rsidR="00CB354D">
        <w:t>au</w:t>
      </w:r>
      <w:r w:rsidRPr="00875BC6">
        <w:t xml:space="preserve"> ministère de l’Enseignement supérieur</w:t>
      </w:r>
      <w:r w:rsidR="0022106F">
        <w:t xml:space="preserve"> </w:t>
      </w:r>
      <w:r w:rsidR="00CB354D">
        <w:t xml:space="preserve">de </w:t>
      </w:r>
      <w:r w:rsidR="0022106F">
        <w:t xml:space="preserve">collaborer avec les </w:t>
      </w:r>
      <w:r w:rsidR="00427124">
        <w:t>autorités des Premières Nation</w:t>
      </w:r>
      <w:r w:rsidR="00B36D4D">
        <w:t>s</w:t>
      </w:r>
      <w:r w:rsidR="00427124">
        <w:t xml:space="preserve"> et Inuit </w:t>
      </w:r>
      <w:r w:rsidR="00D735DE">
        <w:t xml:space="preserve">et </w:t>
      </w:r>
      <w:r w:rsidR="00404EAB">
        <w:t>organi</w:t>
      </w:r>
      <w:r w:rsidR="0019767D">
        <w:t>s</w:t>
      </w:r>
      <w:r w:rsidR="00404EAB">
        <w:t>mes</w:t>
      </w:r>
      <w:r w:rsidR="0019767D">
        <w:t xml:space="preserve"> autochtones</w:t>
      </w:r>
      <w:r w:rsidR="00404EAB">
        <w:t xml:space="preserve"> </w:t>
      </w:r>
      <w:r w:rsidR="00427124">
        <w:t>ainsi qu’avec les facultés universitaires</w:t>
      </w:r>
      <w:r w:rsidR="00D10466">
        <w:t xml:space="preserve"> et </w:t>
      </w:r>
      <w:r w:rsidR="0040581E">
        <w:t>les cé</w:t>
      </w:r>
      <w:r w:rsidR="00861C99">
        <w:t xml:space="preserve">geps concernés afin que </w:t>
      </w:r>
      <w:r w:rsidRPr="00875BC6">
        <w:t xml:space="preserve">les programmes </w:t>
      </w:r>
      <w:r w:rsidR="00E12995">
        <w:t>en santé et en services sociaux</w:t>
      </w:r>
      <w:r w:rsidRPr="00875BC6">
        <w:t xml:space="preserve"> comportent une formation antiraciste</w:t>
      </w:r>
      <w:r w:rsidR="00A9072C">
        <w:t xml:space="preserve"> </w:t>
      </w:r>
      <w:r w:rsidR="002818E0">
        <w:t>axée sur la sécurisation culturelle</w:t>
      </w:r>
      <w:r w:rsidR="00D13A23">
        <w:t xml:space="preserve"> et les droits des peuples autochtones, </w:t>
      </w:r>
      <w:r w:rsidRPr="00875BC6">
        <w:t xml:space="preserve">incluant l’éducation aux droits et libertés prévus à la </w:t>
      </w:r>
      <w:r w:rsidRPr="00CF484C">
        <w:rPr>
          <w:i/>
          <w:iCs/>
        </w:rPr>
        <w:t>Charte</w:t>
      </w:r>
      <w:r w:rsidR="00CF484C" w:rsidRPr="00CF484C">
        <w:rPr>
          <w:i/>
          <w:iCs/>
        </w:rPr>
        <w:t xml:space="preserve"> des droits et libertés de la personne</w:t>
      </w:r>
      <w:r w:rsidRPr="00875BC6">
        <w:t xml:space="preserve">. </w:t>
      </w:r>
    </w:p>
    <w:p w14:paraId="483DB53A" w14:textId="223EDD20" w:rsidR="00875BC6" w:rsidRDefault="00875BC6" w:rsidP="004265C8">
      <w:pPr>
        <w:pStyle w:val="Texterecommandation"/>
        <w:ind w:left="706"/>
      </w:pPr>
      <w:r w:rsidRPr="00875BC6">
        <w:t>Cette formation doit</w:t>
      </w:r>
      <w:r w:rsidR="00F254A2">
        <w:rPr>
          <w:rFonts w:hint="eastAsia"/>
        </w:rPr>
        <w:t> </w:t>
      </w:r>
      <w:r w:rsidRPr="00875BC6">
        <w:t xml:space="preserve">:  </w:t>
      </w:r>
    </w:p>
    <w:p w14:paraId="6A6F66F5" w14:textId="77777777" w:rsidR="00734D39" w:rsidRDefault="00875BC6" w:rsidP="00A37BD7">
      <w:pPr>
        <w:pStyle w:val="Texterecommandation"/>
        <w:numPr>
          <w:ilvl w:val="0"/>
          <w:numId w:val="23"/>
        </w:numPr>
        <w:ind w:left="1276"/>
      </w:pPr>
      <w:proofErr w:type="gramStart"/>
      <w:r w:rsidRPr="00875BC6">
        <w:t>aborder</w:t>
      </w:r>
      <w:proofErr w:type="gramEnd"/>
      <w:r w:rsidRPr="00875BC6">
        <w:t xml:space="preserve"> le racisme, la discrimination et le profilage racial dans leur contexte sociohistorique et sous leur aspect systémique et intersectionnel</w:t>
      </w:r>
      <w:r w:rsidR="00523C51">
        <w:t> </w:t>
      </w:r>
      <w:r w:rsidRPr="00875BC6">
        <w:t>;</w:t>
      </w:r>
    </w:p>
    <w:p w14:paraId="7526CF2C" w14:textId="1B71B0D9" w:rsidR="00734D39" w:rsidRPr="007C3D33" w:rsidRDefault="00734D39" w:rsidP="00A37BD7">
      <w:pPr>
        <w:pStyle w:val="Texterecommandation"/>
        <w:numPr>
          <w:ilvl w:val="0"/>
          <w:numId w:val="23"/>
        </w:numPr>
        <w:ind w:left="1276"/>
      </w:pPr>
      <w:proofErr w:type="gramStart"/>
      <w:r w:rsidRPr="007C3D33">
        <w:t>aborder</w:t>
      </w:r>
      <w:proofErr w:type="gramEnd"/>
      <w:r w:rsidRPr="007C3D33">
        <w:t xml:space="preserve"> le Principe de Joyce</w:t>
      </w:r>
      <w:r w:rsidR="00E00B80">
        <w:t> </w:t>
      </w:r>
      <w:r w:rsidRPr="007C3D33">
        <w:t>;</w:t>
      </w:r>
      <w:r w:rsidR="00875BC6" w:rsidRPr="007C3D33">
        <w:t xml:space="preserve">  </w:t>
      </w:r>
    </w:p>
    <w:p w14:paraId="5B1773F5" w14:textId="358C6C09" w:rsidR="00875BC6" w:rsidRDefault="00875BC6" w:rsidP="00A37BD7">
      <w:pPr>
        <w:pStyle w:val="Texterecommandation"/>
        <w:numPr>
          <w:ilvl w:val="0"/>
          <w:numId w:val="23"/>
        </w:numPr>
        <w:ind w:left="1276"/>
      </w:pPr>
      <w:proofErr w:type="gramStart"/>
      <w:r w:rsidRPr="00875BC6">
        <w:rPr>
          <w:rFonts w:ascii="Arial" w:hAnsi="Arial" w:cs="Arial"/>
        </w:rPr>
        <w:t>ê</w:t>
      </w:r>
      <w:r w:rsidRPr="00875BC6">
        <w:t>tre</w:t>
      </w:r>
      <w:proofErr w:type="gramEnd"/>
      <w:r w:rsidRPr="00875BC6">
        <w:t xml:space="preserve"> obligatoire et syst</w:t>
      </w:r>
      <w:r w:rsidRPr="00875BC6">
        <w:rPr>
          <w:rFonts w:ascii="Arial" w:hAnsi="Arial" w:cs="Arial"/>
        </w:rPr>
        <w:t>é</w:t>
      </w:r>
      <w:r w:rsidRPr="00875BC6">
        <w:t>matiquement assortie d</w:t>
      </w:r>
      <w:r w:rsidRPr="00875BC6">
        <w:rPr>
          <w:rFonts w:ascii="Arial" w:hAnsi="Arial" w:cs="Arial"/>
        </w:rPr>
        <w:t>’</w:t>
      </w:r>
      <w:r w:rsidRPr="00875BC6">
        <w:t xml:space="preserve">une </w:t>
      </w:r>
      <w:r w:rsidRPr="00875BC6">
        <w:rPr>
          <w:rFonts w:ascii="Arial" w:hAnsi="Arial" w:cs="Arial"/>
        </w:rPr>
        <w:t>é</w:t>
      </w:r>
      <w:r w:rsidRPr="00875BC6">
        <w:t>valuation formelle des acquis</w:t>
      </w:r>
      <w:r w:rsidR="00523C51">
        <w:t> </w:t>
      </w:r>
      <w:r w:rsidRPr="00875BC6">
        <w:t>;</w:t>
      </w:r>
    </w:p>
    <w:p w14:paraId="3028F203" w14:textId="5251BC5A" w:rsidR="00875BC6" w:rsidRPr="00B60C9E" w:rsidRDefault="00875BC6" w:rsidP="00A37BD7">
      <w:pPr>
        <w:pStyle w:val="Texterecommandation"/>
        <w:numPr>
          <w:ilvl w:val="0"/>
          <w:numId w:val="23"/>
        </w:numPr>
        <w:ind w:left="1276"/>
      </w:pPr>
      <w:proofErr w:type="gramStart"/>
      <w:r w:rsidRPr="00875BC6">
        <w:rPr>
          <w:rFonts w:ascii="Arial" w:hAnsi="Arial" w:cs="Arial"/>
        </w:rPr>
        <w:t>ê</w:t>
      </w:r>
      <w:r w:rsidRPr="00875BC6">
        <w:t>tre</w:t>
      </w:r>
      <w:proofErr w:type="gramEnd"/>
      <w:r w:rsidRPr="00875BC6">
        <w:t xml:space="preserve"> revue r</w:t>
      </w:r>
      <w:r w:rsidRPr="00875BC6">
        <w:rPr>
          <w:rFonts w:ascii="Arial" w:hAnsi="Arial" w:cs="Arial"/>
        </w:rPr>
        <w:t>é</w:t>
      </w:r>
      <w:r w:rsidRPr="00875BC6">
        <w:t>guli</w:t>
      </w:r>
      <w:r w:rsidRPr="00875BC6">
        <w:rPr>
          <w:rFonts w:ascii="Arial" w:hAnsi="Arial" w:cs="Arial"/>
        </w:rPr>
        <w:t>è</w:t>
      </w:r>
      <w:r w:rsidRPr="00875BC6">
        <w:t>rement afin que ses contenus tiennent compte du contexte et de l</w:t>
      </w:r>
      <w:r w:rsidRPr="00875BC6">
        <w:rPr>
          <w:rFonts w:ascii="Arial" w:hAnsi="Arial" w:cs="Arial"/>
        </w:rPr>
        <w:t>’é</w:t>
      </w:r>
      <w:r w:rsidRPr="00875BC6">
        <w:t xml:space="preserve">volution du racisme, de la discrimination et du profilage racial. </w:t>
      </w:r>
    </w:p>
    <w:p w14:paraId="3E41BD5C" w14:textId="77777777" w:rsidR="00E10582" w:rsidRPr="007D0434" w:rsidRDefault="00E10582" w:rsidP="00C44772">
      <w:pPr>
        <w:pStyle w:val="Paragraphe"/>
        <w:rPr>
          <w:lang w:val="fr-CA"/>
        </w:rPr>
      </w:pPr>
    </w:p>
    <w:p w14:paraId="580E6DEE" w14:textId="3BE694F4" w:rsidR="00DB0579" w:rsidRDefault="00DB0579" w:rsidP="00DB0579">
      <w:pPr>
        <w:pStyle w:val="Titre1"/>
      </w:pPr>
      <w:bookmarkStart w:id="56" w:name="_Toc145331857"/>
      <w:r w:rsidRPr="00AB4833">
        <w:t xml:space="preserve">L’évaluation et la reddition de compte des pratiques </w:t>
      </w:r>
      <w:r w:rsidR="000D7995">
        <w:t>SÉCURISANTES</w:t>
      </w:r>
      <w:bookmarkEnd w:id="56"/>
      <w:r w:rsidR="000D7995">
        <w:t xml:space="preserve"> </w:t>
      </w:r>
    </w:p>
    <w:p w14:paraId="4A24EA69" w14:textId="0C253590" w:rsidR="002941E8" w:rsidRPr="001A4A5B" w:rsidRDefault="002941E8" w:rsidP="002941E8">
      <w:pPr>
        <w:pStyle w:val="Paragraphe"/>
        <w:rPr>
          <w:color w:val="auto"/>
          <w:lang w:val="fr-CA"/>
        </w:rPr>
      </w:pPr>
      <w:r w:rsidRPr="001A4A5B">
        <w:rPr>
          <w:color w:val="auto"/>
          <w:lang w:val="fr-CA"/>
        </w:rPr>
        <w:t>L’article</w:t>
      </w:r>
      <w:r w:rsidR="001F313E">
        <w:rPr>
          <w:color w:val="auto"/>
          <w:lang w:val="fr-CA"/>
        </w:rPr>
        <w:t> </w:t>
      </w:r>
      <w:r w:rsidRPr="001A4A5B">
        <w:rPr>
          <w:color w:val="auto"/>
          <w:lang w:val="fr-CA"/>
        </w:rPr>
        <w:t xml:space="preserve">2 du projet de loi prévoit que tout établissement doit, sur une base annuelle, informer le ministre des </w:t>
      </w:r>
      <w:proofErr w:type="gramStart"/>
      <w:r w:rsidRPr="001A4A5B">
        <w:rPr>
          <w:color w:val="auto"/>
          <w:lang w:val="fr-CA"/>
        </w:rPr>
        <w:t>pratiques</w:t>
      </w:r>
      <w:proofErr w:type="gramEnd"/>
      <w:r w:rsidRPr="001A4A5B">
        <w:rPr>
          <w:color w:val="auto"/>
          <w:lang w:val="fr-CA"/>
        </w:rPr>
        <w:t xml:space="preserve"> </w:t>
      </w:r>
      <w:r w:rsidR="00FB47AE">
        <w:rPr>
          <w:color w:val="auto"/>
          <w:lang w:val="fr-CA"/>
        </w:rPr>
        <w:t xml:space="preserve">sécurisantes </w:t>
      </w:r>
      <w:r w:rsidRPr="001A4A5B">
        <w:rPr>
          <w:color w:val="auto"/>
          <w:lang w:val="fr-CA"/>
        </w:rPr>
        <w:t>mises en œuvre en matière de sécurisation culturelle, et ce, dans les trois mois suivants la fin de l’exercice financier. Le ministre diffuserait ensuite les pratiques adoptées par les établissements.</w:t>
      </w:r>
      <w:r w:rsidR="00F839A8">
        <w:rPr>
          <w:color w:val="auto"/>
          <w:lang w:val="fr-CA"/>
        </w:rPr>
        <w:t xml:space="preserve"> </w:t>
      </w:r>
      <w:r w:rsidR="004628D6">
        <w:rPr>
          <w:color w:val="auto"/>
          <w:lang w:val="fr-CA"/>
        </w:rPr>
        <w:t>Aucun mécanisme n’est cependant prévu</w:t>
      </w:r>
      <w:r w:rsidRPr="001A4A5B">
        <w:rPr>
          <w:color w:val="auto"/>
          <w:lang w:val="fr-CA"/>
        </w:rPr>
        <w:t xml:space="preserve"> pour évaluer la pertinence et l’efficacité de ces pratiques. Or, comme </w:t>
      </w:r>
      <w:proofErr w:type="gramStart"/>
      <w:r w:rsidRPr="001A4A5B">
        <w:rPr>
          <w:color w:val="auto"/>
          <w:lang w:val="fr-CA"/>
        </w:rPr>
        <w:t>le note</w:t>
      </w:r>
      <w:proofErr w:type="gramEnd"/>
      <w:r w:rsidRPr="001A4A5B">
        <w:rPr>
          <w:color w:val="auto"/>
          <w:lang w:val="fr-CA"/>
        </w:rPr>
        <w:t xml:space="preserve"> bien le MSSS, «</w:t>
      </w:r>
      <w:r w:rsidR="0040512D">
        <w:rPr>
          <w:color w:val="auto"/>
          <w:lang w:val="fr-CA"/>
        </w:rPr>
        <w:t> </w:t>
      </w:r>
      <w:r w:rsidRPr="001A4A5B">
        <w:rPr>
          <w:color w:val="auto"/>
          <w:lang w:val="fr-CA"/>
        </w:rPr>
        <w:t>[o]n parle de soins et de services culturellement sécurisants lorsqu’une personne autochtone considère que son expérience avec le système de santé et de services sociaux, ainsi que ses acteurs, a été sécurisante</w:t>
      </w:r>
      <w:r w:rsidR="0040512D">
        <w:rPr>
          <w:color w:val="auto"/>
          <w:lang w:val="fr-CA"/>
        </w:rPr>
        <w:t> </w:t>
      </w:r>
      <w:r w:rsidRPr="001A4A5B">
        <w:rPr>
          <w:color w:val="auto"/>
          <w:lang w:val="fr-CA"/>
        </w:rPr>
        <w:t>»</w:t>
      </w:r>
      <w:r w:rsidRPr="001A4A5B">
        <w:rPr>
          <w:rStyle w:val="Appelnotedebasdep"/>
          <w:color w:val="auto"/>
          <w:lang w:val="fr-CA"/>
        </w:rPr>
        <w:footnoteReference w:id="148"/>
      </w:r>
      <w:r w:rsidRPr="001A4A5B">
        <w:rPr>
          <w:color w:val="auto"/>
          <w:lang w:val="fr-CA"/>
        </w:rPr>
        <w:t xml:space="preserve">. Si l’instauration d’une approche de sécurisation culturelle est </w:t>
      </w:r>
      <w:r w:rsidRPr="001A4A5B">
        <w:rPr>
          <w:color w:val="auto"/>
          <w:lang w:val="fr-CA"/>
        </w:rPr>
        <w:lastRenderedPageBreak/>
        <w:t>louable, elle nécessite d’évaluer ses effets de façon à mesurer l’efficacité des mesures adoptées sur le sentiment de sécurité des personnes concernées.</w:t>
      </w:r>
    </w:p>
    <w:p w14:paraId="14D1101F" w14:textId="77777777" w:rsidR="006040FD" w:rsidRPr="00A0501F" w:rsidRDefault="006537A0" w:rsidP="005E6C87">
      <w:pPr>
        <w:pStyle w:val="Paragraphe"/>
        <w:rPr>
          <w:color w:val="auto"/>
          <w:lang w:val="fr-CA"/>
        </w:rPr>
      </w:pPr>
      <w:r w:rsidRPr="001A4A5B">
        <w:rPr>
          <w:color w:val="auto"/>
          <w:lang w:val="fr-CA"/>
        </w:rPr>
        <w:t xml:space="preserve">Le Centre de collaboration nationale de la santé autochtone </w:t>
      </w:r>
      <w:r w:rsidR="005E6C87" w:rsidRPr="001A4A5B">
        <w:rPr>
          <w:color w:val="auto"/>
          <w:lang w:val="fr-CA"/>
        </w:rPr>
        <w:t xml:space="preserve">est </w:t>
      </w:r>
      <w:r w:rsidRPr="001A4A5B">
        <w:rPr>
          <w:color w:val="auto"/>
          <w:lang w:val="fr-CA"/>
        </w:rPr>
        <w:t>d’ailleurs</w:t>
      </w:r>
      <w:r w:rsidR="005E6C87" w:rsidRPr="001A4A5B">
        <w:rPr>
          <w:color w:val="auto"/>
          <w:lang w:val="fr-CA"/>
        </w:rPr>
        <w:t xml:space="preserve"> d’avis que l’adoption de changements sous le signe de la sécurisation culturelle doit s’accompagner d’un cadre de mesure de la sécurité qui comprendrait l’élaboration d’indicateurs, la collecte de données quantitatives et qualitatives, la production régulière de rapports et des protocoles de collecte et de gestion des données conformes à la gouvernance autochtone et aux droits consacrés à la DNUDPA</w:t>
      </w:r>
      <w:r w:rsidR="005E6C87" w:rsidRPr="001A4A5B">
        <w:rPr>
          <w:rStyle w:val="Appelnotedebasdep"/>
          <w:color w:val="auto"/>
          <w:lang w:val="fr-CA"/>
        </w:rPr>
        <w:footnoteReference w:id="149"/>
      </w:r>
      <w:r w:rsidR="005E6C87" w:rsidRPr="001A4A5B">
        <w:rPr>
          <w:color w:val="auto"/>
          <w:lang w:val="fr-CA"/>
        </w:rPr>
        <w:t xml:space="preserve">. </w:t>
      </w:r>
      <w:r w:rsidR="002E76D8" w:rsidRPr="001A4A5B">
        <w:rPr>
          <w:color w:val="auto"/>
          <w:lang w:val="fr-CA"/>
        </w:rPr>
        <w:t xml:space="preserve">Au Québec, la </w:t>
      </w:r>
      <w:r w:rsidR="00DB2423" w:rsidRPr="004D2054">
        <w:rPr>
          <w:color w:val="auto"/>
          <w:lang w:val="fr-CA"/>
        </w:rPr>
        <w:t>Commission de la santé et des services sociaux des Premières Nations du Québec et du Labrador</w:t>
      </w:r>
      <w:r w:rsidR="002E76D8" w:rsidRPr="001A4A5B">
        <w:rPr>
          <w:color w:val="auto"/>
          <w:lang w:val="fr-CA"/>
        </w:rPr>
        <w:t xml:space="preserve"> a</w:t>
      </w:r>
      <w:r w:rsidR="00514D57" w:rsidRPr="001A4A5B">
        <w:rPr>
          <w:color w:val="auto"/>
          <w:lang w:val="fr-CA"/>
        </w:rPr>
        <w:t xml:space="preserve"> aussi</w:t>
      </w:r>
      <w:r w:rsidR="002E76D8" w:rsidRPr="001A4A5B">
        <w:rPr>
          <w:color w:val="auto"/>
          <w:lang w:val="fr-CA"/>
        </w:rPr>
        <w:t xml:space="preserve"> recommandé l’ajout d’indicateurs sur la sécurisation culturelle dans les mécanismes d’évaluation de la qualité des services publics</w:t>
      </w:r>
      <w:r w:rsidR="002E76D8" w:rsidRPr="001A4A5B">
        <w:rPr>
          <w:rStyle w:val="Appelnotedebasdep"/>
          <w:color w:val="auto"/>
          <w:lang w:val="fr-CA"/>
        </w:rPr>
        <w:footnoteReference w:id="150"/>
      </w:r>
      <w:r w:rsidR="002E76D8" w:rsidRPr="001A4A5B">
        <w:rPr>
          <w:color w:val="auto"/>
          <w:lang w:val="fr-CA"/>
        </w:rPr>
        <w:t>.</w:t>
      </w:r>
      <w:r w:rsidR="006158B2">
        <w:rPr>
          <w:color w:val="auto"/>
          <w:lang w:val="fr-CA"/>
        </w:rPr>
        <w:t xml:space="preserve"> La Commission Viens </w:t>
      </w:r>
      <w:r w:rsidR="002D0029">
        <w:rPr>
          <w:color w:val="auto"/>
          <w:lang w:val="fr-CA"/>
        </w:rPr>
        <w:t>a en outre formulé l’appel à l’action n</w:t>
      </w:r>
      <w:r w:rsidR="002D0029" w:rsidRPr="002D0029">
        <w:rPr>
          <w:color w:val="auto"/>
          <w:vertAlign w:val="superscript"/>
          <w:lang w:val="fr-CA"/>
        </w:rPr>
        <w:t>o</w:t>
      </w:r>
      <w:r w:rsidR="001F313E">
        <w:rPr>
          <w:color w:val="auto"/>
          <w:lang w:val="fr-CA"/>
        </w:rPr>
        <w:t> </w:t>
      </w:r>
      <w:r w:rsidR="002D0029">
        <w:rPr>
          <w:color w:val="auto"/>
          <w:lang w:val="fr-CA"/>
        </w:rPr>
        <w:t xml:space="preserve">4 concernant la collecte de données </w:t>
      </w:r>
      <w:r w:rsidR="00105152">
        <w:rPr>
          <w:color w:val="auto"/>
          <w:lang w:val="fr-CA"/>
        </w:rPr>
        <w:t>sur l’identité autochtone</w:t>
      </w:r>
      <w:r w:rsidR="00FB26F8">
        <w:rPr>
          <w:color w:val="auto"/>
          <w:lang w:val="fr-CA"/>
        </w:rPr>
        <w:t xml:space="preserve"> et </w:t>
      </w:r>
      <w:r w:rsidR="008F4F44">
        <w:rPr>
          <w:color w:val="auto"/>
          <w:lang w:val="fr-CA"/>
        </w:rPr>
        <w:t xml:space="preserve">appelait à son encadrement </w:t>
      </w:r>
      <w:r w:rsidR="00B800DC">
        <w:rPr>
          <w:color w:val="auto"/>
          <w:lang w:val="fr-CA"/>
        </w:rPr>
        <w:t xml:space="preserve">par des normes et directives élaborées </w:t>
      </w:r>
      <w:r w:rsidR="00B800DC" w:rsidRPr="00A0501F">
        <w:rPr>
          <w:color w:val="auto"/>
          <w:lang w:val="fr-CA"/>
        </w:rPr>
        <w:t>en collaboration avec les autorités autochtones</w:t>
      </w:r>
      <w:r w:rsidR="008210FD" w:rsidRPr="00A0501F">
        <w:rPr>
          <w:color w:val="auto"/>
          <w:lang w:val="fr-CA"/>
        </w:rPr>
        <w:t>.</w:t>
      </w:r>
      <w:r w:rsidR="007F2469" w:rsidRPr="00A0501F">
        <w:rPr>
          <w:color w:val="auto"/>
          <w:lang w:val="fr-CA"/>
        </w:rPr>
        <w:t xml:space="preserve"> </w:t>
      </w:r>
    </w:p>
    <w:p w14:paraId="3BD72F7F" w14:textId="3E27054E" w:rsidR="005E6C87" w:rsidRPr="001A4A5B" w:rsidRDefault="007F2469" w:rsidP="005E6C87">
      <w:pPr>
        <w:pStyle w:val="Paragraphe"/>
        <w:rPr>
          <w:color w:val="auto"/>
          <w:lang w:val="fr-CA"/>
        </w:rPr>
      </w:pPr>
      <w:r w:rsidRPr="00CA7873">
        <w:rPr>
          <w:color w:val="auto"/>
          <w:lang w:val="fr-CA"/>
        </w:rPr>
        <w:t xml:space="preserve">De plus, </w:t>
      </w:r>
      <w:r w:rsidR="005339BE" w:rsidRPr="00CA7873">
        <w:rPr>
          <w:color w:val="auto"/>
          <w:lang w:val="fr-CA"/>
        </w:rPr>
        <w:t xml:space="preserve">conformément à une </w:t>
      </w:r>
      <w:r w:rsidR="00EB0026" w:rsidRPr="00CA7873">
        <w:rPr>
          <w:color w:val="auto"/>
          <w:lang w:val="fr-CA"/>
        </w:rPr>
        <w:t xml:space="preserve">nouvelle </w:t>
      </w:r>
      <w:r w:rsidR="005339BE" w:rsidRPr="00CA7873">
        <w:rPr>
          <w:color w:val="auto"/>
          <w:lang w:val="fr-CA"/>
        </w:rPr>
        <w:t>norme</w:t>
      </w:r>
      <w:r w:rsidR="005C757C" w:rsidRPr="00CA7873">
        <w:rPr>
          <w:color w:val="auto"/>
          <w:lang w:val="fr-CA"/>
        </w:rPr>
        <w:t xml:space="preserve"> </w:t>
      </w:r>
      <w:r w:rsidR="004E0977" w:rsidRPr="00CA7873">
        <w:rPr>
          <w:color w:val="auto"/>
          <w:lang w:val="fr-CA"/>
        </w:rPr>
        <w:t>applicable au Canada</w:t>
      </w:r>
      <w:r w:rsidR="00EB0026" w:rsidRPr="00CA7873">
        <w:rPr>
          <w:color w:val="auto"/>
          <w:lang w:val="fr-CA"/>
        </w:rPr>
        <w:t>, l</w:t>
      </w:r>
      <w:r w:rsidR="005B4D3D" w:rsidRPr="00CA7873">
        <w:rPr>
          <w:color w:val="auto"/>
          <w:lang w:val="fr-CA"/>
        </w:rPr>
        <w:t>’instance de gouvernance</w:t>
      </w:r>
      <w:r w:rsidR="00EB0026" w:rsidRPr="00CA7873">
        <w:rPr>
          <w:color w:val="auto"/>
          <w:lang w:val="fr-CA"/>
        </w:rPr>
        <w:t xml:space="preserve"> </w:t>
      </w:r>
      <w:r w:rsidR="00F22355" w:rsidRPr="00CA7873">
        <w:rPr>
          <w:color w:val="auto"/>
          <w:lang w:val="fr-CA"/>
        </w:rPr>
        <w:t>des</w:t>
      </w:r>
      <w:r w:rsidR="00EB0026" w:rsidRPr="00CA7873">
        <w:rPr>
          <w:color w:val="auto"/>
          <w:lang w:val="fr-CA"/>
        </w:rPr>
        <w:t xml:space="preserve"> </w:t>
      </w:r>
      <w:r w:rsidR="00652A93" w:rsidRPr="00CA7873">
        <w:rPr>
          <w:color w:val="auto"/>
          <w:lang w:val="fr-CA"/>
        </w:rPr>
        <w:t>établissements doi</w:t>
      </w:r>
      <w:r w:rsidR="00F22355" w:rsidRPr="00CA7873">
        <w:rPr>
          <w:color w:val="auto"/>
          <w:lang w:val="fr-CA"/>
        </w:rPr>
        <w:t>t</w:t>
      </w:r>
      <w:r w:rsidR="00827A8A" w:rsidRPr="00CA7873">
        <w:rPr>
          <w:color w:val="auto"/>
          <w:lang w:val="fr-CA"/>
        </w:rPr>
        <w:t xml:space="preserve"> rendre l</w:t>
      </w:r>
      <w:r w:rsidR="001546D5" w:rsidRPr="00CA7873">
        <w:rPr>
          <w:color w:val="auto"/>
          <w:lang w:val="fr-CA"/>
        </w:rPr>
        <w:t xml:space="preserve">es gestionnaires </w:t>
      </w:r>
      <w:r w:rsidR="00127ACC" w:rsidRPr="00CA7873">
        <w:rPr>
          <w:color w:val="auto"/>
          <w:lang w:val="fr-CA"/>
        </w:rPr>
        <w:t>et la main-d’</w:t>
      </w:r>
      <w:r w:rsidR="008A1704" w:rsidRPr="00CA7873">
        <w:rPr>
          <w:color w:val="auto"/>
          <w:lang w:val="fr-CA"/>
        </w:rPr>
        <w:t xml:space="preserve">œuvre </w:t>
      </w:r>
      <w:r w:rsidR="00F81156" w:rsidRPr="00CA7873">
        <w:rPr>
          <w:color w:val="auto"/>
          <w:lang w:val="fr-CA"/>
        </w:rPr>
        <w:t>«</w:t>
      </w:r>
      <w:r w:rsidR="00530D45" w:rsidRPr="00CA7873">
        <w:rPr>
          <w:color w:val="auto"/>
          <w:lang w:val="fr-CA"/>
        </w:rPr>
        <w:t> </w:t>
      </w:r>
      <w:r w:rsidR="00F81156" w:rsidRPr="00CA7873">
        <w:rPr>
          <w:lang w:val="fr-CA"/>
        </w:rPr>
        <w:t>imputables de privilégier une approche de soins centrés sur la personne, exempte de racisme et culturellement sécuritaire</w:t>
      </w:r>
      <w:r w:rsidR="00530D45" w:rsidRPr="00CA7873">
        <w:rPr>
          <w:lang w:val="fr-CA"/>
        </w:rPr>
        <w:t> </w:t>
      </w:r>
      <w:r w:rsidR="00F81156" w:rsidRPr="00CA7873">
        <w:rPr>
          <w:lang w:val="fr-CA"/>
        </w:rPr>
        <w:t>»</w:t>
      </w:r>
      <w:r w:rsidR="00527406" w:rsidRPr="00CA7873">
        <w:rPr>
          <w:rStyle w:val="Appelnotedebasdep"/>
          <w:lang w:val="fr-CA"/>
        </w:rPr>
        <w:footnoteReference w:id="151"/>
      </w:r>
      <w:r w:rsidR="00527406" w:rsidRPr="00CA7873">
        <w:rPr>
          <w:lang w:val="fr-CA"/>
        </w:rPr>
        <w:t>.</w:t>
      </w:r>
      <w:r w:rsidR="00696071" w:rsidRPr="00CA7873">
        <w:rPr>
          <w:lang w:val="fr-CA"/>
        </w:rPr>
        <w:t xml:space="preserve"> L’</w:t>
      </w:r>
      <w:r w:rsidR="003C568A" w:rsidRPr="00CA7873">
        <w:rPr>
          <w:lang w:val="fr-CA"/>
        </w:rPr>
        <w:t>Organisation des normes en santé</w:t>
      </w:r>
      <w:r w:rsidR="00B6559A" w:rsidRPr="00CA7873">
        <w:rPr>
          <w:lang w:val="fr-CA"/>
        </w:rPr>
        <w:t>, qui est responsable de</w:t>
      </w:r>
      <w:r w:rsidR="003C568A" w:rsidRPr="00CA7873">
        <w:rPr>
          <w:lang w:val="fr-CA"/>
        </w:rPr>
        <w:t xml:space="preserve"> </w:t>
      </w:r>
      <w:r w:rsidR="00C247E5" w:rsidRPr="00CA7873">
        <w:rPr>
          <w:lang w:val="fr-CA"/>
        </w:rPr>
        <w:t>cette norme,</w:t>
      </w:r>
      <w:r w:rsidR="003C568A" w:rsidRPr="00CA7873">
        <w:rPr>
          <w:lang w:val="fr-CA"/>
        </w:rPr>
        <w:t xml:space="preserve"> s’est engagée à </w:t>
      </w:r>
      <w:r w:rsidR="0063650D" w:rsidRPr="00CA7873">
        <w:rPr>
          <w:lang w:val="fr-CA"/>
        </w:rPr>
        <w:t xml:space="preserve">mettre à jour </w:t>
      </w:r>
      <w:r w:rsidR="000D7AC5" w:rsidRPr="00CA7873">
        <w:rPr>
          <w:lang w:val="fr-CA"/>
        </w:rPr>
        <w:t>ses mécanismes d’évaluation</w:t>
      </w:r>
      <w:r w:rsidR="00FA287C" w:rsidRPr="00CA7873">
        <w:rPr>
          <w:lang w:val="fr-CA"/>
        </w:rPr>
        <w:t xml:space="preserve"> des pratiques afin</w:t>
      </w:r>
      <w:r w:rsidR="006B1CD5" w:rsidRPr="00CA7873">
        <w:rPr>
          <w:lang w:val="fr-CA"/>
        </w:rPr>
        <w:t xml:space="preserve"> de lutter contre le racisme systémique envers les Aut</w:t>
      </w:r>
      <w:r w:rsidR="00171872" w:rsidRPr="00CA7873">
        <w:rPr>
          <w:lang w:val="fr-CA"/>
        </w:rPr>
        <w:t>ochtones, et ce, en collaboration avec des partenaires autochtones</w:t>
      </w:r>
      <w:r w:rsidR="002A2B33" w:rsidRPr="00CA7873">
        <w:rPr>
          <w:rStyle w:val="Appelnotedebasdep"/>
          <w:lang w:val="fr-CA"/>
        </w:rPr>
        <w:footnoteReference w:id="152"/>
      </w:r>
      <w:r w:rsidR="00171872" w:rsidRPr="00CA7873">
        <w:rPr>
          <w:lang w:val="fr-CA"/>
        </w:rPr>
        <w:t>.</w:t>
      </w:r>
    </w:p>
    <w:p w14:paraId="20C86A31" w14:textId="20252514" w:rsidR="00466D92" w:rsidRPr="00C84C0A" w:rsidRDefault="004655B8" w:rsidP="0097791A">
      <w:pPr>
        <w:pStyle w:val="Paragraphe"/>
        <w:rPr>
          <w:lang w:val="fr-CA"/>
        </w:rPr>
      </w:pPr>
      <w:r w:rsidRPr="00C84C0A">
        <w:rPr>
          <w:lang w:val="fr-CA"/>
        </w:rPr>
        <w:t>Suivant cela, l</w:t>
      </w:r>
      <w:r w:rsidR="00466D92" w:rsidRPr="00C84C0A">
        <w:rPr>
          <w:lang w:val="fr-CA"/>
        </w:rPr>
        <w:t xml:space="preserve">a </w:t>
      </w:r>
      <w:r w:rsidR="00E71489" w:rsidRPr="00C84C0A">
        <w:rPr>
          <w:lang w:val="fr-CA"/>
        </w:rPr>
        <w:t xml:space="preserve">Commission est </w:t>
      </w:r>
      <w:r w:rsidRPr="00C84C0A">
        <w:rPr>
          <w:lang w:val="fr-CA"/>
        </w:rPr>
        <w:t>d’avis</w:t>
      </w:r>
      <w:r w:rsidR="00E71489" w:rsidRPr="00C84C0A">
        <w:rPr>
          <w:lang w:val="fr-CA"/>
        </w:rPr>
        <w:t xml:space="preserve"> </w:t>
      </w:r>
      <w:r w:rsidR="00C97831" w:rsidRPr="00C84C0A">
        <w:rPr>
          <w:lang w:val="fr-CA"/>
        </w:rPr>
        <w:t xml:space="preserve">que </w:t>
      </w:r>
      <w:r w:rsidR="004101D6" w:rsidRPr="00C84C0A">
        <w:rPr>
          <w:lang w:val="fr-CA"/>
        </w:rPr>
        <w:t xml:space="preserve">l’obligation </w:t>
      </w:r>
      <w:r w:rsidR="00D50C8F" w:rsidRPr="00C84C0A">
        <w:rPr>
          <w:lang w:val="fr-CA"/>
        </w:rPr>
        <w:t xml:space="preserve">pour les établissements </w:t>
      </w:r>
      <w:r w:rsidR="00267DDE" w:rsidRPr="00C84C0A">
        <w:rPr>
          <w:lang w:val="fr-CA"/>
        </w:rPr>
        <w:t xml:space="preserve">visés </w:t>
      </w:r>
      <w:r w:rsidR="004101D6" w:rsidRPr="00C84C0A">
        <w:rPr>
          <w:lang w:val="fr-CA"/>
        </w:rPr>
        <w:t>d’</w:t>
      </w:r>
      <w:r w:rsidR="000F30EE" w:rsidRPr="00C84C0A">
        <w:rPr>
          <w:lang w:val="fr-CA"/>
        </w:rPr>
        <w:t xml:space="preserve">adopter une approche de sécurisation culturelle devrait être assortie </w:t>
      </w:r>
      <w:r w:rsidR="0022533D" w:rsidRPr="00C84C0A">
        <w:rPr>
          <w:lang w:val="fr-CA"/>
        </w:rPr>
        <w:t>d’une oblig</w:t>
      </w:r>
      <w:r w:rsidR="004E1A3F" w:rsidRPr="00C84C0A">
        <w:rPr>
          <w:lang w:val="fr-CA"/>
        </w:rPr>
        <w:t xml:space="preserve">ation de mesurer </w:t>
      </w:r>
      <w:r w:rsidR="00BF2FE8" w:rsidRPr="00C84C0A">
        <w:rPr>
          <w:lang w:val="fr-CA"/>
        </w:rPr>
        <w:t>la qualité des services et</w:t>
      </w:r>
      <w:r w:rsidR="00C24427" w:rsidRPr="00C84C0A">
        <w:rPr>
          <w:lang w:val="fr-CA"/>
        </w:rPr>
        <w:t xml:space="preserve"> le sentiment de sécurité des</w:t>
      </w:r>
      <w:r w:rsidR="000121E3" w:rsidRPr="00C84C0A">
        <w:rPr>
          <w:lang w:val="fr-CA"/>
        </w:rPr>
        <w:t xml:space="preserve"> usagers autochtones dans leurs relations </w:t>
      </w:r>
      <w:r w:rsidR="000121E3" w:rsidRPr="00C84C0A">
        <w:rPr>
          <w:lang w:val="fr-CA"/>
        </w:rPr>
        <w:lastRenderedPageBreak/>
        <w:t>avec l</w:t>
      </w:r>
      <w:r w:rsidR="00D47594" w:rsidRPr="00C84C0A">
        <w:rPr>
          <w:lang w:val="fr-CA"/>
        </w:rPr>
        <w:t>es services de santé et les services sociaux</w:t>
      </w:r>
      <w:r w:rsidR="000F30EE" w:rsidRPr="00C84C0A">
        <w:rPr>
          <w:lang w:val="fr-CA"/>
        </w:rPr>
        <w:t xml:space="preserve">. Les modalités d’une telle évaluation devraient être convenues en collaboration avec les autorités des Premières Nations et </w:t>
      </w:r>
      <w:proofErr w:type="gramStart"/>
      <w:r w:rsidR="000F30EE" w:rsidRPr="00C84C0A">
        <w:rPr>
          <w:lang w:val="fr-CA"/>
        </w:rPr>
        <w:t>des Inuit</w:t>
      </w:r>
      <w:proofErr w:type="gramEnd"/>
      <w:r w:rsidR="000F30EE" w:rsidRPr="00C84C0A">
        <w:rPr>
          <w:lang w:val="fr-CA"/>
        </w:rPr>
        <w:t>.</w:t>
      </w:r>
      <w:r w:rsidR="00EF28FC">
        <w:rPr>
          <w:lang w:val="fr-CA"/>
        </w:rPr>
        <w:t xml:space="preserve"> </w:t>
      </w:r>
      <w:r w:rsidR="00EF28FC" w:rsidRPr="004D2054">
        <w:rPr>
          <w:lang w:val="fr-CA"/>
        </w:rPr>
        <w:t>Toute collecte de donnée sur l’identité autochtone devrait avoir pour objectif explicite d’assurer le droit à l’égalité et de lutter contre la discrimination. La collecte et l’utilisation des données devraient être faites dans le respect</w:t>
      </w:r>
      <w:r w:rsidR="00EF28FC" w:rsidRPr="004B1A29">
        <w:rPr>
          <w:lang w:val="fr-CA"/>
        </w:rPr>
        <w:t xml:space="preserve"> des droits et libertés protégés par la Charte</w:t>
      </w:r>
      <w:r w:rsidR="00EF28FC" w:rsidRPr="004D2054">
        <w:rPr>
          <w:lang w:val="fr-CA"/>
        </w:rPr>
        <w:t>, dont le droit au respect de sa vie privée.</w:t>
      </w:r>
    </w:p>
    <w:p w14:paraId="218BABD5" w14:textId="37C3221D" w:rsidR="00BC31A8" w:rsidRDefault="00BC31A8" w:rsidP="006414F8">
      <w:pPr>
        <w:pStyle w:val="TitreRecommandation"/>
      </w:pPr>
      <w:r>
        <w:t>Recommandation</w:t>
      </w:r>
      <w:r w:rsidR="001F313E">
        <w:rPr>
          <w:rFonts w:hint="eastAsia"/>
        </w:rPr>
        <w:t> </w:t>
      </w:r>
      <w:r w:rsidR="005F1E53">
        <w:t>1</w:t>
      </w:r>
      <w:r w:rsidR="00F929D1">
        <w:t>2</w:t>
      </w:r>
    </w:p>
    <w:p w14:paraId="30FB6745" w14:textId="77777777" w:rsidR="00117110" w:rsidRDefault="00A666D1" w:rsidP="00C3338D">
      <w:pPr>
        <w:pStyle w:val="Texterecommandation"/>
        <w:ind w:left="706"/>
      </w:pPr>
      <w:r w:rsidRPr="003F747A">
        <w:t xml:space="preserve">La Commission </w:t>
      </w:r>
      <w:r w:rsidR="00644222" w:rsidRPr="003F747A">
        <w:t xml:space="preserve">recommande </w:t>
      </w:r>
      <w:r w:rsidR="00286122" w:rsidRPr="003F747A">
        <w:t>de modifier le projet de loi pou</w:t>
      </w:r>
      <w:r w:rsidR="006A7DBB" w:rsidRPr="003F747A">
        <w:t>r</w:t>
      </w:r>
      <w:r w:rsidR="00286122" w:rsidRPr="003F747A">
        <w:t xml:space="preserve"> </w:t>
      </w:r>
      <w:r w:rsidR="00707AD0" w:rsidRPr="003F747A">
        <w:t xml:space="preserve">prévoir des mécanismes d’évaluation </w:t>
      </w:r>
      <w:r w:rsidR="003F747A" w:rsidRPr="005D6B6C">
        <w:t>d</w:t>
      </w:r>
      <w:r w:rsidR="00192811" w:rsidRPr="005D6B6C">
        <w:t xml:space="preserve">u caractère </w:t>
      </w:r>
      <w:r w:rsidR="0047620E" w:rsidRPr="005D6B6C">
        <w:t xml:space="preserve">culturellement sécuritaire </w:t>
      </w:r>
      <w:r w:rsidR="002076FF" w:rsidRPr="005D6B6C">
        <w:t xml:space="preserve">des </w:t>
      </w:r>
      <w:r w:rsidR="00436F16" w:rsidRPr="005D6B6C">
        <w:t xml:space="preserve">services </w:t>
      </w:r>
      <w:r w:rsidR="002063B6" w:rsidRPr="005D6B6C">
        <w:t xml:space="preserve">de santé et des services sociaux </w:t>
      </w:r>
      <w:r w:rsidR="000663C3" w:rsidRPr="005D6B6C">
        <w:t>offerts aux personnes autochtones</w:t>
      </w:r>
      <w:r w:rsidR="00707AD0" w:rsidRPr="005D6B6C">
        <w:t>,</w:t>
      </w:r>
      <w:r w:rsidR="00707AD0" w:rsidRPr="003F747A">
        <w:t xml:space="preserve"> notamment par le biais d’une collecte de données désagrégées selon l’identité autochtone, et ce, dans le respect des protocoles de recherche et de la gouvernance autochtone sur les données.</w:t>
      </w:r>
      <w:r w:rsidR="00C777D6" w:rsidRPr="003F747A">
        <w:t xml:space="preserve"> </w:t>
      </w:r>
    </w:p>
    <w:p w14:paraId="758B348A" w14:textId="18648CC6" w:rsidR="00DB0579" w:rsidRPr="006414F8" w:rsidRDefault="00F17032" w:rsidP="00C3338D">
      <w:pPr>
        <w:pStyle w:val="Texterecommandation"/>
        <w:ind w:left="706"/>
      </w:pPr>
      <w:r w:rsidRPr="003F747A">
        <w:t xml:space="preserve">Ces mécanismes devraient </w:t>
      </w:r>
      <w:r w:rsidR="008B525A" w:rsidRPr="003F747A">
        <w:t xml:space="preserve">être </w:t>
      </w:r>
      <w:r w:rsidR="003F6BEA" w:rsidRPr="003F747A">
        <w:t>conçus et</w:t>
      </w:r>
      <w:r w:rsidR="00CA2229" w:rsidRPr="003F747A">
        <w:t xml:space="preserve"> mis en œuvre en </w:t>
      </w:r>
      <w:r w:rsidR="00644222" w:rsidRPr="003F747A">
        <w:t>collabor</w:t>
      </w:r>
      <w:r w:rsidR="00CA2229" w:rsidRPr="003F747A">
        <w:t>ation</w:t>
      </w:r>
      <w:r w:rsidR="00644222" w:rsidRPr="003F747A">
        <w:t xml:space="preserve"> avec les autorités des Premières Nations et Inuit</w:t>
      </w:r>
      <w:r w:rsidR="00D8653D" w:rsidRPr="003F747A">
        <w:t>.</w:t>
      </w:r>
      <w:r w:rsidR="00D2575B">
        <w:t xml:space="preserve"> </w:t>
      </w:r>
      <w:r w:rsidR="00CA0979" w:rsidRPr="004D2054">
        <w:t>Toute collecte de donnée</w:t>
      </w:r>
      <w:r w:rsidR="00D35D72">
        <w:t>s</w:t>
      </w:r>
      <w:r w:rsidR="00CA0979" w:rsidRPr="004D2054">
        <w:t xml:space="preserve"> sur l’identité autochtone devrait avoir pour objectif explicite d’assurer le droit à l’égalité et de lutter contre la discrimination. La collecte et l’utilisation des données devraient être faites dans le respect des droits et libertés protégés par la Charte, dont le droit au respect de sa vie privée.</w:t>
      </w:r>
    </w:p>
    <w:p w14:paraId="155DC7E9" w14:textId="77777777" w:rsidR="004F1FC1" w:rsidRPr="00C84C0A" w:rsidRDefault="004F1FC1" w:rsidP="00CE48ED">
      <w:pPr>
        <w:pStyle w:val="Paragraphe"/>
        <w:rPr>
          <w:lang w:val="fr-CA"/>
        </w:rPr>
      </w:pPr>
    </w:p>
    <w:p w14:paraId="529D3950" w14:textId="6D45498F" w:rsidR="008D105F" w:rsidRPr="001A4A5B" w:rsidRDefault="00E62BED" w:rsidP="008D105F">
      <w:pPr>
        <w:pStyle w:val="Titre1"/>
      </w:pPr>
      <w:bookmarkStart w:id="57" w:name="_Toc145331858"/>
      <w:r w:rsidRPr="001A4A5B">
        <w:t>L</w:t>
      </w:r>
      <w:r w:rsidR="00774951" w:rsidRPr="001A4A5B">
        <w:t>’</w:t>
      </w:r>
      <w:r w:rsidRPr="001A4A5B">
        <w:t>A</w:t>
      </w:r>
      <w:r w:rsidR="00AE4A9D" w:rsidRPr="001A4A5B">
        <w:t xml:space="preserve">ssouplissement </w:t>
      </w:r>
      <w:r w:rsidR="002B4F9B" w:rsidRPr="001A4A5B">
        <w:t>relatif à l’exercice de certaines</w:t>
      </w:r>
      <w:r w:rsidR="005B60FA" w:rsidRPr="001A4A5B">
        <w:t xml:space="preserve"> activités</w:t>
      </w:r>
      <w:r w:rsidR="00C134D9" w:rsidRPr="001A4A5B">
        <w:t xml:space="preserve"> réservées</w:t>
      </w:r>
      <w:bookmarkEnd w:id="57"/>
    </w:p>
    <w:p w14:paraId="74AC8C46" w14:textId="34D3C803" w:rsidR="008D105F" w:rsidRPr="001A4A5B" w:rsidRDefault="008D105F" w:rsidP="008D105F">
      <w:pPr>
        <w:pStyle w:val="Paragraphe"/>
        <w:rPr>
          <w:color w:val="auto"/>
          <w:lang w:val="fr-CA"/>
        </w:rPr>
      </w:pPr>
      <w:r w:rsidRPr="004207A5">
        <w:rPr>
          <w:lang w:val="fr-CA"/>
        </w:rPr>
        <w:t>L’article</w:t>
      </w:r>
      <w:r w:rsidR="001F313E" w:rsidRPr="004207A5">
        <w:rPr>
          <w:lang w:val="fr-CA"/>
        </w:rPr>
        <w:t> </w:t>
      </w:r>
      <w:r w:rsidR="00570B1A" w:rsidRPr="004207A5">
        <w:rPr>
          <w:lang w:val="fr-CA"/>
        </w:rPr>
        <w:t>3</w:t>
      </w:r>
      <w:r w:rsidRPr="004207A5">
        <w:rPr>
          <w:lang w:val="fr-CA"/>
        </w:rPr>
        <w:t xml:space="preserve"> du projet de loi viendrait modifier le </w:t>
      </w:r>
      <w:r w:rsidRPr="0034092E">
        <w:rPr>
          <w:i/>
          <w:iCs/>
          <w:lang w:val="fr-CA"/>
        </w:rPr>
        <w:t>Code des professions</w:t>
      </w:r>
      <w:r w:rsidRPr="004207A5">
        <w:rPr>
          <w:lang w:val="fr-CA"/>
        </w:rPr>
        <w:t xml:space="preserve"> en insérant l’article suivant</w:t>
      </w:r>
      <w:r w:rsidRPr="001A4A5B">
        <w:rPr>
          <w:color w:val="auto"/>
          <w:lang w:val="fr-CA"/>
        </w:rPr>
        <w:t> :</w:t>
      </w:r>
    </w:p>
    <w:p w14:paraId="1A8E4DF2" w14:textId="77777777" w:rsidR="008D105F" w:rsidRPr="001A4A5B" w:rsidRDefault="008D105F" w:rsidP="008D105F">
      <w:pPr>
        <w:pStyle w:val="Citation"/>
        <w:rPr>
          <w:lang w:eastAsia="en-US"/>
        </w:rPr>
      </w:pPr>
      <w:r w:rsidRPr="001A4A5B">
        <w:rPr>
          <w:rFonts w:cs="Arial"/>
          <w:b/>
          <w:szCs w:val="20"/>
          <w:lang w:eastAsia="en-US"/>
        </w:rPr>
        <w:t>39.9.1.</w:t>
      </w:r>
      <w:r w:rsidRPr="001A4A5B">
        <w:rPr>
          <w:rFonts w:ascii="BODIDLYbold" w:hAnsi="BODIDLYbold" w:cs="BODIDLYbold"/>
          <w:szCs w:val="20"/>
          <w:lang w:eastAsia="en-US"/>
        </w:rPr>
        <w:t xml:space="preserve"> </w:t>
      </w:r>
      <w:r w:rsidRPr="001A4A5B">
        <w:rPr>
          <w:szCs w:val="20"/>
          <w:lang w:eastAsia="en-US"/>
        </w:rPr>
        <w:t>Dans le but de favoriser l’accès des autochtones aux services professionnels dans</w:t>
      </w:r>
      <w:r w:rsidRPr="001A4A5B">
        <w:rPr>
          <w:lang w:eastAsia="en-US"/>
        </w:rPr>
        <w:t xml:space="preserve"> le domaine de la santé mentale et des relations humaines et, en particulier, de favoriser le caractère culturellement sécurisant de ces services, le gouvernement peut, par règlement et après consultation des communautés autochtones concernées, déterminer les conditions et les modalités suivant lesquelles des autochtones, qui ne satisfont pas aux conditions de délivrance d’un permis de l’un des ordres professionnels, peuvent exercer, sur un territoire déterminé, les activités professionnelles réservées suivantes :</w:t>
      </w:r>
    </w:p>
    <w:p w14:paraId="605101C6" w14:textId="77777777" w:rsidR="008D105F" w:rsidRPr="001A4A5B" w:rsidRDefault="008D105F" w:rsidP="008D105F">
      <w:pPr>
        <w:pStyle w:val="Citation"/>
        <w:rPr>
          <w:lang w:eastAsia="en-US"/>
        </w:rPr>
      </w:pPr>
      <w:r w:rsidRPr="001A4A5B">
        <w:rPr>
          <w:lang w:eastAsia="en-US"/>
        </w:rPr>
        <w:t>1° évaluer une personne dans le cadre d’une décision du directeur de la protection de la jeunesse ou du tribunal en application de la Loi sur la protection de la jeunesse (chapitre P-34.1) ;</w:t>
      </w:r>
    </w:p>
    <w:p w14:paraId="1EBDE000" w14:textId="77777777" w:rsidR="008D105F" w:rsidRPr="001A4A5B" w:rsidRDefault="008D105F" w:rsidP="008D105F">
      <w:pPr>
        <w:pStyle w:val="Citation"/>
        <w:rPr>
          <w:lang w:eastAsia="en-US"/>
        </w:rPr>
      </w:pPr>
      <w:r w:rsidRPr="001A4A5B">
        <w:rPr>
          <w:lang w:eastAsia="en-US"/>
        </w:rPr>
        <w:t>2° évaluer un adolescent dans le cadre d’une décision du tribunal en application de la Loi sur le système de justice pénale pour les adolescents (Lois du Canada, 2002, chapitre 1) ;</w:t>
      </w:r>
    </w:p>
    <w:p w14:paraId="75471605" w14:textId="77777777" w:rsidR="008D105F" w:rsidRPr="001A4A5B" w:rsidRDefault="008D105F" w:rsidP="008D105F">
      <w:pPr>
        <w:pStyle w:val="Citation"/>
        <w:rPr>
          <w:lang w:eastAsia="en-US"/>
        </w:rPr>
      </w:pPr>
      <w:r w:rsidRPr="001A4A5B">
        <w:rPr>
          <w:lang w:eastAsia="en-US"/>
        </w:rPr>
        <w:lastRenderedPageBreak/>
        <w:t>3° déterminer le plan d’intervention pour une personne atteinte d’un trouble mental ou présentant un risque suicidaire qui est hébergée dans une installation d’un établissement qui exploite un centre de réadaptation pour les jeunes en difficulté d’adaptation. ».</w:t>
      </w:r>
    </w:p>
    <w:p w14:paraId="6118F405" w14:textId="7407990F" w:rsidR="00A25826" w:rsidRPr="001A4A5B" w:rsidRDefault="00A25826" w:rsidP="00A25826">
      <w:pPr>
        <w:pStyle w:val="Paragraphe"/>
        <w:rPr>
          <w:color w:val="auto"/>
          <w:lang w:val="fr-CA"/>
        </w:rPr>
      </w:pPr>
      <w:r w:rsidRPr="00F254A2">
        <w:rPr>
          <w:lang w:val="fr-CA"/>
        </w:rPr>
        <w:t>Les activités visées par le projet de loi sont celles réservées aux membres d’ordres professionnels ciblés, elles se déclinent</w:t>
      </w:r>
      <w:r w:rsidRPr="001A4A5B">
        <w:rPr>
          <w:color w:val="auto"/>
          <w:lang w:val="fr-CA"/>
        </w:rPr>
        <w:t xml:space="preserve"> comme suit</w:t>
      </w:r>
      <w:r w:rsidR="00F254A2">
        <w:rPr>
          <w:color w:val="auto"/>
          <w:lang w:val="fr-CA"/>
        </w:rPr>
        <w:t> </w:t>
      </w:r>
      <w:r w:rsidRPr="001A4A5B">
        <w:rPr>
          <w:color w:val="auto"/>
          <w:lang w:val="fr-CA"/>
        </w:rPr>
        <w:t>:</w:t>
      </w:r>
      <w:r w:rsidR="001D0C58">
        <w:rPr>
          <w:color w:val="auto"/>
          <w:lang w:val="fr-CA"/>
        </w:rPr>
        <w:t xml:space="preserve"> </w:t>
      </w:r>
    </w:p>
    <w:p w14:paraId="7363F9F1" w14:textId="77777777" w:rsidR="008D105F" w:rsidRPr="001D0C58" w:rsidRDefault="008D105F" w:rsidP="001D0C58">
      <w:pPr>
        <w:pStyle w:val="Citation"/>
      </w:pPr>
      <w:r w:rsidRPr="001D0C58">
        <w:t>L’évaluation d’une personne dans le cadre d’une décision du directeur de la protection de la jeunesse ou du tribunal en application de la Loi sur la protection de la jeunesse est une activité réservée aux travailleuses sociales et travailleurs sociaux, aux psychoéducatrices et psychoéducateurs ainsi qu’aux criminologues</w:t>
      </w:r>
      <w:r w:rsidRPr="001D0C58">
        <w:rPr>
          <w:rStyle w:val="Appelnotedebasdep"/>
        </w:rPr>
        <w:footnoteReference w:id="153"/>
      </w:r>
      <w:r w:rsidRPr="001D0C58">
        <w:rPr>
          <w:vertAlign w:val="superscript"/>
        </w:rPr>
        <w:t>.</w:t>
      </w:r>
      <w:r w:rsidRPr="001D0C58">
        <w:t xml:space="preserve"> </w:t>
      </w:r>
    </w:p>
    <w:p w14:paraId="5D7893E0" w14:textId="3CB1A444" w:rsidR="008D105F" w:rsidRPr="001D0C58" w:rsidRDefault="008D105F" w:rsidP="001D0C58">
      <w:pPr>
        <w:pStyle w:val="Citation"/>
      </w:pPr>
      <w:r w:rsidRPr="001D0C58">
        <w:t>L’évaluation d’un adolescent dans le cadre d’une décision du tribunal en application de la Loi sur le système de justice pénale pour les adolescents est une activité réservée aux travailleuses sociales et travailleurs sociaux, aux psychologues, aux psychoéducatrices et psychoéducateurs, aux criminologues ainsi qu’aux sexologues</w:t>
      </w:r>
      <w:r w:rsidRPr="001D0C58">
        <w:rPr>
          <w:rStyle w:val="Appelnotedebasdep"/>
        </w:rPr>
        <w:footnoteReference w:id="154"/>
      </w:r>
      <w:r w:rsidRPr="001D0C58">
        <w:t>.</w:t>
      </w:r>
    </w:p>
    <w:p w14:paraId="75CDE5FE" w14:textId="77777777" w:rsidR="008D105F" w:rsidRPr="001D0C58" w:rsidRDefault="008D105F" w:rsidP="001D0C58">
      <w:pPr>
        <w:pStyle w:val="Citation"/>
      </w:pPr>
      <w:r w:rsidRPr="001D0C58">
        <w:t>La détermination d’un plan d’intervention pour une personne atteinte d’un trouble mental ou présentant un risque suicidaire qui est hébergée dans une installation d’un établissement qui exploite un centre de réadaptation pour les jeunes en difficulté d’adaptation est une activité réservée aux travailleuses sociales et travailleurs sociaux, aux psychoéducatrices et psychoéducateurs ainsi qu’aux criminologues</w:t>
      </w:r>
      <w:r w:rsidRPr="001D0C58">
        <w:rPr>
          <w:rStyle w:val="Appelnotedebasdep"/>
        </w:rPr>
        <w:footnoteReference w:id="155"/>
      </w:r>
      <w:r w:rsidRPr="001D0C58">
        <w:t>.</w:t>
      </w:r>
    </w:p>
    <w:p w14:paraId="44DA7CFA" w14:textId="1C53AF2C" w:rsidR="00807B62" w:rsidRPr="001A4A5B" w:rsidRDefault="00807B62" w:rsidP="00AB4833">
      <w:pPr>
        <w:pStyle w:val="Paragraphe"/>
        <w:rPr>
          <w:color w:val="auto"/>
          <w:lang w:val="fr-CA"/>
        </w:rPr>
      </w:pPr>
      <w:r w:rsidRPr="00C84C0A">
        <w:rPr>
          <w:lang w:val="fr-CA"/>
        </w:rPr>
        <w:t xml:space="preserve">La proposition </w:t>
      </w:r>
      <w:r w:rsidR="00DB791F">
        <w:rPr>
          <w:lang w:val="fr-CA"/>
        </w:rPr>
        <w:t>se veut ici</w:t>
      </w:r>
      <w:r w:rsidR="00BD7B26">
        <w:rPr>
          <w:lang w:val="fr-CA"/>
        </w:rPr>
        <w:t xml:space="preserve"> </w:t>
      </w:r>
      <w:r w:rsidRPr="001A4A5B">
        <w:rPr>
          <w:color w:val="auto"/>
          <w:lang w:val="fr-CA"/>
        </w:rPr>
        <w:t>une réponse à l’appel à l’action n</w:t>
      </w:r>
      <w:r w:rsidRPr="001A4A5B">
        <w:rPr>
          <w:color w:val="auto"/>
          <w:vertAlign w:val="superscript"/>
          <w:lang w:val="fr-CA"/>
        </w:rPr>
        <w:t>o </w:t>
      </w:r>
      <w:r w:rsidRPr="001A4A5B">
        <w:rPr>
          <w:color w:val="auto"/>
          <w:lang w:val="fr-CA"/>
        </w:rPr>
        <w:t xml:space="preserve">106 du Rapport de la Commission Viens, lequel concerne la mise en œuvre des recommandations du Comité sur l’application de la </w:t>
      </w:r>
      <w:r w:rsidRPr="001A4A5B">
        <w:rPr>
          <w:i/>
          <w:color w:val="auto"/>
          <w:lang w:val="fr-CA"/>
        </w:rPr>
        <w:t xml:space="preserve">Loi modifiant le Code des professions et d’autres dispositions législatives dans le domaine de la santé mentale et des relations humaines </w:t>
      </w:r>
      <w:r w:rsidRPr="001A4A5B">
        <w:rPr>
          <w:color w:val="auto"/>
          <w:lang w:val="fr-CA"/>
        </w:rPr>
        <w:t>(projet de loi n</w:t>
      </w:r>
      <w:r w:rsidRPr="001A4A5B">
        <w:rPr>
          <w:color w:val="auto"/>
          <w:vertAlign w:val="superscript"/>
          <w:lang w:val="fr-CA"/>
        </w:rPr>
        <w:t>o</w:t>
      </w:r>
      <w:r w:rsidRPr="001A4A5B">
        <w:rPr>
          <w:color w:val="auto"/>
          <w:lang w:val="fr-CA"/>
        </w:rPr>
        <w:t> 21)</w:t>
      </w:r>
      <w:r w:rsidRPr="001A4A5B">
        <w:rPr>
          <w:rStyle w:val="Appelnotedebasdep"/>
          <w:color w:val="auto"/>
          <w:lang w:val="fr-CA"/>
        </w:rPr>
        <w:footnoteReference w:id="156"/>
      </w:r>
      <w:r w:rsidRPr="001A4A5B">
        <w:rPr>
          <w:color w:val="auto"/>
          <w:lang w:val="fr-CA"/>
        </w:rPr>
        <w:t xml:space="preserve"> au sein des communautés des Premières Nations et des villages inuit</w:t>
      </w:r>
      <w:bookmarkStart w:id="58" w:name="_Ref144810369"/>
      <w:r w:rsidRPr="001A4A5B">
        <w:rPr>
          <w:rStyle w:val="Appelnotedebasdep"/>
          <w:color w:val="auto"/>
          <w:lang w:val="fr-CA"/>
        </w:rPr>
        <w:footnoteReference w:id="157"/>
      </w:r>
      <w:bookmarkEnd w:id="58"/>
      <w:r w:rsidRPr="001A4A5B">
        <w:rPr>
          <w:color w:val="auto"/>
          <w:lang w:val="fr-CA"/>
        </w:rPr>
        <w:t xml:space="preserve">. </w:t>
      </w:r>
    </w:p>
    <w:p w14:paraId="0CF96CFF" w14:textId="63C54C90" w:rsidR="00807B62" w:rsidRPr="001A4A5B" w:rsidRDefault="00807B62" w:rsidP="00AB4833">
      <w:pPr>
        <w:pStyle w:val="Paragraphe"/>
        <w:rPr>
          <w:color w:val="auto"/>
          <w:lang w:val="fr-CA"/>
        </w:rPr>
      </w:pPr>
      <w:r w:rsidRPr="001A4A5B">
        <w:rPr>
          <w:color w:val="auto"/>
          <w:lang w:val="fr-CA"/>
        </w:rPr>
        <w:lastRenderedPageBreak/>
        <w:t xml:space="preserve">Pour rappel, sur la base du rapport du Comité et de témoignages, le </w:t>
      </w:r>
      <w:r w:rsidR="00791085">
        <w:rPr>
          <w:color w:val="auto"/>
          <w:lang w:val="fr-CA"/>
        </w:rPr>
        <w:t>commissaire</w:t>
      </w:r>
      <w:r w:rsidR="00791085" w:rsidRPr="001A4A5B">
        <w:rPr>
          <w:color w:val="auto"/>
          <w:lang w:val="fr-CA"/>
        </w:rPr>
        <w:t xml:space="preserve"> </w:t>
      </w:r>
      <w:r w:rsidRPr="001A4A5B">
        <w:rPr>
          <w:color w:val="auto"/>
          <w:lang w:val="fr-CA"/>
        </w:rPr>
        <w:t xml:space="preserve">Viens avait relevé que la mise en œuvre de cette loi dans ces territoires avait compliqué le recrutement de personnes autochtones dans le réseau, nuisant </w:t>
      </w:r>
      <w:r w:rsidR="004A70BA">
        <w:rPr>
          <w:color w:val="auto"/>
          <w:lang w:val="fr-CA"/>
        </w:rPr>
        <w:t>de ce fait</w:t>
      </w:r>
      <w:r w:rsidRPr="001A4A5B">
        <w:rPr>
          <w:color w:val="auto"/>
          <w:lang w:val="fr-CA"/>
        </w:rPr>
        <w:t xml:space="preserve"> à la prestation de services culturellement sécuritaires</w:t>
      </w:r>
      <w:r w:rsidRPr="001A4A5B">
        <w:rPr>
          <w:rStyle w:val="Appelnotedebasdep"/>
          <w:color w:val="auto"/>
          <w:lang w:val="fr-CA"/>
        </w:rPr>
        <w:footnoteReference w:id="158"/>
      </w:r>
      <w:r w:rsidRPr="001A4A5B">
        <w:rPr>
          <w:color w:val="auto"/>
          <w:lang w:val="fr-CA"/>
        </w:rPr>
        <w:t>.</w:t>
      </w:r>
    </w:p>
    <w:p w14:paraId="57D734DF" w14:textId="570F51BB" w:rsidR="00807B62" w:rsidRPr="001A4A5B" w:rsidRDefault="00807B62" w:rsidP="00AB4833">
      <w:pPr>
        <w:pStyle w:val="Paragraphe"/>
        <w:rPr>
          <w:color w:val="auto"/>
          <w:lang w:val="fr-CA"/>
        </w:rPr>
      </w:pPr>
      <w:r w:rsidRPr="00C84C0A">
        <w:rPr>
          <w:lang w:val="fr-CA"/>
        </w:rPr>
        <w:t>Le Comité avait notamment conclu que la prestation de services de qualité en matière de santé mentale et de relations humaines</w:t>
      </w:r>
      <w:r w:rsidRPr="001A4A5B">
        <w:rPr>
          <w:color w:val="auto"/>
          <w:lang w:val="fr-CA"/>
        </w:rPr>
        <w:t xml:space="preserve"> requiert des connaissances et des compétences professionnelles</w:t>
      </w:r>
      <w:r w:rsidR="004A70BA">
        <w:rPr>
          <w:color w:val="auto"/>
          <w:lang w:val="fr-CA"/>
        </w:rPr>
        <w:t>, mais aussi</w:t>
      </w:r>
      <w:r w:rsidRPr="001A4A5B">
        <w:rPr>
          <w:color w:val="auto"/>
          <w:lang w:val="fr-CA"/>
        </w:rPr>
        <w:t xml:space="preserve"> des connaissances et des compétences à l’égard de la culture et de la langue</w:t>
      </w:r>
      <w:r w:rsidRPr="001A4A5B">
        <w:rPr>
          <w:rStyle w:val="Appelnotedebasdep"/>
          <w:color w:val="auto"/>
          <w:lang w:val="fr-CA"/>
        </w:rPr>
        <w:footnoteReference w:id="159"/>
      </w:r>
      <w:r w:rsidR="00BD1E86">
        <w:rPr>
          <w:color w:val="auto"/>
          <w:lang w:val="fr-CA"/>
        </w:rPr>
        <w:t>.</w:t>
      </w:r>
      <w:r w:rsidR="00710745">
        <w:rPr>
          <w:color w:val="auto"/>
          <w:lang w:val="fr-CA"/>
        </w:rPr>
        <w:t xml:space="preserve"> Il </w:t>
      </w:r>
      <w:r w:rsidR="00265FAF">
        <w:rPr>
          <w:color w:val="auto"/>
          <w:lang w:val="fr-CA"/>
        </w:rPr>
        <w:t>arrivait à cette conclusion</w:t>
      </w:r>
      <w:r w:rsidR="00A637C7">
        <w:rPr>
          <w:color w:val="auto"/>
          <w:lang w:val="fr-CA"/>
        </w:rPr>
        <w:t xml:space="preserve"> </w:t>
      </w:r>
      <w:r w:rsidR="00656C64">
        <w:rPr>
          <w:color w:val="auto"/>
          <w:lang w:val="fr-CA"/>
        </w:rPr>
        <w:t>considérant</w:t>
      </w:r>
      <w:r w:rsidRPr="001A4A5B">
        <w:rPr>
          <w:color w:val="auto"/>
          <w:lang w:val="fr-CA"/>
        </w:rPr>
        <w:t xml:space="preserve"> </w:t>
      </w:r>
      <w:r w:rsidRPr="001A4A5B" w:rsidDel="00010956">
        <w:rPr>
          <w:color w:val="auto"/>
          <w:lang w:val="fr-CA"/>
        </w:rPr>
        <w:t xml:space="preserve">entre autres </w:t>
      </w:r>
      <w:r w:rsidRPr="001A4A5B">
        <w:rPr>
          <w:color w:val="auto"/>
          <w:lang w:val="fr-CA"/>
        </w:rPr>
        <w:t>l’impact que peuvent avoir les croyances, les traditions et les valeurs sur les perceptions de la santé et de la maladie sur les attentes et les choix de santé</w:t>
      </w:r>
      <w:r w:rsidRPr="001A4A5B">
        <w:rPr>
          <w:rStyle w:val="Appelnotedebasdep"/>
          <w:color w:val="auto"/>
          <w:lang w:val="fr-CA"/>
        </w:rPr>
        <w:footnoteReference w:id="160"/>
      </w:r>
      <w:r w:rsidRPr="001A4A5B">
        <w:rPr>
          <w:color w:val="auto"/>
          <w:lang w:val="fr-CA"/>
        </w:rPr>
        <w:t>. Or, le Comité affirmait que «</w:t>
      </w:r>
      <w:r w:rsidR="0040512D">
        <w:rPr>
          <w:color w:val="auto"/>
          <w:lang w:val="fr-CA"/>
        </w:rPr>
        <w:t> </w:t>
      </w:r>
      <w:r w:rsidRPr="001A4A5B">
        <w:rPr>
          <w:color w:val="auto"/>
          <w:lang w:val="fr-CA"/>
        </w:rPr>
        <w:t>la présence de professionnels issus des communautés autochtones représente un enjeu majeur pour la prise en charge des services de santé et des services sociaux</w:t>
      </w:r>
      <w:r w:rsidR="0040512D">
        <w:rPr>
          <w:color w:val="auto"/>
          <w:lang w:val="fr-CA"/>
        </w:rPr>
        <w:t> </w:t>
      </w:r>
      <w:r w:rsidRPr="001A4A5B">
        <w:rPr>
          <w:color w:val="auto"/>
          <w:lang w:val="fr-CA"/>
        </w:rPr>
        <w:t>»</w:t>
      </w:r>
      <w:r w:rsidRPr="001A4A5B">
        <w:rPr>
          <w:rStyle w:val="Appelnotedebasdep"/>
          <w:color w:val="auto"/>
          <w:lang w:val="fr-CA"/>
        </w:rPr>
        <w:footnoteReference w:id="161"/>
      </w:r>
      <w:r w:rsidRPr="001A4A5B">
        <w:rPr>
          <w:color w:val="auto"/>
          <w:lang w:val="fr-CA"/>
        </w:rPr>
        <w:t xml:space="preserve"> compte tenu du faible nombre de professionnels disponibles dans les communautés.</w:t>
      </w:r>
    </w:p>
    <w:p w14:paraId="76143EBA" w14:textId="2E3B2A5D" w:rsidR="00807B62" w:rsidRPr="001A4A5B" w:rsidRDefault="00807B62" w:rsidP="00AB4833">
      <w:pPr>
        <w:pStyle w:val="Paragraphe"/>
        <w:rPr>
          <w:rFonts w:cs="Arial"/>
          <w:color w:val="auto"/>
          <w:szCs w:val="22"/>
          <w:lang w:val="fr-CA"/>
        </w:rPr>
      </w:pPr>
      <w:r w:rsidRPr="00C84C0A">
        <w:rPr>
          <w:lang w:val="fr-CA"/>
        </w:rPr>
        <w:lastRenderedPageBreak/>
        <w:t>Ces constats rejoignent les préoccupations exprimées par la Commission au fil des ans</w:t>
      </w:r>
      <w:bookmarkStart w:id="60" w:name="_Ref145056358"/>
      <w:r w:rsidRPr="000B5190">
        <w:rPr>
          <w:vertAlign w:val="superscript"/>
        </w:rPr>
        <w:footnoteReference w:id="162"/>
      </w:r>
      <w:bookmarkEnd w:id="60"/>
      <w:r w:rsidRPr="000B5190">
        <w:rPr>
          <w:lang w:val="fr-CA"/>
        </w:rPr>
        <w:t xml:space="preserve">. </w:t>
      </w:r>
      <w:r w:rsidRPr="00340254">
        <w:rPr>
          <w:lang w:val="fr-CA"/>
        </w:rPr>
        <w:t>Encore récemment, elle a exposé</w:t>
      </w:r>
      <w:r w:rsidRPr="001A4A5B">
        <w:rPr>
          <w:rFonts w:cs="Arial"/>
          <w:color w:val="auto"/>
          <w:szCs w:val="22"/>
          <w:lang w:val="fr-CA"/>
        </w:rPr>
        <w:t xml:space="preserve"> à la Commission spéciale sur les droits des enfants et la protection de la jeunesse</w:t>
      </w:r>
      <w:r w:rsidRPr="001A4A5B">
        <w:rPr>
          <w:rFonts w:cs="Arial"/>
          <w:color w:val="auto"/>
          <w:szCs w:val="22"/>
          <w:vertAlign w:val="superscript"/>
        </w:rPr>
        <w:footnoteReference w:id="163"/>
      </w:r>
      <w:r w:rsidRPr="001A4A5B">
        <w:rPr>
          <w:rFonts w:cs="Arial"/>
          <w:color w:val="auto"/>
          <w:szCs w:val="22"/>
          <w:lang w:val="fr-CA"/>
        </w:rPr>
        <w:t xml:space="preserve"> que les enjeux liés à l’accès aux services — particulièrement difficile dans les communautés éloignées</w:t>
      </w:r>
      <w:r w:rsidR="00340254">
        <w:rPr>
          <w:rFonts w:cs="Arial"/>
          <w:color w:val="auto"/>
          <w:szCs w:val="22"/>
          <w:lang w:val="fr-CA"/>
        </w:rPr>
        <w:t xml:space="preserve"> </w:t>
      </w:r>
      <w:r w:rsidRPr="001A4A5B">
        <w:rPr>
          <w:rFonts w:cs="Arial"/>
          <w:color w:val="auto"/>
          <w:szCs w:val="22"/>
          <w:lang w:val="fr-CA"/>
        </w:rPr>
        <w:t>— pour les enfants et parents autochtones sont au centre de nombreuses de ses enquêtes et travaux, et ce, depuis des décennies</w:t>
      </w:r>
      <w:r w:rsidRPr="001A4A5B">
        <w:rPr>
          <w:rFonts w:cs="Arial"/>
          <w:color w:val="auto"/>
          <w:szCs w:val="22"/>
          <w:vertAlign w:val="superscript"/>
        </w:rPr>
        <w:footnoteReference w:id="164"/>
      </w:r>
      <w:r w:rsidRPr="001A4A5B">
        <w:rPr>
          <w:rFonts w:cs="Arial"/>
          <w:color w:val="auto"/>
          <w:szCs w:val="22"/>
          <w:lang w:val="fr-CA"/>
        </w:rPr>
        <w:t>. Plusieurs jugements ont également été rendus à ce sujet</w:t>
      </w:r>
      <w:bookmarkStart w:id="61" w:name="_Ref40883467"/>
      <w:r w:rsidRPr="001A4A5B">
        <w:rPr>
          <w:rFonts w:cs="Arial"/>
          <w:color w:val="auto"/>
          <w:szCs w:val="22"/>
          <w:vertAlign w:val="superscript"/>
        </w:rPr>
        <w:footnoteReference w:id="165"/>
      </w:r>
      <w:bookmarkEnd w:id="61"/>
      <w:r w:rsidRPr="001A4A5B">
        <w:rPr>
          <w:rFonts w:cs="Arial"/>
          <w:color w:val="auto"/>
          <w:szCs w:val="22"/>
          <w:lang w:val="fr-CA"/>
        </w:rPr>
        <w:t xml:space="preserve">. </w:t>
      </w:r>
    </w:p>
    <w:p w14:paraId="72C85A42" w14:textId="62335B54" w:rsidR="00807B62" w:rsidRPr="001A4A5B" w:rsidRDefault="00807B62" w:rsidP="00AB4833">
      <w:pPr>
        <w:pStyle w:val="Paragraphe"/>
        <w:rPr>
          <w:rFonts w:cs="Arial"/>
          <w:color w:val="auto"/>
          <w:szCs w:val="22"/>
          <w:lang w:val="fr-CA"/>
        </w:rPr>
      </w:pPr>
      <w:r w:rsidRPr="001A4A5B">
        <w:rPr>
          <w:rFonts w:cs="Arial"/>
          <w:color w:val="auto"/>
          <w:lang w:val="fr-CA"/>
        </w:rPr>
        <w:t>Comme la Commission l’expliquait, les problèmes d’accès aux services soulevés dans ses enquêtes touchent les services du D</w:t>
      </w:r>
      <w:r w:rsidR="005648CC">
        <w:rPr>
          <w:rFonts w:cs="Arial"/>
          <w:color w:val="auto"/>
          <w:lang w:val="fr-CA"/>
        </w:rPr>
        <w:t>irecteur de la protection de la jeunesse (</w:t>
      </w:r>
      <w:r w:rsidRPr="001A4A5B">
        <w:rPr>
          <w:rFonts w:cs="Arial"/>
          <w:color w:val="auto"/>
          <w:lang w:val="fr-CA"/>
        </w:rPr>
        <w:t>DPJ</w:t>
      </w:r>
      <w:r w:rsidR="005648CC">
        <w:rPr>
          <w:rFonts w:cs="Arial"/>
          <w:color w:val="auto"/>
          <w:lang w:val="fr-CA"/>
        </w:rPr>
        <w:t>)</w:t>
      </w:r>
      <w:r w:rsidRPr="001A4A5B">
        <w:rPr>
          <w:rFonts w:cs="Arial"/>
          <w:color w:val="auto"/>
          <w:lang w:val="fr-CA"/>
        </w:rPr>
        <w:t>, mais aussi d’autres services sociaux ainsi que les services de sa</w:t>
      </w:r>
      <w:r w:rsidR="002B446C">
        <w:rPr>
          <w:rFonts w:cs="Arial"/>
          <w:color w:val="auto"/>
          <w:lang w:val="fr-CA"/>
        </w:rPr>
        <w:t>n</w:t>
      </w:r>
      <w:r w:rsidR="007640AE">
        <w:rPr>
          <w:rFonts w:cs="Arial"/>
          <w:color w:val="auto"/>
          <w:lang w:val="fr-CA"/>
        </w:rPr>
        <w:t>té</w:t>
      </w:r>
      <w:r w:rsidRPr="001A4A5B">
        <w:rPr>
          <w:rFonts w:cs="Arial"/>
          <w:color w:val="auto"/>
          <w:lang w:val="fr-CA"/>
        </w:rPr>
        <w:t>. Le</w:t>
      </w:r>
      <w:r w:rsidRPr="001A4A5B">
        <w:rPr>
          <w:rFonts w:eastAsia="Calibri" w:cs="Arial"/>
          <w:color w:val="auto"/>
          <w:lang w:val="fr-FR"/>
        </w:rPr>
        <w:t xml:space="preserve"> manque </w:t>
      </w:r>
      <w:r w:rsidR="0033058A" w:rsidRPr="001A4A5B">
        <w:rPr>
          <w:rFonts w:cs="Arial"/>
          <w:color w:val="auto"/>
          <w:lang w:val="fr-FR"/>
        </w:rPr>
        <w:t xml:space="preserve">et le roulement </w:t>
      </w:r>
      <w:r w:rsidRPr="001A4A5B">
        <w:rPr>
          <w:rFonts w:eastAsia="Calibri" w:cs="Arial"/>
          <w:color w:val="auto"/>
          <w:lang w:val="fr-FR"/>
        </w:rPr>
        <w:t xml:space="preserve">de personnel </w:t>
      </w:r>
      <w:r w:rsidR="00CB0029">
        <w:rPr>
          <w:rFonts w:eastAsia="Calibri" w:cs="Arial"/>
          <w:color w:val="auto"/>
          <w:lang w:val="fr-FR"/>
        </w:rPr>
        <w:t>qui œuvre en protection de la jeunesse</w:t>
      </w:r>
      <w:r w:rsidRPr="001A4A5B">
        <w:rPr>
          <w:rFonts w:eastAsia="Calibri" w:cs="Arial"/>
          <w:color w:val="auto"/>
          <w:lang w:val="fr-FR"/>
        </w:rPr>
        <w:t xml:space="preserve"> dans les communautés </w:t>
      </w:r>
      <w:r w:rsidR="00CA50CE">
        <w:rPr>
          <w:rFonts w:eastAsia="Calibri" w:cs="Arial"/>
          <w:color w:val="auto"/>
          <w:lang w:val="fr-FR"/>
        </w:rPr>
        <w:t>ont</w:t>
      </w:r>
      <w:r w:rsidRPr="001A4A5B">
        <w:rPr>
          <w:rFonts w:eastAsia="Calibri" w:cs="Arial"/>
          <w:color w:val="auto"/>
          <w:lang w:val="fr-FR"/>
        </w:rPr>
        <w:t xml:space="preserve"> des effets dévastateurs puisque cela entraîne des délais importants à l’étape de l’évaluation et, le cas échéant, dans la prise en charge de la situation d’un enfant </w:t>
      </w:r>
      <w:r w:rsidR="00775909">
        <w:rPr>
          <w:rFonts w:eastAsia="Calibri" w:cs="Arial"/>
          <w:color w:val="auto"/>
          <w:lang w:val="fr-FR"/>
        </w:rPr>
        <w:t>pour qui</w:t>
      </w:r>
      <w:r w:rsidR="00775909" w:rsidRPr="001A4A5B">
        <w:rPr>
          <w:rFonts w:eastAsia="Calibri" w:cs="Arial"/>
          <w:color w:val="auto"/>
          <w:lang w:val="fr-FR"/>
        </w:rPr>
        <w:t xml:space="preserve"> la sécurité ou le développement </w:t>
      </w:r>
      <w:r w:rsidRPr="001A4A5B">
        <w:rPr>
          <w:rFonts w:eastAsia="Calibri" w:cs="Arial"/>
          <w:color w:val="auto"/>
          <w:lang w:val="fr-FR"/>
        </w:rPr>
        <w:t>est compromis</w:t>
      </w:r>
      <w:r w:rsidRPr="001A4A5B">
        <w:rPr>
          <w:rFonts w:eastAsia="Calibri"/>
          <w:color w:val="auto"/>
          <w:vertAlign w:val="superscript"/>
          <w:lang w:val="fr-FR"/>
        </w:rPr>
        <w:footnoteReference w:id="166"/>
      </w:r>
      <w:r w:rsidRPr="001A4A5B">
        <w:rPr>
          <w:rFonts w:eastAsia="Calibri" w:cs="Arial"/>
          <w:color w:val="auto"/>
          <w:lang w:val="fr-FR"/>
        </w:rPr>
        <w:t xml:space="preserve">. </w:t>
      </w:r>
      <w:r w:rsidRPr="001A4A5B">
        <w:rPr>
          <w:rFonts w:cs="Arial"/>
          <w:color w:val="auto"/>
          <w:lang w:val="fr-CA"/>
        </w:rPr>
        <w:t>La Commission a en outre mis en lumière le problème de l’insuffisance de services en santé mentale,</w:t>
      </w:r>
      <w:r w:rsidRPr="001A4A5B" w:rsidDel="00DD585B">
        <w:rPr>
          <w:rFonts w:cs="Arial"/>
          <w:color w:val="auto"/>
          <w:lang w:val="fr-CA"/>
        </w:rPr>
        <w:t xml:space="preserve"> </w:t>
      </w:r>
      <w:r w:rsidRPr="001A4A5B">
        <w:rPr>
          <w:rFonts w:cs="Arial"/>
          <w:color w:val="auto"/>
          <w:lang w:val="fr-CA"/>
        </w:rPr>
        <w:t>en dépendances et en violence conjugale dans plusieurs communautés autochtones et expliqué que l’implantation de services en santé mentale est au cœur de nombreuses de ses recommandations</w:t>
      </w:r>
      <w:r w:rsidRPr="001A4A5B">
        <w:rPr>
          <w:color w:val="auto"/>
          <w:vertAlign w:val="superscript"/>
        </w:rPr>
        <w:footnoteReference w:id="167"/>
      </w:r>
      <w:r w:rsidRPr="001A4A5B">
        <w:rPr>
          <w:rFonts w:cs="Arial"/>
          <w:color w:val="auto"/>
          <w:lang w:val="fr-CA"/>
        </w:rPr>
        <w:t xml:space="preserve">. </w:t>
      </w:r>
    </w:p>
    <w:p w14:paraId="23E267B3" w14:textId="7BC0ABF9" w:rsidR="00807B62" w:rsidRPr="001A4A5B" w:rsidRDefault="00807B62" w:rsidP="00FB717C">
      <w:pPr>
        <w:pStyle w:val="Paragraphe"/>
        <w:rPr>
          <w:rFonts w:cs="Arial"/>
          <w:color w:val="auto"/>
          <w:lang w:val="fr-CA"/>
        </w:rPr>
      </w:pPr>
      <w:r w:rsidRPr="001A4A5B">
        <w:rPr>
          <w:rFonts w:cs="Arial"/>
          <w:color w:val="auto"/>
          <w:szCs w:val="22"/>
          <w:lang w:val="fr-CA"/>
        </w:rPr>
        <w:lastRenderedPageBreak/>
        <w:t>Face à de tels constats</w:t>
      </w:r>
      <w:r w:rsidRPr="001A4A5B">
        <w:rPr>
          <w:rFonts w:eastAsia="Calibri" w:cs="Arial"/>
          <w:color w:val="auto"/>
          <w:lang w:val="fr-CA"/>
        </w:rPr>
        <w:t xml:space="preserve">, la Commission a accueilli avec satisfaction les mesures proposées par le projet de loi </w:t>
      </w:r>
      <w:r w:rsidRPr="001A4A5B">
        <w:rPr>
          <w:rFonts w:eastAsia="Calibri" w:cs="Arial"/>
          <w:color w:val="auto"/>
          <w:lang w:val="fr-FR"/>
        </w:rPr>
        <w:t>n</w:t>
      </w:r>
      <w:r w:rsidRPr="001A4A5B">
        <w:rPr>
          <w:rFonts w:eastAsia="Calibri" w:cs="Arial"/>
          <w:color w:val="auto"/>
          <w:vertAlign w:val="superscript"/>
          <w:lang w:val="fr-FR"/>
        </w:rPr>
        <w:t>o</w:t>
      </w:r>
      <w:r w:rsidR="001F313E">
        <w:rPr>
          <w:rFonts w:eastAsia="Calibri" w:cs="Arial"/>
          <w:color w:val="auto"/>
          <w:lang w:val="fr-FR"/>
        </w:rPr>
        <w:t> </w:t>
      </w:r>
      <w:r w:rsidRPr="001A4A5B">
        <w:rPr>
          <w:rFonts w:eastAsia="Calibri" w:cs="Arial"/>
          <w:color w:val="auto"/>
          <w:lang w:val="fr-FR"/>
        </w:rPr>
        <w:t xml:space="preserve">15, </w:t>
      </w:r>
      <w:r w:rsidRPr="001A4A5B">
        <w:rPr>
          <w:rFonts w:eastAsia="Calibri" w:cs="Arial"/>
          <w:i/>
          <w:color w:val="auto"/>
          <w:lang w:val="fr-FR"/>
        </w:rPr>
        <w:t>Loi modifiant la loi sur la protection de la jeunesse et d’autres dispositions législatives</w:t>
      </w:r>
      <w:r w:rsidRPr="001A4A5B">
        <w:rPr>
          <w:rStyle w:val="Appelnotedebasdep"/>
          <w:rFonts w:eastAsia="Calibri" w:cs="Arial"/>
          <w:color w:val="auto"/>
          <w:lang w:val="fr-FR"/>
        </w:rPr>
        <w:footnoteReference w:id="168"/>
      </w:r>
      <w:r w:rsidRPr="001A4A5B">
        <w:rPr>
          <w:rFonts w:eastAsia="Calibri" w:cs="Arial"/>
          <w:color w:val="auto"/>
          <w:lang w:val="fr-FR"/>
        </w:rPr>
        <w:t>, lesquelles visaient </w:t>
      </w:r>
      <w:r w:rsidRPr="001A4A5B">
        <w:rPr>
          <w:rFonts w:eastAsia="Calibri" w:cs="Arial"/>
          <w:color w:val="auto"/>
          <w:lang w:val="fr-CA"/>
        </w:rPr>
        <w:t>à tenir compte des facteurs historiques, sociaux et culturels qui sont propres aux enfants autochtones et leur famille</w:t>
      </w:r>
      <w:r w:rsidRPr="001A4A5B">
        <w:rPr>
          <w:rStyle w:val="Appelnotedebasdep"/>
          <w:rFonts w:eastAsia="Calibri" w:cs="Arial"/>
          <w:color w:val="auto"/>
        </w:rPr>
        <w:footnoteReference w:id="169"/>
      </w:r>
      <w:r w:rsidRPr="001A4A5B">
        <w:rPr>
          <w:rFonts w:eastAsia="Calibri" w:cs="Arial"/>
          <w:color w:val="auto"/>
          <w:lang w:val="fr-CA"/>
        </w:rPr>
        <w:t>. Le renforcement de la prise en compte de l’identité culturelle de l’enfant autochtone et des membres de sa famille</w:t>
      </w:r>
      <w:r w:rsidRPr="001A4A5B">
        <w:rPr>
          <w:rFonts w:eastAsia="Calibri"/>
          <w:color w:val="auto"/>
          <w:vertAlign w:val="superscript"/>
        </w:rPr>
        <w:footnoteReference w:id="170"/>
      </w:r>
      <w:r w:rsidRPr="001A4A5B">
        <w:rPr>
          <w:rFonts w:eastAsia="Calibri" w:cs="Arial"/>
          <w:color w:val="auto"/>
          <w:lang w:val="fr-CA"/>
        </w:rPr>
        <w:t xml:space="preserve"> rejoignait sa position dans les dossiers d’enquête concernant des situations d’enfants autochtones placés à l’extérieur de leurs communautés et dans des milieux allochtones</w:t>
      </w:r>
      <w:r w:rsidRPr="001A4A5B">
        <w:rPr>
          <w:rStyle w:val="Appelnotedebasdep"/>
          <w:rFonts w:eastAsia="Calibri" w:cs="Arial"/>
          <w:color w:val="auto"/>
        </w:rPr>
        <w:footnoteReference w:id="171"/>
      </w:r>
      <w:r w:rsidR="00800193">
        <w:rPr>
          <w:rFonts w:eastAsia="Calibri" w:cs="Arial"/>
          <w:color w:val="auto"/>
          <w:lang w:val="fr-CA"/>
        </w:rPr>
        <w:t xml:space="preserve">, dont </w:t>
      </w:r>
      <w:r w:rsidR="00E92AB8">
        <w:rPr>
          <w:rFonts w:eastAsia="Calibri" w:cs="Arial"/>
          <w:color w:val="auto"/>
          <w:lang w:val="fr-CA"/>
        </w:rPr>
        <w:t>ceux recevant des</w:t>
      </w:r>
      <w:r w:rsidRPr="001A4A5B">
        <w:rPr>
          <w:rFonts w:eastAsia="Calibri" w:cs="Arial"/>
          <w:color w:val="auto"/>
          <w:lang w:val="fr-CA"/>
        </w:rPr>
        <w:t xml:space="preserve"> services de réadaptation</w:t>
      </w:r>
      <w:r w:rsidRPr="001A4A5B">
        <w:rPr>
          <w:rFonts w:eastAsia="Calibri"/>
          <w:color w:val="auto"/>
          <w:vertAlign w:val="superscript"/>
        </w:rPr>
        <w:footnoteReference w:id="172"/>
      </w:r>
      <w:r w:rsidRPr="001A4A5B">
        <w:rPr>
          <w:rFonts w:eastAsia="Calibri" w:cs="Arial"/>
          <w:color w:val="auto"/>
          <w:lang w:val="fr-CA"/>
        </w:rPr>
        <w:t xml:space="preserve">. </w:t>
      </w:r>
      <w:r w:rsidR="00962B3A">
        <w:rPr>
          <w:rFonts w:cs="Arial"/>
          <w:color w:val="auto"/>
          <w:lang w:val="fr-CA"/>
        </w:rPr>
        <w:t>L</w:t>
      </w:r>
      <w:r w:rsidRPr="001A4A5B">
        <w:rPr>
          <w:rFonts w:cs="Arial"/>
          <w:color w:val="auto"/>
          <w:lang w:val="fr-CA"/>
        </w:rPr>
        <w:t>a Commission avait néanmoins estimé nécessaire d’enjoindre le gouvernement à agir pour lever tous les obstacles qui entravent le respect des droits des enfants autochtones qui vivent dans une communauté ou en milieu urbain</w:t>
      </w:r>
      <w:r w:rsidRPr="001A4A5B">
        <w:rPr>
          <w:color w:val="auto"/>
          <w:vertAlign w:val="superscript"/>
        </w:rPr>
        <w:footnoteReference w:id="173"/>
      </w:r>
      <w:r w:rsidRPr="001A4A5B">
        <w:rPr>
          <w:rFonts w:cs="Arial"/>
          <w:color w:val="auto"/>
          <w:lang w:val="fr-CA"/>
        </w:rPr>
        <w:t>.</w:t>
      </w:r>
    </w:p>
    <w:p w14:paraId="3FB10F1A" w14:textId="6ECD5020" w:rsidR="00807B62" w:rsidRPr="001A4A5B" w:rsidRDefault="00807B62" w:rsidP="00AB4833">
      <w:pPr>
        <w:pStyle w:val="Paragraphe"/>
        <w:rPr>
          <w:rFonts w:cs="Arial"/>
          <w:color w:val="auto"/>
          <w:lang w:val="fr-CA"/>
        </w:rPr>
      </w:pPr>
      <w:r w:rsidRPr="001A4A5B">
        <w:rPr>
          <w:rFonts w:cs="Arial"/>
          <w:color w:val="auto"/>
          <w:lang w:val="fr-CA"/>
        </w:rPr>
        <w:t>La Commission, qui appuie l’appel à l’action n</w:t>
      </w:r>
      <w:r w:rsidRPr="001A4A5B">
        <w:rPr>
          <w:rFonts w:cs="Arial"/>
          <w:color w:val="auto"/>
          <w:vertAlign w:val="superscript"/>
          <w:lang w:val="fr-CA"/>
        </w:rPr>
        <w:t>o</w:t>
      </w:r>
      <w:r w:rsidRPr="001A4A5B">
        <w:rPr>
          <w:rFonts w:cs="Arial"/>
          <w:color w:val="auto"/>
          <w:lang w:val="fr-CA"/>
        </w:rPr>
        <w:t xml:space="preserve"> 106 de la Commission Viens, considère que le présent projet de loi est de nature à lever certains obstacles allant à l’encontre de l’accès aux services culturellement sécuritaires visés dans les territoires autochtones. </w:t>
      </w:r>
      <w:r w:rsidR="00FB717C">
        <w:rPr>
          <w:rFonts w:cs="Arial"/>
          <w:color w:val="auto"/>
          <w:lang w:val="fr-CA"/>
        </w:rPr>
        <w:t>Toutefois, e</w:t>
      </w:r>
      <w:r w:rsidRPr="001A4A5B">
        <w:rPr>
          <w:rFonts w:cs="Arial"/>
          <w:color w:val="auto"/>
          <w:lang w:val="fr-CA"/>
        </w:rPr>
        <w:t xml:space="preserve">lle déplore que les conditions et les modalités suivant lesquelles des personnes autochtones pourraient exercer certaines activités professionnelles réservées </w:t>
      </w:r>
      <w:r w:rsidR="007B214F">
        <w:rPr>
          <w:rFonts w:cs="Arial"/>
          <w:color w:val="auto"/>
          <w:lang w:val="fr-CA"/>
        </w:rPr>
        <w:t>ne soi</w:t>
      </w:r>
      <w:r w:rsidR="00451668">
        <w:rPr>
          <w:rFonts w:cs="Arial"/>
          <w:color w:val="auto"/>
          <w:lang w:val="fr-CA"/>
        </w:rPr>
        <w:t>en</w:t>
      </w:r>
      <w:r w:rsidR="007B214F">
        <w:rPr>
          <w:rFonts w:cs="Arial"/>
          <w:color w:val="auto"/>
          <w:lang w:val="fr-CA"/>
        </w:rPr>
        <w:t xml:space="preserve">t pas prévues à la loi, mais </w:t>
      </w:r>
      <w:r w:rsidRPr="001A4A5B">
        <w:rPr>
          <w:rFonts w:cs="Arial"/>
          <w:color w:val="auto"/>
          <w:lang w:val="fr-CA"/>
        </w:rPr>
        <w:t xml:space="preserve">seraient </w:t>
      </w:r>
      <w:r w:rsidR="007B214F">
        <w:rPr>
          <w:rFonts w:cs="Arial"/>
          <w:color w:val="auto"/>
          <w:lang w:val="fr-CA"/>
        </w:rPr>
        <w:t>détaillées</w:t>
      </w:r>
      <w:r w:rsidRPr="001A4A5B">
        <w:rPr>
          <w:rFonts w:cs="Arial"/>
          <w:color w:val="auto"/>
          <w:lang w:val="fr-CA"/>
        </w:rPr>
        <w:t xml:space="preserve"> par règlement. </w:t>
      </w:r>
      <w:r w:rsidR="007B214F">
        <w:rPr>
          <w:rFonts w:cs="Arial"/>
          <w:color w:val="auto"/>
          <w:lang w:val="fr-CA"/>
        </w:rPr>
        <w:t>En l’absence d’informations sur le contenu de ce dernier</w:t>
      </w:r>
      <w:r w:rsidR="001103F7">
        <w:rPr>
          <w:rFonts w:cs="Arial"/>
          <w:color w:val="auto"/>
          <w:lang w:val="fr-CA"/>
        </w:rPr>
        <w:t>, i</w:t>
      </w:r>
      <w:r w:rsidRPr="001A4A5B">
        <w:rPr>
          <w:rFonts w:cs="Arial"/>
          <w:color w:val="auto"/>
          <w:lang w:val="fr-CA"/>
        </w:rPr>
        <w:t xml:space="preserve">l est </w:t>
      </w:r>
      <w:r w:rsidR="001E498F">
        <w:rPr>
          <w:rFonts w:cs="Arial"/>
          <w:color w:val="auto"/>
          <w:lang w:val="fr-CA"/>
        </w:rPr>
        <w:t>difficile</w:t>
      </w:r>
      <w:r w:rsidRPr="001A4A5B">
        <w:rPr>
          <w:rFonts w:cs="Arial"/>
          <w:color w:val="auto"/>
          <w:lang w:val="fr-CA"/>
        </w:rPr>
        <w:t xml:space="preserve"> pour </w:t>
      </w:r>
      <w:r w:rsidR="001103F7">
        <w:rPr>
          <w:rFonts w:cs="Arial"/>
          <w:color w:val="auto"/>
          <w:lang w:val="fr-CA"/>
        </w:rPr>
        <w:t>la Commission</w:t>
      </w:r>
      <w:r w:rsidRPr="001A4A5B">
        <w:rPr>
          <w:rFonts w:cs="Arial"/>
          <w:color w:val="auto"/>
          <w:lang w:val="fr-CA"/>
        </w:rPr>
        <w:t xml:space="preserve"> d’évaluer la portée réelle de l’assouplissement proposé sur l’exercice des droits des enfants et de leurs familles. </w:t>
      </w:r>
      <w:r w:rsidR="00C52CEE" w:rsidRPr="004D2054">
        <w:rPr>
          <w:rFonts w:cs="Arial"/>
          <w:color w:val="auto"/>
          <w:lang w:val="fr-CA"/>
        </w:rPr>
        <w:t xml:space="preserve">Il lui est impossible de s’assurer du respect des droits des personnes autochtones qui œuvrent dans les domaines visés par le projet de loi et à qui la mesure proposée par le projet de loi devrait bénéficier. </w:t>
      </w:r>
    </w:p>
    <w:p w14:paraId="069D2075" w14:textId="105600A3" w:rsidR="00807B62" w:rsidRPr="001A4A5B" w:rsidRDefault="00807B62" w:rsidP="00AB4833">
      <w:pPr>
        <w:pStyle w:val="Paragraphe"/>
        <w:rPr>
          <w:color w:val="auto"/>
          <w:lang w:val="fr-CA"/>
        </w:rPr>
      </w:pPr>
      <w:r w:rsidRPr="001A4A5B">
        <w:rPr>
          <w:color w:val="auto"/>
          <w:lang w:val="fr-CA"/>
        </w:rPr>
        <w:t xml:space="preserve">Concernant ces dernières, soulignons que l’une des mesures du plan d’action gouvernemental pour le mieux-être social et culturel des Premières Nations et des Inuit, présenté l’an dernier, </w:t>
      </w:r>
      <w:r w:rsidRPr="001A4A5B">
        <w:rPr>
          <w:color w:val="auto"/>
          <w:lang w:val="fr-CA"/>
        </w:rPr>
        <w:lastRenderedPageBreak/>
        <w:t xml:space="preserve">permet de mieux cerner les intentions du gouvernement quant à la mise en œuvre </w:t>
      </w:r>
      <w:r w:rsidR="00C52CEE">
        <w:rPr>
          <w:color w:val="auto"/>
          <w:lang w:val="fr-CA"/>
        </w:rPr>
        <w:t>d</w:t>
      </w:r>
      <w:r w:rsidRPr="001A4A5B">
        <w:rPr>
          <w:color w:val="auto"/>
          <w:lang w:val="fr-CA"/>
        </w:rPr>
        <w:t>es recommandations du Rapport du Comité de travail sur l’application du projet de loi n</w:t>
      </w:r>
      <w:r w:rsidRPr="001A4A5B">
        <w:rPr>
          <w:color w:val="auto"/>
          <w:vertAlign w:val="superscript"/>
          <w:lang w:val="fr-CA"/>
        </w:rPr>
        <w:t>o</w:t>
      </w:r>
      <w:r w:rsidRPr="001A4A5B">
        <w:rPr>
          <w:color w:val="auto"/>
          <w:lang w:val="fr-CA"/>
        </w:rPr>
        <w:t> 21</w:t>
      </w:r>
      <w:r w:rsidRPr="001A4A5B">
        <w:rPr>
          <w:rStyle w:val="Appelnotedebasdep"/>
          <w:color w:val="auto"/>
        </w:rPr>
        <w:footnoteReference w:id="174"/>
      </w:r>
      <w:r w:rsidRPr="001A4A5B">
        <w:rPr>
          <w:color w:val="auto"/>
          <w:lang w:val="fr-CA"/>
        </w:rPr>
        <w:t> :</w:t>
      </w:r>
    </w:p>
    <w:p w14:paraId="01617B37" w14:textId="71F106DE" w:rsidR="00807B62" w:rsidRPr="002E4277" w:rsidRDefault="00807B62" w:rsidP="00AB4833">
      <w:pPr>
        <w:pStyle w:val="Citation"/>
      </w:pPr>
      <w:r w:rsidRPr="00E76BDB">
        <w:t xml:space="preserve">« La mesure vise à mettre en place une solution durable qui repose sur le développement des compétences des Premières Nations et </w:t>
      </w:r>
      <w:proofErr w:type="gramStart"/>
      <w:r w:rsidRPr="00E76BDB">
        <w:t>des Inuit</w:t>
      </w:r>
      <w:proofErr w:type="gramEnd"/>
      <w:r w:rsidRPr="00E76BDB">
        <w:t xml:space="preserve">, en assurant la disponibilité d’intervenants qualifiés dans les communautés et une prestation de services culturellement pertinente et sécurisante. Il s’agit, plus précisément, d’élaborer une formation propre aux </w:t>
      </w:r>
      <w:r w:rsidRPr="00AB4833">
        <w:t>Premières</w:t>
      </w:r>
      <w:r w:rsidRPr="00E76BDB">
        <w:t xml:space="preserve"> Nations et </w:t>
      </w:r>
      <w:proofErr w:type="gramStart"/>
      <w:r w:rsidRPr="00E76BDB">
        <w:t>aux Inuit</w:t>
      </w:r>
      <w:proofErr w:type="gramEnd"/>
      <w:r w:rsidRPr="00E76BDB">
        <w:t>, qui permettra aux Autochtones d’acquérir graduellement les compétences et d’obtenir les autorisations requises pour exercer certaines des activités réservées par la Loi. »</w:t>
      </w:r>
      <w:r w:rsidRPr="001A4A5B">
        <w:rPr>
          <w:rStyle w:val="Appelnotedebasdep"/>
        </w:rPr>
        <w:footnoteReference w:id="175"/>
      </w:r>
    </w:p>
    <w:p w14:paraId="13C0AEC5" w14:textId="5BD7C03F" w:rsidR="00807B62" w:rsidRPr="001A4A5B" w:rsidRDefault="00807B62" w:rsidP="00AB4833">
      <w:pPr>
        <w:pStyle w:val="Paragraphe"/>
        <w:rPr>
          <w:color w:val="auto"/>
          <w:lang w:val="fr-CA"/>
        </w:rPr>
      </w:pPr>
      <w:r w:rsidRPr="001A4A5B">
        <w:rPr>
          <w:color w:val="auto"/>
          <w:lang w:val="fr-CA"/>
        </w:rPr>
        <w:t xml:space="preserve">Si c’est </w:t>
      </w:r>
      <w:r w:rsidR="00C52CEE">
        <w:rPr>
          <w:color w:val="auto"/>
          <w:lang w:val="fr-CA"/>
        </w:rPr>
        <w:t xml:space="preserve">bien </w:t>
      </w:r>
      <w:r w:rsidRPr="001A4A5B">
        <w:rPr>
          <w:color w:val="auto"/>
          <w:lang w:val="fr-CA"/>
        </w:rPr>
        <w:t xml:space="preserve">cette finalité qui est recherchée, la Commission a plusieurs interrogations. </w:t>
      </w:r>
      <w:r w:rsidR="00C52CEE">
        <w:rPr>
          <w:color w:val="auto"/>
          <w:lang w:val="fr-CA"/>
        </w:rPr>
        <w:t>E</w:t>
      </w:r>
      <w:r w:rsidRPr="001A4A5B">
        <w:rPr>
          <w:color w:val="auto"/>
          <w:lang w:val="fr-CA"/>
        </w:rPr>
        <w:t>lle se demande</w:t>
      </w:r>
      <w:r w:rsidR="00C52CEE">
        <w:rPr>
          <w:color w:val="auto"/>
          <w:lang w:val="fr-CA"/>
        </w:rPr>
        <w:t>, par exemple,</w:t>
      </w:r>
      <w:r w:rsidRPr="001A4A5B">
        <w:rPr>
          <w:color w:val="auto"/>
          <w:lang w:val="fr-CA"/>
        </w:rPr>
        <w:t xml:space="preserve"> comment le gouvernement entend déterminer les conditions et modalités d’exercice de certaines activités réservées par les personnes autochtones qui mèneraient à l’acquisition des compétences requises. À partir de quels critères évaluerait-il les compétences nécessaires à posséder ou acquérir</w:t>
      </w:r>
      <w:r w:rsidR="00D149E6">
        <w:rPr>
          <w:color w:val="auto"/>
          <w:lang w:val="fr-CA"/>
        </w:rPr>
        <w:t> </w:t>
      </w:r>
      <w:r w:rsidRPr="001A4A5B">
        <w:rPr>
          <w:color w:val="auto"/>
          <w:lang w:val="fr-CA"/>
        </w:rPr>
        <w:t>? Qui serait l’autorité ou les autorités responsables pour établir les conditions et modalités d’exercice des activités réservées ciblées par le projet de loi et pour élaborer les formations qualifiantes des personnes autochtones dans chacun des domaines concernés</w:t>
      </w:r>
      <w:r w:rsidR="00D149E6">
        <w:rPr>
          <w:color w:val="auto"/>
          <w:lang w:val="fr-CA"/>
        </w:rPr>
        <w:t> </w:t>
      </w:r>
      <w:r w:rsidRPr="001A4A5B">
        <w:rPr>
          <w:color w:val="auto"/>
          <w:lang w:val="fr-CA"/>
        </w:rPr>
        <w:t>? Quelle place occuperaient les communautés autochtones dans l’élaboration de ces conditions et modalités</w:t>
      </w:r>
      <w:r w:rsidR="00D149E6">
        <w:rPr>
          <w:color w:val="auto"/>
          <w:lang w:val="fr-CA"/>
        </w:rPr>
        <w:t> </w:t>
      </w:r>
      <w:r w:rsidRPr="001A4A5B">
        <w:rPr>
          <w:color w:val="auto"/>
          <w:lang w:val="fr-CA"/>
        </w:rPr>
        <w:t>? Quel serait le rôle des ordres professionnels concernés</w:t>
      </w:r>
      <w:r w:rsidR="00D149E6">
        <w:rPr>
          <w:color w:val="auto"/>
          <w:lang w:val="fr-CA"/>
        </w:rPr>
        <w:t> </w:t>
      </w:r>
      <w:r w:rsidRPr="001A4A5B">
        <w:rPr>
          <w:color w:val="auto"/>
          <w:lang w:val="fr-CA"/>
        </w:rPr>
        <w:t xml:space="preserve">? Seraient-ils responsables de surveiller et </w:t>
      </w:r>
      <w:r w:rsidR="00530D45">
        <w:rPr>
          <w:color w:val="auto"/>
          <w:lang w:val="fr-CA"/>
        </w:rPr>
        <w:t>réglementer</w:t>
      </w:r>
      <w:r w:rsidRPr="001A4A5B">
        <w:rPr>
          <w:color w:val="auto"/>
          <w:lang w:val="fr-CA"/>
        </w:rPr>
        <w:t xml:space="preserve"> l’exercice professionnel des personnes exerçant les activités visées</w:t>
      </w:r>
      <w:r w:rsidR="00D149E6">
        <w:rPr>
          <w:color w:val="auto"/>
          <w:lang w:val="fr-CA"/>
        </w:rPr>
        <w:t> </w:t>
      </w:r>
      <w:r w:rsidRPr="001A4A5B">
        <w:rPr>
          <w:color w:val="auto"/>
          <w:lang w:val="fr-CA"/>
        </w:rPr>
        <w:t xml:space="preserve">? </w:t>
      </w:r>
    </w:p>
    <w:p w14:paraId="1380C22F" w14:textId="77777777" w:rsidR="00902913" w:rsidRDefault="00807B62" w:rsidP="00AB4833">
      <w:pPr>
        <w:pStyle w:val="Paragraphe"/>
        <w:rPr>
          <w:color w:val="auto"/>
          <w:lang w:val="fr-CA"/>
        </w:rPr>
      </w:pPr>
      <w:r w:rsidRPr="001A4A5B">
        <w:rPr>
          <w:color w:val="auto"/>
          <w:lang w:val="fr-CA"/>
        </w:rPr>
        <w:t xml:space="preserve">Du point de vue du respect des droits des enfants et leur famille, la Commission tient à souligner l’importance de veiller à ce que les enfants et les familles autochtones qui recevraient des services dispensés par des personnes qui ne sont pas membres d’un ordre professionnel bénéficient de services de qualité comparables à ceux offerts aux enfants allochtones. Ses inquiétudes à cet égard reposent sur sa vaste expertise acquise au fil des enquêtes qu’elle a réalisées à l’égard des droits des enfants pris en charge par l’État. </w:t>
      </w:r>
    </w:p>
    <w:p w14:paraId="61FD8179" w14:textId="43422C48" w:rsidR="00807B62" w:rsidRPr="001A4A5B" w:rsidRDefault="00807B62" w:rsidP="00AB4833">
      <w:pPr>
        <w:pStyle w:val="Paragraphe"/>
        <w:rPr>
          <w:color w:val="auto"/>
          <w:lang w:val="fr-CA"/>
        </w:rPr>
      </w:pPr>
      <w:r w:rsidRPr="001A4A5B">
        <w:rPr>
          <w:color w:val="auto"/>
          <w:lang w:val="fr-CA"/>
        </w:rPr>
        <w:t>En 2009, dans ses commentaires sur le projet de loi n</w:t>
      </w:r>
      <w:r w:rsidRPr="001A4A5B">
        <w:rPr>
          <w:color w:val="auto"/>
          <w:vertAlign w:val="superscript"/>
          <w:lang w:val="fr-CA"/>
        </w:rPr>
        <w:t>o </w:t>
      </w:r>
      <w:r w:rsidRPr="001A4A5B">
        <w:rPr>
          <w:color w:val="auto"/>
          <w:lang w:val="fr-CA"/>
        </w:rPr>
        <w:t xml:space="preserve">21, la Commission avait d’ailleurs salué les modifications apportées au </w:t>
      </w:r>
      <w:r w:rsidRPr="001A4A5B">
        <w:rPr>
          <w:i/>
          <w:color w:val="auto"/>
          <w:lang w:val="fr-CA"/>
        </w:rPr>
        <w:t>Code des professions</w:t>
      </w:r>
      <w:r w:rsidRPr="001A4A5B">
        <w:rPr>
          <w:color w:val="auto"/>
          <w:lang w:val="fr-CA"/>
        </w:rPr>
        <w:t>, et ce, en soulignant leurs apports quant à la réalisation des droits des enfants</w:t>
      </w:r>
      <w:bookmarkStart w:id="62" w:name="_Ref144811450"/>
      <w:r w:rsidRPr="001A4A5B">
        <w:rPr>
          <w:rStyle w:val="Appelnotedebasdep"/>
          <w:rFonts w:cs="Arial"/>
          <w:color w:val="auto"/>
          <w:szCs w:val="22"/>
        </w:rPr>
        <w:footnoteReference w:id="176"/>
      </w:r>
      <w:bookmarkEnd w:id="62"/>
      <w:r w:rsidRPr="001A4A5B">
        <w:rPr>
          <w:color w:val="auto"/>
          <w:lang w:val="fr-CA"/>
        </w:rPr>
        <w:t xml:space="preserve">. En fait, ces enquêtes l’ont amenée à diverses occasions </w:t>
      </w:r>
      <w:r w:rsidRPr="001A4A5B">
        <w:rPr>
          <w:color w:val="auto"/>
          <w:lang w:val="fr-CA"/>
        </w:rPr>
        <w:lastRenderedPageBreak/>
        <w:t>à recommander que les personnes appelées à intervenir auprès d</w:t>
      </w:r>
      <w:r w:rsidR="00DA29ED">
        <w:rPr>
          <w:color w:val="auto"/>
          <w:lang w:val="fr-CA"/>
        </w:rPr>
        <w:t>es enfants</w:t>
      </w:r>
      <w:r w:rsidRPr="001A4A5B">
        <w:rPr>
          <w:color w:val="auto"/>
          <w:lang w:val="fr-CA"/>
        </w:rPr>
        <w:t xml:space="preserve"> possèdent une formation qui soit conforme au degré de complexité de leurs interventions et qu’elles soient imputables des actes posés</w:t>
      </w:r>
      <w:r w:rsidRPr="001A4A5B">
        <w:rPr>
          <w:color w:val="auto"/>
          <w:vertAlign w:val="superscript"/>
        </w:rPr>
        <w:footnoteReference w:id="177"/>
      </w:r>
      <w:r w:rsidRPr="001A4A5B">
        <w:rPr>
          <w:color w:val="auto"/>
          <w:lang w:val="fr-CA"/>
        </w:rPr>
        <w:t xml:space="preserve">. </w:t>
      </w:r>
      <w:r w:rsidR="00A5596F">
        <w:rPr>
          <w:color w:val="auto"/>
          <w:lang w:val="fr-CA"/>
        </w:rPr>
        <w:t>Ces</w:t>
      </w:r>
      <w:r w:rsidRPr="001A4A5B">
        <w:rPr>
          <w:color w:val="auto"/>
          <w:lang w:val="fr-CA"/>
        </w:rPr>
        <w:t xml:space="preserve"> personnes exercent des fonctions importantes puisqu’elles ont à prendre des décisions sur des sujets qui risquent d’affecter sérieusement l’exercice des droits reconnus aux enfants et aux parents par la </w:t>
      </w:r>
      <w:proofErr w:type="spellStart"/>
      <w:r w:rsidR="00C91EA5" w:rsidRPr="001A4A5B">
        <w:rPr>
          <w:color w:val="auto"/>
          <w:lang w:val="fr-CA"/>
        </w:rPr>
        <w:t>L</w:t>
      </w:r>
      <w:r w:rsidR="00C91EA5">
        <w:rPr>
          <w:color w:val="auto"/>
          <w:lang w:val="fr-CA"/>
        </w:rPr>
        <w:t>.p.j</w:t>
      </w:r>
      <w:proofErr w:type="spellEnd"/>
      <w:r w:rsidR="00C91EA5">
        <w:rPr>
          <w:color w:val="auto"/>
          <w:lang w:val="fr-CA"/>
        </w:rPr>
        <w:t>.</w:t>
      </w:r>
      <w:r w:rsidR="00C91EA5" w:rsidRPr="001A4A5B">
        <w:rPr>
          <w:color w:val="auto"/>
          <w:lang w:val="fr-CA"/>
        </w:rPr>
        <w:t xml:space="preserve"> </w:t>
      </w:r>
      <w:r w:rsidRPr="001A4A5B">
        <w:rPr>
          <w:color w:val="auto"/>
          <w:lang w:val="fr-CA"/>
        </w:rPr>
        <w:t xml:space="preserve">et la Charte, dont le droit de l’enfant </w:t>
      </w:r>
      <w:r w:rsidRPr="001A4A5B">
        <w:rPr>
          <w:color w:val="auto"/>
          <w:shd w:val="clear" w:color="auto" w:fill="FFFFFF"/>
          <w:lang w:val="fr-CA"/>
        </w:rPr>
        <w:t>à la protection, à la sécurité et à l’attention que ses parents ou les personnes qui en tiennent lieu peuvent lui donner, inscrit à l’article</w:t>
      </w:r>
      <w:r w:rsidR="001F313E">
        <w:rPr>
          <w:color w:val="auto"/>
          <w:shd w:val="clear" w:color="auto" w:fill="FFFFFF"/>
          <w:lang w:val="fr-CA"/>
        </w:rPr>
        <w:t> </w:t>
      </w:r>
      <w:r w:rsidRPr="001A4A5B">
        <w:rPr>
          <w:color w:val="auto"/>
          <w:shd w:val="clear" w:color="auto" w:fill="FFFFFF"/>
          <w:lang w:val="fr-CA"/>
        </w:rPr>
        <w:t>39 de la Charte.</w:t>
      </w:r>
      <w:r w:rsidRPr="001A4A5B">
        <w:rPr>
          <w:color w:val="auto"/>
          <w:lang w:val="fr-CA"/>
        </w:rPr>
        <w:t xml:space="preserve"> </w:t>
      </w:r>
      <w:r w:rsidR="001A5D43" w:rsidRPr="004D2054">
        <w:rPr>
          <w:color w:val="auto"/>
          <w:lang w:val="fr-CA"/>
        </w:rPr>
        <w:t>Rappelons d’ailleurs que la création même du système professionnel au Québec est fondée sur la nécessaire protection du public qui reçoit des services professionnels, notamment dans le domaine de la santé et des services sociaux</w:t>
      </w:r>
      <w:r w:rsidR="001A5D43" w:rsidRPr="004D2054">
        <w:rPr>
          <w:rStyle w:val="Appelnotedebasdep"/>
          <w:color w:val="auto"/>
          <w:lang w:val="fr-CA"/>
        </w:rPr>
        <w:footnoteReference w:id="178"/>
      </w:r>
      <w:r w:rsidR="001A5D43" w:rsidRPr="004D2054">
        <w:rPr>
          <w:color w:val="auto"/>
          <w:lang w:val="fr-CA"/>
        </w:rPr>
        <w:t xml:space="preserve">.  </w:t>
      </w:r>
    </w:p>
    <w:p w14:paraId="1C9D1E39" w14:textId="23E3D23A" w:rsidR="008D105F" w:rsidRDefault="00807B62" w:rsidP="00D875FB">
      <w:pPr>
        <w:pStyle w:val="Paragraphe"/>
        <w:rPr>
          <w:color w:val="auto"/>
          <w:lang w:val="fr-CA"/>
        </w:rPr>
      </w:pPr>
      <w:r w:rsidRPr="001A4A5B">
        <w:rPr>
          <w:color w:val="auto"/>
          <w:lang w:val="fr-CA"/>
        </w:rPr>
        <w:t xml:space="preserve">La Commission réserve ainsi son analyse quant à la conformité des conditions et modalités d’exercice de certaines activités réservées par les personnes autochtones aux droits de la </w:t>
      </w:r>
      <w:proofErr w:type="spellStart"/>
      <w:r w:rsidR="00C91EA5" w:rsidRPr="001A4A5B">
        <w:rPr>
          <w:color w:val="auto"/>
          <w:lang w:val="fr-CA"/>
        </w:rPr>
        <w:t>L</w:t>
      </w:r>
      <w:r w:rsidR="00C91EA5">
        <w:rPr>
          <w:color w:val="auto"/>
          <w:lang w:val="fr-CA"/>
        </w:rPr>
        <w:t>.p.j</w:t>
      </w:r>
      <w:proofErr w:type="spellEnd"/>
      <w:r w:rsidR="00C91EA5">
        <w:rPr>
          <w:color w:val="auto"/>
          <w:lang w:val="fr-CA"/>
        </w:rPr>
        <w:t>.</w:t>
      </w:r>
      <w:r w:rsidR="00C91EA5" w:rsidRPr="001A4A5B">
        <w:rPr>
          <w:color w:val="auto"/>
          <w:lang w:val="fr-CA"/>
        </w:rPr>
        <w:t xml:space="preserve"> </w:t>
      </w:r>
      <w:r w:rsidRPr="001A4A5B">
        <w:rPr>
          <w:color w:val="auto"/>
          <w:lang w:val="fr-CA"/>
        </w:rPr>
        <w:t xml:space="preserve">et la Charte, une fois qu’elles seront définies dans un projet de règlement. Elle souhaite néanmoins à cette étape inviter le gouvernement à orienter </w:t>
      </w:r>
      <w:r w:rsidR="008C0B93">
        <w:rPr>
          <w:color w:val="auto"/>
          <w:lang w:val="fr-CA"/>
        </w:rPr>
        <w:t>ses éventuels travaux</w:t>
      </w:r>
      <w:r w:rsidRPr="001A4A5B">
        <w:rPr>
          <w:color w:val="auto"/>
          <w:lang w:val="fr-CA"/>
        </w:rPr>
        <w:t xml:space="preserve"> </w:t>
      </w:r>
      <w:r w:rsidR="00191889">
        <w:rPr>
          <w:color w:val="auto"/>
          <w:lang w:val="fr-CA"/>
        </w:rPr>
        <w:t>de façon à</w:t>
      </w:r>
      <w:r w:rsidRPr="001A4A5B">
        <w:rPr>
          <w:color w:val="auto"/>
          <w:lang w:val="fr-CA"/>
        </w:rPr>
        <w:t xml:space="preserve"> préserver l’équilibre entre la prestation de services de santé et des services sociaux de qualité et culturellement sécuritaires, dans le respect des droits de l’enfant et de ceux de leur famille, et les besoins à combler en termes de ressources humaines dans les communautés autochtones pour poser certains actes réservés. </w:t>
      </w:r>
      <w:r w:rsidR="009B41B9" w:rsidRPr="004D2054">
        <w:rPr>
          <w:color w:val="auto"/>
          <w:lang w:val="fr-CA"/>
        </w:rPr>
        <w:t xml:space="preserve">Cette réflexion est d’autant plus sérieuse considérant que le gouvernement </w:t>
      </w:r>
      <w:r w:rsidR="009B41B9">
        <w:rPr>
          <w:color w:val="auto"/>
          <w:lang w:val="fr-CA"/>
        </w:rPr>
        <w:t>pourrait</w:t>
      </w:r>
      <w:r w:rsidR="009B41B9" w:rsidRPr="001A4A5B">
        <w:rPr>
          <w:color w:val="auto"/>
          <w:lang w:val="fr-CA"/>
        </w:rPr>
        <w:t xml:space="preserve"> </w:t>
      </w:r>
      <w:r w:rsidR="009B41B9" w:rsidRPr="004D2054">
        <w:rPr>
          <w:color w:val="auto"/>
          <w:lang w:val="fr-CA"/>
        </w:rPr>
        <w:t xml:space="preserve">éventuellement </w:t>
      </w:r>
      <w:r w:rsidR="009B41B9">
        <w:rPr>
          <w:color w:val="auto"/>
          <w:lang w:val="fr-CA"/>
        </w:rPr>
        <w:t xml:space="preserve">vouloir assouplir les conditions et modalités </w:t>
      </w:r>
      <w:r w:rsidR="009B41B9" w:rsidRPr="001A4A5B">
        <w:rPr>
          <w:color w:val="auto"/>
          <w:lang w:val="fr-CA"/>
        </w:rPr>
        <w:t>d’exercice de certaines activités réservées par les personnes autochtones</w:t>
      </w:r>
      <w:r w:rsidR="009B41B9">
        <w:rPr>
          <w:color w:val="auto"/>
          <w:lang w:val="fr-CA"/>
        </w:rPr>
        <w:t xml:space="preserve"> à d’autres domaines</w:t>
      </w:r>
      <w:r w:rsidR="00945158">
        <w:rPr>
          <w:color w:val="auto"/>
          <w:lang w:val="fr-CA"/>
        </w:rPr>
        <w:t xml:space="preserve">. Dans un </w:t>
      </w:r>
      <w:r w:rsidR="00C9557B">
        <w:rPr>
          <w:color w:val="auto"/>
          <w:lang w:val="fr-CA"/>
        </w:rPr>
        <w:t>t</w:t>
      </w:r>
      <w:r w:rsidR="00945158">
        <w:rPr>
          <w:color w:val="auto"/>
          <w:lang w:val="fr-CA"/>
        </w:rPr>
        <w:t>el cas</w:t>
      </w:r>
      <w:r w:rsidR="009C03EC">
        <w:rPr>
          <w:color w:val="auto"/>
          <w:lang w:val="fr-CA"/>
        </w:rPr>
        <w:t xml:space="preserve">, </w:t>
      </w:r>
      <w:r w:rsidR="00110F8F">
        <w:rPr>
          <w:color w:val="auto"/>
          <w:lang w:val="fr-CA"/>
        </w:rPr>
        <w:t>les droits</w:t>
      </w:r>
      <w:r w:rsidR="009B41B9">
        <w:rPr>
          <w:color w:val="auto"/>
          <w:lang w:val="fr-CA"/>
        </w:rPr>
        <w:t xml:space="preserve"> </w:t>
      </w:r>
      <w:r w:rsidR="009B41B9" w:rsidRPr="004D2054">
        <w:rPr>
          <w:color w:val="auto"/>
          <w:lang w:val="fr-CA"/>
        </w:rPr>
        <w:t xml:space="preserve">d’autres groupes de personnes qui sont susceptibles de présenter des </w:t>
      </w:r>
      <w:r w:rsidR="009B41B9" w:rsidRPr="004D2054">
        <w:rPr>
          <w:color w:val="auto"/>
          <w:lang w:val="fr-CA"/>
        </w:rPr>
        <w:lastRenderedPageBreak/>
        <w:t>vulnérabilités, telles les personnes en situation de handicap ou les personnes âgées</w:t>
      </w:r>
      <w:r w:rsidR="009B41B9">
        <w:rPr>
          <w:rStyle w:val="Appelnotedebasdep"/>
          <w:color w:val="auto"/>
          <w:lang w:val="fr-CA"/>
        </w:rPr>
        <w:footnoteReference w:id="179"/>
      </w:r>
      <w:r w:rsidR="009C03EC">
        <w:rPr>
          <w:color w:val="auto"/>
          <w:lang w:val="fr-CA"/>
        </w:rPr>
        <w:t xml:space="preserve">, </w:t>
      </w:r>
      <w:r w:rsidR="00110F8F">
        <w:rPr>
          <w:color w:val="auto"/>
          <w:lang w:val="fr-CA"/>
        </w:rPr>
        <w:t>pourraient être affectés</w:t>
      </w:r>
      <w:r w:rsidR="009B41B9" w:rsidRPr="004D2054">
        <w:rPr>
          <w:color w:val="auto"/>
          <w:lang w:val="fr-CA"/>
        </w:rPr>
        <w:t>.</w:t>
      </w:r>
    </w:p>
    <w:p w14:paraId="3C012789" w14:textId="77777777" w:rsidR="008C5B71" w:rsidRDefault="008C5B71" w:rsidP="008C5B71">
      <w:pPr>
        <w:pStyle w:val="TitreRecommandation"/>
      </w:pPr>
      <w:r>
        <w:t>Recommandation 13</w:t>
      </w:r>
    </w:p>
    <w:p w14:paraId="13568B0A" w14:textId="049ADF42" w:rsidR="008C5B71" w:rsidRDefault="008C5B71" w:rsidP="00C2770C">
      <w:pPr>
        <w:pStyle w:val="Texterecommandation"/>
        <w:ind w:left="709"/>
      </w:pPr>
      <w:r w:rsidRPr="004D2552">
        <w:t>La Commission recommande au gouvernement de s’assurer</w:t>
      </w:r>
      <w:r w:rsidR="00785135">
        <w:t xml:space="preserve"> </w:t>
      </w:r>
      <w:r w:rsidRPr="004D2552">
        <w:t>de préserver l’équilibre entre la prestation de services de santé et de services sociaux de qualité et culturellement sécuritaires</w:t>
      </w:r>
      <w:r w:rsidR="00F6009A">
        <w:t xml:space="preserve"> </w:t>
      </w:r>
      <w:r w:rsidRPr="004D2552">
        <w:t>et</w:t>
      </w:r>
      <w:r w:rsidR="00F6009A">
        <w:t xml:space="preserve"> </w:t>
      </w:r>
      <w:r w:rsidRPr="004D2552">
        <w:t>les besoins à combler en termes de ressources humaines dans les communautés autochtones</w:t>
      </w:r>
      <w:r w:rsidR="00F6009A">
        <w:t xml:space="preserve">, et ce, </w:t>
      </w:r>
      <w:r w:rsidR="00046A5E" w:rsidRPr="004D2552">
        <w:t xml:space="preserve">lors de la détermination des conditions et </w:t>
      </w:r>
      <w:r w:rsidR="00046A5E">
        <w:t>d</w:t>
      </w:r>
      <w:r w:rsidR="00046A5E" w:rsidRPr="004D2552">
        <w:t xml:space="preserve">es modalités suivant lesquelles des </w:t>
      </w:r>
      <w:r w:rsidR="00046A5E">
        <w:t xml:space="preserve">personnes </w:t>
      </w:r>
      <w:r w:rsidR="00046A5E" w:rsidRPr="004D2552">
        <w:t xml:space="preserve">autochtones pourraient exercer </w:t>
      </w:r>
      <w:r w:rsidR="00046A5E">
        <w:t>d</w:t>
      </w:r>
      <w:r w:rsidR="00046A5E" w:rsidRPr="004D2552">
        <w:t>es activités professionnelles réservées</w:t>
      </w:r>
      <w:r w:rsidR="00F6009A">
        <w:t>.</w:t>
      </w:r>
    </w:p>
    <w:p w14:paraId="3A5494C4" w14:textId="77777777" w:rsidR="00B67B38" w:rsidRPr="00CA7873" w:rsidRDefault="00B67B38" w:rsidP="00A0501F">
      <w:pPr>
        <w:pStyle w:val="Paragraphe"/>
        <w:rPr>
          <w:lang w:val="fr-CA"/>
        </w:rPr>
      </w:pPr>
    </w:p>
    <w:p w14:paraId="77F02544" w14:textId="6F11A380" w:rsidR="006925C6" w:rsidRPr="001A4A5B" w:rsidRDefault="006925C6" w:rsidP="00D254F3">
      <w:pPr>
        <w:pStyle w:val="Titre"/>
        <w:rPr>
          <w:rFonts w:eastAsia="Calibri"/>
        </w:rPr>
      </w:pPr>
      <w:bookmarkStart w:id="63" w:name="_Toc42091631"/>
      <w:bookmarkStart w:id="64" w:name="_Toc98163896"/>
      <w:bookmarkStart w:id="65" w:name="_Toc145331859"/>
      <w:bookmarkEnd w:id="7"/>
      <w:bookmarkEnd w:id="8"/>
      <w:r w:rsidRPr="001A4A5B">
        <w:rPr>
          <w:rFonts w:eastAsia="Calibri"/>
        </w:rPr>
        <w:t>Conclusion</w:t>
      </w:r>
      <w:bookmarkStart w:id="66" w:name="_Hlk102745777"/>
      <w:bookmarkEnd w:id="63"/>
      <w:bookmarkEnd w:id="64"/>
      <w:bookmarkEnd w:id="65"/>
    </w:p>
    <w:bookmarkEnd w:id="66"/>
    <w:p w14:paraId="1976DE85" w14:textId="21FB1ABC" w:rsidR="00406D44" w:rsidRDefault="00406D44" w:rsidP="00130B3D">
      <w:pPr>
        <w:pStyle w:val="Paragraphe"/>
        <w:rPr>
          <w:rFonts w:eastAsia="Calibri"/>
          <w:color w:val="auto"/>
          <w:lang w:val="fr-CA"/>
        </w:rPr>
      </w:pPr>
      <w:r w:rsidRPr="00406D44">
        <w:rPr>
          <w:rFonts w:eastAsia="Calibri"/>
          <w:color w:val="auto"/>
          <w:lang w:val="fr-CA"/>
        </w:rPr>
        <w:t>Conformément au</w:t>
      </w:r>
      <w:r w:rsidR="00635F81">
        <w:rPr>
          <w:rFonts w:eastAsia="Calibri"/>
          <w:color w:val="auto"/>
          <w:lang w:val="fr-CA"/>
        </w:rPr>
        <w:t>x</w:t>
      </w:r>
      <w:r w:rsidRPr="00406D44">
        <w:rPr>
          <w:rFonts w:eastAsia="Calibri"/>
          <w:color w:val="auto"/>
          <w:lang w:val="fr-CA"/>
        </w:rPr>
        <w:t xml:space="preserve"> mandat</w:t>
      </w:r>
      <w:r w:rsidR="00635F81">
        <w:rPr>
          <w:rFonts w:eastAsia="Calibri"/>
          <w:color w:val="auto"/>
          <w:lang w:val="fr-CA"/>
        </w:rPr>
        <w:t>s</w:t>
      </w:r>
      <w:r w:rsidRPr="00406D44">
        <w:rPr>
          <w:rFonts w:eastAsia="Calibri"/>
          <w:color w:val="auto"/>
          <w:lang w:val="fr-CA"/>
        </w:rPr>
        <w:t xml:space="preserve"> qui lui </w:t>
      </w:r>
      <w:r w:rsidR="00635F81">
        <w:rPr>
          <w:rFonts w:eastAsia="Calibri"/>
          <w:color w:val="auto"/>
          <w:lang w:val="fr-CA"/>
        </w:rPr>
        <w:t>son</w:t>
      </w:r>
      <w:r w:rsidRPr="00406D44">
        <w:rPr>
          <w:rFonts w:eastAsia="Calibri"/>
          <w:color w:val="auto"/>
          <w:lang w:val="fr-CA"/>
        </w:rPr>
        <w:t>t confié</w:t>
      </w:r>
      <w:r w:rsidR="00635F81">
        <w:rPr>
          <w:rFonts w:eastAsia="Calibri"/>
          <w:color w:val="auto"/>
          <w:lang w:val="fr-CA"/>
        </w:rPr>
        <w:t>s</w:t>
      </w:r>
      <w:r w:rsidRPr="00406D44">
        <w:rPr>
          <w:rFonts w:eastAsia="Calibri"/>
          <w:color w:val="auto"/>
          <w:lang w:val="fr-CA"/>
        </w:rPr>
        <w:t xml:space="preserve"> par la Charte et la </w:t>
      </w:r>
      <w:proofErr w:type="spellStart"/>
      <w:r w:rsidR="00C91EA5" w:rsidRPr="00406D44">
        <w:rPr>
          <w:rFonts w:eastAsia="Calibri"/>
          <w:color w:val="auto"/>
          <w:lang w:val="fr-CA"/>
        </w:rPr>
        <w:t>L</w:t>
      </w:r>
      <w:r w:rsidR="00C91EA5">
        <w:rPr>
          <w:rFonts w:eastAsia="Calibri"/>
          <w:color w:val="auto"/>
          <w:lang w:val="fr-CA"/>
        </w:rPr>
        <w:t>.p.j</w:t>
      </w:r>
      <w:proofErr w:type="spellEnd"/>
      <w:r w:rsidR="00C91EA5">
        <w:rPr>
          <w:rFonts w:eastAsia="Calibri"/>
          <w:color w:val="auto"/>
          <w:lang w:val="fr-CA"/>
        </w:rPr>
        <w:t>.</w:t>
      </w:r>
      <w:r w:rsidR="00C91EA5" w:rsidRPr="00406D44">
        <w:rPr>
          <w:rFonts w:eastAsia="Calibri"/>
          <w:color w:val="auto"/>
          <w:lang w:val="fr-CA"/>
        </w:rPr>
        <w:t xml:space="preserve"> </w:t>
      </w:r>
      <w:r w:rsidRPr="00406D44">
        <w:rPr>
          <w:rFonts w:eastAsia="Calibri"/>
          <w:color w:val="auto"/>
          <w:lang w:val="fr-CA"/>
        </w:rPr>
        <w:t xml:space="preserve">en matière de droits de la personne et de droits de la jeunesse </w:t>
      </w:r>
      <w:r w:rsidRPr="00BF6543">
        <w:rPr>
          <w:rFonts w:eastAsia="Calibri"/>
          <w:color w:val="auto"/>
          <w:lang w:val="fr-CA"/>
        </w:rPr>
        <w:t>et compte tenu notamment de son expertise en matière de lutte à la discrimination,</w:t>
      </w:r>
      <w:r w:rsidRPr="00406D44">
        <w:rPr>
          <w:rFonts w:eastAsia="Calibri"/>
          <w:color w:val="auto"/>
          <w:lang w:val="fr-CA"/>
        </w:rPr>
        <w:t xml:space="preserve"> la Commission a procédé à l’analyse du projet de loi n°</w:t>
      </w:r>
      <w:r w:rsidR="001F313E">
        <w:rPr>
          <w:rFonts w:eastAsia="Calibri"/>
          <w:color w:val="auto"/>
          <w:lang w:val="fr-CA"/>
        </w:rPr>
        <w:t> </w:t>
      </w:r>
      <w:r w:rsidR="0005148C">
        <w:rPr>
          <w:rFonts w:eastAsia="Calibri"/>
          <w:color w:val="auto"/>
          <w:lang w:val="fr-CA"/>
        </w:rPr>
        <w:t>32</w:t>
      </w:r>
      <w:r w:rsidRPr="00406D44">
        <w:rPr>
          <w:rFonts w:eastAsia="Calibri"/>
          <w:color w:val="auto"/>
          <w:lang w:val="fr-CA"/>
        </w:rPr>
        <w:t xml:space="preserve">. Au terme de son examen, </w:t>
      </w:r>
      <w:r w:rsidR="00976FBB">
        <w:rPr>
          <w:rFonts w:eastAsia="Calibri"/>
          <w:color w:val="auto"/>
          <w:lang w:val="fr-CA"/>
        </w:rPr>
        <w:t>elle</w:t>
      </w:r>
      <w:r w:rsidRPr="00406D44">
        <w:rPr>
          <w:rFonts w:eastAsia="Calibri"/>
          <w:color w:val="auto"/>
          <w:lang w:val="fr-CA"/>
        </w:rPr>
        <w:t xml:space="preserve"> formule différentes recommandations. </w:t>
      </w:r>
    </w:p>
    <w:p w14:paraId="1D47454D" w14:textId="4200D00F" w:rsidR="005053E2" w:rsidRPr="00CA7FD2" w:rsidRDefault="00431D52" w:rsidP="005053E2">
      <w:pPr>
        <w:pStyle w:val="Paragraphe"/>
        <w:rPr>
          <w:lang w:val="fr-CA"/>
        </w:rPr>
      </w:pPr>
      <w:r>
        <w:rPr>
          <w:rFonts w:eastAsia="Calibri"/>
          <w:color w:val="auto"/>
          <w:lang w:val="fr-CA"/>
        </w:rPr>
        <w:t xml:space="preserve">D’emblée, </w:t>
      </w:r>
      <w:r w:rsidR="00ED6B28">
        <w:rPr>
          <w:rFonts w:eastAsia="Calibri"/>
          <w:color w:val="auto"/>
          <w:lang w:val="fr-CA"/>
        </w:rPr>
        <w:t>la Commission souligne que l</w:t>
      </w:r>
      <w:r w:rsidR="00A525EE">
        <w:rPr>
          <w:rFonts w:eastAsia="Calibri"/>
          <w:color w:val="auto"/>
          <w:lang w:val="fr-CA"/>
        </w:rPr>
        <w:t>’instauration d</w:t>
      </w:r>
      <w:r w:rsidR="009D6D77">
        <w:rPr>
          <w:rFonts w:eastAsia="Calibri"/>
          <w:color w:val="auto"/>
          <w:lang w:val="fr-CA"/>
        </w:rPr>
        <w:t xml:space="preserve">’une approche de sécurisation culturelle dans </w:t>
      </w:r>
      <w:r w:rsidR="008C5B71">
        <w:rPr>
          <w:rFonts w:eastAsia="Calibri"/>
          <w:color w:val="auto"/>
          <w:lang w:val="fr-CA"/>
        </w:rPr>
        <w:t>le RSSS</w:t>
      </w:r>
      <w:r w:rsidR="009D6D77">
        <w:rPr>
          <w:rFonts w:eastAsia="Calibri"/>
          <w:color w:val="auto"/>
          <w:lang w:val="fr-CA"/>
        </w:rPr>
        <w:t xml:space="preserve"> est </w:t>
      </w:r>
      <w:r w:rsidR="00C21A32">
        <w:rPr>
          <w:rFonts w:eastAsia="Calibri"/>
          <w:color w:val="auto"/>
          <w:lang w:val="fr-CA"/>
        </w:rPr>
        <w:t>essentielle</w:t>
      </w:r>
      <w:r w:rsidR="009D6D77">
        <w:rPr>
          <w:rFonts w:eastAsia="Calibri"/>
          <w:color w:val="auto"/>
          <w:lang w:val="fr-CA"/>
        </w:rPr>
        <w:t xml:space="preserve"> </w:t>
      </w:r>
      <w:r w:rsidR="001A6492">
        <w:rPr>
          <w:rFonts w:eastAsia="Calibri"/>
          <w:color w:val="auto"/>
          <w:lang w:val="fr-CA"/>
        </w:rPr>
        <w:t xml:space="preserve">pour </w:t>
      </w:r>
      <w:r w:rsidR="008D4154">
        <w:rPr>
          <w:rFonts w:eastAsia="Calibri"/>
          <w:color w:val="auto"/>
          <w:lang w:val="fr-CA"/>
        </w:rPr>
        <w:t xml:space="preserve">assurer l’exercice de </w:t>
      </w:r>
      <w:r w:rsidR="008C39C3">
        <w:rPr>
          <w:rFonts w:eastAsia="Calibri"/>
          <w:color w:val="auto"/>
          <w:lang w:val="fr-CA"/>
        </w:rPr>
        <w:t>nombreux</w:t>
      </w:r>
      <w:r w:rsidR="001A6492">
        <w:rPr>
          <w:rFonts w:eastAsia="Calibri"/>
          <w:color w:val="auto"/>
          <w:lang w:val="fr-CA"/>
        </w:rPr>
        <w:t xml:space="preserve"> </w:t>
      </w:r>
      <w:r w:rsidR="00AA6F9B">
        <w:rPr>
          <w:rFonts w:eastAsia="Calibri"/>
          <w:color w:val="auto"/>
          <w:lang w:val="fr-CA"/>
        </w:rPr>
        <w:t xml:space="preserve">droits </w:t>
      </w:r>
      <w:r w:rsidR="00575A58">
        <w:rPr>
          <w:rFonts w:eastAsia="Calibri"/>
          <w:color w:val="auto"/>
          <w:lang w:val="fr-CA"/>
        </w:rPr>
        <w:t>des personnes autochtones</w:t>
      </w:r>
      <w:r w:rsidR="00842650">
        <w:rPr>
          <w:rFonts w:eastAsia="Calibri"/>
          <w:color w:val="auto"/>
          <w:lang w:val="fr-CA"/>
        </w:rPr>
        <w:t xml:space="preserve"> énoncés </w:t>
      </w:r>
      <w:r w:rsidR="0030238C">
        <w:rPr>
          <w:rFonts w:eastAsia="Calibri"/>
          <w:color w:val="auto"/>
          <w:lang w:val="fr-CA"/>
        </w:rPr>
        <w:t xml:space="preserve">à la Charte et </w:t>
      </w:r>
      <w:r w:rsidR="00336672">
        <w:rPr>
          <w:rFonts w:eastAsia="Calibri"/>
          <w:color w:val="auto"/>
          <w:lang w:val="fr-CA"/>
        </w:rPr>
        <w:t xml:space="preserve">reconnus </w:t>
      </w:r>
      <w:r w:rsidR="008A4AE0">
        <w:rPr>
          <w:rFonts w:eastAsia="Calibri"/>
          <w:color w:val="auto"/>
          <w:lang w:val="fr-CA"/>
        </w:rPr>
        <w:t xml:space="preserve">par le droit international. </w:t>
      </w:r>
      <w:r w:rsidR="00816DDA">
        <w:rPr>
          <w:rFonts w:eastAsia="Calibri"/>
          <w:color w:val="auto"/>
          <w:lang w:val="fr-CA"/>
        </w:rPr>
        <w:t xml:space="preserve">Pour ce faire, </w:t>
      </w:r>
      <w:r w:rsidR="005053E2">
        <w:rPr>
          <w:rFonts w:eastAsia="Calibri"/>
          <w:color w:val="auto"/>
          <w:lang w:val="fr-CA"/>
        </w:rPr>
        <w:t xml:space="preserve">il est nécessaire </w:t>
      </w:r>
      <w:r w:rsidR="00530FDF">
        <w:rPr>
          <w:rFonts w:eastAsia="Calibri"/>
          <w:color w:val="auto"/>
          <w:lang w:val="fr-CA"/>
        </w:rPr>
        <w:t xml:space="preserve">que les actions </w:t>
      </w:r>
      <w:r w:rsidR="00E82566">
        <w:rPr>
          <w:rFonts w:eastAsia="Calibri"/>
          <w:color w:val="auto"/>
          <w:lang w:val="fr-CA"/>
        </w:rPr>
        <w:t>de l’État</w:t>
      </w:r>
      <w:r w:rsidR="000B47D8">
        <w:rPr>
          <w:rFonts w:eastAsia="Calibri"/>
          <w:color w:val="auto"/>
          <w:lang w:val="fr-CA"/>
        </w:rPr>
        <w:t xml:space="preserve">, </w:t>
      </w:r>
      <w:r w:rsidR="00744019">
        <w:rPr>
          <w:rFonts w:eastAsia="Calibri"/>
          <w:color w:val="auto"/>
          <w:lang w:val="fr-CA"/>
        </w:rPr>
        <w:t xml:space="preserve">dont celles </w:t>
      </w:r>
      <w:r w:rsidR="00530FDF">
        <w:rPr>
          <w:rFonts w:eastAsia="Calibri"/>
          <w:color w:val="auto"/>
          <w:lang w:val="fr-CA"/>
        </w:rPr>
        <w:t>des établissements du RSSS</w:t>
      </w:r>
      <w:r w:rsidR="00744019">
        <w:rPr>
          <w:rFonts w:eastAsia="Calibri"/>
          <w:color w:val="auto"/>
          <w:lang w:val="fr-CA"/>
        </w:rPr>
        <w:t>,</w:t>
      </w:r>
      <w:r w:rsidR="00530FDF">
        <w:rPr>
          <w:rFonts w:eastAsia="Calibri"/>
          <w:color w:val="auto"/>
          <w:lang w:val="fr-CA"/>
        </w:rPr>
        <w:t xml:space="preserve"> </w:t>
      </w:r>
      <w:r w:rsidR="0097623B">
        <w:rPr>
          <w:rFonts w:eastAsia="Calibri"/>
          <w:color w:val="auto"/>
          <w:lang w:val="fr-CA"/>
        </w:rPr>
        <w:t>so</w:t>
      </w:r>
      <w:r w:rsidR="0069141A">
        <w:rPr>
          <w:rFonts w:eastAsia="Calibri"/>
          <w:color w:val="auto"/>
          <w:lang w:val="fr-CA"/>
        </w:rPr>
        <w:t>ient guidé</w:t>
      </w:r>
      <w:r w:rsidR="00C86DA4">
        <w:rPr>
          <w:rFonts w:eastAsia="Calibri"/>
          <w:color w:val="auto"/>
          <w:lang w:val="fr-CA"/>
        </w:rPr>
        <w:t xml:space="preserve">es par une démarche </w:t>
      </w:r>
      <w:r w:rsidR="00537B1E">
        <w:rPr>
          <w:rFonts w:eastAsia="Calibri"/>
          <w:color w:val="auto"/>
          <w:lang w:val="fr-CA"/>
        </w:rPr>
        <w:t>caractérisée par</w:t>
      </w:r>
      <w:r w:rsidR="005053E2">
        <w:rPr>
          <w:rFonts w:eastAsia="Calibri"/>
          <w:color w:val="auto"/>
          <w:lang w:val="fr-CA"/>
        </w:rPr>
        <w:t xml:space="preserve"> </w:t>
      </w:r>
      <w:r w:rsidR="005053E2">
        <w:rPr>
          <w:lang w:val="fr-CA"/>
        </w:rPr>
        <w:t>le respect du droit à l’autodétermination des peuples autochtones</w:t>
      </w:r>
      <w:r w:rsidR="00AB543C">
        <w:rPr>
          <w:lang w:val="fr-CA"/>
        </w:rPr>
        <w:t>. Elle formule les recommandations suivantes en ce sens</w:t>
      </w:r>
      <w:r w:rsidR="00E36DBE">
        <w:rPr>
          <w:lang w:val="fr-CA"/>
        </w:rPr>
        <w:t xml:space="preserve"> : </w:t>
      </w:r>
    </w:p>
    <w:p w14:paraId="7E028C4D" w14:textId="7B2A4E2A" w:rsidR="00A80634" w:rsidRDefault="00A80634" w:rsidP="00A80634">
      <w:pPr>
        <w:pStyle w:val="Texterecommandation"/>
        <w:rPr>
          <w:lang w:val="fr-FR"/>
        </w:rPr>
      </w:pPr>
      <w:r w:rsidRPr="00510E7B">
        <w:rPr>
          <w:lang w:val="fr-FR"/>
        </w:rPr>
        <w:t>RECOMMANDATION</w:t>
      </w:r>
      <w:r w:rsidR="001F313E">
        <w:rPr>
          <w:rFonts w:hint="eastAsia"/>
          <w:lang w:val="fr-FR"/>
        </w:rPr>
        <w:t> </w:t>
      </w:r>
      <w:r>
        <w:rPr>
          <w:lang w:val="fr-FR"/>
        </w:rPr>
        <w:t>1</w:t>
      </w:r>
    </w:p>
    <w:p w14:paraId="2A94628D" w14:textId="5EE3AC42" w:rsidR="00F75ED1" w:rsidRDefault="00F75ED1" w:rsidP="00F75ED1">
      <w:pPr>
        <w:pStyle w:val="Texterecommandation"/>
        <w:ind w:left="706"/>
      </w:pPr>
      <w:r w:rsidRPr="004B1A29">
        <w:t xml:space="preserve">La Commission recommande de modifier le projet de loi pour qu’il </w:t>
      </w:r>
      <w:r>
        <w:t xml:space="preserve">y </w:t>
      </w:r>
      <w:r w:rsidRPr="004B1A29">
        <w:t xml:space="preserve">soit inscrit que les peuples autochtones sont les mieux placés pour déterminer </w:t>
      </w:r>
      <w:r w:rsidRPr="00A8472C">
        <w:t>les besoins et les pratiques culturellement sécurisantes à adopter au sein du réseau de la santé et des services sociaux.</w:t>
      </w:r>
    </w:p>
    <w:p w14:paraId="62749827" w14:textId="78F82893" w:rsidR="00A80634" w:rsidRPr="00A80634" w:rsidRDefault="00A80634" w:rsidP="006958A7">
      <w:pPr>
        <w:pStyle w:val="TitreRecommandation"/>
        <w:rPr>
          <w:lang w:val="fr-FR"/>
        </w:rPr>
      </w:pPr>
      <w:r w:rsidRPr="00A80634">
        <w:rPr>
          <w:lang w:val="fr-FR"/>
        </w:rPr>
        <w:t>RECOMMANDATION</w:t>
      </w:r>
      <w:r w:rsidR="00936C31">
        <w:rPr>
          <w:rFonts w:hint="eastAsia"/>
          <w:lang w:val="fr-FR"/>
        </w:rPr>
        <w:t> </w:t>
      </w:r>
      <w:r w:rsidRPr="00A80634">
        <w:rPr>
          <w:lang w:val="fr-FR"/>
        </w:rPr>
        <w:t>2</w:t>
      </w:r>
    </w:p>
    <w:p w14:paraId="2DFDFB04" w14:textId="77777777" w:rsidR="00A80634" w:rsidRPr="004265C8" w:rsidRDefault="00A80634" w:rsidP="00E266C9">
      <w:pPr>
        <w:pStyle w:val="Paragraphe"/>
        <w:spacing w:before="120" w:after="120" w:line="240" w:lineRule="auto"/>
        <w:ind w:left="706"/>
        <w:rPr>
          <w:b/>
          <w:lang w:val="fr-CA"/>
        </w:rPr>
      </w:pPr>
      <w:r w:rsidRPr="00A80634">
        <w:rPr>
          <w:b/>
          <w:lang w:val="fr-FR"/>
        </w:rPr>
        <w:t xml:space="preserve">La Commission recommande au gouvernement de prendre les </w:t>
      </w:r>
      <w:r w:rsidRPr="00A80634">
        <w:rPr>
          <w:b/>
          <w:bCs/>
          <w:lang w:val="fr-FR"/>
        </w:rPr>
        <w:t>mesures appropriées</w:t>
      </w:r>
      <w:r w:rsidRPr="00A80634">
        <w:rPr>
          <w:b/>
          <w:lang w:val="fr-FR"/>
        </w:rPr>
        <w:t xml:space="preserve"> pour concrétiser son adhésion à la </w:t>
      </w:r>
      <w:r w:rsidRPr="00A60E9B">
        <w:rPr>
          <w:b/>
          <w:i/>
          <w:iCs/>
          <w:lang w:val="fr-FR"/>
        </w:rPr>
        <w:t>Déclaration des Nations Unies sur les droits des peuples autochtones</w:t>
      </w:r>
      <w:r w:rsidRPr="00A80634">
        <w:rPr>
          <w:b/>
          <w:lang w:val="fr-FR"/>
        </w:rPr>
        <w:t xml:space="preserve">, auquel </w:t>
      </w:r>
      <w:r w:rsidRPr="00A80634">
        <w:rPr>
          <w:b/>
          <w:lang w:val="fr-CA"/>
        </w:rPr>
        <w:t>le droit à l’autodétermination participe.</w:t>
      </w:r>
    </w:p>
    <w:p w14:paraId="3FF7B77E" w14:textId="6A100159" w:rsidR="005053E2" w:rsidRPr="00C84C0A" w:rsidRDefault="00A36A1F" w:rsidP="0097791A">
      <w:pPr>
        <w:pStyle w:val="Paragraphe"/>
        <w:rPr>
          <w:rFonts w:eastAsia="Calibri"/>
          <w:lang w:val="fr-CA"/>
        </w:rPr>
      </w:pPr>
      <w:r w:rsidRPr="00C84C0A">
        <w:rPr>
          <w:rFonts w:eastAsia="Calibri"/>
          <w:lang w:val="fr-CA"/>
        </w:rPr>
        <w:lastRenderedPageBreak/>
        <w:t xml:space="preserve">Bien que le projet de loi fasse mention du partenariat </w:t>
      </w:r>
      <w:r w:rsidR="00A54354" w:rsidRPr="00C84C0A">
        <w:rPr>
          <w:rFonts w:eastAsia="Calibri"/>
          <w:lang w:val="fr-CA"/>
        </w:rPr>
        <w:t xml:space="preserve">avec les Autochtones, la Commission est </w:t>
      </w:r>
      <w:r w:rsidR="00B61F3F" w:rsidRPr="00C84C0A">
        <w:rPr>
          <w:rFonts w:eastAsia="Calibri"/>
          <w:lang w:val="fr-CA"/>
        </w:rPr>
        <w:t xml:space="preserve">d’avis que des </w:t>
      </w:r>
      <w:r w:rsidR="0070197F" w:rsidRPr="00C84C0A">
        <w:rPr>
          <w:rFonts w:eastAsia="Calibri"/>
          <w:lang w:val="fr-CA"/>
        </w:rPr>
        <w:t xml:space="preserve">précisions </w:t>
      </w:r>
      <w:r w:rsidR="00274127" w:rsidRPr="00C84C0A">
        <w:rPr>
          <w:rFonts w:eastAsia="Calibri"/>
          <w:lang w:val="fr-CA"/>
        </w:rPr>
        <w:t>d</w:t>
      </w:r>
      <w:r w:rsidR="00274127">
        <w:rPr>
          <w:rFonts w:eastAsia="Calibri"/>
          <w:lang w:val="fr-CA"/>
        </w:rPr>
        <w:t>evraien</w:t>
      </w:r>
      <w:r w:rsidR="00274127" w:rsidRPr="00C84C0A">
        <w:rPr>
          <w:rFonts w:eastAsia="Calibri"/>
          <w:lang w:val="fr-CA"/>
        </w:rPr>
        <w:t xml:space="preserve">t </w:t>
      </w:r>
      <w:r w:rsidR="0070197F" w:rsidRPr="00C84C0A">
        <w:rPr>
          <w:rFonts w:eastAsia="Calibri"/>
          <w:lang w:val="fr-CA"/>
        </w:rPr>
        <w:t xml:space="preserve">être apportées </w:t>
      </w:r>
      <w:r w:rsidR="007630F9" w:rsidRPr="00C84C0A">
        <w:rPr>
          <w:rFonts w:eastAsia="Calibri"/>
          <w:lang w:val="fr-CA"/>
        </w:rPr>
        <w:t>pour</w:t>
      </w:r>
      <w:r w:rsidR="006460F7" w:rsidRPr="00C84C0A">
        <w:rPr>
          <w:rFonts w:eastAsia="Calibri"/>
          <w:lang w:val="fr-CA"/>
        </w:rPr>
        <w:t xml:space="preserve"> </w:t>
      </w:r>
      <w:r w:rsidR="008F43D6" w:rsidRPr="00C84C0A">
        <w:rPr>
          <w:rFonts w:eastAsia="Calibri"/>
          <w:lang w:val="fr-CA"/>
        </w:rPr>
        <w:t>clarifier</w:t>
      </w:r>
      <w:r w:rsidR="00E13EC6" w:rsidRPr="00C84C0A">
        <w:rPr>
          <w:rFonts w:eastAsia="Calibri"/>
          <w:lang w:val="fr-CA"/>
        </w:rPr>
        <w:t xml:space="preserve"> le rôle</w:t>
      </w:r>
      <w:r w:rsidR="008F43D6" w:rsidRPr="00C84C0A">
        <w:rPr>
          <w:rFonts w:eastAsia="Calibri"/>
          <w:lang w:val="fr-CA"/>
        </w:rPr>
        <w:t xml:space="preserve"> </w:t>
      </w:r>
      <w:r w:rsidR="00E13EC6" w:rsidRPr="00C84C0A">
        <w:rPr>
          <w:rFonts w:eastAsia="Calibri"/>
          <w:lang w:val="fr-CA"/>
        </w:rPr>
        <w:t xml:space="preserve">de collaboration des autorités autochtones dans </w:t>
      </w:r>
      <w:r w:rsidR="006B661C" w:rsidRPr="00C84C0A">
        <w:rPr>
          <w:rFonts w:eastAsia="Calibri"/>
          <w:lang w:val="fr-CA"/>
        </w:rPr>
        <w:t>l</w:t>
      </w:r>
      <w:r w:rsidR="00C974D0" w:rsidRPr="00C84C0A">
        <w:rPr>
          <w:rFonts w:eastAsia="Calibri"/>
          <w:lang w:val="fr-CA"/>
        </w:rPr>
        <w:t>’adoption</w:t>
      </w:r>
      <w:r w:rsidRPr="00C84C0A">
        <w:rPr>
          <w:rFonts w:eastAsia="Calibri"/>
          <w:lang w:val="fr-CA"/>
        </w:rPr>
        <w:t xml:space="preserve"> </w:t>
      </w:r>
      <w:r w:rsidR="00BB72E2" w:rsidRPr="00C84C0A">
        <w:rPr>
          <w:rFonts w:eastAsia="Calibri"/>
          <w:lang w:val="fr-CA"/>
        </w:rPr>
        <w:t xml:space="preserve">par les établissements </w:t>
      </w:r>
      <w:r w:rsidR="00C974D0" w:rsidRPr="00C84C0A">
        <w:rPr>
          <w:rFonts w:eastAsia="Calibri"/>
          <w:lang w:val="fr-CA"/>
        </w:rPr>
        <w:t>de pratiques</w:t>
      </w:r>
      <w:r w:rsidR="0000271C" w:rsidRPr="00C84C0A">
        <w:rPr>
          <w:rFonts w:eastAsia="Calibri"/>
          <w:lang w:val="fr-CA"/>
        </w:rPr>
        <w:t xml:space="preserve"> sécurisantes</w:t>
      </w:r>
      <w:r w:rsidR="00E13EC6" w:rsidRPr="00C84C0A">
        <w:rPr>
          <w:rFonts w:eastAsia="Calibri"/>
          <w:lang w:val="fr-CA"/>
        </w:rPr>
        <w:t>.</w:t>
      </w:r>
    </w:p>
    <w:p w14:paraId="2B5064C5" w14:textId="322D204C" w:rsidR="00A80634" w:rsidRDefault="00A80634" w:rsidP="00A80634">
      <w:pPr>
        <w:pStyle w:val="Texterecommandation"/>
      </w:pPr>
      <w:r>
        <w:t>RECOMMANDATION</w:t>
      </w:r>
      <w:r w:rsidR="00936C31">
        <w:rPr>
          <w:rFonts w:hint="eastAsia"/>
        </w:rPr>
        <w:t> </w:t>
      </w:r>
      <w:r>
        <w:t>3</w:t>
      </w:r>
    </w:p>
    <w:p w14:paraId="34DB4357" w14:textId="77777777" w:rsidR="00DE4FCE" w:rsidRPr="002B63C9" w:rsidRDefault="00DE4FCE" w:rsidP="00DE4FCE">
      <w:pPr>
        <w:pStyle w:val="Texterecommandation"/>
        <w:ind w:left="706"/>
      </w:pPr>
      <w:r w:rsidRPr="00127CCA">
        <w:t>La Commission recommande de préciser, à l’article</w:t>
      </w:r>
      <w:r>
        <w:rPr>
          <w:rFonts w:hint="eastAsia"/>
        </w:rPr>
        <w:t> </w:t>
      </w:r>
      <w:r w:rsidRPr="00127CCA">
        <w:t>1, al. 1, par. 2</w:t>
      </w:r>
      <w:r w:rsidRPr="00F861DB">
        <w:rPr>
          <w:vertAlign w:val="superscript"/>
        </w:rPr>
        <w:t>o</w:t>
      </w:r>
      <w:r w:rsidRPr="00127CCA">
        <w:t xml:space="preserve"> du projet de loi, la nature </w:t>
      </w:r>
      <w:r>
        <w:t>« </w:t>
      </w:r>
      <w:r w:rsidRPr="00127CCA">
        <w:t>des partenariats que tout établissement doit adopter avec les autochtones</w:t>
      </w:r>
      <w:r>
        <w:t> », et ce, dans le sens du droit à la participation des peuples autochtones dans les décisions qui les concernent</w:t>
      </w:r>
      <w:r w:rsidRPr="00127CCA">
        <w:t>.</w:t>
      </w:r>
    </w:p>
    <w:p w14:paraId="4AC5982F" w14:textId="25895685" w:rsidR="00C974D0" w:rsidRPr="00C84C0A" w:rsidRDefault="007C4A64" w:rsidP="0097791A">
      <w:pPr>
        <w:pStyle w:val="Paragraphe"/>
        <w:rPr>
          <w:rFonts w:eastAsia="Calibri"/>
          <w:lang w:val="fr-CA"/>
        </w:rPr>
      </w:pPr>
      <w:r w:rsidRPr="00CE48ED">
        <w:rPr>
          <w:rFonts w:eastAsia="Calibri"/>
          <w:lang w:val="fr-CA"/>
        </w:rPr>
        <w:t>L</w:t>
      </w:r>
      <w:r w:rsidR="002F6431" w:rsidRPr="00CE48ED">
        <w:rPr>
          <w:rFonts w:eastAsia="Calibri"/>
          <w:lang w:val="fr-CA"/>
        </w:rPr>
        <w:t xml:space="preserve">a sécurisation culturelle est une approche </w:t>
      </w:r>
      <w:r w:rsidR="00CD4A20" w:rsidRPr="00CE48ED">
        <w:rPr>
          <w:rFonts w:eastAsia="Calibri"/>
          <w:lang w:val="fr-CA"/>
        </w:rPr>
        <w:t>de décolonisation des pratiques</w:t>
      </w:r>
      <w:r w:rsidR="00054544" w:rsidRPr="00CE48ED">
        <w:rPr>
          <w:rFonts w:eastAsia="Calibri"/>
          <w:lang w:val="fr-CA"/>
        </w:rPr>
        <w:t xml:space="preserve">. </w:t>
      </w:r>
      <w:r w:rsidR="00054544" w:rsidRPr="00C84C0A">
        <w:rPr>
          <w:rFonts w:eastAsia="Calibri"/>
          <w:lang w:val="fr-CA"/>
        </w:rPr>
        <w:t>Elle</w:t>
      </w:r>
      <w:r w:rsidR="00CD4A20" w:rsidRPr="00C84C0A">
        <w:rPr>
          <w:rFonts w:eastAsia="Calibri"/>
          <w:lang w:val="fr-CA"/>
        </w:rPr>
        <w:t xml:space="preserve"> vise</w:t>
      </w:r>
      <w:r w:rsidR="00FD08AA" w:rsidRPr="00C84C0A">
        <w:rPr>
          <w:rFonts w:eastAsia="Calibri"/>
          <w:lang w:val="fr-CA"/>
        </w:rPr>
        <w:t xml:space="preserve"> à</w:t>
      </w:r>
      <w:r w:rsidR="00B21FC4" w:rsidRPr="00C84C0A">
        <w:rPr>
          <w:rFonts w:eastAsia="Calibri"/>
          <w:lang w:val="fr-CA"/>
        </w:rPr>
        <w:t xml:space="preserve"> </w:t>
      </w:r>
      <w:r w:rsidR="00E725E3" w:rsidRPr="00C84C0A">
        <w:rPr>
          <w:rFonts w:eastAsia="Calibri"/>
          <w:lang w:val="fr-CA"/>
        </w:rPr>
        <w:t>garantir l’accès à</w:t>
      </w:r>
      <w:r w:rsidR="00B21FC4" w:rsidRPr="00C84C0A">
        <w:rPr>
          <w:rFonts w:eastAsia="Calibri"/>
          <w:lang w:val="fr-CA"/>
        </w:rPr>
        <w:t xml:space="preserve"> des services </w:t>
      </w:r>
      <w:r w:rsidR="00E725E3" w:rsidRPr="00C84C0A">
        <w:rPr>
          <w:rFonts w:eastAsia="Calibri"/>
          <w:lang w:val="fr-CA"/>
        </w:rPr>
        <w:t xml:space="preserve">exempts de racisme et de discrimination </w:t>
      </w:r>
      <w:r w:rsidR="00054544" w:rsidRPr="00C84C0A">
        <w:rPr>
          <w:rFonts w:eastAsia="Calibri"/>
          <w:lang w:val="fr-CA"/>
        </w:rPr>
        <w:t>et à réduire le</w:t>
      </w:r>
      <w:r w:rsidR="001A0627" w:rsidRPr="00C84C0A">
        <w:rPr>
          <w:rFonts w:eastAsia="Calibri"/>
          <w:lang w:val="fr-CA"/>
        </w:rPr>
        <w:t>s inégalités de pouvoir</w:t>
      </w:r>
      <w:r w:rsidR="005264F1" w:rsidRPr="00C84C0A">
        <w:rPr>
          <w:rFonts w:eastAsia="Calibri"/>
          <w:lang w:val="fr-CA"/>
        </w:rPr>
        <w:t xml:space="preserve">s entre </w:t>
      </w:r>
      <w:r w:rsidR="003871E8" w:rsidRPr="00C84C0A">
        <w:rPr>
          <w:rFonts w:eastAsia="Calibri"/>
          <w:lang w:val="fr-CA"/>
        </w:rPr>
        <w:t xml:space="preserve">prestataires de services allochtones et usagers autochtones. </w:t>
      </w:r>
      <w:r w:rsidR="0046183C">
        <w:rPr>
          <w:rFonts w:eastAsia="Calibri"/>
          <w:lang w:val="fr-CA"/>
        </w:rPr>
        <w:t>L</w:t>
      </w:r>
      <w:r w:rsidR="0084733C" w:rsidRPr="00C84C0A">
        <w:rPr>
          <w:rFonts w:eastAsia="Calibri"/>
          <w:lang w:val="fr-CA"/>
        </w:rPr>
        <w:t xml:space="preserve">’instauration d’une approche de sécurisation culturelle est nécessaire </w:t>
      </w:r>
      <w:r w:rsidR="008A606B">
        <w:rPr>
          <w:rFonts w:eastAsia="Calibri"/>
          <w:lang w:val="fr-CA"/>
        </w:rPr>
        <w:t>compte tenu des</w:t>
      </w:r>
      <w:r w:rsidR="0084733C" w:rsidRPr="00C84C0A">
        <w:rPr>
          <w:rFonts w:eastAsia="Calibri"/>
          <w:lang w:val="fr-CA"/>
        </w:rPr>
        <w:t xml:space="preserve"> effets des politiques et pratiques </w:t>
      </w:r>
      <w:r w:rsidR="00065526">
        <w:rPr>
          <w:rFonts w:eastAsia="Calibri"/>
          <w:lang w:val="fr-CA"/>
        </w:rPr>
        <w:t>hérité</w:t>
      </w:r>
      <w:r w:rsidR="00124F70">
        <w:rPr>
          <w:rFonts w:eastAsia="Calibri"/>
          <w:lang w:val="fr-CA"/>
        </w:rPr>
        <w:t>es du colonialisme</w:t>
      </w:r>
      <w:r w:rsidR="00E14D7A">
        <w:rPr>
          <w:rFonts w:eastAsia="Calibri"/>
          <w:lang w:val="fr-CA"/>
        </w:rPr>
        <w:t xml:space="preserve"> ainsi que du</w:t>
      </w:r>
      <w:r w:rsidR="00FB06F2">
        <w:rPr>
          <w:rFonts w:eastAsia="Calibri"/>
          <w:lang w:val="fr-CA"/>
        </w:rPr>
        <w:t xml:space="preserve"> racisme et de la discrimination qui perdurent </w:t>
      </w:r>
      <w:r w:rsidR="00FC78A4">
        <w:rPr>
          <w:rFonts w:eastAsia="Calibri"/>
          <w:lang w:val="fr-CA"/>
        </w:rPr>
        <w:t xml:space="preserve">à l’endroit des Premières Nations et </w:t>
      </w:r>
      <w:proofErr w:type="gramStart"/>
      <w:r w:rsidR="00FC78A4">
        <w:rPr>
          <w:rFonts w:eastAsia="Calibri"/>
          <w:lang w:val="fr-CA"/>
        </w:rPr>
        <w:t>des Inuit</w:t>
      </w:r>
      <w:proofErr w:type="gramEnd"/>
      <w:r w:rsidR="00FC78A4">
        <w:rPr>
          <w:rFonts w:eastAsia="Calibri"/>
          <w:lang w:val="fr-CA"/>
        </w:rPr>
        <w:t xml:space="preserve">, notamment </w:t>
      </w:r>
      <w:r w:rsidR="00826D4E">
        <w:rPr>
          <w:rFonts w:eastAsia="Calibri"/>
          <w:lang w:val="fr-CA"/>
        </w:rPr>
        <w:t>dans le RSSS</w:t>
      </w:r>
      <w:r w:rsidR="00B80A21">
        <w:rPr>
          <w:rFonts w:eastAsia="Calibri"/>
          <w:lang w:val="fr-CA"/>
        </w:rPr>
        <w:t xml:space="preserve">. </w:t>
      </w:r>
      <w:r w:rsidR="00930B4B">
        <w:rPr>
          <w:rFonts w:eastAsia="Calibri"/>
          <w:lang w:val="fr-CA"/>
        </w:rPr>
        <w:t>L</w:t>
      </w:r>
      <w:r w:rsidR="00AE42EF" w:rsidRPr="00C84C0A">
        <w:rPr>
          <w:rFonts w:eastAsia="Calibri"/>
          <w:lang w:val="fr-CA"/>
        </w:rPr>
        <w:t>a Commission estime essentiel que le préambule de la loi projetée soit modifié</w:t>
      </w:r>
      <w:r w:rsidR="003E783A">
        <w:rPr>
          <w:rFonts w:eastAsia="Calibri"/>
          <w:lang w:val="fr-CA"/>
        </w:rPr>
        <w:t xml:space="preserve"> en ce sens</w:t>
      </w:r>
      <w:r w:rsidR="00AE42EF">
        <w:rPr>
          <w:rFonts w:eastAsia="Calibri"/>
          <w:lang w:val="fr-CA"/>
        </w:rPr>
        <w:t xml:space="preserve">. </w:t>
      </w:r>
      <w:r w:rsidR="00B80A21">
        <w:rPr>
          <w:rFonts w:eastAsia="Calibri"/>
          <w:lang w:val="fr-CA"/>
        </w:rPr>
        <w:t>Le législateur p</w:t>
      </w:r>
      <w:r w:rsidR="003E783A">
        <w:rPr>
          <w:rFonts w:eastAsia="Calibri"/>
          <w:lang w:val="fr-CA"/>
        </w:rPr>
        <w:t>ourrai</w:t>
      </w:r>
      <w:r w:rsidR="00B80A21">
        <w:rPr>
          <w:rFonts w:eastAsia="Calibri"/>
          <w:lang w:val="fr-CA"/>
        </w:rPr>
        <w:t>t à cet égard se baser sur le</w:t>
      </w:r>
      <w:r w:rsidR="0025165B">
        <w:rPr>
          <w:rFonts w:eastAsia="Calibri"/>
          <w:lang w:val="fr-CA"/>
        </w:rPr>
        <w:t xml:space="preserve"> guide du MSSS</w:t>
      </w:r>
      <w:r w:rsidR="001D4B1E">
        <w:rPr>
          <w:rFonts w:eastAsia="Calibri"/>
          <w:lang w:val="fr-CA"/>
        </w:rPr>
        <w:t xml:space="preserve"> en matière de sécurisation culturelle.</w:t>
      </w:r>
      <w:r w:rsidR="009753D3" w:rsidRPr="00C84C0A">
        <w:rPr>
          <w:rFonts w:eastAsia="Calibri"/>
          <w:lang w:val="fr-CA"/>
        </w:rPr>
        <w:t xml:space="preserve"> </w:t>
      </w:r>
    </w:p>
    <w:p w14:paraId="1491D648" w14:textId="771F1014" w:rsidR="00F929D1" w:rsidRDefault="00F929D1" w:rsidP="00F929D1">
      <w:pPr>
        <w:pStyle w:val="Texterecommandation"/>
      </w:pPr>
      <w:r>
        <w:t>RECOMMANDATION</w:t>
      </w:r>
      <w:r w:rsidR="00936C31">
        <w:rPr>
          <w:rFonts w:hint="eastAsia"/>
        </w:rPr>
        <w:t> </w:t>
      </w:r>
      <w:r>
        <w:t>4</w:t>
      </w:r>
    </w:p>
    <w:p w14:paraId="2238812D" w14:textId="3361B5FB" w:rsidR="00E429AD" w:rsidRPr="00E429AD" w:rsidRDefault="00E429AD" w:rsidP="00E429AD">
      <w:pPr>
        <w:tabs>
          <w:tab w:val="left" w:pos="709"/>
        </w:tabs>
        <w:spacing w:after="120" w:line="240" w:lineRule="auto"/>
        <w:jc w:val="left"/>
        <w:rPr>
          <w:rFonts w:ascii="Arial Gras" w:eastAsia="Calibri" w:hAnsi="Arial Gras"/>
          <w:b/>
          <w:szCs w:val="22"/>
        </w:rPr>
      </w:pPr>
      <w:bookmarkStart w:id="67" w:name="_Hlk145321520"/>
      <w:r w:rsidRPr="00E429AD">
        <w:rPr>
          <w:rFonts w:ascii="Arial Gras" w:eastAsia="Calibri" w:hAnsi="Arial Gras"/>
          <w:b/>
        </w:rPr>
        <w:t>La Commission recommande de modifier le préambule de la loi proposé par le projet de loi en y intégrant les éléments suivants mis de l’avant par le ministère de la Santé et des Services sociaux dans son guide sur la sécurisation culturelle en santé et en services sociaux :</w:t>
      </w:r>
    </w:p>
    <w:p w14:paraId="6CC056D7" w14:textId="739A441A" w:rsidR="00E429AD" w:rsidRPr="00E429AD" w:rsidRDefault="00E429AD" w:rsidP="00E429AD">
      <w:pPr>
        <w:numPr>
          <w:ilvl w:val="0"/>
          <w:numId w:val="10"/>
        </w:numPr>
        <w:shd w:val="clear" w:color="auto" w:fill="FFFFFF"/>
        <w:spacing w:before="120" w:after="120" w:line="240" w:lineRule="auto"/>
        <w:jc w:val="left"/>
        <w:rPr>
          <w:b/>
          <w:szCs w:val="22"/>
        </w:rPr>
      </w:pPr>
      <w:r w:rsidRPr="00E429AD">
        <w:rPr>
          <w:rFonts w:cs="Open Sans"/>
          <w:b/>
          <w:bCs/>
          <w:szCs w:val="22"/>
        </w:rPr>
        <w:t xml:space="preserve">Pendant près de deux siècles, </w:t>
      </w:r>
      <w:r w:rsidRPr="00E429AD">
        <w:rPr>
          <w:b/>
          <w:szCs w:val="22"/>
        </w:rPr>
        <w:t xml:space="preserve">les gouvernements canadiens et québécois, en fonction de leurs responsabilités respectives, ont mis en place des mesures ayant contribué à la discrimination, à l’exclusion ou au racisme à l’égard des Premières Nations et </w:t>
      </w:r>
      <w:proofErr w:type="gramStart"/>
      <w:r w:rsidRPr="00E429AD">
        <w:rPr>
          <w:b/>
          <w:szCs w:val="22"/>
        </w:rPr>
        <w:t>des Inuit</w:t>
      </w:r>
      <w:proofErr w:type="gramEnd"/>
      <w:r w:rsidR="00E00B80">
        <w:rPr>
          <w:b/>
          <w:szCs w:val="22"/>
        </w:rPr>
        <w:t> </w:t>
      </w:r>
      <w:r w:rsidRPr="00E429AD">
        <w:rPr>
          <w:b/>
          <w:szCs w:val="22"/>
        </w:rPr>
        <w:t>;</w:t>
      </w:r>
    </w:p>
    <w:p w14:paraId="29D0587D" w14:textId="0033A065" w:rsidR="00E429AD" w:rsidRPr="00E429AD" w:rsidRDefault="00E429AD" w:rsidP="00E429AD">
      <w:pPr>
        <w:numPr>
          <w:ilvl w:val="0"/>
          <w:numId w:val="10"/>
        </w:numPr>
        <w:shd w:val="clear" w:color="auto" w:fill="FFFFFF"/>
        <w:spacing w:before="120" w:after="120" w:line="240" w:lineRule="auto"/>
        <w:jc w:val="left"/>
        <w:rPr>
          <w:b/>
          <w:szCs w:val="22"/>
        </w:rPr>
      </w:pPr>
      <w:r w:rsidRPr="00E429AD">
        <w:rPr>
          <w:rFonts w:cs="Open Sans"/>
          <w:b/>
          <w:bCs/>
          <w:szCs w:val="22"/>
        </w:rPr>
        <w:t xml:space="preserve">Prenant racine dans le colonialisme, la discrimination envers les Premières Nations et </w:t>
      </w:r>
      <w:proofErr w:type="gramStart"/>
      <w:r w:rsidRPr="00E429AD">
        <w:rPr>
          <w:rFonts w:cs="Open Sans"/>
          <w:b/>
          <w:bCs/>
          <w:szCs w:val="22"/>
        </w:rPr>
        <w:t>les Inuit</w:t>
      </w:r>
      <w:proofErr w:type="gramEnd"/>
      <w:r w:rsidRPr="00E429AD">
        <w:rPr>
          <w:rFonts w:cs="Open Sans"/>
          <w:b/>
          <w:bCs/>
          <w:szCs w:val="22"/>
        </w:rPr>
        <w:t xml:space="preserve"> est un phénomène toujours actuel au sein de nos sociétés, y compris dans certains services publics</w:t>
      </w:r>
      <w:r w:rsidR="00E00B80">
        <w:rPr>
          <w:rFonts w:cs="Open Sans"/>
          <w:b/>
          <w:bCs/>
          <w:szCs w:val="22"/>
        </w:rPr>
        <w:t> </w:t>
      </w:r>
      <w:r w:rsidRPr="00E429AD">
        <w:rPr>
          <w:rFonts w:cs="Open Sans"/>
          <w:b/>
          <w:bCs/>
          <w:szCs w:val="22"/>
        </w:rPr>
        <w:t xml:space="preserve">; </w:t>
      </w:r>
    </w:p>
    <w:p w14:paraId="38DF79EB" w14:textId="579CFB69" w:rsidR="00E429AD" w:rsidRPr="00E429AD" w:rsidRDefault="00E429AD" w:rsidP="00E429AD">
      <w:pPr>
        <w:numPr>
          <w:ilvl w:val="0"/>
          <w:numId w:val="10"/>
        </w:numPr>
        <w:shd w:val="clear" w:color="auto" w:fill="FFFFFF"/>
        <w:spacing w:before="120" w:after="120" w:line="240" w:lineRule="auto"/>
        <w:jc w:val="left"/>
        <w:rPr>
          <w:b/>
          <w:szCs w:val="22"/>
        </w:rPr>
      </w:pPr>
      <w:r w:rsidRPr="00E429AD">
        <w:rPr>
          <w:rFonts w:cs="Open Sans"/>
          <w:b/>
          <w:bCs/>
          <w:szCs w:val="22"/>
        </w:rPr>
        <w:t>U</w:t>
      </w:r>
      <w:r w:rsidRPr="00E429AD">
        <w:rPr>
          <w:b/>
          <w:szCs w:val="22"/>
        </w:rPr>
        <w:t xml:space="preserve">n obstacle à la santé des Premières Nations et </w:t>
      </w:r>
      <w:proofErr w:type="gramStart"/>
      <w:r w:rsidRPr="00E429AD">
        <w:rPr>
          <w:b/>
          <w:szCs w:val="22"/>
        </w:rPr>
        <w:t>des Inuit</w:t>
      </w:r>
      <w:proofErr w:type="gramEnd"/>
      <w:r w:rsidRPr="00E429AD">
        <w:rPr>
          <w:b/>
          <w:szCs w:val="22"/>
        </w:rPr>
        <w:t xml:space="preserve"> relève directement du système lui</w:t>
      </w:r>
      <w:r w:rsidRPr="00E429AD">
        <w:rPr>
          <w:rFonts w:ascii="Cambria Math" w:hAnsi="Cambria Math" w:cs="Cambria Math"/>
          <w:b/>
          <w:bCs/>
          <w:szCs w:val="22"/>
        </w:rPr>
        <w:t>‑</w:t>
      </w:r>
      <w:r w:rsidRPr="00E429AD">
        <w:rPr>
          <w:b/>
          <w:szCs w:val="22"/>
        </w:rPr>
        <w:t>m</w:t>
      </w:r>
      <w:r w:rsidRPr="00E429AD">
        <w:rPr>
          <w:rFonts w:cs="Arial"/>
          <w:b/>
          <w:bCs/>
          <w:szCs w:val="22"/>
        </w:rPr>
        <w:t>ê</w:t>
      </w:r>
      <w:r w:rsidRPr="00E429AD">
        <w:rPr>
          <w:b/>
          <w:szCs w:val="22"/>
        </w:rPr>
        <w:t>me en raison de la discrimination que ces personnes subissent dans les pratiques de soins et de services sociaux ainsi que dans l’organisation de ces derniers</w:t>
      </w:r>
      <w:r w:rsidR="00E00B80">
        <w:rPr>
          <w:b/>
          <w:szCs w:val="22"/>
        </w:rPr>
        <w:t> </w:t>
      </w:r>
      <w:r w:rsidRPr="00E429AD">
        <w:rPr>
          <w:b/>
          <w:szCs w:val="22"/>
        </w:rPr>
        <w:t>;</w:t>
      </w:r>
    </w:p>
    <w:p w14:paraId="70550349" w14:textId="77777777" w:rsidR="00E429AD" w:rsidRPr="00E429AD" w:rsidRDefault="00E429AD" w:rsidP="00E429AD">
      <w:pPr>
        <w:numPr>
          <w:ilvl w:val="0"/>
          <w:numId w:val="10"/>
        </w:numPr>
        <w:shd w:val="clear" w:color="auto" w:fill="FFFFFF"/>
        <w:spacing w:before="120" w:after="240" w:line="240" w:lineRule="auto"/>
        <w:jc w:val="left"/>
        <w:rPr>
          <w:b/>
          <w:szCs w:val="22"/>
        </w:rPr>
      </w:pPr>
      <w:r w:rsidRPr="00E429AD">
        <w:rPr>
          <w:rFonts w:cs="Open Sans"/>
          <w:b/>
          <w:bCs/>
          <w:szCs w:val="22"/>
        </w:rPr>
        <w:t>L</w:t>
      </w:r>
      <w:r w:rsidRPr="00E429AD">
        <w:rPr>
          <w:b/>
          <w:szCs w:val="22"/>
        </w:rPr>
        <w:t>es pratiques de la sécurisation culturelle sont nées en réponse au rapport de domination issu de la colonisation et vécu par les premiers peuples. La question de la dynamique du pouvoir est centrale dans le concept de sécurisation culturelle.</w:t>
      </w:r>
    </w:p>
    <w:bookmarkEnd w:id="67"/>
    <w:p w14:paraId="601FCA35" w14:textId="3CCF2394" w:rsidR="001D4B1E" w:rsidRDefault="001D4B1E" w:rsidP="00D30F9C">
      <w:pPr>
        <w:pStyle w:val="Corpsdetexte"/>
        <w:rPr>
          <w:b/>
          <w:bCs/>
        </w:rPr>
      </w:pPr>
      <w:r>
        <w:rPr>
          <w:rFonts w:eastAsia="Calibri"/>
        </w:rPr>
        <w:lastRenderedPageBreak/>
        <w:t>La Commission</w:t>
      </w:r>
      <w:r w:rsidRPr="00C84C0A">
        <w:rPr>
          <w:rFonts w:eastAsia="Calibri"/>
        </w:rPr>
        <w:t xml:space="preserve"> réitère en outre sa recommandation quant à la mise en place d’une politique gouvernementale de lutte contre </w:t>
      </w:r>
      <w:r w:rsidR="005B752D" w:rsidRPr="00C84C0A">
        <w:rPr>
          <w:rFonts w:eastAsia="Calibri"/>
        </w:rPr>
        <w:t xml:space="preserve">le racisme </w:t>
      </w:r>
      <w:r w:rsidR="005B752D">
        <w:rPr>
          <w:rFonts w:eastAsia="Calibri"/>
        </w:rPr>
        <w:t xml:space="preserve">et la </w:t>
      </w:r>
      <w:r w:rsidRPr="00C84C0A">
        <w:rPr>
          <w:rFonts w:eastAsia="Calibri"/>
        </w:rPr>
        <w:t>discrimination systémiques, et ce, en collaboration avec les autorités autochtones.</w:t>
      </w:r>
    </w:p>
    <w:p w14:paraId="3C8074D8" w14:textId="5566B44D" w:rsidR="00D30F9C" w:rsidRDefault="00D30F9C" w:rsidP="0054146A">
      <w:pPr>
        <w:pStyle w:val="TitreRecommandation"/>
      </w:pPr>
      <w:r w:rsidRPr="00B81344">
        <w:t>RECOMMANDATION</w:t>
      </w:r>
      <w:r w:rsidR="00936C31">
        <w:t> </w:t>
      </w:r>
      <w:r>
        <w:t>5</w:t>
      </w:r>
    </w:p>
    <w:p w14:paraId="270F575D" w14:textId="35F44BF8" w:rsidR="00E429AD" w:rsidRDefault="00E429AD" w:rsidP="00E429AD">
      <w:pPr>
        <w:pStyle w:val="Corpsdetexte"/>
        <w:spacing w:line="240" w:lineRule="auto"/>
        <w:ind w:left="706"/>
        <w:rPr>
          <w:b/>
          <w:bCs/>
        </w:rPr>
      </w:pPr>
      <w:r>
        <w:rPr>
          <w:rFonts w:eastAsiaTheme="minorHAnsi" w:cs="Arial"/>
          <w:b/>
          <w:bCs/>
          <w:iCs/>
          <w:szCs w:val="16"/>
          <w:lang w:eastAsia="en-US"/>
        </w:rPr>
        <w:t>L</w:t>
      </w:r>
      <w:r w:rsidRPr="00B81344">
        <w:rPr>
          <w:rFonts w:eastAsiaTheme="minorHAnsi" w:cs="Arial"/>
          <w:b/>
          <w:bCs/>
          <w:iCs/>
          <w:szCs w:val="16"/>
          <w:lang w:eastAsia="en-US"/>
        </w:rPr>
        <w:t>a Commission réit</w:t>
      </w:r>
      <w:r>
        <w:rPr>
          <w:rFonts w:eastAsiaTheme="minorHAnsi" w:cs="Arial"/>
          <w:b/>
          <w:bCs/>
          <w:iCs/>
          <w:szCs w:val="16"/>
          <w:lang w:eastAsia="en-US"/>
        </w:rPr>
        <w:t>è</w:t>
      </w:r>
      <w:r w:rsidRPr="00B81344">
        <w:rPr>
          <w:rFonts w:eastAsiaTheme="minorHAnsi" w:cs="Arial"/>
          <w:b/>
          <w:bCs/>
          <w:iCs/>
          <w:szCs w:val="16"/>
          <w:lang w:eastAsia="en-US"/>
        </w:rPr>
        <w:t>re</w:t>
      </w:r>
      <w:r>
        <w:rPr>
          <w:rFonts w:eastAsiaTheme="minorHAnsi" w:cs="Arial"/>
          <w:b/>
          <w:bCs/>
          <w:iCs/>
          <w:szCs w:val="16"/>
          <w:lang w:eastAsia="en-US"/>
        </w:rPr>
        <w:t xml:space="preserve"> </w:t>
      </w:r>
      <w:r w:rsidRPr="00D31A94">
        <w:rPr>
          <w:rFonts w:eastAsiaTheme="minorHAnsi" w:cs="Arial"/>
          <w:b/>
          <w:bCs/>
          <w:iCs/>
          <w:szCs w:val="16"/>
          <w:lang w:eastAsia="en-US"/>
        </w:rPr>
        <w:t>sa recommandation destinée au gouvernement de mett</w:t>
      </w:r>
      <w:r w:rsidRPr="00B81344">
        <w:rPr>
          <w:rFonts w:eastAsiaTheme="minorHAnsi" w:cs="Arial"/>
          <w:b/>
          <w:bCs/>
          <w:iCs/>
          <w:szCs w:val="16"/>
          <w:lang w:eastAsia="en-US"/>
        </w:rPr>
        <w:t>re</w:t>
      </w:r>
      <w:r w:rsidRPr="00B81344">
        <w:rPr>
          <w:b/>
          <w:bCs/>
        </w:rPr>
        <w:t xml:space="preserve"> en place une politique québécoise de lutte contre le racisme et la discrimination systémiques qui tient compte des réalités particulières que vivent les personnes autochtones</w:t>
      </w:r>
      <w:r w:rsidRPr="001A4A5B">
        <w:rPr>
          <w:b/>
          <w:bCs/>
        </w:rPr>
        <w:t>, et ce, en collaboration avec les autorités des Premières Nations et Inuit</w:t>
      </w:r>
      <w:r>
        <w:rPr>
          <w:b/>
          <w:bCs/>
        </w:rPr>
        <w:t>.</w:t>
      </w:r>
    </w:p>
    <w:p w14:paraId="068F9454" w14:textId="42732FFA" w:rsidR="002D7BFF" w:rsidRPr="00C84C0A" w:rsidRDefault="001F43FD" w:rsidP="0097791A">
      <w:pPr>
        <w:pStyle w:val="Paragraphe"/>
        <w:rPr>
          <w:rFonts w:eastAsia="Calibri"/>
          <w:lang w:val="fr-CA"/>
        </w:rPr>
      </w:pPr>
      <w:r w:rsidRPr="00CE48ED">
        <w:rPr>
          <w:lang w:val="fr-CA"/>
        </w:rPr>
        <w:t xml:space="preserve">Plusieurs outils </w:t>
      </w:r>
      <w:r w:rsidR="00DC1734" w:rsidRPr="00CE48ED">
        <w:rPr>
          <w:lang w:val="fr-CA"/>
        </w:rPr>
        <w:t xml:space="preserve">du droit international </w:t>
      </w:r>
      <w:r w:rsidR="00DA03D7" w:rsidRPr="00CE48ED">
        <w:rPr>
          <w:lang w:val="fr-CA"/>
        </w:rPr>
        <w:t xml:space="preserve">reconnaissent le droit à la santé, ce qui balise les obligations </w:t>
      </w:r>
      <w:r w:rsidR="00DC1734" w:rsidRPr="00CE48ED">
        <w:rPr>
          <w:lang w:val="fr-CA"/>
        </w:rPr>
        <w:t>du Québec</w:t>
      </w:r>
      <w:r w:rsidR="00DA03D7" w:rsidRPr="00CE48ED">
        <w:rPr>
          <w:lang w:val="fr-CA"/>
        </w:rPr>
        <w:t xml:space="preserve"> envers les personnes autochtones. </w:t>
      </w:r>
      <w:r w:rsidR="00857BAC" w:rsidRPr="00C84C0A">
        <w:rPr>
          <w:lang w:val="fr-CA"/>
        </w:rPr>
        <w:t xml:space="preserve">Le droit à la santé des peuples autochtones devrait </w:t>
      </w:r>
      <w:r w:rsidR="00D031F2">
        <w:rPr>
          <w:lang w:val="fr-CA"/>
        </w:rPr>
        <w:t>guider</w:t>
      </w:r>
      <w:r w:rsidR="00857BAC" w:rsidRPr="00C84C0A">
        <w:rPr>
          <w:lang w:val="fr-CA"/>
        </w:rPr>
        <w:t xml:space="preserve"> </w:t>
      </w:r>
      <w:r w:rsidR="00D401FF" w:rsidRPr="00C84C0A">
        <w:rPr>
          <w:lang w:val="fr-CA"/>
        </w:rPr>
        <w:t>l</w:t>
      </w:r>
      <w:r w:rsidR="00BC79F6" w:rsidRPr="00C84C0A">
        <w:rPr>
          <w:lang w:val="fr-CA"/>
        </w:rPr>
        <w:t>e recours à</w:t>
      </w:r>
      <w:r w:rsidR="00595145" w:rsidRPr="00C84C0A">
        <w:rPr>
          <w:lang w:val="fr-CA"/>
        </w:rPr>
        <w:t xml:space="preserve"> l’approche de sécurisation culturelle dans</w:t>
      </w:r>
      <w:r w:rsidR="007C7B81" w:rsidRPr="00C84C0A">
        <w:rPr>
          <w:lang w:val="fr-CA"/>
        </w:rPr>
        <w:t xml:space="preserve"> le </w:t>
      </w:r>
      <w:r w:rsidR="00595145" w:rsidRPr="00C84C0A">
        <w:rPr>
          <w:lang w:val="fr-CA"/>
        </w:rPr>
        <w:t xml:space="preserve">RSSS. </w:t>
      </w:r>
      <w:r w:rsidR="007C7B81" w:rsidRPr="00C84C0A">
        <w:rPr>
          <w:lang w:val="fr-CA"/>
        </w:rPr>
        <w:t xml:space="preserve">Bien que le droit interne </w:t>
      </w:r>
      <w:r w:rsidR="001070F0" w:rsidRPr="00C84C0A">
        <w:rPr>
          <w:lang w:val="fr-CA"/>
        </w:rPr>
        <w:t xml:space="preserve">doive </w:t>
      </w:r>
      <w:r w:rsidR="00974BD9" w:rsidRPr="00C84C0A">
        <w:rPr>
          <w:lang w:val="fr-CA"/>
        </w:rPr>
        <w:t>se conformer au</w:t>
      </w:r>
      <w:r w:rsidR="008B0533" w:rsidRPr="00C84C0A">
        <w:rPr>
          <w:lang w:val="fr-CA"/>
        </w:rPr>
        <w:t xml:space="preserve">x </w:t>
      </w:r>
      <w:r w:rsidR="00DA03D7" w:rsidRPr="00C84C0A">
        <w:rPr>
          <w:rFonts w:eastAsia="Calibri"/>
          <w:lang w:val="fr-CA" w:eastAsia="en-US"/>
        </w:rPr>
        <w:t>principes développés en vertu du droit international</w:t>
      </w:r>
      <w:r w:rsidR="009322CE">
        <w:rPr>
          <w:rFonts w:eastAsia="Calibri"/>
          <w:lang w:val="fr-CA" w:eastAsia="en-US"/>
        </w:rPr>
        <w:t xml:space="preserve"> et que plusieurs droits de la Charte concourent </w:t>
      </w:r>
      <w:r w:rsidR="001472EA">
        <w:rPr>
          <w:rFonts w:eastAsia="Calibri"/>
          <w:lang w:val="fr-CA" w:eastAsia="en-US"/>
        </w:rPr>
        <w:t xml:space="preserve">indirectement à </w:t>
      </w:r>
      <w:r w:rsidR="00B857CA">
        <w:rPr>
          <w:rFonts w:eastAsia="Calibri"/>
          <w:lang w:val="fr-CA" w:eastAsia="en-US"/>
        </w:rPr>
        <w:t>sa</w:t>
      </w:r>
      <w:r w:rsidR="001472EA">
        <w:rPr>
          <w:rFonts w:eastAsia="Calibri"/>
          <w:lang w:val="fr-CA" w:eastAsia="en-US"/>
        </w:rPr>
        <w:t xml:space="preserve"> protection</w:t>
      </w:r>
      <w:r w:rsidR="008B0533" w:rsidRPr="00C84C0A">
        <w:rPr>
          <w:rFonts w:eastAsia="Calibri"/>
          <w:lang w:val="fr-CA" w:eastAsia="en-US"/>
        </w:rPr>
        <w:t xml:space="preserve">, la Commission recommande depuis plus de </w:t>
      </w:r>
      <w:r w:rsidR="00CD75A3" w:rsidRPr="00C84C0A">
        <w:rPr>
          <w:rFonts w:eastAsia="Calibri"/>
          <w:lang w:val="fr-CA" w:eastAsia="en-US"/>
        </w:rPr>
        <w:t>vingt ans d’</w:t>
      </w:r>
      <w:r w:rsidR="001B6BF6">
        <w:rPr>
          <w:rFonts w:eastAsia="Calibri"/>
          <w:lang w:val="fr-CA" w:eastAsia="en-US"/>
        </w:rPr>
        <w:t xml:space="preserve">y </w:t>
      </w:r>
      <w:r w:rsidR="00CD75A3" w:rsidRPr="00C84C0A">
        <w:rPr>
          <w:rFonts w:eastAsia="Calibri"/>
          <w:lang w:val="fr-CA" w:eastAsia="en-US"/>
        </w:rPr>
        <w:t xml:space="preserve">inscrire explicitement le droit à la santé. </w:t>
      </w:r>
      <w:r w:rsidR="001C6DDF" w:rsidRPr="00C84C0A">
        <w:rPr>
          <w:rFonts w:eastAsia="Calibri"/>
          <w:lang w:val="fr-CA" w:eastAsia="en-US"/>
        </w:rPr>
        <w:t>Elle réitère cette recommandation.</w:t>
      </w:r>
    </w:p>
    <w:p w14:paraId="08386B42" w14:textId="7BF5CA53" w:rsidR="002D7BFF" w:rsidRPr="00A76331" w:rsidRDefault="002D7BFF" w:rsidP="0054146A">
      <w:pPr>
        <w:pStyle w:val="TitreRecommandation"/>
      </w:pPr>
      <w:r w:rsidRPr="00A76331">
        <w:t>RECOMMANDATION</w:t>
      </w:r>
      <w:r w:rsidR="00936C31">
        <w:t> </w:t>
      </w:r>
      <w:r>
        <w:t>6</w:t>
      </w:r>
    </w:p>
    <w:p w14:paraId="463206B7" w14:textId="00CAB465" w:rsidR="002D7BFF" w:rsidRDefault="00E429AD" w:rsidP="000765D9">
      <w:pPr>
        <w:pStyle w:val="Texterecommandation"/>
        <w:ind w:left="706"/>
      </w:pPr>
      <w:r w:rsidRPr="004726C0">
        <w:t xml:space="preserve">La Commission réitère sa recommandation </w:t>
      </w:r>
      <w:r w:rsidRPr="00A263CD">
        <w:t xml:space="preserve">d’inscrire dans la </w:t>
      </w:r>
      <w:r w:rsidRPr="00311528">
        <w:rPr>
          <w:i/>
          <w:iCs/>
        </w:rPr>
        <w:t>Charte des droits et libertés de la personne</w:t>
      </w:r>
      <w:r>
        <w:t xml:space="preserve">, </w:t>
      </w:r>
      <w:r w:rsidRPr="005441A7">
        <w:t>le droit de toute personne de bénéficier des programmes, biens, services, installations et conditions lui permettant de jouir du meilleur état de santé physique et mentale qu’elle puisse atteindre</w:t>
      </w:r>
      <w:r w:rsidR="002D7BFF" w:rsidRPr="005441A7">
        <w:t xml:space="preserve">. </w:t>
      </w:r>
    </w:p>
    <w:p w14:paraId="02C36A3D" w14:textId="4DF8453A" w:rsidR="00AB44FA" w:rsidRDefault="00AB44FA" w:rsidP="00A60E9B">
      <w:pPr>
        <w:pStyle w:val="Paragraphe"/>
        <w:shd w:val="clear" w:color="auto" w:fill="auto"/>
        <w:rPr>
          <w:color w:val="auto"/>
          <w:lang w:val="fr-CA"/>
        </w:rPr>
      </w:pPr>
      <w:r>
        <w:rPr>
          <w:color w:val="auto"/>
          <w:lang w:val="fr-CA"/>
        </w:rPr>
        <w:t>L</w:t>
      </w:r>
      <w:r w:rsidR="0098369D">
        <w:rPr>
          <w:color w:val="auto"/>
          <w:lang w:val="fr-CA"/>
        </w:rPr>
        <w:t xml:space="preserve">e projet de loi élude complètement les obligations </w:t>
      </w:r>
      <w:r w:rsidR="00F26ADF">
        <w:rPr>
          <w:color w:val="auto"/>
          <w:lang w:val="fr-CA"/>
        </w:rPr>
        <w:t xml:space="preserve">légales </w:t>
      </w:r>
      <w:r w:rsidR="00EB6D77">
        <w:rPr>
          <w:color w:val="auto"/>
          <w:lang w:val="fr-CA"/>
        </w:rPr>
        <w:t>du gouvernement et d</w:t>
      </w:r>
      <w:r w:rsidR="00B870B3">
        <w:rPr>
          <w:color w:val="auto"/>
          <w:lang w:val="fr-CA"/>
        </w:rPr>
        <w:t xml:space="preserve">es établissements du RSSS qui </w:t>
      </w:r>
      <w:r w:rsidR="00AD1593">
        <w:rPr>
          <w:color w:val="auto"/>
          <w:lang w:val="fr-CA"/>
        </w:rPr>
        <w:t xml:space="preserve">participent </w:t>
      </w:r>
      <w:r w:rsidR="00403D66">
        <w:rPr>
          <w:color w:val="auto"/>
          <w:lang w:val="fr-CA"/>
        </w:rPr>
        <w:t>à l’</w:t>
      </w:r>
      <w:r w:rsidR="00011D65">
        <w:rPr>
          <w:color w:val="auto"/>
          <w:lang w:val="fr-CA"/>
        </w:rPr>
        <w:t xml:space="preserve">adoption de </w:t>
      </w:r>
      <w:r w:rsidR="00BA1176">
        <w:rPr>
          <w:color w:val="auto"/>
          <w:lang w:val="fr-CA"/>
        </w:rPr>
        <w:t xml:space="preserve">pratiques </w:t>
      </w:r>
      <w:r w:rsidR="00E87D59">
        <w:rPr>
          <w:color w:val="auto"/>
          <w:lang w:val="fr-CA"/>
        </w:rPr>
        <w:t xml:space="preserve">culturellement sécuritaires. </w:t>
      </w:r>
      <w:r w:rsidR="000765D9">
        <w:rPr>
          <w:color w:val="auto"/>
          <w:lang w:val="fr-CA"/>
        </w:rPr>
        <w:t>L</w:t>
      </w:r>
      <w:r>
        <w:rPr>
          <w:color w:val="auto"/>
          <w:lang w:val="fr-CA"/>
        </w:rPr>
        <w:t xml:space="preserve">e Québec </w:t>
      </w:r>
      <w:r w:rsidRPr="00C84C0A">
        <w:rPr>
          <w:lang w:val="fr-CA"/>
        </w:rPr>
        <w:t xml:space="preserve">a </w:t>
      </w:r>
      <w:r w:rsidR="000765D9" w:rsidRPr="00C84C0A">
        <w:rPr>
          <w:lang w:val="fr-CA"/>
        </w:rPr>
        <w:t>pourtant</w:t>
      </w:r>
      <w:r w:rsidRPr="00C84C0A">
        <w:rPr>
          <w:lang w:val="fr-CA"/>
        </w:rPr>
        <w:t xml:space="preserve"> des obligations précises à respecter en matière de prestation des services de santé et des services sociaux, tant en droit interne qu’en droit international</w:t>
      </w:r>
      <w:r w:rsidRPr="00A60E9B">
        <w:rPr>
          <w:lang w:val="fr-CA"/>
        </w:rPr>
        <w:t xml:space="preserve">. La Commission est </w:t>
      </w:r>
      <w:r w:rsidR="00D031F2" w:rsidRPr="00A60E9B">
        <w:rPr>
          <w:lang w:val="fr-CA"/>
        </w:rPr>
        <w:t>donc</w:t>
      </w:r>
      <w:r w:rsidRPr="00A60E9B">
        <w:rPr>
          <w:lang w:val="fr-CA"/>
        </w:rPr>
        <w:t xml:space="preserve"> d’avis que le préambule de la</w:t>
      </w:r>
      <w:r w:rsidRPr="00A60E9B">
        <w:rPr>
          <w:color w:val="auto"/>
          <w:lang w:val="fr-CA"/>
        </w:rPr>
        <w:t xml:space="preserve"> loi devrait mieux traduire </w:t>
      </w:r>
      <w:r w:rsidR="000765D9" w:rsidRPr="00A60E9B">
        <w:rPr>
          <w:color w:val="auto"/>
          <w:lang w:val="fr-CA"/>
        </w:rPr>
        <w:t>c</w:t>
      </w:r>
      <w:r w:rsidRPr="00A60E9B">
        <w:rPr>
          <w:color w:val="auto"/>
          <w:lang w:val="fr-CA"/>
        </w:rPr>
        <w:t xml:space="preserve">es obligations en référant </w:t>
      </w:r>
      <w:r w:rsidR="00D05764">
        <w:rPr>
          <w:color w:val="auto"/>
          <w:lang w:val="fr-CA"/>
        </w:rPr>
        <w:t>à</w:t>
      </w:r>
      <w:r w:rsidRPr="00A60E9B">
        <w:rPr>
          <w:color w:val="auto"/>
          <w:lang w:val="fr-CA"/>
        </w:rPr>
        <w:t xml:space="preserve"> la Charte.</w:t>
      </w:r>
    </w:p>
    <w:p w14:paraId="37696B7C" w14:textId="3A6BFAED" w:rsidR="00AB44FA" w:rsidRDefault="00AB44FA" w:rsidP="0054146A">
      <w:pPr>
        <w:pStyle w:val="TitreRecommandation"/>
      </w:pPr>
      <w:r w:rsidRPr="00A76331">
        <w:t>RECOMMANDATION</w:t>
      </w:r>
      <w:r w:rsidR="00936C31">
        <w:t> </w:t>
      </w:r>
      <w:r>
        <w:t>7</w:t>
      </w:r>
    </w:p>
    <w:p w14:paraId="1B319639" w14:textId="3E822F77" w:rsidR="00E429AD" w:rsidRDefault="00E429AD" w:rsidP="00E429AD">
      <w:pPr>
        <w:pStyle w:val="Texterecommandation"/>
        <w:ind w:left="706"/>
      </w:pPr>
      <w:r w:rsidRPr="00A8472C">
        <w:t xml:space="preserve">La Commission recommande de modifier le projet de la loi de façon à référer explicitement à la </w:t>
      </w:r>
      <w:r w:rsidRPr="0065478C">
        <w:rPr>
          <w:i/>
          <w:iCs/>
        </w:rPr>
        <w:t>Charte des droits et liberté</w:t>
      </w:r>
      <w:r w:rsidR="00530D45">
        <w:rPr>
          <w:i/>
          <w:iCs/>
        </w:rPr>
        <w:t>s</w:t>
      </w:r>
      <w:r w:rsidRPr="0065478C">
        <w:rPr>
          <w:i/>
          <w:iCs/>
        </w:rPr>
        <w:t xml:space="preserve"> de la personne</w:t>
      </w:r>
      <w:r>
        <w:t>.</w:t>
      </w:r>
    </w:p>
    <w:p w14:paraId="2C01719B" w14:textId="054FA81B" w:rsidR="00860CD8" w:rsidRPr="00E727E2" w:rsidRDefault="00A83722" w:rsidP="00E727E2">
      <w:pPr>
        <w:pStyle w:val="Paragraphe"/>
        <w:rPr>
          <w:rFonts w:eastAsia="Calibri"/>
          <w:color w:val="auto"/>
          <w:lang w:val="fr-CA"/>
        </w:rPr>
      </w:pPr>
      <w:r w:rsidRPr="00A225FB">
        <w:rPr>
          <w:rFonts w:eastAsia="Calibri"/>
          <w:color w:val="auto"/>
          <w:lang w:val="fr-CA"/>
        </w:rPr>
        <w:t>L’approche de sécurisation culturelle repose sur une communication qui doit être adaptée de façon à favoriser la compréhension et l’expression des patients</w:t>
      </w:r>
      <w:r w:rsidR="00F505C9">
        <w:rPr>
          <w:rFonts w:eastAsia="Calibri"/>
          <w:color w:val="auto"/>
          <w:lang w:val="fr-CA"/>
        </w:rPr>
        <w:t xml:space="preserve"> et usagers</w:t>
      </w:r>
      <w:r w:rsidRPr="00A225FB">
        <w:rPr>
          <w:rFonts w:eastAsia="Calibri"/>
          <w:color w:val="auto"/>
          <w:lang w:val="fr-CA"/>
        </w:rPr>
        <w:t xml:space="preserve">. De ce fait, les prestataires de services se doivent de traiter les personnes autochtones en considérant et en </w:t>
      </w:r>
      <w:r w:rsidRPr="00BC7942">
        <w:rPr>
          <w:rFonts w:eastAsia="Calibri"/>
          <w:lang w:val="fr-CA"/>
        </w:rPr>
        <w:lastRenderedPageBreak/>
        <w:t xml:space="preserve">respectant ces différences </w:t>
      </w:r>
      <w:r w:rsidR="00041258">
        <w:rPr>
          <w:rFonts w:eastAsia="Calibri"/>
          <w:lang w:val="fr-CA"/>
        </w:rPr>
        <w:t>ainsi qu’</w:t>
      </w:r>
      <w:r w:rsidRPr="00BC7942">
        <w:rPr>
          <w:rFonts w:eastAsia="Calibri"/>
          <w:lang w:val="fr-CA"/>
        </w:rPr>
        <w:t>en tenant compte de leur</w:t>
      </w:r>
      <w:r w:rsidR="002E5245" w:rsidRPr="00BC7942">
        <w:rPr>
          <w:rFonts w:eastAsia="Calibri"/>
          <w:lang w:val="fr-CA"/>
        </w:rPr>
        <w:t>s</w:t>
      </w:r>
      <w:r w:rsidRPr="00BC7942">
        <w:rPr>
          <w:rFonts w:eastAsia="Calibri"/>
          <w:lang w:val="fr-CA"/>
        </w:rPr>
        <w:t xml:space="preserve"> réalités et </w:t>
      </w:r>
      <w:r w:rsidR="0052102D">
        <w:rPr>
          <w:rFonts w:eastAsia="Calibri"/>
          <w:lang w:val="fr-CA"/>
        </w:rPr>
        <w:t xml:space="preserve">de </w:t>
      </w:r>
      <w:r w:rsidR="0026605D">
        <w:rPr>
          <w:rFonts w:eastAsia="Calibri"/>
          <w:lang w:val="fr-CA"/>
        </w:rPr>
        <w:t xml:space="preserve">leurs </w:t>
      </w:r>
      <w:r w:rsidRPr="00BC7942">
        <w:rPr>
          <w:rFonts w:eastAsia="Calibri"/>
          <w:lang w:val="fr-CA"/>
        </w:rPr>
        <w:t xml:space="preserve">besoins. </w:t>
      </w:r>
      <w:r w:rsidRPr="00B8333F">
        <w:rPr>
          <w:rFonts w:eastAsia="Calibri"/>
          <w:lang w:val="fr-CA"/>
        </w:rPr>
        <w:t xml:space="preserve">La Commission </w:t>
      </w:r>
      <w:r w:rsidR="004D2EC3" w:rsidRPr="00B8333F">
        <w:rPr>
          <w:rFonts w:eastAsia="Calibri"/>
          <w:lang w:val="fr-CA"/>
        </w:rPr>
        <w:t xml:space="preserve">a ainsi </w:t>
      </w:r>
      <w:r w:rsidR="00D338E8" w:rsidRPr="00B8333F">
        <w:rPr>
          <w:rFonts w:eastAsia="Calibri"/>
          <w:lang w:val="fr-CA"/>
        </w:rPr>
        <w:t>jugé</w:t>
      </w:r>
      <w:r w:rsidRPr="00B8333F">
        <w:rPr>
          <w:rFonts w:eastAsia="Calibri"/>
          <w:lang w:val="fr-CA"/>
        </w:rPr>
        <w:t xml:space="preserve"> nécessaire d’exposer les réalités et les besoins de certaines catégories de personnes. </w:t>
      </w:r>
      <w:r w:rsidR="00743F7C" w:rsidRPr="00C84C0A">
        <w:rPr>
          <w:rFonts w:eastAsia="Calibri"/>
          <w:lang w:val="fr-CA"/>
        </w:rPr>
        <w:t>Elle invite le légi</w:t>
      </w:r>
      <w:r w:rsidR="00583DFA" w:rsidRPr="00C84C0A">
        <w:rPr>
          <w:rFonts w:eastAsia="Calibri"/>
          <w:lang w:val="fr-CA"/>
        </w:rPr>
        <w:t xml:space="preserve">slateur </w:t>
      </w:r>
      <w:r w:rsidR="00856421" w:rsidRPr="00C84C0A">
        <w:rPr>
          <w:rFonts w:eastAsia="Calibri"/>
          <w:lang w:val="fr-CA"/>
        </w:rPr>
        <w:t>à modifier le</w:t>
      </w:r>
      <w:r w:rsidR="00856421">
        <w:rPr>
          <w:rFonts w:eastAsia="Calibri"/>
          <w:color w:val="auto"/>
          <w:lang w:val="fr-CA"/>
        </w:rPr>
        <w:t xml:space="preserve"> pr</w:t>
      </w:r>
      <w:r w:rsidR="00674778">
        <w:rPr>
          <w:rFonts w:eastAsia="Calibri"/>
          <w:color w:val="auto"/>
          <w:lang w:val="fr-CA"/>
        </w:rPr>
        <w:t>ojet de loi</w:t>
      </w:r>
      <w:r w:rsidR="00856421">
        <w:rPr>
          <w:rFonts w:eastAsia="Calibri"/>
          <w:color w:val="auto"/>
          <w:lang w:val="fr-CA"/>
        </w:rPr>
        <w:t xml:space="preserve"> </w:t>
      </w:r>
      <w:r w:rsidR="005417DD">
        <w:rPr>
          <w:rFonts w:eastAsia="Calibri"/>
          <w:color w:val="auto"/>
          <w:lang w:val="fr-CA"/>
        </w:rPr>
        <w:t>de façon</w:t>
      </w:r>
      <w:r w:rsidR="00E05B95">
        <w:rPr>
          <w:rFonts w:eastAsia="Calibri"/>
          <w:color w:val="auto"/>
          <w:lang w:val="fr-CA"/>
        </w:rPr>
        <w:t xml:space="preserve"> </w:t>
      </w:r>
      <w:r w:rsidR="00D3748D">
        <w:rPr>
          <w:rFonts w:eastAsia="Calibri"/>
          <w:color w:val="auto"/>
          <w:lang w:val="fr-CA"/>
        </w:rPr>
        <w:t xml:space="preserve">à </w:t>
      </w:r>
      <w:r w:rsidR="00B82E17">
        <w:rPr>
          <w:rFonts w:eastAsia="Calibri"/>
          <w:color w:val="auto"/>
          <w:lang w:val="fr-CA"/>
        </w:rPr>
        <w:t xml:space="preserve">clarifier </w:t>
      </w:r>
      <w:r w:rsidR="00FA114D">
        <w:rPr>
          <w:rFonts w:eastAsia="Calibri"/>
          <w:color w:val="auto"/>
          <w:lang w:val="fr-CA"/>
        </w:rPr>
        <w:t>l’obligation d</w:t>
      </w:r>
      <w:r w:rsidR="001B4809">
        <w:rPr>
          <w:rFonts w:eastAsia="Calibri"/>
          <w:color w:val="auto"/>
          <w:lang w:val="fr-CA"/>
        </w:rPr>
        <w:t>es établissements</w:t>
      </w:r>
      <w:r w:rsidR="00442CAE">
        <w:rPr>
          <w:rFonts w:eastAsia="Calibri"/>
          <w:color w:val="auto"/>
          <w:lang w:val="fr-CA"/>
        </w:rPr>
        <w:t xml:space="preserve"> d’adopter des pratiques sécurisantes adaptées aux réalités et besoins </w:t>
      </w:r>
      <w:r w:rsidR="00764B06">
        <w:rPr>
          <w:rFonts w:eastAsia="Calibri"/>
          <w:color w:val="auto"/>
          <w:lang w:val="fr-CA"/>
        </w:rPr>
        <w:t>spécifique</w:t>
      </w:r>
      <w:r w:rsidR="008D1C6C">
        <w:rPr>
          <w:rFonts w:eastAsia="Calibri"/>
          <w:color w:val="auto"/>
          <w:lang w:val="fr-CA"/>
        </w:rPr>
        <w:t xml:space="preserve">s </w:t>
      </w:r>
      <w:r w:rsidR="00442CAE">
        <w:rPr>
          <w:rFonts w:eastAsia="Calibri"/>
          <w:color w:val="auto"/>
          <w:lang w:val="fr-CA"/>
        </w:rPr>
        <w:t>des personnes autochtones</w:t>
      </w:r>
      <w:r w:rsidR="00242E74">
        <w:rPr>
          <w:rFonts w:eastAsia="Calibri"/>
          <w:color w:val="auto"/>
          <w:lang w:val="fr-CA"/>
        </w:rPr>
        <w:t xml:space="preserve"> dans leurs relations avec les services de santé et les services sociaux</w:t>
      </w:r>
      <w:r w:rsidR="002E752E">
        <w:rPr>
          <w:rFonts w:eastAsia="Calibri"/>
          <w:color w:val="auto"/>
          <w:lang w:val="fr-CA"/>
        </w:rPr>
        <w:t>.</w:t>
      </w:r>
    </w:p>
    <w:p w14:paraId="54B45856" w14:textId="459C3F5A" w:rsidR="00833FA2" w:rsidRPr="001308D8" w:rsidRDefault="00833FA2" w:rsidP="0054146A">
      <w:pPr>
        <w:pStyle w:val="TitreRecommandation"/>
      </w:pPr>
      <w:r w:rsidRPr="001308D8">
        <w:t>RECOMMANDATION</w:t>
      </w:r>
      <w:r w:rsidR="00936C31">
        <w:t> </w:t>
      </w:r>
      <w:r>
        <w:t>8</w:t>
      </w:r>
    </w:p>
    <w:p w14:paraId="25ADB4C9" w14:textId="183FCF35" w:rsidR="00E429AD" w:rsidRPr="00D856E5" w:rsidRDefault="00545418" w:rsidP="00545418">
      <w:pPr>
        <w:pStyle w:val="Texterecommandation"/>
        <w:ind w:left="706"/>
      </w:pPr>
      <w:r>
        <w:tab/>
      </w:r>
      <w:r w:rsidR="00E429AD" w:rsidRPr="00D856E5">
        <w:t xml:space="preserve">La Commission recommande de modifier le deuxième alinéa de l’article 1 du projet de loi afin que les établissements visés soient tenus d’adopter des pratiques sécurisantes qui tiennent compte des réalités et besoins spécifiques de la personne autochtone qui reçoit </w:t>
      </w:r>
      <w:r w:rsidR="00E429AD">
        <w:t>des services</w:t>
      </w:r>
      <w:r w:rsidR="00E429AD" w:rsidRPr="00D856E5">
        <w:t xml:space="preserve"> de santé ou </w:t>
      </w:r>
      <w:r w:rsidR="00E429AD">
        <w:t>des services sociaux</w:t>
      </w:r>
      <w:r w:rsidR="00E429AD" w:rsidRPr="00D856E5">
        <w:t xml:space="preserve">. </w:t>
      </w:r>
    </w:p>
    <w:p w14:paraId="2371D158" w14:textId="7392B8E3" w:rsidR="003B654E" w:rsidRPr="00C84C0A" w:rsidRDefault="002A5D85" w:rsidP="0097791A">
      <w:pPr>
        <w:pStyle w:val="Paragraphe"/>
        <w:rPr>
          <w:rFonts w:eastAsia="Calibri"/>
          <w:lang w:val="fr-CA"/>
        </w:rPr>
      </w:pPr>
      <w:r w:rsidRPr="00C84C0A">
        <w:rPr>
          <w:rFonts w:eastAsia="Calibri"/>
          <w:lang w:val="fr-CA"/>
        </w:rPr>
        <w:t>Le projet de loi présente l’embauche de personnel autochtone comme un moyen favorisant l’adoption de pratiques sécurisantes</w:t>
      </w:r>
      <w:r w:rsidR="008855E0" w:rsidRPr="00C84C0A">
        <w:rPr>
          <w:rFonts w:eastAsia="Calibri"/>
          <w:lang w:val="fr-CA"/>
        </w:rPr>
        <w:t>, lorsque po</w:t>
      </w:r>
      <w:r w:rsidR="00472F73" w:rsidRPr="00C84C0A">
        <w:rPr>
          <w:rFonts w:eastAsia="Calibri"/>
          <w:lang w:val="fr-CA"/>
        </w:rPr>
        <w:t>ssible</w:t>
      </w:r>
      <w:r w:rsidR="00186FCA" w:rsidRPr="00C84C0A">
        <w:rPr>
          <w:rFonts w:eastAsia="Calibri"/>
          <w:lang w:val="fr-CA"/>
        </w:rPr>
        <w:t xml:space="preserve">. </w:t>
      </w:r>
      <w:r w:rsidR="00AF0631" w:rsidRPr="00C84C0A">
        <w:rPr>
          <w:rFonts w:eastAsia="Calibri"/>
          <w:lang w:val="fr-CA"/>
        </w:rPr>
        <w:t xml:space="preserve">On n’y fait cependant pas mention </w:t>
      </w:r>
      <w:r w:rsidR="00A3298D" w:rsidRPr="00C84C0A">
        <w:rPr>
          <w:rFonts w:eastAsia="Calibri"/>
          <w:lang w:val="fr-CA"/>
        </w:rPr>
        <w:t xml:space="preserve">des obligations qui incombent aux organismes publics en vertu de la </w:t>
      </w:r>
      <w:r w:rsidR="00421A1F" w:rsidRPr="007720D0">
        <w:rPr>
          <w:i/>
          <w:iCs/>
          <w:lang w:val="fr-CA"/>
        </w:rPr>
        <w:t>Loi sur l’accès à l’égalité en emploi dans des organismes publics</w:t>
      </w:r>
      <w:r w:rsidR="00866B8E" w:rsidRPr="00C84C0A">
        <w:rPr>
          <w:rFonts w:eastAsia="Calibri"/>
          <w:lang w:val="fr-CA"/>
        </w:rPr>
        <w:t xml:space="preserve">. </w:t>
      </w:r>
      <w:r w:rsidR="00186FCA" w:rsidRPr="00C84C0A">
        <w:rPr>
          <w:rFonts w:eastAsia="Calibri"/>
          <w:lang w:val="fr-CA"/>
        </w:rPr>
        <w:t xml:space="preserve">La Commission </w:t>
      </w:r>
      <w:r w:rsidR="003A1D99" w:rsidRPr="00C84C0A">
        <w:rPr>
          <w:rFonts w:eastAsia="Calibri"/>
          <w:lang w:val="fr-CA"/>
        </w:rPr>
        <w:t xml:space="preserve">recommande </w:t>
      </w:r>
      <w:r w:rsidR="00AF0631" w:rsidRPr="00C84C0A">
        <w:rPr>
          <w:rFonts w:eastAsia="Calibri"/>
          <w:lang w:val="fr-CA"/>
        </w:rPr>
        <w:t xml:space="preserve">donc </w:t>
      </w:r>
      <w:r w:rsidR="00D94931" w:rsidRPr="00C84C0A">
        <w:rPr>
          <w:rFonts w:eastAsia="Calibri"/>
          <w:lang w:val="fr-CA"/>
        </w:rPr>
        <w:t xml:space="preserve">de modifier le projet de loi </w:t>
      </w:r>
      <w:r w:rsidR="00AB0351">
        <w:rPr>
          <w:rFonts w:eastAsia="Calibri"/>
          <w:lang w:val="fr-CA"/>
        </w:rPr>
        <w:t>pour tenir compte du fait</w:t>
      </w:r>
      <w:r w:rsidR="006263B9" w:rsidRPr="00C84C0A">
        <w:rPr>
          <w:rFonts w:eastAsia="Calibri"/>
          <w:lang w:val="fr-CA"/>
        </w:rPr>
        <w:t xml:space="preserve"> que </w:t>
      </w:r>
      <w:r w:rsidR="00025AB2" w:rsidRPr="00C84C0A">
        <w:rPr>
          <w:rFonts w:eastAsia="Calibri"/>
          <w:lang w:val="fr-CA"/>
        </w:rPr>
        <w:t xml:space="preserve">l’embauche </w:t>
      </w:r>
      <w:r w:rsidR="00AF0631" w:rsidRPr="00C84C0A">
        <w:rPr>
          <w:rFonts w:eastAsia="Calibri"/>
          <w:lang w:val="fr-CA"/>
        </w:rPr>
        <w:t xml:space="preserve">de personnel autochtone relève d’une obligation légale que les </w:t>
      </w:r>
      <w:r w:rsidR="00423339" w:rsidRPr="00C84C0A">
        <w:rPr>
          <w:rFonts w:eastAsia="Calibri"/>
          <w:lang w:val="fr-CA"/>
        </w:rPr>
        <w:t>établissements</w:t>
      </w:r>
      <w:r w:rsidR="00AF0631" w:rsidRPr="00C84C0A">
        <w:rPr>
          <w:rFonts w:eastAsia="Calibri"/>
          <w:lang w:val="fr-CA"/>
        </w:rPr>
        <w:t xml:space="preserve"> du RSSS sont tenus de respecter.</w:t>
      </w:r>
    </w:p>
    <w:p w14:paraId="5AD35A95" w14:textId="062187B9" w:rsidR="003B654E" w:rsidRPr="007720D0" w:rsidRDefault="003B654E" w:rsidP="007720D0">
      <w:pPr>
        <w:pStyle w:val="TitreRecommandation"/>
      </w:pPr>
      <w:r w:rsidRPr="007720D0">
        <w:t>Recommandation</w:t>
      </w:r>
      <w:r w:rsidR="00936C31" w:rsidRPr="007720D0">
        <w:rPr>
          <w:rFonts w:hint="eastAsia"/>
        </w:rPr>
        <w:t> </w:t>
      </w:r>
      <w:r w:rsidRPr="007720D0">
        <w:t>9</w:t>
      </w:r>
    </w:p>
    <w:p w14:paraId="33F16341" w14:textId="4F88884B" w:rsidR="00545418" w:rsidRPr="00C87BF4" w:rsidRDefault="00545418" w:rsidP="00545418">
      <w:pPr>
        <w:pStyle w:val="Default"/>
        <w:ind w:left="706"/>
        <w:rPr>
          <w:rFonts w:ascii="Arial" w:eastAsia="Calibri" w:hAnsi="Arial" w:cs="Arial"/>
          <w:i/>
        </w:rPr>
      </w:pPr>
      <w:r w:rsidRPr="004D2054">
        <w:rPr>
          <w:rFonts w:ascii="Arial" w:hAnsi="Arial" w:cs="Arial"/>
          <w:b/>
          <w:bCs/>
          <w:sz w:val="22"/>
          <w:szCs w:val="22"/>
        </w:rPr>
        <w:t xml:space="preserve">La Commission recommande de modifier l’article 1 al. 2, par. 4 a) du projet de loi </w:t>
      </w:r>
      <w:r>
        <w:rPr>
          <w:rFonts w:ascii="Arial" w:hAnsi="Arial" w:cs="Arial"/>
          <w:b/>
          <w:bCs/>
          <w:sz w:val="22"/>
          <w:szCs w:val="22"/>
        </w:rPr>
        <w:t>pour tenir compte du fait</w:t>
      </w:r>
      <w:r w:rsidRPr="004D2054">
        <w:rPr>
          <w:rFonts w:ascii="Arial" w:hAnsi="Arial" w:cs="Arial"/>
          <w:b/>
          <w:bCs/>
          <w:sz w:val="22"/>
          <w:szCs w:val="22"/>
        </w:rPr>
        <w:t xml:space="preserve"> que l’embauche de personne</w:t>
      </w:r>
      <w:r>
        <w:rPr>
          <w:rFonts w:ascii="Arial" w:hAnsi="Arial" w:cs="Arial"/>
          <w:b/>
          <w:bCs/>
          <w:sz w:val="22"/>
          <w:szCs w:val="22"/>
        </w:rPr>
        <w:t>l</w:t>
      </w:r>
      <w:r w:rsidRPr="004D2054">
        <w:rPr>
          <w:rFonts w:ascii="Arial" w:hAnsi="Arial" w:cs="Arial"/>
          <w:b/>
          <w:bCs/>
          <w:sz w:val="22"/>
          <w:szCs w:val="22"/>
        </w:rPr>
        <w:t xml:space="preserve"> autochtone relève d’une obligation légale à respecter.</w:t>
      </w:r>
    </w:p>
    <w:p w14:paraId="1C661EBC" w14:textId="46306708" w:rsidR="001414D9" w:rsidRDefault="001414D9" w:rsidP="001414D9">
      <w:pPr>
        <w:pStyle w:val="Paragraphe"/>
        <w:rPr>
          <w:color w:val="auto"/>
          <w:lang w:val="fr-CA"/>
        </w:rPr>
      </w:pPr>
      <w:r>
        <w:rPr>
          <w:color w:val="auto"/>
          <w:lang w:val="fr-CA"/>
        </w:rPr>
        <w:t>L</w:t>
      </w:r>
      <w:r w:rsidRPr="001A4A5B">
        <w:rPr>
          <w:color w:val="auto"/>
          <w:lang w:val="fr-CA"/>
        </w:rPr>
        <w:t xml:space="preserve">a </w:t>
      </w:r>
      <w:r w:rsidRPr="00CE48ED">
        <w:rPr>
          <w:lang w:val="fr-CA"/>
        </w:rPr>
        <w:t>Commission est d’avis que la formation visée par le projet de loi devrait porter spécifiquement sur l’approche de sécurisation culturelle</w:t>
      </w:r>
      <w:r w:rsidR="001A5F11" w:rsidRPr="00CE48ED">
        <w:rPr>
          <w:lang w:val="fr-CA"/>
        </w:rPr>
        <w:t xml:space="preserve">. </w:t>
      </w:r>
      <w:r w:rsidR="00E6429C">
        <w:rPr>
          <w:lang w:val="fr-CA"/>
        </w:rPr>
        <w:t>Compte tenu</w:t>
      </w:r>
      <w:r w:rsidR="00416088" w:rsidRPr="00E6429C">
        <w:rPr>
          <w:lang w:val="fr-CA"/>
        </w:rPr>
        <w:t xml:space="preserve"> </w:t>
      </w:r>
      <w:r w:rsidRPr="00E6429C">
        <w:rPr>
          <w:lang w:val="fr-CA"/>
        </w:rPr>
        <w:t>que la compétence culturelle nécessaire à la sécurisation</w:t>
      </w:r>
      <w:r w:rsidRPr="003F11D8">
        <w:rPr>
          <w:color w:val="auto"/>
          <w:lang w:val="fr-CA"/>
        </w:rPr>
        <w:t xml:space="preserve"> culturelle ne </w:t>
      </w:r>
      <w:r w:rsidR="002B6FDE" w:rsidRPr="003F11D8">
        <w:rPr>
          <w:color w:val="auto"/>
          <w:lang w:val="fr-CA"/>
        </w:rPr>
        <w:t>s’acquiert</w:t>
      </w:r>
      <w:r w:rsidRPr="003F11D8">
        <w:rPr>
          <w:color w:val="auto"/>
          <w:lang w:val="fr-CA"/>
        </w:rPr>
        <w:t xml:space="preserve"> </w:t>
      </w:r>
      <w:r w:rsidR="00A91292" w:rsidRPr="003F11D8">
        <w:rPr>
          <w:color w:val="auto"/>
          <w:lang w:val="fr-CA"/>
        </w:rPr>
        <w:t xml:space="preserve">pas </w:t>
      </w:r>
      <w:r w:rsidRPr="003F11D8">
        <w:rPr>
          <w:color w:val="auto"/>
          <w:lang w:val="fr-CA"/>
        </w:rPr>
        <w:t>spontanément</w:t>
      </w:r>
      <w:r w:rsidR="00A91292">
        <w:rPr>
          <w:color w:val="auto"/>
          <w:lang w:val="fr-CA"/>
        </w:rPr>
        <w:t xml:space="preserve">, </w:t>
      </w:r>
      <w:r w:rsidR="002B6FDE">
        <w:rPr>
          <w:color w:val="auto"/>
          <w:lang w:val="fr-CA"/>
        </w:rPr>
        <w:t xml:space="preserve">elle estime que </w:t>
      </w:r>
      <w:r w:rsidRPr="00B90ADE">
        <w:rPr>
          <w:color w:val="auto"/>
          <w:lang w:val="fr-CA"/>
        </w:rPr>
        <w:t>la formation de</w:t>
      </w:r>
      <w:r w:rsidR="005954D8">
        <w:rPr>
          <w:color w:val="auto"/>
          <w:lang w:val="fr-CA"/>
        </w:rPr>
        <w:t>vrait être offert</w:t>
      </w:r>
      <w:r w:rsidR="006F1570">
        <w:rPr>
          <w:color w:val="auto"/>
          <w:lang w:val="fr-CA"/>
        </w:rPr>
        <w:t>e</w:t>
      </w:r>
      <w:r w:rsidR="00DC34D7">
        <w:rPr>
          <w:color w:val="auto"/>
          <w:lang w:val="fr-CA"/>
        </w:rPr>
        <w:t xml:space="preserve"> de</w:t>
      </w:r>
      <w:r w:rsidRPr="00B90ADE">
        <w:rPr>
          <w:color w:val="auto"/>
          <w:lang w:val="fr-CA"/>
        </w:rPr>
        <w:t xml:space="preserve"> façon continue.</w:t>
      </w:r>
    </w:p>
    <w:p w14:paraId="4D811498" w14:textId="78B31078" w:rsidR="00CE48ED" w:rsidRDefault="003C10A2" w:rsidP="0042781D">
      <w:pPr>
        <w:pStyle w:val="Corpsdetexte"/>
      </w:pPr>
      <w:r>
        <w:t>De plus, l</w:t>
      </w:r>
      <w:r w:rsidR="001414D9" w:rsidRPr="00502DB5">
        <w:t>a formation obligatoire devrait nécessairement aborder le cadre des droits et libertés de la personne de façon à favoriser une bonne compréhension des enjeux de discrimination par le personnel du RSSS.</w:t>
      </w:r>
    </w:p>
    <w:p w14:paraId="4D0C85DA" w14:textId="4215EF2B" w:rsidR="003B654E" w:rsidRDefault="003B654E" w:rsidP="003B654E">
      <w:pPr>
        <w:pStyle w:val="TitreRecommandation"/>
      </w:pPr>
      <w:r>
        <w:t>Recommandation</w:t>
      </w:r>
      <w:r w:rsidR="00936C31">
        <w:rPr>
          <w:rFonts w:hint="eastAsia"/>
        </w:rPr>
        <w:t> </w:t>
      </w:r>
      <w:r>
        <w:t>10</w:t>
      </w:r>
    </w:p>
    <w:p w14:paraId="30D68881" w14:textId="77777777" w:rsidR="00910708" w:rsidRDefault="00910708" w:rsidP="00910708">
      <w:pPr>
        <w:pStyle w:val="Texterecommandation"/>
        <w:ind w:left="706"/>
      </w:pPr>
      <w:r w:rsidRPr="00F94964">
        <w:t xml:space="preserve">La Commission recommande de modifier le projet de loi afin qu’il soit prévu que la formation obligatoire visée par </w:t>
      </w:r>
      <w:r w:rsidRPr="00F94964">
        <w:rPr>
          <w:rFonts w:ascii="Arial" w:hAnsi="Arial" w:cs="Arial"/>
          <w:bCs/>
          <w:szCs w:val="22"/>
        </w:rPr>
        <w:t>l</w:t>
      </w:r>
      <w:r w:rsidRPr="00F94964">
        <w:rPr>
          <w:rFonts w:ascii="Arial" w:hAnsi="Arial" w:cs="Arial"/>
          <w:b w:val="0"/>
          <w:bCs/>
          <w:szCs w:val="22"/>
        </w:rPr>
        <w:t>’</w:t>
      </w:r>
      <w:r w:rsidRPr="00F94964">
        <w:rPr>
          <w:rFonts w:ascii="Arial" w:hAnsi="Arial" w:cs="Arial"/>
          <w:bCs/>
          <w:szCs w:val="22"/>
        </w:rPr>
        <w:t>art</w:t>
      </w:r>
      <w:r w:rsidRPr="00F94964">
        <w:rPr>
          <w:rFonts w:ascii="Arial" w:hAnsi="Arial" w:cs="Arial"/>
          <w:szCs w:val="22"/>
        </w:rPr>
        <w:t>icle</w:t>
      </w:r>
      <w:r w:rsidRPr="00F94964">
        <w:rPr>
          <w:rFonts w:ascii="Arial" w:hAnsi="Arial" w:cs="Arial"/>
          <w:bCs/>
          <w:szCs w:val="22"/>
        </w:rPr>
        <w:t xml:space="preserve"> 1 al. 2, par. 4</w:t>
      </w:r>
      <w:r>
        <w:rPr>
          <w:rFonts w:ascii="Arial" w:hAnsi="Arial" w:cs="Arial"/>
          <w:bCs/>
          <w:szCs w:val="22"/>
        </w:rPr>
        <w:t> </w:t>
      </w:r>
      <w:r w:rsidRPr="00F94964">
        <w:rPr>
          <w:rFonts w:ascii="Arial" w:hAnsi="Arial" w:cs="Arial"/>
          <w:bCs/>
          <w:szCs w:val="22"/>
        </w:rPr>
        <w:t xml:space="preserve">c) </w:t>
      </w:r>
      <w:r w:rsidRPr="00F94964">
        <w:t>porte sur la sécurisation culturelle</w:t>
      </w:r>
      <w:r>
        <w:t>.</w:t>
      </w:r>
      <w:r w:rsidRPr="004D2054">
        <w:t xml:space="preserve"> </w:t>
      </w:r>
      <w:r>
        <w:t>Cette formation</w:t>
      </w:r>
      <w:r w:rsidRPr="004D2054">
        <w:t xml:space="preserve"> </w:t>
      </w:r>
      <w:r>
        <w:t xml:space="preserve">devrait </w:t>
      </w:r>
      <w:r w:rsidRPr="004D2054">
        <w:t>aborde</w:t>
      </w:r>
      <w:r>
        <w:t>r</w:t>
      </w:r>
      <w:r w:rsidRPr="004D2054">
        <w:t xml:space="preserve"> le cadre des </w:t>
      </w:r>
      <w:r>
        <w:t xml:space="preserve">droits et libertés de la </w:t>
      </w:r>
      <w:r w:rsidRPr="004D2054">
        <w:lastRenderedPageBreak/>
        <w:t>personne</w:t>
      </w:r>
      <w:r>
        <w:t>, les droits des peuples autochtones</w:t>
      </w:r>
      <w:r w:rsidRPr="004D2054">
        <w:t xml:space="preserve"> et </w:t>
      </w:r>
      <w:r>
        <w:t>être</w:t>
      </w:r>
      <w:r w:rsidRPr="00F94964">
        <w:t xml:space="preserve"> élaborée en collaboration avec les autorités autochtones. </w:t>
      </w:r>
    </w:p>
    <w:p w14:paraId="313F79DB" w14:textId="77777777" w:rsidR="00910708" w:rsidRDefault="00910708" w:rsidP="00910708">
      <w:pPr>
        <w:pStyle w:val="Texterecommandation"/>
        <w:ind w:left="706"/>
      </w:pPr>
      <w:r w:rsidRPr="00F94964">
        <w:t>De plus, le projet de loi devrait prévoir</w:t>
      </w:r>
      <w:r>
        <w:t xml:space="preserve"> </w:t>
      </w:r>
      <w:r w:rsidRPr="00310EF1">
        <w:t>que cette formation soit continue et soumise à une évaluation formelle des acquis</w:t>
      </w:r>
      <w:r w:rsidRPr="009F617A">
        <w:t>.</w:t>
      </w:r>
      <w:r w:rsidRPr="00F94964">
        <w:t xml:space="preserve"> </w:t>
      </w:r>
    </w:p>
    <w:p w14:paraId="61386F23" w14:textId="1182BE4C" w:rsidR="003B654E" w:rsidRPr="00C84C0A" w:rsidRDefault="00B56431" w:rsidP="0097791A">
      <w:pPr>
        <w:pStyle w:val="Paragraphe"/>
        <w:rPr>
          <w:rFonts w:eastAsia="Calibri"/>
          <w:lang w:val="fr-CA"/>
        </w:rPr>
      </w:pPr>
      <w:r w:rsidRPr="00CE48ED">
        <w:rPr>
          <w:lang w:val="fr-CA"/>
        </w:rPr>
        <w:t>En amont d’une formation en emploi obligatoire, la Commission est d’avis que la formation initiale est un facteur clé du succès de l’adoption d’une approche de sécurisation culturelle en santé et en services sociaux.</w:t>
      </w:r>
      <w:r w:rsidR="004B2379" w:rsidRPr="00CE48ED">
        <w:rPr>
          <w:lang w:val="fr-CA"/>
        </w:rPr>
        <w:t xml:space="preserve"> </w:t>
      </w:r>
      <w:r w:rsidR="004B2379" w:rsidRPr="00C84C0A">
        <w:rPr>
          <w:lang w:val="fr-CA"/>
        </w:rPr>
        <w:t xml:space="preserve">Elle estime ainsi pertinent </w:t>
      </w:r>
      <w:r w:rsidR="000D58AB" w:rsidRPr="00C84C0A">
        <w:rPr>
          <w:lang w:val="fr-CA"/>
        </w:rPr>
        <w:t xml:space="preserve">d’adapter </w:t>
      </w:r>
      <w:r w:rsidR="009D7378" w:rsidRPr="00C84C0A">
        <w:rPr>
          <w:lang w:val="fr-CA"/>
        </w:rPr>
        <w:t>en fonction du</w:t>
      </w:r>
      <w:r w:rsidR="001107D1" w:rsidRPr="00C84C0A">
        <w:rPr>
          <w:lang w:val="fr-CA"/>
        </w:rPr>
        <w:t xml:space="preserve"> contexte actuel </w:t>
      </w:r>
      <w:r w:rsidR="000732E3" w:rsidRPr="00C84C0A">
        <w:rPr>
          <w:lang w:val="fr-CA"/>
        </w:rPr>
        <w:t>l</w:t>
      </w:r>
      <w:r w:rsidR="004B2379" w:rsidRPr="00C84C0A">
        <w:rPr>
          <w:lang w:val="fr-CA"/>
        </w:rPr>
        <w:t xml:space="preserve">es recommandations </w:t>
      </w:r>
      <w:r w:rsidR="00DE739C">
        <w:rPr>
          <w:lang w:val="fr-CA"/>
        </w:rPr>
        <w:t xml:space="preserve">qu’elle a </w:t>
      </w:r>
      <w:r w:rsidR="00034E2F">
        <w:rPr>
          <w:lang w:val="fr-CA"/>
        </w:rPr>
        <w:t>d</w:t>
      </w:r>
      <w:r w:rsidR="00333789">
        <w:rPr>
          <w:lang w:val="fr-CA"/>
        </w:rPr>
        <w:t>éj</w:t>
      </w:r>
      <w:r w:rsidR="009B4845">
        <w:rPr>
          <w:lang w:val="fr-CA"/>
        </w:rPr>
        <w:t>à</w:t>
      </w:r>
      <w:r w:rsidR="004B2379" w:rsidRPr="00C84C0A">
        <w:rPr>
          <w:lang w:val="fr-CA"/>
        </w:rPr>
        <w:t xml:space="preserve"> </w:t>
      </w:r>
      <w:r w:rsidR="00C0754F">
        <w:rPr>
          <w:lang w:val="fr-CA"/>
        </w:rPr>
        <w:t>formulées</w:t>
      </w:r>
      <w:r w:rsidR="004B2379" w:rsidRPr="00C84C0A">
        <w:rPr>
          <w:lang w:val="fr-CA"/>
        </w:rPr>
        <w:t xml:space="preserve"> </w:t>
      </w:r>
      <w:r w:rsidR="00484D4F">
        <w:rPr>
          <w:lang w:val="fr-CA"/>
        </w:rPr>
        <w:t>et qui vont</w:t>
      </w:r>
      <w:r w:rsidR="004B2379" w:rsidRPr="00C84C0A">
        <w:rPr>
          <w:lang w:val="fr-CA"/>
        </w:rPr>
        <w:t xml:space="preserve"> dans le sens de l’intégration des enjeux liés à la discrimination, au racisme et aux rapports sociaux de pouvoirs dans la formation initiale des personnes œuvrant dans les services publics, y compris le RSSS</w:t>
      </w:r>
      <w:r w:rsidR="001107D1" w:rsidRPr="00C84C0A">
        <w:rPr>
          <w:lang w:val="fr-CA"/>
        </w:rPr>
        <w:t>.</w:t>
      </w:r>
    </w:p>
    <w:p w14:paraId="7A7B7F00" w14:textId="363BAC07" w:rsidR="003B654E" w:rsidRDefault="003B654E" w:rsidP="003B654E">
      <w:pPr>
        <w:pStyle w:val="TitreRecommandation"/>
      </w:pPr>
      <w:r>
        <w:t>Recommandation</w:t>
      </w:r>
      <w:r w:rsidR="00936C31">
        <w:rPr>
          <w:rFonts w:hint="eastAsia"/>
        </w:rPr>
        <w:t> </w:t>
      </w:r>
      <w:r>
        <w:t>11</w:t>
      </w:r>
    </w:p>
    <w:p w14:paraId="301B8BD3" w14:textId="2A892EAC" w:rsidR="007C3D33" w:rsidRDefault="007C3D33" w:rsidP="007C3D33">
      <w:pPr>
        <w:pStyle w:val="Texterecommandation"/>
        <w:ind w:left="706"/>
      </w:pPr>
      <w:r w:rsidRPr="00875BC6">
        <w:t xml:space="preserve">La Commission recommande </w:t>
      </w:r>
      <w:r>
        <w:t>au</w:t>
      </w:r>
      <w:r w:rsidRPr="00875BC6">
        <w:t xml:space="preserve"> ministère de l’Enseignement supérieur</w:t>
      </w:r>
      <w:r>
        <w:t xml:space="preserve"> de collaborer avec les autorités des Premières Nations et Inuit et organismes autochtones ainsi qu’avec les facultés universitaires et les cégeps concernés afin que </w:t>
      </w:r>
      <w:r w:rsidRPr="00875BC6">
        <w:t xml:space="preserve">les programmes </w:t>
      </w:r>
      <w:r>
        <w:t>en santé et en services sociaux</w:t>
      </w:r>
      <w:r w:rsidRPr="00875BC6">
        <w:t xml:space="preserve"> comportent une formation antiraciste</w:t>
      </w:r>
      <w:r>
        <w:t xml:space="preserve"> axée sur la sécurisation culturelle et les droits des peuples autochtones, </w:t>
      </w:r>
      <w:r w:rsidRPr="00875BC6">
        <w:t xml:space="preserve">incluant l’éducation aux droits et libertés prévus à la </w:t>
      </w:r>
      <w:r w:rsidRPr="00CF484C">
        <w:rPr>
          <w:i/>
          <w:iCs/>
        </w:rPr>
        <w:t>Charte des droits et libertés de la personne</w:t>
      </w:r>
      <w:r w:rsidRPr="00875BC6">
        <w:t xml:space="preserve">. </w:t>
      </w:r>
    </w:p>
    <w:p w14:paraId="76B2462F" w14:textId="78FCD0B2" w:rsidR="007C3D33" w:rsidRDefault="007C3D33" w:rsidP="007C3D33">
      <w:pPr>
        <w:pStyle w:val="Texterecommandation"/>
        <w:ind w:left="706"/>
      </w:pPr>
      <w:r w:rsidRPr="00875BC6">
        <w:t>Cette formation doit</w:t>
      </w:r>
      <w:r>
        <w:rPr>
          <w:rFonts w:hint="eastAsia"/>
        </w:rPr>
        <w:t> </w:t>
      </w:r>
      <w:r w:rsidRPr="00875BC6">
        <w:t xml:space="preserve">:  </w:t>
      </w:r>
    </w:p>
    <w:p w14:paraId="6087C0F8" w14:textId="77777777" w:rsidR="007C3D33" w:rsidRDefault="007C3D33" w:rsidP="007C3D33">
      <w:pPr>
        <w:pStyle w:val="Texterecommandation"/>
        <w:numPr>
          <w:ilvl w:val="0"/>
          <w:numId w:val="23"/>
        </w:numPr>
        <w:ind w:left="1276"/>
      </w:pPr>
      <w:proofErr w:type="gramStart"/>
      <w:r w:rsidRPr="00875BC6">
        <w:t>aborder</w:t>
      </w:r>
      <w:proofErr w:type="gramEnd"/>
      <w:r w:rsidRPr="00875BC6">
        <w:t xml:space="preserve"> le racisme, la discrimination et le profilage racial dans leur contexte sociohistorique et sous leur aspect systémique et intersectionnel</w:t>
      </w:r>
      <w:r>
        <w:t> </w:t>
      </w:r>
      <w:r w:rsidRPr="00875BC6">
        <w:t>;</w:t>
      </w:r>
    </w:p>
    <w:p w14:paraId="5302D2C5" w14:textId="3C65D83E" w:rsidR="007C3D33" w:rsidRPr="007C3D33" w:rsidRDefault="007C3D33" w:rsidP="007C3D33">
      <w:pPr>
        <w:pStyle w:val="Texterecommandation"/>
        <w:numPr>
          <w:ilvl w:val="0"/>
          <w:numId w:val="23"/>
        </w:numPr>
        <w:ind w:left="1276"/>
      </w:pPr>
      <w:proofErr w:type="gramStart"/>
      <w:r w:rsidRPr="007C3D33">
        <w:t>aborder</w:t>
      </w:r>
      <w:proofErr w:type="gramEnd"/>
      <w:r w:rsidRPr="007C3D33">
        <w:t xml:space="preserve"> le Principe de Joyce</w:t>
      </w:r>
      <w:r w:rsidR="00E00B80">
        <w:t> </w:t>
      </w:r>
      <w:r w:rsidRPr="007C3D33">
        <w:t xml:space="preserve">;  </w:t>
      </w:r>
    </w:p>
    <w:p w14:paraId="2E5C9FE4" w14:textId="77777777" w:rsidR="007C3D33" w:rsidRDefault="007C3D33" w:rsidP="007C3D33">
      <w:pPr>
        <w:pStyle w:val="Texterecommandation"/>
        <w:numPr>
          <w:ilvl w:val="0"/>
          <w:numId w:val="23"/>
        </w:numPr>
        <w:ind w:left="1276"/>
      </w:pPr>
      <w:proofErr w:type="gramStart"/>
      <w:r w:rsidRPr="00875BC6">
        <w:rPr>
          <w:rFonts w:ascii="Arial" w:hAnsi="Arial" w:cs="Arial"/>
        </w:rPr>
        <w:t>ê</w:t>
      </w:r>
      <w:r w:rsidRPr="00875BC6">
        <w:t>tre</w:t>
      </w:r>
      <w:proofErr w:type="gramEnd"/>
      <w:r w:rsidRPr="00875BC6">
        <w:t xml:space="preserve"> obligatoire et syst</w:t>
      </w:r>
      <w:r w:rsidRPr="00875BC6">
        <w:rPr>
          <w:rFonts w:ascii="Arial" w:hAnsi="Arial" w:cs="Arial"/>
        </w:rPr>
        <w:t>é</w:t>
      </w:r>
      <w:r w:rsidRPr="00875BC6">
        <w:t>matiquement assortie d</w:t>
      </w:r>
      <w:r w:rsidRPr="00875BC6">
        <w:rPr>
          <w:rFonts w:ascii="Arial" w:hAnsi="Arial" w:cs="Arial"/>
        </w:rPr>
        <w:t>’</w:t>
      </w:r>
      <w:r w:rsidRPr="00875BC6">
        <w:t xml:space="preserve">une </w:t>
      </w:r>
      <w:r w:rsidRPr="00875BC6">
        <w:rPr>
          <w:rFonts w:ascii="Arial" w:hAnsi="Arial" w:cs="Arial"/>
        </w:rPr>
        <w:t>é</w:t>
      </w:r>
      <w:r w:rsidRPr="00875BC6">
        <w:t>valuation formelle des acquis</w:t>
      </w:r>
      <w:r>
        <w:t> </w:t>
      </w:r>
      <w:r w:rsidRPr="00875BC6">
        <w:t>;</w:t>
      </w:r>
    </w:p>
    <w:p w14:paraId="07D222A8" w14:textId="08CCBBC5" w:rsidR="00A34B9F" w:rsidRPr="00C84C0A" w:rsidRDefault="00C76D7D" w:rsidP="0097791A">
      <w:pPr>
        <w:pStyle w:val="Paragraphe"/>
        <w:rPr>
          <w:lang w:val="fr-CA"/>
        </w:rPr>
      </w:pPr>
      <w:r w:rsidRPr="00484D4F">
        <w:rPr>
          <w:rFonts w:cs="Arial"/>
          <w:lang w:val="fr-CA"/>
        </w:rPr>
        <w:t xml:space="preserve">De </w:t>
      </w:r>
      <w:r>
        <w:rPr>
          <w:rFonts w:cs="Arial"/>
          <w:lang w:val="fr-CA"/>
        </w:rPr>
        <w:t xml:space="preserve">plus, la formation </w:t>
      </w:r>
      <w:r w:rsidR="00B32D3C">
        <w:rPr>
          <w:rFonts w:cs="Arial"/>
          <w:lang w:val="fr-CA"/>
        </w:rPr>
        <w:t>devrait</w:t>
      </w:r>
      <w:r>
        <w:rPr>
          <w:rFonts w:cs="Arial"/>
          <w:lang w:val="fr-CA"/>
        </w:rPr>
        <w:t xml:space="preserve"> </w:t>
      </w:r>
      <w:r w:rsidR="007C3D33" w:rsidRPr="00484D4F">
        <w:rPr>
          <w:rFonts w:cs="Arial"/>
          <w:lang w:val="fr-CA"/>
        </w:rPr>
        <w:t>ê</w:t>
      </w:r>
      <w:r w:rsidR="007C3D33" w:rsidRPr="00484D4F">
        <w:rPr>
          <w:lang w:val="fr-CA"/>
        </w:rPr>
        <w:t>tre revue r</w:t>
      </w:r>
      <w:r w:rsidR="007C3D33" w:rsidRPr="00484D4F">
        <w:rPr>
          <w:rFonts w:cs="Arial"/>
          <w:lang w:val="fr-CA"/>
        </w:rPr>
        <w:t>é</w:t>
      </w:r>
      <w:r w:rsidR="007C3D33" w:rsidRPr="00484D4F">
        <w:rPr>
          <w:lang w:val="fr-CA"/>
        </w:rPr>
        <w:t>guli</w:t>
      </w:r>
      <w:r w:rsidR="007C3D33" w:rsidRPr="00484D4F">
        <w:rPr>
          <w:rFonts w:cs="Arial"/>
          <w:lang w:val="fr-CA"/>
        </w:rPr>
        <w:t>è</w:t>
      </w:r>
      <w:r w:rsidR="007C3D33" w:rsidRPr="00484D4F">
        <w:rPr>
          <w:lang w:val="fr-CA"/>
        </w:rPr>
        <w:t>rement afin que ses contenus tiennent compte du contexte et de l</w:t>
      </w:r>
      <w:r w:rsidR="007C3D33" w:rsidRPr="00484D4F">
        <w:rPr>
          <w:rFonts w:cs="Arial"/>
          <w:lang w:val="fr-CA"/>
        </w:rPr>
        <w:t>’é</w:t>
      </w:r>
      <w:r w:rsidR="007C3D33" w:rsidRPr="00484D4F">
        <w:rPr>
          <w:lang w:val="fr-CA"/>
        </w:rPr>
        <w:t xml:space="preserve">volution du racisme, de la discrimination et du profilage racial. </w:t>
      </w:r>
      <w:r w:rsidR="00195A56" w:rsidRPr="00CE48ED">
        <w:rPr>
          <w:lang w:val="fr-CA"/>
        </w:rPr>
        <w:t>Le</w:t>
      </w:r>
      <w:r w:rsidR="00503763" w:rsidRPr="00CE48ED">
        <w:rPr>
          <w:lang w:val="fr-CA"/>
        </w:rPr>
        <w:t xml:space="preserve"> projet de loi prévoit que tout établissement doit, sur une base annuelle, informer le ministre des</w:t>
      </w:r>
      <w:r w:rsidR="00195A56" w:rsidRPr="00CE48ED">
        <w:rPr>
          <w:lang w:val="fr-CA"/>
        </w:rPr>
        <w:t xml:space="preserve"> </w:t>
      </w:r>
      <w:proofErr w:type="gramStart"/>
      <w:r w:rsidR="00503763" w:rsidRPr="00CE48ED">
        <w:rPr>
          <w:lang w:val="fr-CA"/>
        </w:rPr>
        <w:t>pratiques</w:t>
      </w:r>
      <w:proofErr w:type="gramEnd"/>
      <w:r w:rsidR="00503763" w:rsidRPr="00CE48ED">
        <w:rPr>
          <w:lang w:val="fr-CA"/>
        </w:rPr>
        <w:t xml:space="preserve"> sécurisantes mises en œuvre en matière de sécurisation culturelle. </w:t>
      </w:r>
      <w:r w:rsidR="00195A56" w:rsidRPr="00C84C0A">
        <w:rPr>
          <w:lang w:val="fr-CA"/>
        </w:rPr>
        <w:t xml:space="preserve">Il </w:t>
      </w:r>
      <w:r w:rsidR="00503763" w:rsidRPr="00C84C0A">
        <w:rPr>
          <w:lang w:val="fr-CA"/>
        </w:rPr>
        <w:t>ne prévoit cependant pas de mécanismes pour évaluer la pertinence et l’efficacité de ces pratiques.</w:t>
      </w:r>
      <w:r w:rsidR="00A34B9F" w:rsidRPr="00C84C0A">
        <w:rPr>
          <w:lang w:val="fr-CA"/>
        </w:rPr>
        <w:t xml:space="preserve"> </w:t>
      </w:r>
      <w:r w:rsidR="00DB7130" w:rsidRPr="00C84C0A">
        <w:rPr>
          <w:lang w:val="fr-CA"/>
        </w:rPr>
        <w:t xml:space="preserve">La </w:t>
      </w:r>
      <w:r w:rsidR="00A34B9F" w:rsidRPr="00C84C0A">
        <w:rPr>
          <w:lang w:val="fr-CA"/>
        </w:rPr>
        <w:t xml:space="preserve">Commission est </w:t>
      </w:r>
      <w:r w:rsidR="00634EE3" w:rsidRPr="00C84C0A">
        <w:rPr>
          <w:lang w:val="fr-CA"/>
        </w:rPr>
        <w:t xml:space="preserve">ainsi </w:t>
      </w:r>
      <w:r w:rsidR="00A34B9F" w:rsidRPr="00C84C0A">
        <w:rPr>
          <w:lang w:val="fr-CA"/>
        </w:rPr>
        <w:t xml:space="preserve">d’avis que l’obligation pour les établissements visés d’adopter une approche de sécurisation culturelle devrait être assortie d’une obligation de mesurer la qualité des services et le sentiment de sécurité des usagers autochtones dans leurs relations avec les services de santé et les services sociaux. Les modalités d’une telle évaluation devraient être convenues en collaboration avec les autorités des Premières Nations et </w:t>
      </w:r>
      <w:proofErr w:type="gramStart"/>
      <w:r w:rsidR="00A34B9F" w:rsidRPr="00C84C0A">
        <w:rPr>
          <w:lang w:val="fr-CA"/>
        </w:rPr>
        <w:t>des Inuit</w:t>
      </w:r>
      <w:proofErr w:type="gramEnd"/>
      <w:r w:rsidR="00A34B9F" w:rsidRPr="00C84C0A">
        <w:rPr>
          <w:lang w:val="fr-CA"/>
        </w:rPr>
        <w:t>.</w:t>
      </w:r>
    </w:p>
    <w:p w14:paraId="449BCBC3" w14:textId="75F13D78" w:rsidR="006B3A01" w:rsidRDefault="006B3A01" w:rsidP="006B3A01">
      <w:pPr>
        <w:pStyle w:val="TitreRecommandation"/>
      </w:pPr>
      <w:r>
        <w:lastRenderedPageBreak/>
        <w:t>Recommandation</w:t>
      </w:r>
      <w:r w:rsidR="00936C31">
        <w:rPr>
          <w:rFonts w:hint="eastAsia"/>
        </w:rPr>
        <w:t> </w:t>
      </w:r>
      <w:r>
        <w:t>12</w:t>
      </w:r>
    </w:p>
    <w:p w14:paraId="247D97A2" w14:textId="77777777" w:rsidR="006A5F74" w:rsidRDefault="006A5F74" w:rsidP="006A5F74">
      <w:pPr>
        <w:pStyle w:val="Texterecommandation"/>
        <w:ind w:left="706"/>
      </w:pPr>
      <w:r w:rsidRPr="003F747A">
        <w:t xml:space="preserve">La Commission recommande de modifier le projet de loi pour prévoir des mécanismes d’évaluation </w:t>
      </w:r>
      <w:r w:rsidRPr="005D6B6C">
        <w:t>du caractère culturellement sécuritaire des services de santé et des services sociaux offerts aux personnes autochtones,</w:t>
      </w:r>
      <w:r w:rsidRPr="003F747A">
        <w:t xml:space="preserve"> notamment par le biais d’une collecte de données désagrégées selon l’identité autochtone, et ce, dans le respect des protocoles de recherche et de la gouvernance autochtone sur les données. </w:t>
      </w:r>
    </w:p>
    <w:p w14:paraId="012ED8B4" w14:textId="77777777" w:rsidR="006A5F74" w:rsidRPr="006414F8" w:rsidRDefault="006A5F74" w:rsidP="006A5F74">
      <w:pPr>
        <w:pStyle w:val="Texterecommandation"/>
        <w:ind w:left="706"/>
      </w:pPr>
      <w:r w:rsidRPr="003F747A">
        <w:t>Ces mécanismes devraient être conçus et mis en œuvre en collaboration avec les autorités des Premières Nations et Inuit.</w:t>
      </w:r>
      <w:r>
        <w:t xml:space="preserve"> </w:t>
      </w:r>
      <w:r w:rsidRPr="004D2054">
        <w:t>Toute collecte de donnée</w:t>
      </w:r>
      <w:r>
        <w:t>s</w:t>
      </w:r>
      <w:r w:rsidRPr="004D2054">
        <w:t xml:space="preserve"> sur l’identité autochtone devrait avoir pour objectif explicite d’assurer le droit à l’égalité et de lutter contre la discrimination. La collecte et l’utilisation des données devraient être faites dans le respect des droits et libertés protégés par la Charte, dont le droit au respect de sa vie privée.</w:t>
      </w:r>
    </w:p>
    <w:p w14:paraId="4DFF33EB" w14:textId="17275B3C" w:rsidR="00022763" w:rsidRDefault="00022763" w:rsidP="0097791A">
      <w:pPr>
        <w:pStyle w:val="Paragraphe"/>
        <w:rPr>
          <w:lang w:val="fr-CA"/>
        </w:rPr>
      </w:pPr>
      <w:r w:rsidRPr="00CE48ED">
        <w:rPr>
          <w:lang w:val="fr-CA"/>
        </w:rPr>
        <w:t xml:space="preserve">En terminant, mentionnons que la Commission réserve son analyse quant à la conformité </w:t>
      </w:r>
      <w:r w:rsidR="00B60562" w:rsidRPr="00CE48ED">
        <w:rPr>
          <w:lang w:val="fr-CA"/>
        </w:rPr>
        <w:t xml:space="preserve">aux droits de la </w:t>
      </w:r>
      <w:proofErr w:type="spellStart"/>
      <w:r w:rsidR="00C91EA5" w:rsidRPr="00CE48ED">
        <w:rPr>
          <w:lang w:val="fr-CA"/>
        </w:rPr>
        <w:t>L</w:t>
      </w:r>
      <w:r w:rsidR="00C91EA5">
        <w:rPr>
          <w:lang w:val="fr-CA"/>
        </w:rPr>
        <w:t>.p.j</w:t>
      </w:r>
      <w:proofErr w:type="spellEnd"/>
      <w:r w:rsidR="00C91EA5">
        <w:rPr>
          <w:lang w:val="fr-CA"/>
        </w:rPr>
        <w:t xml:space="preserve">. </w:t>
      </w:r>
      <w:r w:rsidR="00B60562" w:rsidRPr="00CE48ED">
        <w:rPr>
          <w:lang w:val="fr-CA"/>
        </w:rPr>
        <w:t xml:space="preserve">et la Charte </w:t>
      </w:r>
      <w:r w:rsidRPr="00CE48ED">
        <w:rPr>
          <w:lang w:val="fr-CA"/>
        </w:rPr>
        <w:t>des conditions et modalités d’exercice de certaines activités réservées</w:t>
      </w:r>
      <w:r w:rsidR="008B17ED" w:rsidRPr="00CE48ED">
        <w:rPr>
          <w:lang w:val="fr-CA"/>
        </w:rPr>
        <w:t xml:space="preserve"> </w:t>
      </w:r>
      <w:r w:rsidRPr="00CE48ED">
        <w:rPr>
          <w:lang w:val="fr-CA"/>
        </w:rPr>
        <w:t xml:space="preserve">par les personnes autochtones, </w:t>
      </w:r>
      <w:r w:rsidR="00DC2EE8" w:rsidRPr="00CE48ED">
        <w:rPr>
          <w:lang w:val="fr-CA"/>
        </w:rPr>
        <w:t xml:space="preserve">qui seraient prévues </w:t>
      </w:r>
      <w:r w:rsidR="00433A53" w:rsidRPr="00CE48ED">
        <w:rPr>
          <w:lang w:val="fr-CA"/>
        </w:rPr>
        <w:t>dans un</w:t>
      </w:r>
      <w:r w:rsidR="00DC2EE8" w:rsidRPr="00CE48ED">
        <w:rPr>
          <w:lang w:val="fr-CA"/>
        </w:rPr>
        <w:t xml:space="preserve"> règlement </w:t>
      </w:r>
      <w:r w:rsidR="00DA730A" w:rsidRPr="00CE48ED">
        <w:rPr>
          <w:lang w:val="fr-CA"/>
        </w:rPr>
        <w:t xml:space="preserve">découlant du </w:t>
      </w:r>
      <w:r w:rsidR="00DA730A" w:rsidRPr="00CE48ED">
        <w:rPr>
          <w:i/>
          <w:iCs/>
          <w:lang w:val="fr-CA"/>
        </w:rPr>
        <w:t>Code des professions</w:t>
      </w:r>
      <w:r w:rsidR="00397C6D" w:rsidRPr="00CE48ED">
        <w:rPr>
          <w:lang w:val="fr-CA"/>
        </w:rPr>
        <w:t>,</w:t>
      </w:r>
      <w:r w:rsidR="00DA730A" w:rsidRPr="00CE48ED">
        <w:rPr>
          <w:lang w:val="fr-CA"/>
        </w:rPr>
        <w:t xml:space="preserve"> </w:t>
      </w:r>
      <w:r w:rsidRPr="00CE48ED">
        <w:rPr>
          <w:lang w:val="fr-CA"/>
        </w:rPr>
        <w:t>une fois q</w:t>
      </w:r>
      <w:r w:rsidR="00397C6D" w:rsidRPr="00CE48ED">
        <w:rPr>
          <w:lang w:val="fr-CA"/>
        </w:rPr>
        <w:t xml:space="preserve">ue celui-ci </w:t>
      </w:r>
      <w:r w:rsidRPr="00CE48ED">
        <w:rPr>
          <w:lang w:val="fr-CA"/>
        </w:rPr>
        <w:t>ser</w:t>
      </w:r>
      <w:r w:rsidR="00A41B8C" w:rsidRPr="00CE48ED">
        <w:rPr>
          <w:lang w:val="fr-CA"/>
        </w:rPr>
        <w:t>a publié</w:t>
      </w:r>
      <w:r w:rsidRPr="00CE48ED">
        <w:rPr>
          <w:lang w:val="fr-CA"/>
        </w:rPr>
        <w:t xml:space="preserve">. </w:t>
      </w:r>
      <w:r w:rsidRPr="00C84C0A">
        <w:rPr>
          <w:lang w:val="fr-CA"/>
        </w:rPr>
        <w:t>Elle souhaite néanmoins à cette étape inviter le gouvernement à orienter sa réflexion sur l’importance de préserver l’équilibre entre la prestation de services de santé et des services sociaux de qualité et culturellement sécuritaires, dans le respect des droits de l’enfant et de ceux de leur famille, et les besoins à combler en termes de ressources humaines dans les communautés autochtones pour poser certains actes réservés.</w:t>
      </w:r>
    </w:p>
    <w:p w14:paraId="1312C3C0" w14:textId="77777777" w:rsidR="000348DB" w:rsidRDefault="000348DB" w:rsidP="000348DB">
      <w:pPr>
        <w:pStyle w:val="TitreRecommandation"/>
      </w:pPr>
      <w:r>
        <w:t>Recommandation 13</w:t>
      </w:r>
    </w:p>
    <w:p w14:paraId="4121DCEB" w14:textId="77777777" w:rsidR="001465D0" w:rsidRDefault="001465D0" w:rsidP="001465D0">
      <w:pPr>
        <w:pStyle w:val="Texterecommandation"/>
        <w:ind w:left="709"/>
      </w:pPr>
      <w:r w:rsidRPr="004D2552">
        <w:t>La Commission recommande au gouvernement de s’assurer</w:t>
      </w:r>
      <w:r>
        <w:t>,</w:t>
      </w:r>
      <w:r w:rsidRPr="004D2552">
        <w:t xml:space="preserve"> lors de la détermination des conditions et </w:t>
      </w:r>
      <w:r>
        <w:t>s</w:t>
      </w:r>
      <w:r w:rsidRPr="004D2552">
        <w:t xml:space="preserve">es modalités suivant lesquelles des </w:t>
      </w:r>
      <w:r>
        <w:t xml:space="preserve">personnes </w:t>
      </w:r>
      <w:r w:rsidRPr="004D2552">
        <w:t>autochtones pourraient exercer les activités professionnelles réservées</w:t>
      </w:r>
      <w:r>
        <w:t>,</w:t>
      </w:r>
      <w:r w:rsidRPr="004D2552">
        <w:t xml:space="preserve"> de préserver l’équilibre entre</w:t>
      </w:r>
      <w:r>
        <w:t>, d’une part,</w:t>
      </w:r>
      <w:r w:rsidRPr="004D2552">
        <w:t xml:space="preserve"> la prestation de services de santé et de services sociaux de qualité et culturellement sécuritaires, dans le respect des droits de l’enfant et de ceux de leur famille, et</w:t>
      </w:r>
      <w:r>
        <w:t>, d’autre part,</w:t>
      </w:r>
      <w:r w:rsidRPr="004D2552">
        <w:t xml:space="preserve"> les besoins à combler en termes de ressources humaines dans les communautés autochtones.</w:t>
      </w:r>
    </w:p>
    <w:p w14:paraId="6845E287" w14:textId="40A0D2C7" w:rsidR="001465D0" w:rsidRPr="00C2770C" w:rsidRDefault="001465D0" w:rsidP="00C2770C">
      <w:pPr>
        <w:pStyle w:val="Paragraphe"/>
        <w:rPr>
          <w:lang w:val="fr-CA"/>
        </w:rPr>
      </w:pPr>
    </w:p>
    <w:p w14:paraId="482E9119" w14:textId="77777777" w:rsidR="000348DB" w:rsidRPr="000348DB" w:rsidRDefault="000348DB" w:rsidP="000348DB">
      <w:pPr>
        <w:pStyle w:val="Corpsdetexte"/>
        <w:rPr>
          <w:rFonts w:eastAsia="Calibri"/>
        </w:rPr>
      </w:pPr>
    </w:p>
    <w:sectPr w:rsidR="000348DB" w:rsidRPr="000348DB" w:rsidSect="00163F5E">
      <w:headerReference w:type="even" r:id="rId23"/>
      <w:footerReference w:type="even" r:id="rId24"/>
      <w:footerReference w:type="first" r:id="rId25"/>
      <w:type w:val="oddPage"/>
      <w:pgSz w:w="12240" w:h="15840" w:code="1"/>
      <w:pgMar w:top="1872"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D658" w14:textId="77777777" w:rsidR="00C64048" w:rsidRDefault="00C64048">
      <w:r>
        <w:separator/>
      </w:r>
    </w:p>
  </w:endnote>
  <w:endnote w:type="continuationSeparator" w:id="0">
    <w:p w14:paraId="3B6559CC" w14:textId="77777777" w:rsidR="00C64048" w:rsidRDefault="00C64048">
      <w:r>
        <w:continuationSeparator/>
      </w:r>
    </w:p>
  </w:endnote>
  <w:endnote w:type="continuationNotice" w:id="1">
    <w:p w14:paraId="4757C500" w14:textId="77777777" w:rsidR="00C64048" w:rsidRDefault="00C640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DIDLY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EDF8" w14:textId="782EC5EC" w:rsidR="00631A1F" w:rsidRPr="0054701E" w:rsidRDefault="00631A1F" w:rsidP="003F117D">
    <w:pPr>
      <w:pBdr>
        <w:top w:val="dotted" w:sz="4" w:space="1" w:color="auto"/>
      </w:pBdr>
      <w:rPr>
        <w:i/>
        <w:iCs/>
        <w:sz w:val="18"/>
        <w:szCs w:val="18"/>
      </w:rPr>
    </w:pPr>
    <w:r w:rsidRPr="0054701E">
      <w:rPr>
        <w:i/>
        <w:iCs/>
        <w:sz w:val="18"/>
        <w:szCs w:val="18"/>
      </w:rPr>
      <w:t xml:space="preserve">Page </w:t>
    </w:r>
    <w:sdt>
      <w:sdtPr>
        <w:rPr>
          <w:i/>
          <w:iCs/>
          <w:sz w:val="18"/>
          <w:szCs w:val="18"/>
        </w:rPr>
        <w:id w:val="365724431"/>
        <w:docPartObj>
          <w:docPartGallery w:val="Page Numbers (Bottom of Page)"/>
          <w:docPartUnique/>
        </w:docPartObj>
      </w:sdt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AB4833">
          <w:rPr>
            <w:i/>
            <w:sz w:val="18"/>
            <w:szCs w:val="18"/>
          </w:rPr>
          <w:t>2</w:t>
        </w:r>
        <w:r w:rsidRPr="0054701E">
          <w:rPr>
            <w:i/>
            <w:i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321A" w14:textId="75861D71"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sdt>
      <w:sdtPr>
        <w:rPr>
          <w:i/>
          <w:iCs/>
          <w:sz w:val="18"/>
          <w:szCs w:val="18"/>
        </w:rPr>
        <w:id w:val="-1780561256"/>
        <w:docPartObj>
          <w:docPartGallery w:val="Page Numbers (Bottom of Page)"/>
          <w:docPartUnique/>
        </w:docPartObj>
      </w:sdt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sidRPr="00AB4833">
          <w:rPr>
            <w:i/>
            <w:sz w:val="18"/>
            <w:szCs w:val="18"/>
          </w:rPr>
          <w:t>2</w:t>
        </w:r>
        <w:r w:rsidRPr="0054701E">
          <w:rPr>
            <w:i/>
            <w:i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95EA" w14:textId="13269C63" w:rsidR="00631A1F" w:rsidRDefault="00631A1F" w:rsidP="00DD54DC">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8DE" w14:textId="7B104947" w:rsidR="00163F5E" w:rsidRDefault="00163F5E" w:rsidP="00DD54DC">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A08" w14:textId="658F1063" w:rsidR="00606A1E" w:rsidRPr="0054701E" w:rsidRDefault="00606A1E" w:rsidP="003F117D">
    <w:pPr>
      <w:pBdr>
        <w:top w:val="dotted" w:sz="4" w:space="1" w:color="auto"/>
      </w:pBdr>
      <w:rPr>
        <w:i/>
        <w:iCs/>
        <w:sz w:val="18"/>
        <w:szCs w:val="18"/>
      </w:rPr>
    </w:pPr>
    <w:r w:rsidRPr="0054701E">
      <w:rPr>
        <w:i/>
        <w:iCs/>
        <w:sz w:val="18"/>
        <w:szCs w:val="18"/>
      </w:rPr>
      <w:t xml:space="preserve">Page </w:t>
    </w:r>
    <w:sdt>
      <w:sdtPr>
        <w:rPr>
          <w:i/>
          <w:iCs/>
          <w:sz w:val="18"/>
          <w:szCs w:val="18"/>
        </w:rPr>
        <w:id w:val="315996378"/>
        <w:docPartObj>
          <w:docPartGallery w:val="Page Numbers (Bottom of Page)"/>
          <w:docPartUnique/>
        </w:docPartObj>
      </w:sdtPr>
      <w:sdtContent>
        <w:r>
          <w:rPr>
            <w:i/>
            <w:iCs/>
            <w:sz w:val="18"/>
            <w:szCs w:val="18"/>
          </w:rPr>
          <w:fldChar w:fldCharType="begin"/>
        </w:r>
        <w:r>
          <w:rPr>
            <w:i/>
            <w:iCs/>
            <w:sz w:val="18"/>
            <w:szCs w:val="18"/>
          </w:rPr>
          <w:instrText xml:space="preserve"> PAGE  \* roman  \* MERGEFORMAT </w:instrText>
        </w:r>
        <w:r>
          <w:rPr>
            <w:i/>
            <w:iCs/>
            <w:sz w:val="18"/>
            <w:szCs w:val="18"/>
          </w:rPr>
          <w:fldChar w:fldCharType="separate"/>
        </w:r>
        <w:r w:rsidRPr="00AB4833">
          <w:rPr>
            <w:i/>
            <w:sz w:val="18"/>
            <w:szCs w:val="18"/>
          </w:rPr>
          <w:t>i</w:t>
        </w:r>
        <w:r>
          <w:rPr>
            <w:i/>
            <w:iCs/>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19DD" w14:textId="0C119FB4"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roman  \* MERGEFORMAT </w:instrText>
    </w:r>
    <w:r>
      <w:rPr>
        <w:i/>
        <w:iCs/>
        <w:sz w:val="18"/>
        <w:szCs w:val="18"/>
      </w:rPr>
      <w:fldChar w:fldCharType="separate"/>
    </w:r>
    <w:r w:rsidRPr="00AB4833">
      <w:rPr>
        <w:i/>
        <w:sz w:val="18"/>
        <w:szCs w:val="18"/>
      </w:rPr>
      <w:t>i</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7ACA" w14:textId="6CB38D8E" w:rsidR="00163F5E" w:rsidRPr="00163F5E" w:rsidRDefault="00163F5E" w:rsidP="00163F5E">
    <w:pPr>
      <w:pBdr>
        <w:top w:val="dotted" w:sz="4" w:space="1" w:color="auto"/>
      </w:pBdr>
      <w:rPr>
        <w:i/>
        <w:iCs/>
        <w:sz w:val="18"/>
        <w:szCs w:val="18"/>
      </w:rPr>
    </w:pPr>
    <w:r w:rsidRPr="00163F5E">
      <w:rPr>
        <w:i/>
        <w:iCs/>
        <w:sz w:val="18"/>
        <w:szCs w:val="18"/>
      </w:rPr>
      <w:t xml:space="preserve">Page </w:t>
    </w:r>
    <w:sdt>
      <w:sdtPr>
        <w:rPr>
          <w:i/>
          <w:iCs/>
          <w:sz w:val="18"/>
          <w:szCs w:val="18"/>
        </w:rPr>
        <w:id w:val="1810671062"/>
        <w:docPartObj>
          <w:docPartGallery w:val="Page Numbers (Bottom of Page)"/>
          <w:docPartUnique/>
        </w:docPartObj>
      </w:sdtPr>
      <w:sdtContent>
        <w:r w:rsidRPr="00163F5E">
          <w:rPr>
            <w:i/>
            <w:iCs/>
            <w:sz w:val="18"/>
            <w:szCs w:val="18"/>
          </w:rPr>
          <w:fldChar w:fldCharType="begin"/>
        </w:r>
        <w:r w:rsidRPr="00163F5E">
          <w:rPr>
            <w:i/>
            <w:iCs/>
            <w:sz w:val="18"/>
            <w:szCs w:val="18"/>
          </w:rPr>
          <w:instrText>PAGE   \* MERGEFORMAT</w:instrText>
        </w:r>
        <w:r w:rsidRPr="00163F5E">
          <w:rPr>
            <w:i/>
            <w:iCs/>
            <w:sz w:val="18"/>
            <w:szCs w:val="18"/>
          </w:rPr>
          <w:fldChar w:fldCharType="separate"/>
        </w:r>
        <w:r w:rsidRPr="00AB4833">
          <w:rPr>
            <w:i/>
            <w:sz w:val="18"/>
            <w:szCs w:val="18"/>
          </w:rPr>
          <w:t>2</w:t>
        </w:r>
        <w:r w:rsidRPr="00163F5E">
          <w:rPr>
            <w:i/>
            <w:iCs/>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FB27" w14:textId="1939B5A6" w:rsidR="00631A1F" w:rsidRPr="0054701E" w:rsidRDefault="00631A1F" w:rsidP="003F117D">
    <w:pPr>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Arabic  \* MERGEFORMAT </w:instrText>
    </w:r>
    <w:r>
      <w:rPr>
        <w:i/>
        <w:iCs/>
        <w:sz w:val="18"/>
        <w:szCs w:val="18"/>
      </w:rPr>
      <w:fldChar w:fldCharType="separate"/>
    </w:r>
    <w:r w:rsidRPr="00AB4833">
      <w:rPr>
        <w:i/>
        <w:sz w:val="18"/>
        <w:szCs w:val="18"/>
      </w:rPr>
      <w:t>1</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4ACB" w14:textId="77777777" w:rsidR="00C64048" w:rsidRDefault="00C64048">
      <w:r>
        <w:separator/>
      </w:r>
    </w:p>
  </w:footnote>
  <w:footnote w:type="continuationSeparator" w:id="0">
    <w:p w14:paraId="311C2B95" w14:textId="77777777" w:rsidR="00C64048" w:rsidRPr="00063DB0" w:rsidRDefault="00C64048" w:rsidP="00063DB0">
      <w:r>
        <w:separator/>
      </w:r>
    </w:p>
  </w:footnote>
  <w:footnote w:type="continuationNotice" w:id="1">
    <w:p w14:paraId="1E4AC5DD" w14:textId="77777777" w:rsidR="00C64048" w:rsidRPr="00A031D3" w:rsidRDefault="00C64048" w:rsidP="00A031D3">
      <w:pPr>
        <w:rPr>
          <w:sz w:val="8"/>
          <w:szCs w:val="8"/>
        </w:rPr>
      </w:pPr>
    </w:p>
  </w:footnote>
  <w:footnote w:id="2">
    <w:p w14:paraId="7AC8DE11" w14:textId="77777777" w:rsidR="00F35D7D" w:rsidRPr="00126E04" w:rsidRDefault="00F35D7D" w:rsidP="00202CC7">
      <w:pPr>
        <w:pStyle w:val="notebasde"/>
        <w:jc w:val="left"/>
      </w:pPr>
      <w:r w:rsidRPr="00126E04">
        <w:rPr>
          <w:rStyle w:val="Appelnotedebasdep"/>
        </w:rPr>
        <w:footnoteRef/>
      </w:r>
      <w:r w:rsidRPr="00126E04">
        <w:t xml:space="preserve"> </w:t>
      </w:r>
      <w:r w:rsidRPr="00126E04">
        <w:tab/>
        <w:t>Ci-après « Commission ».</w:t>
      </w:r>
    </w:p>
  </w:footnote>
  <w:footnote w:id="3">
    <w:p w14:paraId="06FC1FA6" w14:textId="5B84EA2E" w:rsidR="00F35D7D" w:rsidRPr="00126E04" w:rsidRDefault="00F35D7D" w:rsidP="00202CC7">
      <w:pPr>
        <w:pStyle w:val="notebasde"/>
        <w:jc w:val="left"/>
      </w:pPr>
      <w:r w:rsidRPr="00126E04">
        <w:rPr>
          <w:rStyle w:val="Appelnotedebasdep"/>
        </w:rPr>
        <w:footnoteRef/>
      </w:r>
      <w:r w:rsidRPr="00126E04">
        <w:t xml:space="preserve"> </w:t>
      </w:r>
      <w:r w:rsidRPr="00126E04">
        <w:tab/>
      </w:r>
      <w:r w:rsidRPr="00AE11B1">
        <w:rPr>
          <w:i/>
          <w:iCs/>
        </w:rPr>
        <w:t>Charte des droits et libertés de la personne</w:t>
      </w:r>
      <w:r w:rsidRPr="00126E04">
        <w:t>, RLRQ, c. C</w:t>
      </w:r>
      <w:r w:rsidR="00D7530E" w:rsidRPr="00126E04">
        <w:t> </w:t>
      </w:r>
      <w:r w:rsidRPr="00126E04">
        <w:t>-12 (ci-après « Charte »).</w:t>
      </w:r>
    </w:p>
  </w:footnote>
  <w:footnote w:id="4">
    <w:p w14:paraId="1156E552" w14:textId="13E80479" w:rsidR="00F35D7D" w:rsidRPr="00126E04" w:rsidRDefault="00F35D7D" w:rsidP="00202CC7">
      <w:pPr>
        <w:pStyle w:val="notebasde"/>
        <w:jc w:val="left"/>
      </w:pPr>
      <w:r w:rsidRPr="00126E04">
        <w:rPr>
          <w:rStyle w:val="Appelnotedebasdep"/>
        </w:rPr>
        <w:footnoteRef/>
      </w:r>
      <w:r w:rsidRPr="00126E04">
        <w:t xml:space="preserve"> </w:t>
      </w:r>
      <w:r w:rsidRPr="00126E04">
        <w:tab/>
      </w:r>
      <w:r w:rsidRPr="00126E04">
        <w:rPr>
          <w:i/>
          <w:iCs/>
        </w:rPr>
        <w:t>Loi sur la protection de la jeunesse</w:t>
      </w:r>
      <w:r w:rsidRPr="00126E04">
        <w:t>, RLRQ, c. P</w:t>
      </w:r>
      <w:r w:rsidR="00D7530E" w:rsidRPr="00126E04">
        <w:t> </w:t>
      </w:r>
      <w:r w:rsidRPr="00126E04">
        <w:t>-34.1 (ci-après « </w:t>
      </w:r>
      <w:proofErr w:type="spellStart"/>
      <w:r w:rsidRPr="00126E04">
        <w:t>L</w:t>
      </w:r>
      <w:r w:rsidR="00C91EA5">
        <w:t>.p.j</w:t>
      </w:r>
      <w:proofErr w:type="spellEnd"/>
      <w:r w:rsidR="00C91EA5">
        <w:t>.</w:t>
      </w:r>
      <w:r w:rsidRPr="00126E04">
        <w:t> »).</w:t>
      </w:r>
    </w:p>
  </w:footnote>
  <w:footnote w:id="5">
    <w:p w14:paraId="4DA82F3D" w14:textId="74E14D63" w:rsidR="00F35D7D" w:rsidRPr="00126E04" w:rsidRDefault="00F35D7D" w:rsidP="00202CC7">
      <w:pPr>
        <w:pStyle w:val="notebasde"/>
        <w:jc w:val="left"/>
      </w:pPr>
      <w:r w:rsidRPr="00126E04">
        <w:rPr>
          <w:rStyle w:val="Appelnotedebasdep"/>
        </w:rPr>
        <w:footnoteRef/>
      </w:r>
      <w:r w:rsidRPr="00126E04">
        <w:t xml:space="preserve"> </w:t>
      </w:r>
      <w:r w:rsidRPr="00126E04">
        <w:tab/>
      </w:r>
      <w:r w:rsidRPr="00AE11B1">
        <w:rPr>
          <w:i/>
          <w:iCs/>
        </w:rPr>
        <w:t>Loi sur l’accès à l’égalité en emploi dans des organismes publics</w:t>
      </w:r>
      <w:r w:rsidRPr="00126E04">
        <w:t>, RLRQ, c. A</w:t>
      </w:r>
      <w:r w:rsidR="00D7530E" w:rsidRPr="00126E04">
        <w:t> </w:t>
      </w:r>
      <w:r w:rsidRPr="00126E04">
        <w:t>-2.01.</w:t>
      </w:r>
    </w:p>
  </w:footnote>
  <w:footnote w:id="6">
    <w:p w14:paraId="482916B2" w14:textId="77777777" w:rsidR="00F35D7D" w:rsidRPr="00126E04" w:rsidRDefault="00F35D7D" w:rsidP="00202CC7">
      <w:pPr>
        <w:pStyle w:val="notebasde"/>
        <w:jc w:val="left"/>
      </w:pPr>
      <w:r w:rsidRPr="00126E04">
        <w:rPr>
          <w:rStyle w:val="Appelnotedebasdep"/>
        </w:rPr>
        <w:footnoteRef/>
      </w:r>
      <w:r w:rsidRPr="00126E04">
        <w:t xml:space="preserve"> </w:t>
      </w:r>
      <w:r w:rsidRPr="00126E04">
        <w:tab/>
        <w:t>Charte, art. 71 al. 1 et al. 2 (6).</w:t>
      </w:r>
    </w:p>
  </w:footnote>
  <w:footnote w:id="7">
    <w:p w14:paraId="392593BD" w14:textId="7FBD8048" w:rsidR="004B3AC5" w:rsidRPr="00126E04" w:rsidRDefault="004B3AC5" w:rsidP="00202CC7">
      <w:pPr>
        <w:pStyle w:val="notebasde"/>
        <w:tabs>
          <w:tab w:val="left" w:pos="709"/>
        </w:tabs>
        <w:ind w:left="709" w:hanging="709"/>
        <w:jc w:val="left"/>
      </w:pPr>
      <w:r w:rsidRPr="00126E04">
        <w:rPr>
          <w:rStyle w:val="Appelnotedebasdep"/>
        </w:rPr>
        <w:footnoteRef/>
      </w:r>
      <w:r w:rsidRPr="00126E04">
        <w:t xml:space="preserve"> </w:t>
      </w:r>
      <w:r w:rsidRPr="00126E04">
        <w:tab/>
        <w:t>Projet loi n°</w:t>
      </w:r>
      <w:r w:rsidR="00D7530E" w:rsidRPr="00126E04">
        <w:t> </w:t>
      </w:r>
      <w:r w:rsidRPr="00126E04">
        <w:t xml:space="preserve">32, </w:t>
      </w:r>
      <w:r w:rsidRPr="00126E04">
        <w:rPr>
          <w:i/>
          <w:iCs/>
          <w:color w:val="000000"/>
        </w:rPr>
        <w:t>Loi instaurant l’approche de sécurisation culturelle au sein du réseau de la santé et des services sociaux</w:t>
      </w:r>
      <w:r w:rsidRPr="00126E04">
        <w:t xml:space="preserve"> — </w:t>
      </w:r>
      <w:r w:rsidR="00B45B4C" w:rsidRPr="00126E04">
        <w:t>9</w:t>
      </w:r>
      <w:r w:rsidR="00B768A8" w:rsidRPr="00126E04">
        <w:t> </w:t>
      </w:r>
      <w:r w:rsidR="00B45B4C" w:rsidRPr="00126E04">
        <w:t>juin 2023</w:t>
      </w:r>
      <w:r w:rsidRPr="00126E04">
        <w:t xml:space="preserve">), </w:t>
      </w:r>
      <w:r w:rsidR="00B45B4C" w:rsidRPr="00126E04">
        <w:t>1</w:t>
      </w:r>
      <w:r w:rsidR="00113727" w:rsidRPr="00126E04">
        <w:rPr>
          <w:vertAlign w:val="superscript"/>
        </w:rPr>
        <w:t>re</w:t>
      </w:r>
      <w:r w:rsidRPr="00126E04">
        <w:t xml:space="preserve"> </w:t>
      </w:r>
      <w:proofErr w:type="spellStart"/>
      <w:r w:rsidRPr="00126E04">
        <w:t>sess</w:t>
      </w:r>
      <w:proofErr w:type="spellEnd"/>
      <w:r w:rsidRPr="00126E04">
        <w:t>., 4</w:t>
      </w:r>
      <w:r w:rsidR="00B45B4C" w:rsidRPr="00126E04">
        <w:t>3</w:t>
      </w:r>
      <w:r w:rsidRPr="00126E04">
        <w:rPr>
          <w:vertAlign w:val="superscript"/>
        </w:rPr>
        <w:t>e</w:t>
      </w:r>
      <w:r w:rsidRPr="00126E04">
        <w:t> </w:t>
      </w:r>
      <w:proofErr w:type="spellStart"/>
      <w:r w:rsidRPr="00126E04">
        <w:t>légis</w:t>
      </w:r>
      <w:proofErr w:type="spellEnd"/>
      <w:r w:rsidRPr="00126E04">
        <w:t>. (</w:t>
      </w:r>
      <w:proofErr w:type="spellStart"/>
      <w:r w:rsidRPr="00126E04">
        <w:t>Qc</w:t>
      </w:r>
      <w:proofErr w:type="spellEnd"/>
      <w:r w:rsidRPr="00126E04">
        <w:t>) (ci-après « projet de loi n°</w:t>
      </w:r>
      <w:r w:rsidR="00D7530E" w:rsidRPr="00126E04">
        <w:t> </w:t>
      </w:r>
      <w:r w:rsidRPr="00126E04">
        <w:t>32 » ou « projet de loi »).</w:t>
      </w:r>
    </w:p>
  </w:footnote>
  <w:footnote w:id="8">
    <w:p w14:paraId="18EE9D09" w14:textId="77777777" w:rsidR="001E1587" w:rsidRPr="00126E04" w:rsidRDefault="001E1587" w:rsidP="00202CC7">
      <w:pPr>
        <w:pStyle w:val="notebasde"/>
        <w:jc w:val="left"/>
      </w:pPr>
      <w:r w:rsidRPr="00126E04">
        <w:rPr>
          <w:rStyle w:val="Appelnotedebasdep"/>
        </w:rPr>
        <w:footnoteRef/>
      </w:r>
      <w:r w:rsidRPr="00126E04">
        <w:t xml:space="preserve"> </w:t>
      </w:r>
      <w:r w:rsidRPr="00126E04">
        <w:tab/>
        <w:t>Ci-après « RSSS ».</w:t>
      </w:r>
    </w:p>
  </w:footnote>
  <w:footnote w:id="9">
    <w:p w14:paraId="150B301F" w14:textId="737E291D" w:rsidR="001E1587" w:rsidRPr="00126E04" w:rsidRDefault="001E1587" w:rsidP="00202CC7">
      <w:pPr>
        <w:pStyle w:val="notebasde"/>
        <w:jc w:val="left"/>
      </w:pPr>
      <w:r w:rsidRPr="00126E04">
        <w:rPr>
          <w:rStyle w:val="Appelnotedebasdep"/>
        </w:rPr>
        <w:footnoteRef/>
      </w:r>
      <w:r w:rsidRPr="00126E04">
        <w:t xml:space="preserve"> </w:t>
      </w:r>
      <w:r w:rsidRPr="00126E04">
        <w:tab/>
      </w:r>
      <w:r w:rsidRPr="00126E04">
        <w:rPr>
          <w:i/>
          <w:iCs/>
        </w:rPr>
        <w:t>Code des professions</w:t>
      </w:r>
      <w:r w:rsidRPr="00126E04">
        <w:t>, RLRQ, c. C -26</w:t>
      </w:r>
      <w:r w:rsidR="0016792A" w:rsidRPr="00126E04">
        <w:t xml:space="preserve"> (ci-après « C. prof. »).</w:t>
      </w:r>
    </w:p>
  </w:footnote>
  <w:footnote w:id="10">
    <w:p w14:paraId="4D178E5B" w14:textId="1A91F3A7" w:rsidR="004A1A6C" w:rsidRPr="00347CD1" w:rsidRDefault="004A1A6C" w:rsidP="00347CD1">
      <w:pPr>
        <w:pStyle w:val="Notedebasdepage"/>
        <w:tabs>
          <w:tab w:val="left" w:pos="709"/>
        </w:tabs>
        <w:spacing w:line="240" w:lineRule="auto"/>
        <w:ind w:left="709" w:hanging="709"/>
        <w:rPr>
          <w:sz w:val="18"/>
          <w:szCs w:val="18"/>
        </w:rPr>
      </w:pPr>
      <w:r w:rsidRPr="00A60E9B">
        <w:rPr>
          <w:rStyle w:val="Appelnotedebasdep"/>
          <w:sz w:val="18"/>
          <w:szCs w:val="18"/>
        </w:rPr>
        <w:footnoteRef/>
      </w:r>
      <w:r w:rsidR="00403051" w:rsidRPr="00A60E9B">
        <w:rPr>
          <w:sz w:val="18"/>
          <w:szCs w:val="18"/>
          <w:vertAlign w:val="superscript"/>
        </w:rPr>
        <w:t xml:space="preserve"> </w:t>
      </w:r>
      <w:r w:rsidRPr="00347CD1">
        <w:rPr>
          <w:sz w:val="18"/>
          <w:szCs w:val="18"/>
        </w:rPr>
        <w:t xml:space="preserve"> </w:t>
      </w:r>
      <w:r w:rsidRPr="00347CD1">
        <w:rPr>
          <w:sz w:val="18"/>
          <w:szCs w:val="18"/>
        </w:rPr>
        <w:tab/>
      </w:r>
      <w:r w:rsidRPr="00347CD1">
        <w:rPr>
          <w:smallCaps/>
          <w:sz w:val="18"/>
          <w:szCs w:val="18"/>
        </w:rPr>
        <w:t>Assemblée des Premières Nations du Québec et du Labrador</w:t>
      </w:r>
      <w:r w:rsidRPr="00347CD1">
        <w:rPr>
          <w:sz w:val="18"/>
          <w:szCs w:val="18"/>
        </w:rPr>
        <w:t>, «</w:t>
      </w:r>
      <w:r w:rsidR="00530D45">
        <w:rPr>
          <w:sz w:val="18"/>
          <w:szCs w:val="18"/>
        </w:rPr>
        <w:t> </w:t>
      </w:r>
      <w:r w:rsidRPr="00347CD1">
        <w:rPr>
          <w:sz w:val="18"/>
          <w:szCs w:val="18"/>
        </w:rPr>
        <w:t>Réaction au dépôt du projet de loi 32 : Les Premières Nations doivent être au cœur et guider l’approche de sécurisation culturelle au sein du réseau québécois de la santé et des services sociaux</w:t>
      </w:r>
      <w:r w:rsidR="00530D45">
        <w:rPr>
          <w:sz w:val="18"/>
          <w:szCs w:val="18"/>
        </w:rPr>
        <w:t> </w:t>
      </w:r>
      <w:r w:rsidRPr="00347CD1">
        <w:rPr>
          <w:sz w:val="18"/>
          <w:szCs w:val="18"/>
        </w:rPr>
        <w:t xml:space="preserve">», </w:t>
      </w:r>
      <w:r w:rsidR="005226F5">
        <w:rPr>
          <w:sz w:val="18"/>
          <w:szCs w:val="18"/>
        </w:rPr>
        <w:t>C</w:t>
      </w:r>
      <w:r w:rsidRPr="00347CD1">
        <w:rPr>
          <w:sz w:val="18"/>
          <w:szCs w:val="18"/>
        </w:rPr>
        <w:t>ommuniqué, 9</w:t>
      </w:r>
      <w:r w:rsidR="001C4421">
        <w:rPr>
          <w:sz w:val="18"/>
          <w:szCs w:val="18"/>
        </w:rPr>
        <w:t> </w:t>
      </w:r>
      <w:r w:rsidRPr="00347CD1">
        <w:rPr>
          <w:sz w:val="18"/>
          <w:szCs w:val="18"/>
        </w:rPr>
        <w:t>juin 2023.</w:t>
      </w:r>
    </w:p>
  </w:footnote>
  <w:footnote w:id="11">
    <w:p w14:paraId="2C542747" w14:textId="77777777" w:rsidR="00541728" w:rsidRPr="00126E04" w:rsidRDefault="00541728" w:rsidP="00202CC7">
      <w:pPr>
        <w:pStyle w:val="notebasde"/>
        <w:tabs>
          <w:tab w:val="left" w:pos="709"/>
        </w:tabs>
        <w:ind w:left="709" w:hanging="709"/>
        <w:jc w:val="left"/>
      </w:pPr>
      <w:r w:rsidRPr="00126E04">
        <w:rPr>
          <w:rStyle w:val="Appelnotedebasdep"/>
        </w:rPr>
        <w:footnoteRef/>
      </w:r>
      <w:r w:rsidRPr="00126E04">
        <w:t xml:space="preserve"> </w:t>
      </w:r>
      <w:r w:rsidRPr="00126E04">
        <w:tab/>
        <w:t xml:space="preserve">Voir </w:t>
      </w:r>
      <w:proofErr w:type="spellStart"/>
      <w:r w:rsidRPr="00126E04">
        <w:t>Irihapeti</w:t>
      </w:r>
      <w:proofErr w:type="spellEnd"/>
      <w:r w:rsidRPr="00126E04">
        <w:t xml:space="preserve"> </w:t>
      </w:r>
      <w:proofErr w:type="spellStart"/>
      <w:r w:rsidRPr="00126E04">
        <w:t>Merenia</w:t>
      </w:r>
      <w:proofErr w:type="spellEnd"/>
      <w:r w:rsidRPr="00126E04">
        <w:t xml:space="preserve"> </w:t>
      </w:r>
      <w:r w:rsidRPr="00126E04">
        <w:rPr>
          <w:smallCaps/>
        </w:rPr>
        <w:t>Ramsden</w:t>
      </w:r>
      <w:r w:rsidRPr="00126E04">
        <w:t xml:space="preserve">, </w:t>
      </w:r>
      <w:r w:rsidRPr="00126E04">
        <w:rPr>
          <w:i/>
          <w:iCs/>
        </w:rPr>
        <w:t xml:space="preserve">Cultural </w:t>
      </w:r>
      <w:proofErr w:type="spellStart"/>
      <w:r w:rsidRPr="00126E04">
        <w:rPr>
          <w:i/>
          <w:iCs/>
        </w:rPr>
        <w:t>Safety</w:t>
      </w:r>
      <w:proofErr w:type="spellEnd"/>
      <w:r w:rsidRPr="00126E04">
        <w:rPr>
          <w:i/>
          <w:iCs/>
        </w:rPr>
        <w:t xml:space="preserve"> and Nursing </w:t>
      </w:r>
      <w:proofErr w:type="spellStart"/>
      <w:r w:rsidRPr="00126E04">
        <w:rPr>
          <w:i/>
          <w:iCs/>
        </w:rPr>
        <w:t>Education</w:t>
      </w:r>
      <w:proofErr w:type="spellEnd"/>
      <w:r w:rsidRPr="00126E04">
        <w:rPr>
          <w:i/>
          <w:iCs/>
        </w:rPr>
        <w:t xml:space="preserve"> in </w:t>
      </w:r>
      <w:proofErr w:type="spellStart"/>
      <w:r w:rsidRPr="00126E04">
        <w:rPr>
          <w:i/>
          <w:iCs/>
        </w:rPr>
        <w:t>Aotearoa</w:t>
      </w:r>
      <w:proofErr w:type="spellEnd"/>
      <w:r w:rsidRPr="00126E04">
        <w:rPr>
          <w:i/>
          <w:iCs/>
        </w:rPr>
        <w:t xml:space="preserve"> and Te </w:t>
      </w:r>
      <w:proofErr w:type="spellStart"/>
      <w:r w:rsidRPr="00126E04">
        <w:rPr>
          <w:i/>
          <w:iCs/>
        </w:rPr>
        <w:t>Waipounamu</w:t>
      </w:r>
      <w:proofErr w:type="spellEnd"/>
      <w:r w:rsidRPr="00126E04">
        <w:t>, Thèse de doctorat en sciences infirmières, Université Victoria de Wellington, 2002.</w:t>
      </w:r>
    </w:p>
  </w:footnote>
  <w:footnote w:id="12">
    <w:p w14:paraId="3373A530" w14:textId="77777777" w:rsidR="00541728" w:rsidRPr="00126E04" w:rsidRDefault="00541728" w:rsidP="00202CC7">
      <w:pPr>
        <w:pStyle w:val="notebasde"/>
        <w:tabs>
          <w:tab w:val="left" w:pos="709"/>
        </w:tabs>
        <w:ind w:left="709" w:hanging="709"/>
        <w:jc w:val="left"/>
        <w:rPr>
          <w:lang w:val="en-CA"/>
        </w:rPr>
      </w:pPr>
      <w:r w:rsidRPr="00126E04">
        <w:rPr>
          <w:rStyle w:val="Appelnotedebasdep"/>
        </w:rPr>
        <w:footnoteRef/>
      </w:r>
      <w:r w:rsidRPr="00126E04">
        <w:rPr>
          <w:lang w:val="en-CA"/>
        </w:rPr>
        <w:t xml:space="preserve"> </w:t>
      </w:r>
      <w:r w:rsidRPr="00126E04">
        <w:rPr>
          <w:lang w:val="en-CA"/>
        </w:rPr>
        <w:tab/>
      </w:r>
      <w:r w:rsidRPr="00126E04">
        <w:rPr>
          <w:i/>
          <w:lang w:val="en-CA"/>
        </w:rPr>
        <w:t>Id.</w:t>
      </w:r>
      <w:r w:rsidRPr="00126E04">
        <w:rPr>
          <w:lang w:val="en-CA"/>
        </w:rPr>
        <w:t>, p. 3.</w:t>
      </w:r>
    </w:p>
  </w:footnote>
  <w:footnote w:id="13">
    <w:p w14:paraId="495A8719" w14:textId="093ACFA0" w:rsidR="00541728" w:rsidRPr="00126E04" w:rsidRDefault="00541728" w:rsidP="00202CC7">
      <w:pPr>
        <w:pStyle w:val="notebasde"/>
        <w:tabs>
          <w:tab w:val="left" w:pos="709"/>
        </w:tabs>
        <w:ind w:left="709" w:hanging="709"/>
        <w:jc w:val="left"/>
        <w:rPr>
          <w:lang w:val="en-CA"/>
        </w:rPr>
      </w:pPr>
      <w:r w:rsidRPr="00126E04">
        <w:rPr>
          <w:rStyle w:val="Appelnotedebasdep"/>
        </w:rPr>
        <w:footnoteRef/>
      </w:r>
      <w:r w:rsidRPr="00126E04">
        <w:rPr>
          <w:lang w:val="en-CA"/>
        </w:rPr>
        <w:t xml:space="preserve"> </w:t>
      </w:r>
      <w:r w:rsidRPr="00126E04">
        <w:rPr>
          <w:lang w:val="en-CA"/>
        </w:rPr>
        <w:tab/>
        <w:t>I. M. R</w:t>
      </w:r>
      <w:r w:rsidRPr="00126E04">
        <w:rPr>
          <w:smallCaps/>
          <w:lang w:val="en-CA"/>
        </w:rPr>
        <w:t xml:space="preserve">amsden, </w:t>
      </w:r>
      <w:proofErr w:type="spellStart"/>
      <w:r w:rsidRPr="00126E04">
        <w:rPr>
          <w:lang w:val="en-CA"/>
        </w:rPr>
        <w:t>préc</w:t>
      </w:r>
      <w:proofErr w:type="spellEnd"/>
      <w:r w:rsidRPr="00126E04">
        <w:rPr>
          <w:lang w:val="en-CA"/>
        </w:rPr>
        <w:t xml:space="preserve">., note </w:t>
      </w:r>
      <w:r w:rsidR="00384541" w:rsidRPr="00126E04">
        <w:rPr>
          <w:lang w:val="en-CA"/>
        </w:rPr>
        <w:fldChar w:fldCharType="begin"/>
      </w:r>
      <w:r w:rsidR="00384541" w:rsidRPr="00126E04">
        <w:rPr>
          <w:lang w:val="en-CA"/>
        </w:rPr>
        <w:instrText xml:space="preserve"> NOTEREF _Ref144467866 \h </w:instrText>
      </w:r>
      <w:r w:rsidR="00C84C0A" w:rsidRPr="00126E04">
        <w:rPr>
          <w:lang w:val="en-CA"/>
        </w:rPr>
        <w:instrText xml:space="preserve"> \* MERGEFORMAT </w:instrText>
      </w:r>
      <w:r w:rsidR="00384541" w:rsidRPr="00126E04">
        <w:rPr>
          <w:lang w:val="en-CA"/>
        </w:rPr>
      </w:r>
      <w:r w:rsidR="00384541" w:rsidRPr="00126E04">
        <w:rPr>
          <w:lang w:val="en-CA"/>
        </w:rPr>
        <w:fldChar w:fldCharType="separate"/>
      </w:r>
      <w:r w:rsidR="008A75EF">
        <w:rPr>
          <w:lang w:val="en-CA"/>
        </w:rPr>
        <w:t>10</w:t>
      </w:r>
      <w:r w:rsidR="00384541" w:rsidRPr="00126E04">
        <w:rPr>
          <w:lang w:val="en-CA"/>
        </w:rPr>
        <w:fldChar w:fldCharType="end"/>
      </w:r>
      <w:r w:rsidRPr="00126E04">
        <w:rPr>
          <w:lang w:val="en-CA"/>
        </w:rPr>
        <w:t>, p. 171</w:t>
      </w:r>
      <w:r w:rsidR="00FE3350" w:rsidRPr="00126E04">
        <w:rPr>
          <w:lang w:val="en-CA"/>
        </w:rPr>
        <w:t xml:space="preserve"> et </w:t>
      </w:r>
      <w:proofErr w:type="gramStart"/>
      <w:r w:rsidRPr="00126E04">
        <w:rPr>
          <w:lang w:val="en-CA"/>
        </w:rPr>
        <w:t>172</w:t>
      </w:r>
      <w:r w:rsidR="00A70539">
        <w:rPr>
          <w:lang w:val="en-CA"/>
        </w:rPr>
        <w:t> </w:t>
      </w:r>
      <w:r w:rsidRPr="00126E04">
        <w:rPr>
          <w:lang w:val="en-CA"/>
        </w:rPr>
        <w:t>;</w:t>
      </w:r>
      <w:proofErr w:type="gramEnd"/>
      <w:r w:rsidRPr="00126E04">
        <w:rPr>
          <w:lang w:val="en-CA"/>
        </w:rPr>
        <w:t xml:space="preserve"> Christina </w:t>
      </w:r>
      <w:r w:rsidRPr="00126E04">
        <w:rPr>
          <w:smallCaps/>
          <w:lang w:val="en-CA"/>
        </w:rPr>
        <w:t>Chakanyuka</w:t>
      </w:r>
      <w:r w:rsidRPr="00126E04">
        <w:rPr>
          <w:lang w:val="en-CA"/>
        </w:rPr>
        <w:t xml:space="preserve"> et </w:t>
      </w:r>
      <w:r w:rsidRPr="00126E04">
        <w:rPr>
          <w:i/>
          <w:iCs/>
          <w:lang w:val="en-CA"/>
        </w:rPr>
        <w:t>al</w:t>
      </w:r>
      <w:r w:rsidRPr="00126E04">
        <w:rPr>
          <w:lang w:val="en-CA"/>
        </w:rPr>
        <w:t xml:space="preserve">., « Indigenous-specific cultural safety within health and dementia care: A scoping review of reviews », (2022), 293:114658 </w:t>
      </w:r>
      <w:r w:rsidRPr="00126E04">
        <w:rPr>
          <w:i/>
          <w:iCs/>
          <w:lang w:val="en-CA"/>
        </w:rPr>
        <w:t>Social Science &amp; Medicine</w:t>
      </w:r>
      <w:r w:rsidRPr="00126E04">
        <w:rPr>
          <w:lang w:val="en-CA"/>
        </w:rPr>
        <w:t xml:space="preserve">. </w:t>
      </w:r>
      <w:proofErr w:type="spellStart"/>
      <w:proofErr w:type="gramStart"/>
      <w:r w:rsidRPr="00126E04">
        <w:rPr>
          <w:lang w:val="en-CA"/>
        </w:rPr>
        <w:t>doi</w:t>
      </w:r>
      <w:proofErr w:type="spellEnd"/>
      <w:r w:rsidR="00A70539">
        <w:rPr>
          <w:lang w:val="en-CA"/>
        </w:rPr>
        <w:t> </w:t>
      </w:r>
      <w:r w:rsidRPr="00126E04">
        <w:rPr>
          <w:lang w:val="en-CA"/>
        </w:rPr>
        <w:t>:</w:t>
      </w:r>
      <w:proofErr w:type="gramEnd"/>
      <w:r w:rsidRPr="00126E04">
        <w:rPr>
          <w:lang w:val="en-CA"/>
        </w:rPr>
        <w:t xml:space="preserve"> 10.1016/j.socscimed.2021.114658; Elana </w:t>
      </w:r>
      <w:r w:rsidRPr="00126E04">
        <w:rPr>
          <w:smallCaps/>
          <w:lang w:val="en-CA"/>
        </w:rPr>
        <w:t>Curtis</w:t>
      </w:r>
      <w:r w:rsidRPr="00126E04">
        <w:rPr>
          <w:lang w:val="en-CA"/>
        </w:rPr>
        <w:t xml:space="preserve"> et </w:t>
      </w:r>
      <w:r w:rsidRPr="00126E04">
        <w:rPr>
          <w:i/>
          <w:iCs/>
          <w:lang w:val="en-CA"/>
        </w:rPr>
        <w:t>al</w:t>
      </w:r>
      <w:r w:rsidRPr="00126E04">
        <w:rPr>
          <w:lang w:val="en-CA"/>
        </w:rPr>
        <w:t xml:space="preserve">., « Why cultural safety rather than cultural competency is required to achieve health equity: a literature review and recommended definition » (2019) 18:174 </w:t>
      </w:r>
      <w:r w:rsidRPr="00126E04">
        <w:rPr>
          <w:i/>
          <w:iCs/>
          <w:lang w:val="en-CA"/>
        </w:rPr>
        <w:t>International Journal for Equity in Health</w:t>
      </w:r>
      <w:r w:rsidRPr="00126E04">
        <w:rPr>
          <w:lang w:val="en-CA"/>
        </w:rPr>
        <w:t xml:space="preserve"> https://doi.org/10.1186/s12939-019-1082-3.</w:t>
      </w:r>
    </w:p>
  </w:footnote>
  <w:footnote w:id="14">
    <w:p w14:paraId="30FDAD83" w14:textId="63536CC8" w:rsidR="00541728" w:rsidRPr="00126E04" w:rsidRDefault="00541728" w:rsidP="00202CC7">
      <w:pPr>
        <w:pStyle w:val="notebasde"/>
        <w:tabs>
          <w:tab w:val="left" w:pos="709"/>
        </w:tabs>
        <w:ind w:left="709" w:hanging="709"/>
        <w:jc w:val="left"/>
        <w:rPr>
          <w:lang w:val="en-CA"/>
        </w:rPr>
      </w:pPr>
      <w:r w:rsidRPr="00126E04">
        <w:rPr>
          <w:rStyle w:val="Appelnotedebasdep"/>
        </w:rPr>
        <w:footnoteRef/>
      </w:r>
      <w:r w:rsidRPr="00126E04">
        <w:rPr>
          <w:lang w:val="en-CA"/>
        </w:rPr>
        <w:t xml:space="preserve"> </w:t>
      </w:r>
      <w:r w:rsidRPr="00126E04">
        <w:rPr>
          <w:lang w:val="en-CA"/>
        </w:rPr>
        <w:tab/>
        <w:t xml:space="preserve">Natasha </w:t>
      </w:r>
      <w:r w:rsidRPr="00126E04">
        <w:rPr>
          <w:smallCaps/>
          <w:lang w:val="en-CA"/>
        </w:rPr>
        <w:t>Blanchet-Cohen</w:t>
      </w:r>
      <w:r w:rsidRPr="00126E04">
        <w:rPr>
          <w:lang w:val="en-CA"/>
        </w:rPr>
        <w:t xml:space="preserve"> et Catherine </w:t>
      </w:r>
      <w:r w:rsidRPr="00126E04">
        <w:rPr>
          <w:smallCaps/>
          <w:lang w:val="en-CA"/>
        </w:rPr>
        <w:t>Richardson/</w:t>
      </w:r>
      <w:proofErr w:type="spellStart"/>
      <w:r w:rsidR="005A0C72" w:rsidRPr="00126E04">
        <w:rPr>
          <w:smallCaps/>
          <w:lang w:val="en-CA"/>
        </w:rPr>
        <w:t>Ki</w:t>
      </w:r>
      <w:r w:rsidRPr="00126E04">
        <w:rPr>
          <w:smallCaps/>
          <w:lang w:val="en-CA"/>
        </w:rPr>
        <w:t>newesquao</w:t>
      </w:r>
      <w:proofErr w:type="spellEnd"/>
      <w:r w:rsidRPr="00126E04">
        <w:rPr>
          <w:lang w:val="en-CA"/>
        </w:rPr>
        <w:t xml:space="preserve">, « Foreword: fostering cultural safety across contexts », (2017) 13:3 </w:t>
      </w:r>
      <w:proofErr w:type="spellStart"/>
      <w:r w:rsidRPr="00126E04">
        <w:rPr>
          <w:i/>
          <w:iCs/>
          <w:lang w:val="en-CA"/>
        </w:rPr>
        <w:t>AlterNative</w:t>
      </w:r>
      <w:proofErr w:type="spellEnd"/>
      <w:r w:rsidRPr="00126E04">
        <w:rPr>
          <w:lang w:val="en-CA"/>
        </w:rPr>
        <w:t xml:space="preserve"> 138, 139-140.</w:t>
      </w:r>
    </w:p>
  </w:footnote>
  <w:footnote w:id="15">
    <w:p w14:paraId="0A19E4FD" w14:textId="0224A825" w:rsidR="00352EAC" w:rsidRPr="00126E04" w:rsidRDefault="00352EAC" w:rsidP="00202CC7">
      <w:pPr>
        <w:pStyle w:val="notebasde"/>
        <w:tabs>
          <w:tab w:val="left" w:pos="709"/>
        </w:tabs>
        <w:ind w:left="709" w:hanging="709"/>
        <w:jc w:val="left"/>
      </w:pPr>
      <w:r w:rsidRPr="00126E04">
        <w:rPr>
          <w:rStyle w:val="Appelnotedebasdep"/>
        </w:rPr>
        <w:footnoteRef/>
      </w:r>
      <w:r w:rsidRPr="00126E04">
        <w:t xml:space="preserve"> </w:t>
      </w:r>
      <w:r w:rsidRPr="00126E04">
        <w:tab/>
        <w:t>Une équipe de chercheuses et chercheurs</w:t>
      </w:r>
      <w:r w:rsidRPr="00126E04" w:rsidDel="00080942">
        <w:t xml:space="preserve"> </w:t>
      </w:r>
      <w:proofErr w:type="spellStart"/>
      <w:r w:rsidR="00080942">
        <w:t>maori</w:t>
      </w:r>
      <w:r w:rsidR="00AD5108">
        <w:t>.</w:t>
      </w:r>
      <w:proofErr w:type="gramStart"/>
      <w:r w:rsidR="00080942">
        <w:t>e.s</w:t>
      </w:r>
      <w:proofErr w:type="spellEnd"/>
      <w:proofErr w:type="gramEnd"/>
      <w:r w:rsidR="00080942" w:rsidRPr="00126E04">
        <w:t xml:space="preserve"> </w:t>
      </w:r>
      <w:r w:rsidRPr="00126E04">
        <w:t>et allochtones de Nouvelle-Zélande a récemment relevé une tendance de la part des organisations à préférer un modèle de compétence culturelle à celui de sécurisation culturelle dans la formation des professionnelles. Une telle approche risquerait selon elle de renforcer l’essentialisme culturel et l’</w:t>
      </w:r>
      <w:proofErr w:type="spellStart"/>
      <w:r w:rsidRPr="00126E04">
        <w:t>altérisation</w:t>
      </w:r>
      <w:proofErr w:type="spellEnd"/>
      <w:r w:rsidRPr="00126E04">
        <w:t xml:space="preserve"> des patients en négligeant, d’une part, la réflexion critique des professionnelles quant à leurs propres cultures, préjugés et position de pouvoir et, d’autre part, le rôle des structures socioéconomiques héritées du colonialisme dans la production des inégalités de santé. E</w:t>
      </w:r>
      <w:r w:rsidR="00B334F9" w:rsidRPr="00126E04">
        <w:t>.</w:t>
      </w:r>
      <w:r w:rsidR="005A5F64" w:rsidRPr="00126E04">
        <w:t> </w:t>
      </w:r>
      <w:r w:rsidRPr="00126E04">
        <w:rPr>
          <w:smallCaps/>
        </w:rPr>
        <w:t>Curtis</w:t>
      </w:r>
      <w:r w:rsidRPr="00126E04">
        <w:t xml:space="preserve"> et </w:t>
      </w:r>
      <w:r w:rsidRPr="00126E04">
        <w:rPr>
          <w:i/>
          <w:iCs/>
        </w:rPr>
        <w:t>al</w:t>
      </w:r>
      <w:r w:rsidRPr="00126E04">
        <w:t xml:space="preserve">., </w:t>
      </w:r>
      <w:proofErr w:type="spellStart"/>
      <w:r w:rsidR="00FF3FF1" w:rsidRPr="00126E04">
        <w:t>préc</w:t>
      </w:r>
      <w:proofErr w:type="spellEnd"/>
      <w:r w:rsidR="00FF3FF1" w:rsidRPr="00126E04">
        <w:t xml:space="preserve">., note </w:t>
      </w:r>
      <w:r w:rsidR="00FF3FF1" w:rsidRPr="00126E04">
        <w:fldChar w:fldCharType="begin"/>
      </w:r>
      <w:r w:rsidR="00FF3FF1" w:rsidRPr="00126E04">
        <w:instrText xml:space="preserve"> NOTEREF _Ref144468084 \h </w:instrText>
      </w:r>
      <w:r w:rsidR="00AD6FFC" w:rsidRPr="00126E04">
        <w:instrText xml:space="preserve"> \* MERGEFORMAT </w:instrText>
      </w:r>
      <w:r w:rsidR="00FF3FF1" w:rsidRPr="00126E04">
        <w:fldChar w:fldCharType="separate"/>
      </w:r>
      <w:r w:rsidR="008A75EF">
        <w:t>12</w:t>
      </w:r>
      <w:r w:rsidR="00FF3FF1" w:rsidRPr="00126E04">
        <w:fldChar w:fldCharType="end"/>
      </w:r>
      <w:r w:rsidR="00FF3FF1" w:rsidRPr="00126E04">
        <w:t>.</w:t>
      </w:r>
    </w:p>
  </w:footnote>
  <w:footnote w:id="16">
    <w:p w14:paraId="44DDE92A" w14:textId="39E7A8BC" w:rsidR="00541728" w:rsidRPr="00126E04" w:rsidRDefault="00541728" w:rsidP="00202CC7">
      <w:pPr>
        <w:pStyle w:val="notebasde"/>
        <w:tabs>
          <w:tab w:val="left" w:pos="709"/>
        </w:tabs>
        <w:ind w:left="709" w:hanging="709"/>
        <w:jc w:val="left"/>
      </w:pPr>
      <w:r w:rsidRPr="00126E04">
        <w:rPr>
          <w:rStyle w:val="Appelnotedebasdep"/>
        </w:rPr>
        <w:footnoteRef/>
      </w:r>
      <w:r w:rsidRPr="00126E04">
        <w:t xml:space="preserve"> </w:t>
      </w:r>
      <w:r w:rsidRPr="00126E04">
        <w:tab/>
        <w:t>I. M. R</w:t>
      </w:r>
      <w:r w:rsidRPr="00126E04">
        <w:rPr>
          <w:smallCaps/>
        </w:rPr>
        <w:t xml:space="preserve">amsden, </w:t>
      </w:r>
      <w:proofErr w:type="spellStart"/>
      <w:r w:rsidRPr="00126E04">
        <w:t>préc</w:t>
      </w:r>
      <w:proofErr w:type="spellEnd"/>
      <w:r w:rsidRPr="00126E04">
        <w:t xml:space="preserve">., note </w:t>
      </w:r>
      <w:r w:rsidR="00384541" w:rsidRPr="00126E04">
        <w:rPr>
          <w:lang w:val="en-CA"/>
        </w:rPr>
        <w:fldChar w:fldCharType="begin"/>
      </w:r>
      <w:r w:rsidR="00384541" w:rsidRPr="00126E04">
        <w:instrText xml:space="preserve"> NOTEREF _Ref144467866 \h </w:instrText>
      </w:r>
      <w:r w:rsidR="00C84C0A" w:rsidRPr="00126E04">
        <w:instrText xml:space="preserve"> \* MERGEFORMAT </w:instrText>
      </w:r>
      <w:r w:rsidR="00384541" w:rsidRPr="00126E04">
        <w:rPr>
          <w:lang w:val="en-CA"/>
        </w:rPr>
      </w:r>
      <w:r w:rsidR="00384541" w:rsidRPr="00126E04">
        <w:rPr>
          <w:lang w:val="en-CA"/>
        </w:rPr>
        <w:fldChar w:fldCharType="separate"/>
      </w:r>
      <w:r w:rsidR="008A75EF">
        <w:t>10</w:t>
      </w:r>
      <w:r w:rsidR="00384541" w:rsidRPr="00126E04">
        <w:rPr>
          <w:lang w:val="en-CA"/>
        </w:rPr>
        <w:fldChar w:fldCharType="end"/>
      </w:r>
      <w:r w:rsidRPr="00126E04">
        <w:t>, p.</w:t>
      </w:r>
      <w:r w:rsidR="007515F2">
        <w:t> </w:t>
      </w:r>
      <w:r w:rsidRPr="00126E04">
        <w:t>6.</w:t>
      </w:r>
    </w:p>
  </w:footnote>
  <w:footnote w:id="17">
    <w:p w14:paraId="1046C59B" w14:textId="662FA1BB" w:rsidR="00541728" w:rsidRPr="00126E04" w:rsidRDefault="00541728" w:rsidP="00202CC7">
      <w:pPr>
        <w:pStyle w:val="notebasde"/>
        <w:tabs>
          <w:tab w:val="left" w:pos="709"/>
        </w:tabs>
        <w:ind w:left="709" w:hanging="709"/>
        <w:jc w:val="left"/>
      </w:pPr>
      <w:r w:rsidRPr="00126E04">
        <w:rPr>
          <w:rStyle w:val="Appelnotedebasdep"/>
        </w:rPr>
        <w:footnoteRef/>
      </w:r>
      <w:r w:rsidRPr="00126E04">
        <w:t xml:space="preserve"> </w:t>
      </w:r>
      <w:r w:rsidRPr="00126E04">
        <w:tab/>
        <w:t>C. </w:t>
      </w:r>
      <w:proofErr w:type="spellStart"/>
      <w:r w:rsidRPr="00126E04">
        <w:rPr>
          <w:smallCaps/>
        </w:rPr>
        <w:t>Chakanyuka</w:t>
      </w:r>
      <w:proofErr w:type="spellEnd"/>
      <w:r w:rsidRPr="00126E04">
        <w:t xml:space="preserve"> et </w:t>
      </w:r>
      <w:r w:rsidRPr="00126E04">
        <w:rPr>
          <w:i/>
          <w:iCs/>
        </w:rPr>
        <w:t>al</w:t>
      </w:r>
      <w:r w:rsidRPr="00126E04">
        <w:t xml:space="preserve">., </w:t>
      </w:r>
      <w:proofErr w:type="spellStart"/>
      <w:r w:rsidRPr="00126E04">
        <w:t>préc</w:t>
      </w:r>
      <w:proofErr w:type="spellEnd"/>
      <w:r w:rsidRPr="00126E04">
        <w:t xml:space="preserve">., note </w:t>
      </w:r>
      <w:r w:rsidR="00E603FB" w:rsidRPr="00126E04">
        <w:fldChar w:fldCharType="begin"/>
      </w:r>
      <w:r w:rsidR="00E603FB" w:rsidRPr="00126E04">
        <w:instrText xml:space="preserve"> NOTEREF _Ref144468084 \h </w:instrText>
      </w:r>
      <w:r w:rsidR="00C84C0A" w:rsidRPr="00126E04">
        <w:instrText xml:space="preserve"> \* MERGEFORMAT </w:instrText>
      </w:r>
      <w:r w:rsidR="00E603FB" w:rsidRPr="00126E04">
        <w:fldChar w:fldCharType="separate"/>
      </w:r>
      <w:r w:rsidR="008A75EF">
        <w:t>12</w:t>
      </w:r>
      <w:r w:rsidR="00E603FB" w:rsidRPr="00126E04">
        <w:fldChar w:fldCharType="end"/>
      </w:r>
      <w:r w:rsidRPr="00126E04">
        <w:t>, p. 12 et 13.</w:t>
      </w:r>
    </w:p>
  </w:footnote>
  <w:footnote w:id="18">
    <w:p w14:paraId="06177A84" w14:textId="77777777" w:rsidR="00541728" w:rsidRPr="00126E04" w:rsidRDefault="00541728" w:rsidP="00202CC7">
      <w:pPr>
        <w:pStyle w:val="notebasde"/>
        <w:tabs>
          <w:tab w:val="left" w:pos="709"/>
        </w:tabs>
        <w:ind w:left="709" w:hanging="709"/>
        <w:jc w:val="left"/>
        <w:rPr>
          <w:lang w:val="en-CA"/>
        </w:rPr>
      </w:pPr>
      <w:r w:rsidRPr="00126E04">
        <w:rPr>
          <w:rStyle w:val="Appelnotedebasdep"/>
        </w:rPr>
        <w:footnoteRef/>
      </w:r>
      <w:r w:rsidRPr="00126E04">
        <w:t xml:space="preserve"> </w:t>
      </w:r>
      <w:r w:rsidRPr="00126E04">
        <w:tab/>
        <w:t>Il s’agit de changer le mot « </w:t>
      </w:r>
      <w:proofErr w:type="spellStart"/>
      <w:r w:rsidRPr="00126E04">
        <w:rPr>
          <w:i/>
          <w:iCs/>
        </w:rPr>
        <w:t>irrespective</w:t>
      </w:r>
      <w:proofErr w:type="spellEnd"/>
      <w:r w:rsidRPr="00126E04">
        <w:t> » pour « </w:t>
      </w:r>
      <w:r w:rsidRPr="00126E04">
        <w:rPr>
          <w:i/>
          <w:iCs/>
        </w:rPr>
        <w:t>respective</w:t>
      </w:r>
      <w:r w:rsidRPr="00126E04">
        <w:t xml:space="preserve"> ». </w:t>
      </w:r>
      <w:r w:rsidRPr="00126E04">
        <w:rPr>
          <w:lang w:val="en-CA"/>
        </w:rPr>
        <w:t xml:space="preserve">Irihapeti </w:t>
      </w:r>
      <w:r w:rsidRPr="00126E04">
        <w:rPr>
          <w:smallCaps/>
          <w:lang w:val="en-CA"/>
        </w:rPr>
        <w:t>Ramsden</w:t>
      </w:r>
      <w:r w:rsidRPr="00126E04">
        <w:rPr>
          <w:lang w:val="en-CA"/>
        </w:rPr>
        <w:t xml:space="preserve">, « Moving on: A graduation address », (1990). </w:t>
      </w:r>
      <w:r w:rsidRPr="00126E04">
        <w:rPr>
          <w:i/>
          <w:iCs/>
          <w:lang w:val="en-CA"/>
        </w:rPr>
        <w:t>5</w:t>
      </w:r>
      <w:r w:rsidRPr="00126E04">
        <w:rPr>
          <w:lang w:val="en-CA"/>
        </w:rPr>
        <w:t xml:space="preserve">(3) </w:t>
      </w:r>
      <w:r w:rsidRPr="00126E04">
        <w:rPr>
          <w:i/>
          <w:iCs/>
          <w:lang w:val="en-CA"/>
        </w:rPr>
        <w:t>Nursing Praxis in New Zealand</w:t>
      </w:r>
      <w:r w:rsidRPr="00126E04">
        <w:rPr>
          <w:lang w:val="en-CA"/>
        </w:rPr>
        <w:t> 35.</w:t>
      </w:r>
    </w:p>
  </w:footnote>
  <w:footnote w:id="19">
    <w:p w14:paraId="4DC3DE10" w14:textId="0F122196" w:rsidR="00541728" w:rsidRPr="00126E04" w:rsidRDefault="00541728" w:rsidP="00202CC7">
      <w:pPr>
        <w:pStyle w:val="notebasde"/>
        <w:tabs>
          <w:tab w:val="left" w:pos="709"/>
        </w:tabs>
        <w:ind w:left="709" w:hanging="709"/>
        <w:jc w:val="left"/>
      </w:pPr>
      <w:r w:rsidRPr="00126E04">
        <w:rPr>
          <w:rStyle w:val="Appelnotedebasdep"/>
        </w:rPr>
        <w:footnoteRef/>
      </w:r>
      <w:r w:rsidRPr="00126E04">
        <w:rPr>
          <w:lang w:val="en-CA"/>
        </w:rPr>
        <w:t xml:space="preserve"> </w:t>
      </w:r>
      <w:r w:rsidRPr="00126E04">
        <w:rPr>
          <w:lang w:val="en-CA"/>
        </w:rPr>
        <w:tab/>
        <w:t xml:space="preserve">Elaine </w:t>
      </w:r>
      <w:r w:rsidRPr="00126E04">
        <w:rPr>
          <w:smallCaps/>
          <w:lang w:val="en-CA"/>
        </w:rPr>
        <w:t xml:space="preserve">Papps </w:t>
      </w:r>
      <w:r w:rsidRPr="00126E04">
        <w:rPr>
          <w:lang w:val="en-CA"/>
        </w:rPr>
        <w:t xml:space="preserve">et Irihapeti </w:t>
      </w:r>
      <w:r w:rsidRPr="00126E04">
        <w:rPr>
          <w:smallCaps/>
          <w:lang w:val="en-CA"/>
        </w:rPr>
        <w:t>Ramsden</w:t>
      </w:r>
      <w:r w:rsidRPr="00126E04">
        <w:rPr>
          <w:lang w:val="en-CA"/>
        </w:rPr>
        <w:t>, « Cultural Safety</w:t>
      </w:r>
      <w:r w:rsidR="000A740F" w:rsidRPr="00126E04">
        <w:rPr>
          <w:lang w:val="en-CA"/>
        </w:rPr>
        <w:t xml:space="preserve"> </w:t>
      </w:r>
      <w:r w:rsidRPr="00126E04">
        <w:rPr>
          <w:lang w:val="en-CA"/>
        </w:rPr>
        <w:t xml:space="preserve">in Nursing: The New Zealand Experience », (1996). </w:t>
      </w:r>
      <w:r w:rsidRPr="00126E04">
        <w:rPr>
          <w:i/>
          <w:iCs/>
        </w:rPr>
        <w:t>8</w:t>
      </w:r>
      <w:r w:rsidRPr="00126E04">
        <w:t xml:space="preserve">(5) </w:t>
      </w:r>
      <w:r w:rsidRPr="00126E04">
        <w:rPr>
          <w:i/>
          <w:iCs/>
        </w:rPr>
        <w:t xml:space="preserve">International Journal of </w:t>
      </w:r>
      <w:proofErr w:type="spellStart"/>
      <w:r w:rsidRPr="00126E04">
        <w:rPr>
          <w:i/>
          <w:iCs/>
        </w:rPr>
        <w:t>Quality</w:t>
      </w:r>
      <w:proofErr w:type="spellEnd"/>
      <w:r w:rsidRPr="00126E04">
        <w:rPr>
          <w:i/>
          <w:iCs/>
        </w:rPr>
        <w:t xml:space="preserve"> in </w:t>
      </w:r>
      <w:proofErr w:type="spellStart"/>
      <w:r w:rsidRPr="00126E04">
        <w:rPr>
          <w:i/>
          <w:iCs/>
        </w:rPr>
        <w:t>Health</w:t>
      </w:r>
      <w:proofErr w:type="spellEnd"/>
      <w:r w:rsidRPr="00126E04">
        <w:rPr>
          <w:i/>
          <w:iCs/>
        </w:rPr>
        <w:t xml:space="preserve"> Care</w:t>
      </w:r>
      <w:r w:rsidRPr="00126E04">
        <w:t> 491, 493; I. M. R</w:t>
      </w:r>
      <w:r w:rsidRPr="00126E04">
        <w:rPr>
          <w:smallCaps/>
        </w:rPr>
        <w:t xml:space="preserve">amsden, </w:t>
      </w:r>
      <w:proofErr w:type="spellStart"/>
      <w:r w:rsidRPr="00126E04">
        <w:t>préc</w:t>
      </w:r>
      <w:proofErr w:type="spellEnd"/>
      <w:r w:rsidRPr="00126E04">
        <w:t xml:space="preserve">., note </w:t>
      </w:r>
      <w:r w:rsidR="00C16373" w:rsidRPr="00126E04">
        <w:rPr>
          <w:lang w:val="en-CA"/>
        </w:rPr>
        <w:fldChar w:fldCharType="begin"/>
      </w:r>
      <w:r w:rsidR="00C16373" w:rsidRPr="00126E04">
        <w:instrText xml:space="preserve"> NOTEREF _Ref144467866 \h </w:instrText>
      </w:r>
      <w:r w:rsidR="00C84C0A" w:rsidRPr="00126E04">
        <w:instrText xml:space="preserve"> \* MERGEFORMAT </w:instrText>
      </w:r>
      <w:r w:rsidR="00C16373" w:rsidRPr="00126E04">
        <w:rPr>
          <w:lang w:val="en-CA"/>
        </w:rPr>
      </w:r>
      <w:r w:rsidR="00C16373" w:rsidRPr="00126E04">
        <w:rPr>
          <w:lang w:val="en-CA"/>
        </w:rPr>
        <w:fldChar w:fldCharType="separate"/>
      </w:r>
      <w:r w:rsidR="008A75EF">
        <w:t>10</w:t>
      </w:r>
      <w:r w:rsidR="00C16373" w:rsidRPr="00126E04">
        <w:rPr>
          <w:lang w:val="en-CA"/>
        </w:rPr>
        <w:fldChar w:fldCharType="end"/>
      </w:r>
      <w:r w:rsidRPr="00126E04">
        <w:t xml:space="preserve">, p. 6; Amélie </w:t>
      </w:r>
      <w:r w:rsidRPr="00126E04">
        <w:rPr>
          <w:smallCaps/>
        </w:rPr>
        <w:t xml:space="preserve">Blanchet Garneau </w:t>
      </w:r>
      <w:r w:rsidRPr="00126E04">
        <w:t xml:space="preserve">et Jacinthe </w:t>
      </w:r>
      <w:r w:rsidRPr="00126E04">
        <w:rPr>
          <w:smallCaps/>
        </w:rPr>
        <w:t>Pépin</w:t>
      </w:r>
      <w:r w:rsidRPr="00126E04">
        <w:t xml:space="preserve">, « La sécurité culturelle : une analyse du concept », (2012). </w:t>
      </w:r>
      <w:r w:rsidRPr="00126E04">
        <w:rPr>
          <w:i/>
        </w:rPr>
        <w:t>4</w:t>
      </w:r>
      <w:r w:rsidRPr="00126E04">
        <w:t xml:space="preserve">(111) </w:t>
      </w:r>
      <w:r w:rsidRPr="00126E04">
        <w:rPr>
          <w:i/>
        </w:rPr>
        <w:t>Recherche en soins infirmiers</w:t>
      </w:r>
      <w:r w:rsidRPr="00126E04">
        <w:t xml:space="preserve"> 22, 25.</w:t>
      </w:r>
    </w:p>
  </w:footnote>
  <w:footnote w:id="20">
    <w:p w14:paraId="4AA3106D" w14:textId="22722D10" w:rsidR="00A26955" w:rsidRPr="00126E04" w:rsidRDefault="00A26955" w:rsidP="00202CC7">
      <w:pPr>
        <w:pStyle w:val="notebasde"/>
        <w:tabs>
          <w:tab w:val="left" w:pos="709"/>
        </w:tabs>
        <w:ind w:left="709" w:hanging="709"/>
        <w:jc w:val="left"/>
      </w:pPr>
      <w:r w:rsidRPr="00126E04">
        <w:rPr>
          <w:rStyle w:val="Appelnotedebasdep"/>
        </w:rPr>
        <w:footnoteRef/>
      </w:r>
      <w:r w:rsidRPr="00126E04">
        <w:t xml:space="preserve"> </w:t>
      </w:r>
      <w:r w:rsidRPr="00126E04">
        <w:tab/>
      </w:r>
      <w:bookmarkStart w:id="15" w:name="_Hlk145257967"/>
      <w:r w:rsidR="00FA2B5E" w:rsidRPr="00FA2B5E">
        <w:rPr>
          <w:smallCaps/>
        </w:rPr>
        <w:t>Centre de collaboration nationale de la santé autochtone</w:t>
      </w:r>
      <w:bookmarkEnd w:id="15"/>
      <w:r w:rsidR="00F51778" w:rsidRPr="00126E04">
        <w:t xml:space="preserve">, </w:t>
      </w:r>
      <w:r w:rsidR="00F51778" w:rsidRPr="00126E04">
        <w:rPr>
          <w:i/>
          <w:iCs/>
        </w:rPr>
        <w:t>Un cadre conceptuel pour la mesure de la sécurité culturelle des Autochtones</w:t>
      </w:r>
      <w:r w:rsidR="00F51778" w:rsidRPr="00126E04">
        <w:t xml:space="preserve">, </w:t>
      </w:r>
      <w:r w:rsidR="00FA2B5E" w:rsidRPr="00126E04">
        <w:t xml:space="preserve">Harmony </w:t>
      </w:r>
      <w:r w:rsidR="00FA2B5E" w:rsidRPr="00126E04">
        <w:rPr>
          <w:smallCaps/>
        </w:rPr>
        <w:t>Johnson</w:t>
      </w:r>
      <w:r w:rsidR="00FA2B5E" w:rsidRPr="00126E04">
        <w:t xml:space="preserve"> et Julie </w:t>
      </w:r>
      <w:r w:rsidR="00FA2B5E" w:rsidRPr="00126E04">
        <w:rPr>
          <w:smallCaps/>
        </w:rPr>
        <w:t>Sutherland</w:t>
      </w:r>
      <w:r w:rsidR="00F51778" w:rsidRPr="00126E04">
        <w:t xml:space="preserve">, 2022, </w:t>
      </w:r>
      <w:r w:rsidRPr="00126E04">
        <w:t>p.13</w:t>
      </w:r>
      <w:r w:rsidR="000D4E3E">
        <w:t xml:space="preserve"> et </w:t>
      </w:r>
      <w:r w:rsidRPr="00126E04">
        <w:t xml:space="preserve">14. </w:t>
      </w:r>
    </w:p>
  </w:footnote>
  <w:footnote w:id="21">
    <w:p w14:paraId="58103254" w14:textId="40577482" w:rsidR="006003C7" w:rsidRPr="00126E04" w:rsidRDefault="006003C7" w:rsidP="00202CC7">
      <w:pPr>
        <w:pStyle w:val="notebasde"/>
        <w:tabs>
          <w:tab w:val="left" w:pos="709"/>
        </w:tabs>
        <w:ind w:left="709" w:hanging="709"/>
        <w:jc w:val="left"/>
      </w:pPr>
      <w:r w:rsidRPr="00126E04">
        <w:rPr>
          <w:rStyle w:val="Appelnotedebasdep"/>
        </w:rPr>
        <w:footnoteRef/>
      </w:r>
      <w:r w:rsidRPr="00126E04">
        <w:t xml:space="preserve"> </w:t>
      </w:r>
      <w:r w:rsidRPr="00126E04">
        <w:tab/>
        <w:t>I. M. R</w:t>
      </w:r>
      <w:r w:rsidRPr="00126E04">
        <w:rPr>
          <w:smallCaps/>
        </w:rPr>
        <w:t xml:space="preserve">amsden, </w:t>
      </w:r>
      <w:proofErr w:type="spellStart"/>
      <w:r w:rsidRPr="00126E04">
        <w:t>préc</w:t>
      </w:r>
      <w:proofErr w:type="spellEnd"/>
      <w:r w:rsidRPr="00126E04">
        <w:t xml:space="preserve">., note </w:t>
      </w:r>
      <w:r w:rsidR="00C16373" w:rsidRPr="00126E04">
        <w:rPr>
          <w:lang w:val="en-CA"/>
        </w:rPr>
        <w:fldChar w:fldCharType="begin"/>
      </w:r>
      <w:r w:rsidR="00C16373" w:rsidRPr="00126E04">
        <w:instrText xml:space="preserve"> NOTEREF _Ref144467866 \h </w:instrText>
      </w:r>
      <w:r w:rsidR="00C84C0A" w:rsidRPr="00126E04">
        <w:instrText xml:space="preserve"> \* MERGEFORMAT </w:instrText>
      </w:r>
      <w:r w:rsidR="00C16373" w:rsidRPr="00126E04">
        <w:rPr>
          <w:lang w:val="en-CA"/>
        </w:rPr>
      </w:r>
      <w:r w:rsidR="00C16373" w:rsidRPr="00126E04">
        <w:rPr>
          <w:lang w:val="en-CA"/>
        </w:rPr>
        <w:fldChar w:fldCharType="separate"/>
      </w:r>
      <w:r w:rsidR="008A75EF">
        <w:t>10</w:t>
      </w:r>
      <w:r w:rsidR="00C16373" w:rsidRPr="00126E04">
        <w:rPr>
          <w:lang w:val="en-CA"/>
        </w:rPr>
        <w:fldChar w:fldCharType="end"/>
      </w:r>
      <w:r w:rsidRPr="00126E04">
        <w:t>, p. 6</w:t>
      </w:r>
      <w:r w:rsidR="00523C51" w:rsidRPr="00126E04">
        <w:t> </w:t>
      </w:r>
      <w:r w:rsidRPr="00126E04">
        <w:t>; C.</w:t>
      </w:r>
      <w:r w:rsidR="00270465" w:rsidRPr="00126E04">
        <w:t> </w:t>
      </w:r>
      <w:proofErr w:type="spellStart"/>
      <w:r w:rsidRPr="00126E04">
        <w:rPr>
          <w:smallCaps/>
        </w:rPr>
        <w:t>Chakanyuka</w:t>
      </w:r>
      <w:proofErr w:type="spellEnd"/>
      <w:r w:rsidRPr="00126E04">
        <w:t xml:space="preserve"> et </w:t>
      </w:r>
      <w:r w:rsidRPr="00126E04">
        <w:rPr>
          <w:i/>
          <w:iCs/>
        </w:rPr>
        <w:t>al</w:t>
      </w:r>
      <w:r w:rsidRPr="00126E04">
        <w:t xml:space="preserve">., </w:t>
      </w:r>
      <w:proofErr w:type="spellStart"/>
      <w:r w:rsidRPr="00126E04">
        <w:t>préc</w:t>
      </w:r>
      <w:proofErr w:type="spellEnd"/>
      <w:r w:rsidRPr="00126E04">
        <w:t xml:space="preserve">., note </w:t>
      </w:r>
      <w:r w:rsidR="00E603FB" w:rsidRPr="00126E04">
        <w:fldChar w:fldCharType="begin"/>
      </w:r>
      <w:r w:rsidR="00E603FB" w:rsidRPr="00126E04">
        <w:instrText xml:space="preserve"> NOTEREF _Ref144468084 \h </w:instrText>
      </w:r>
      <w:r w:rsidR="00C84C0A" w:rsidRPr="00126E04">
        <w:instrText xml:space="preserve"> \* MERGEFORMAT </w:instrText>
      </w:r>
      <w:r w:rsidR="00E603FB" w:rsidRPr="00126E04">
        <w:fldChar w:fldCharType="separate"/>
      </w:r>
      <w:r w:rsidR="008A75EF">
        <w:t>12</w:t>
      </w:r>
      <w:r w:rsidR="00E603FB" w:rsidRPr="00126E04">
        <w:fldChar w:fldCharType="end"/>
      </w:r>
      <w:r w:rsidRPr="00126E04">
        <w:t>, p. 12.</w:t>
      </w:r>
    </w:p>
  </w:footnote>
  <w:footnote w:id="22">
    <w:p w14:paraId="2955BBD7" w14:textId="2CE16A0E" w:rsidR="00541728" w:rsidRPr="00126E04" w:rsidRDefault="00541728"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2F3655" w:rsidRPr="00126E04">
        <w:rPr>
          <w:smallCaps/>
        </w:rPr>
        <w:t xml:space="preserve">Christiane Guay, Lisa Ellington et Nadine </w:t>
      </w:r>
      <w:proofErr w:type="spellStart"/>
      <w:r w:rsidR="002F3655" w:rsidRPr="00126E04">
        <w:rPr>
          <w:smallCaps/>
        </w:rPr>
        <w:t>Vollant</w:t>
      </w:r>
      <w:proofErr w:type="spellEnd"/>
      <w:r w:rsidR="002F3655" w:rsidRPr="00126E04">
        <w:rPr>
          <w:smallCaps/>
        </w:rPr>
        <w:t xml:space="preserve">, </w:t>
      </w:r>
      <w:r w:rsidR="002F3655" w:rsidRPr="00126E04">
        <w:rPr>
          <w:i/>
          <w:iCs/>
        </w:rPr>
        <w:t>Pour une pratique culturellement sécuritaire de la protection de la jeunesse en contextes autochtones</w:t>
      </w:r>
      <w:r w:rsidR="002F3655" w:rsidRPr="00126E04">
        <w:t>, Presses de l’</w:t>
      </w:r>
      <w:r w:rsidR="00DE3397">
        <w:t>U</w:t>
      </w:r>
      <w:r w:rsidR="002F3655" w:rsidRPr="00126E04">
        <w:t>niversité du Québec, 2022</w:t>
      </w:r>
      <w:r w:rsidR="00E9280A" w:rsidRPr="00126E04">
        <w:t xml:space="preserve">, p. </w:t>
      </w:r>
      <w:r w:rsidR="0035498B" w:rsidRPr="00126E04">
        <w:t>175.</w:t>
      </w:r>
    </w:p>
  </w:footnote>
  <w:footnote w:id="23">
    <w:p w14:paraId="5913EB5D" w14:textId="450F6411" w:rsidR="00541728" w:rsidRPr="00126E04" w:rsidRDefault="00541728"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iCs/>
        </w:rPr>
        <w:t>Id.</w:t>
      </w:r>
      <w:r w:rsidRPr="00126E04">
        <w:t>, p.</w:t>
      </w:r>
      <w:r w:rsidR="00936C31" w:rsidRPr="00126E04">
        <w:t> </w:t>
      </w:r>
      <w:r w:rsidRPr="00126E04">
        <w:t>176.</w:t>
      </w:r>
    </w:p>
  </w:footnote>
  <w:footnote w:id="24">
    <w:p w14:paraId="1C8A13BD" w14:textId="3E9CB6CB" w:rsidR="004A58DF" w:rsidRPr="00126E04" w:rsidRDefault="004A58DF"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012442">
        <w:rPr>
          <w:smallCaps/>
        </w:rPr>
        <w:t>Assemblée des Premières Nations Québec-Labrador et Commission de la santé et des services sociaux des Premières Nations du Québec et du Labrador</w:t>
      </w:r>
      <w:r w:rsidRPr="00126E04">
        <w:t xml:space="preserve">, </w:t>
      </w:r>
      <w:r w:rsidRPr="00126E04">
        <w:rPr>
          <w:i/>
          <w:iCs/>
        </w:rPr>
        <w:t>Déclaration d’engagement pour assurer le consentement préalable, libre et culturellement éclairé dans les services de santé offerts aux files et aux femmes des Premières Nations au Québec</w:t>
      </w:r>
      <w:r w:rsidRPr="00126E04">
        <w:t>, 2022, p.</w:t>
      </w:r>
      <w:r w:rsidR="008513D7" w:rsidRPr="00126E04">
        <w:t> </w:t>
      </w:r>
      <w:r w:rsidRPr="00126E04">
        <w:t>2.</w:t>
      </w:r>
    </w:p>
  </w:footnote>
  <w:footnote w:id="25">
    <w:p w14:paraId="7F897A5C" w14:textId="7825F645"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5446F3" w:rsidRPr="00126E04">
        <w:rPr>
          <w:smallCaps/>
        </w:rPr>
        <w:t>Commission d’enquête sur les relations entre les autochtones et certains services publics</w:t>
      </w:r>
      <w:r w:rsidR="005446F3" w:rsidRPr="00126E04">
        <w:t xml:space="preserve">, </w:t>
      </w:r>
      <w:r w:rsidR="005446F3" w:rsidRPr="00126E04">
        <w:rPr>
          <w:i/>
          <w:iCs/>
        </w:rPr>
        <w:t>Commission d’enquête sur les relations entre les Autochtones et certains services publics : écoute, réconciliation et progrès</w:t>
      </w:r>
      <w:r w:rsidR="005446F3" w:rsidRPr="00126E04">
        <w:t>, Rapport final, 2019</w:t>
      </w:r>
      <w:r w:rsidRPr="00126E04">
        <w:t>, p.</w:t>
      </w:r>
      <w:r w:rsidR="008513D7" w:rsidRPr="00126E04">
        <w:t> </w:t>
      </w:r>
      <w:r w:rsidRPr="00126E04">
        <w:t>228</w:t>
      </w:r>
      <w:r w:rsidR="004F018D" w:rsidRPr="00126E04">
        <w:t xml:space="preserve"> (c</w:t>
      </w:r>
      <w:r w:rsidR="008D77EB" w:rsidRPr="00126E04">
        <w:t>i-après «</w:t>
      </w:r>
      <w:r w:rsidR="004C1680">
        <w:t> </w:t>
      </w:r>
      <w:r w:rsidR="008D77EB" w:rsidRPr="00126E04">
        <w:t>Commission Viens</w:t>
      </w:r>
      <w:r w:rsidR="004C1680">
        <w:t> </w:t>
      </w:r>
      <w:r w:rsidR="008D77EB" w:rsidRPr="00126E04">
        <w:t>»</w:t>
      </w:r>
      <w:r w:rsidR="004F018D" w:rsidRPr="00126E04">
        <w:t>)</w:t>
      </w:r>
      <w:r w:rsidR="008D77EB" w:rsidRPr="00126E04">
        <w:t>.</w:t>
      </w:r>
    </w:p>
  </w:footnote>
  <w:footnote w:id="26">
    <w:p w14:paraId="582824C4" w14:textId="693CCD45"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Commission Viens, p.</w:t>
      </w:r>
      <w:r w:rsidR="008513D7" w:rsidRPr="00126E04">
        <w:t> </w:t>
      </w:r>
      <w:r w:rsidRPr="00126E04">
        <w:t>228.</w:t>
      </w:r>
    </w:p>
  </w:footnote>
  <w:footnote w:id="27">
    <w:p w14:paraId="17174B19" w14:textId="6365ACE0"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Organisation des Nations Unies</w:t>
      </w:r>
      <w:r w:rsidRPr="00126E04">
        <w:t xml:space="preserve">, </w:t>
      </w:r>
      <w:r w:rsidRPr="00126E04">
        <w:rPr>
          <w:i/>
          <w:iCs/>
        </w:rPr>
        <w:t>Déclaration sur les droits des peuples autochtones des Nations Unies</w:t>
      </w:r>
      <w:r w:rsidRPr="00126E04">
        <w:t>, Doc. N.U. A/RES/61/295 (2007), art.</w:t>
      </w:r>
      <w:r w:rsidR="008513D7" w:rsidRPr="00126E04">
        <w:t> </w:t>
      </w:r>
      <w:r w:rsidRPr="00126E04">
        <w:t>3</w:t>
      </w:r>
      <w:r w:rsidR="00C66C09" w:rsidRPr="00126E04">
        <w:t xml:space="preserve"> (c</w:t>
      </w:r>
      <w:r w:rsidRPr="00126E04">
        <w:t>i-après «</w:t>
      </w:r>
      <w:r w:rsidR="0040512D" w:rsidRPr="00126E04">
        <w:t> </w:t>
      </w:r>
      <w:r w:rsidRPr="00126E04">
        <w:t>DNUDPA</w:t>
      </w:r>
      <w:r w:rsidR="0040512D" w:rsidRPr="00126E04">
        <w:t> </w:t>
      </w:r>
      <w:r w:rsidRPr="00126E04">
        <w:t>»</w:t>
      </w:r>
      <w:r w:rsidR="00C66C09" w:rsidRPr="00126E04">
        <w:t>)</w:t>
      </w:r>
      <w:r w:rsidR="009433AB" w:rsidRPr="00126E04">
        <w:t>.</w:t>
      </w:r>
      <w:r w:rsidRPr="00126E04">
        <w:t xml:space="preserve"> Le Canada a appuyé la Déclaration le 10</w:t>
      </w:r>
      <w:r w:rsidR="00D16581" w:rsidRPr="00126E04">
        <w:t> </w:t>
      </w:r>
      <w:r w:rsidRPr="00126E04">
        <w:t>mai 2016</w:t>
      </w:r>
      <w:r w:rsidR="00720EF0">
        <w:t> </w:t>
      </w:r>
      <w:r w:rsidR="00B426A5" w:rsidRPr="00126E04">
        <w:t>;</w:t>
      </w:r>
      <w:r w:rsidRPr="00126E04">
        <w:t xml:space="preserve"> G</w:t>
      </w:r>
      <w:r w:rsidRPr="00126E04">
        <w:rPr>
          <w:smallCaps/>
        </w:rPr>
        <w:t>ouvernement du Canada</w:t>
      </w:r>
      <w:r w:rsidRPr="00126E04">
        <w:t>, «</w:t>
      </w:r>
      <w:r w:rsidR="0040512D" w:rsidRPr="00126E04">
        <w:t> </w:t>
      </w:r>
      <w:r w:rsidRPr="00126E04">
        <w:t xml:space="preserve">Le Canada appuie maintenant la </w:t>
      </w:r>
      <w:r w:rsidRPr="00096AE0">
        <w:t>Déclaration des Nations Unies sur les droits des peuples autochtones</w:t>
      </w:r>
      <w:r w:rsidRPr="00126E04">
        <w:t xml:space="preserve"> sans réserve</w:t>
      </w:r>
      <w:r w:rsidR="00220DC8" w:rsidRPr="00126E04">
        <w:t> </w:t>
      </w:r>
      <w:r w:rsidRPr="00126E04">
        <w:t xml:space="preserve">», </w:t>
      </w:r>
      <w:r w:rsidR="005226F5">
        <w:t>C</w:t>
      </w:r>
      <w:r w:rsidRPr="00126E04">
        <w:t>ommuniqué, 10</w:t>
      </w:r>
      <w:r w:rsidR="00C960B5" w:rsidRPr="00126E04">
        <w:t> </w:t>
      </w:r>
      <w:r w:rsidRPr="00126E04">
        <w:t>mai 2016</w:t>
      </w:r>
      <w:r w:rsidR="009D76AE" w:rsidRPr="00126E04">
        <w:t>.</w:t>
      </w:r>
    </w:p>
  </w:footnote>
  <w:footnote w:id="28">
    <w:p w14:paraId="73A8B407" w14:textId="5781DF03"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Commission Viens, p.</w:t>
      </w:r>
      <w:r w:rsidR="008513D7" w:rsidRPr="00126E04">
        <w:t> </w:t>
      </w:r>
      <w:r w:rsidRPr="00126E04">
        <w:t>227.</w:t>
      </w:r>
    </w:p>
  </w:footnote>
  <w:footnote w:id="29">
    <w:p w14:paraId="2A0F685B" w14:textId="401EED2F"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Conseil des Atikamekw de Manawan</w:t>
      </w:r>
      <w:r w:rsidRPr="00126E04">
        <w:t xml:space="preserve"> et </w:t>
      </w:r>
      <w:r w:rsidRPr="00126E04">
        <w:rPr>
          <w:smallCaps/>
        </w:rPr>
        <w:t>Conseil de la Nation Atikamekw</w:t>
      </w:r>
      <w:r w:rsidRPr="00126E04">
        <w:t xml:space="preserve">, </w:t>
      </w:r>
      <w:r w:rsidR="00722AB1" w:rsidRPr="004B1D09">
        <w:rPr>
          <w:i/>
          <w:iCs/>
        </w:rPr>
        <w:t xml:space="preserve">Atikamekw </w:t>
      </w:r>
      <w:proofErr w:type="spellStart"/>
      <w:r w:rsidR="00722AB1" w:rsidRPr="004B1D09">
        <w:rPr>
          <w:i/>
          <w:iCs/>
        </w:rPr>
        <w:t>Nehirowisiw</w:t>
      </w:r>
      <w:proofErr w:type="spellEnd"/>
      <w:r w:rsidR="00722AB1" w:rsidRPr="00126E04">
        <w:t xml:space="preserve">, </w:t>
      </w:r>
      <w:r w:rsidRPr="007B5D21">
        <w:rPr>
          <w:i/>
          <w:iCs/>
        </w:rPr>
        <w:t xml:space="preserve">Principe de Joyce, </w:t>
      </w:r>
      <w:r w:rsidR="00292108" w:rsidRPr="007B5D21">
        <w:rPr>
          <w:i/>
          <w:iCs/>
        </w:rPr>
        <w:t>Mémoire présenté par le Conseil des Atikamekw de Manawan et le Conseil de la Nation Atikamekw</w:t>
      </w:r>
      <w:r w:rsidR="00E67B31" w:rsidRPr="007B5D21">
        <w:rPr>
          <w:i/>
          <w:iCs/>
        </w:rPr>
        <w:t xml:space="preserve"> - </w:t>
      </w:r>
      <w:r w:rsidRPr="007B5D21">
        <w:rPr>
          <w:i/>
          <w:iCs/>
        </w:rPr>
        <w:t>présenté au Gouvernement du Canada et au Gouvernement du Québec</w:t>
      </w:r>
      <w:r w:rsidRPr="00126E04">
        <w:t>, 2020, p.</w:t>
      </w:r>
      <w:r w:rsidR="008513D7" w:rsidRPr="00126E04">
        <w:t> </w:t>
      </w:r>
      <w:r w:rsidRPr="00126E04">
        <w:t>10.</w:t>
      </w:r>
    </w:p>
  </w:footnote>
  <w:footnote w:id="30">
    <w:p w14:paraId="2C232F9F" w14:textId="77777777"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C</w:t>
      </w:r>
      <w:r w:rsidRPr="00126E04">
        <w:rPr>
          <w:smallCaps/>
        </w:rPr>
        <w:t>ommission des droits de la personne,</w:t>
      </w:r>
      <w:r w:rsidRPr="00126E04">
        <w:t xml:space="preserve"> </w:t>
      </w:r>
      <w:r w:rsidRPr="005226F5">
        <w:rPr>
          <w:i/>
          <w:iCs/>
        </w:rPr>
        <w:t>Mémoire sur l’avenir politique et constitutionnel du Québec</w:t>
      </w:r>
      <w:r w:rsidRPr="00126E04">
        <w:t>, 1990, p. 19.</w:t>
      </w:r>
    </w:p>
  </w:footnote>
  <w:footnote w:id="31">
    <w:p w14:paraId="5CE6A1F4" w14:textId="372E12D4" w:rsidR="004248FF" w:rsidRPr="00126E04" w:rsidRDefault="004248FF" w:rsidP="00202CC7">
      <w:pPr>
        <w:pStyle w:val="notebasde"/>
        <w:tabs>
          <w:tab w:val="left" w:pos="709"/>
        </w:tabs>
        <w:ind w:left="709" w:hanging="709"/>
        <w:jc w:val="left"/>
      </w:pPr>
      <w:r w:rsidRPr="00126E04">
        <w:rPr>
          <w:rStyle w:val="Appelnotedebasdep"/>
        </w:rPr>
        <w:footnoteRef/>
      </w:r>
      <w:r w:rsidRPr="00126E04">
        <w:rPr>
          <w:vertAlign w:val="superscript"/>
        </w:rPr>
        <w:t xml:space="preserve"> </w:t>
      </w:r>
      <w:r w:rsidRPr="00126E04">
        <w:tab/>
      </w:r>
      <w:r w:rsidRPr="00126E04">
        <w:rPr>
          <w:smallCaps/>
        </w:rPr>
        <w:t>Commission des droits de la personne</w:t>
      </w:r>
      <w:r w:rsidRPr="00126E04">
        <w:t xml:space="preserve">, </w:t>
      </w:r>
      <w:r w:rsidRPr="00126E04">
        <w:rPr>
          <w:i/>
          <w:iCs/>
        </w:rPr>
        <w:t>Mémoire présenté à la Commission royale sur les peuples autochtones</w:t>
      </w:r>
      <w:r w:rsidRPr="00126E04">
        <w:t>, 1993, p.</w:t>
      </w:r>
      <w:r w:rsidR="008513D7" w:rsidRPr="00126E04">
        <w:t> </w:t>
      </w:r>
      <w:r w:rsidRPr="00126E04">
        <w:t xml:space="preserve">41 et </w:t>
      </w:r>
      <w:proofErr w:type="spellStart"/>
      <w:r w:rsidRPr="00126E04">
        <w:t>suiv</w:t>
      </w:r>
      <w:proofErr w:type="spellEnd"/>
      <w:r w:rsidRPr="00126E04">
        <w:t>. Ajoutons qu’e</w:t>
      </w:r>
      <w:r w:rsidRPr="00126E04">
        <w:rPr>
          <w:lang w:val="fr-FR"/>
        </w:rPr>
        <w:t>n 2003, dans son Bilan et recommandations : Après 25 ans la Charte québécoise des droits et libertés, la Commission a recommandé que «</w:t>
      </w:r>
      <w:r w:rsidR="00220DC8" w:rsidRPr="00126E04">
        <w:rPr>
          <w:lang w:val="fr-FR"/>
        </w:rPr>
        <w:t> </w:t>
      </w:r>
      <w:r w:rsidRPr="00126E04">
        <w:rPr>
          <w:lang w:val="fr-FR"/>
        </w:rPr>
        <w:t xml:space="preserve">[…] la Charte énonce que le Québec, reconnaît, dans l’exercice de ses compétences constitutionnelles, le droit des peuples autochtones </w:t>
      </w:r>
      <w:r w:rsidRPr="00126E04">
        <w:rPr>
          <w:bCs/>
        </w:rPr>
        <w:t>à l’autodétermination, ainsi que l’obligation de définir leurs droits spécifiques en concertation avec eux.</w:t>
      </w:r>
      <w:r w:rsidR="00220DC8" w:rsidRPr="00126E04">
        <w:rPr>
          <w:bCs/>
        </w:rPr>
        <w:t> </w:t>
      </w:r>
      <w:r w:rsidRPr="00126E04">
        <w:rPr>
          <w:bCs/>
        </w:rPr>
        <w:t>»</w:t>
      </w:r>
      <w:r w:rsidR="00E33E35" w:rsidRPr="00126E04">
        <w:rPr>
          <w:bCs/>
        </w:rPr>
        <w:t>,</w:t>
      </w:r>
      <w:r w:rsidRPr="00126E04">
        <w:rPr>
          <w:bCs/>
        </w:rPr>
        <w:t xml:space="preserve"> </w:t>
      </w:r>
      <w:r w:rsidRPr="00126E04">
        <w:rPr>
          <w:smallCaps/>
        </w:rPr>
        <w:t>Commission des droits de la personne et des droits de la jeunesse</w:t>
      </w:r>
      <w:r w:rsidRPr="00126E04">
        <w:t xml:space="preserve">, </w:t>
      </w:r>
      <w:r w:rsidRPr="00126E04">
        <w:rPr>
          <w:i/>
          <w:iCs/>
        </w:rPr>
        <w:t>Après 25</w:t>
      </w:r>
      <w:r w:rsidR="00C270F3" w:rsidRPr="00126E04">
        <w:rPr>
          <w:i/>
          <w:iCs/>
        </w:rPr>
        <w:t> </w:t>
      </w:r>
      <w:r w:rsidRPr="00126E04">
        <w:rPr>
          <w:i/>
          <w:iCs/>
        </w:rPr>
        <w:t>ans. La Charte québécoise des droits et libertés, Volume</w:t>
      </w:r>
      <w:r w:rsidR="008513D7" w:rsidRPr="00126E04">
        <w:rPr>
          <w:i/>
          <w:iCs/>
        </w:rPr>
        <w:t> </w:t>
      </w:r>
      <w:r w:rsidRPr="00126E04">
        <w:rPr>
          <w:i/>
          <w:iCs/>
        </w:rPr>
        <w:t>1. Bilan et recommandations</w:t>
      </w:r>
      <w:r w:rsidRPr="00126E04">
        <w:t xml:space="preserve">, 2003, </w:t>
      </w:r>
      <w:r w:rsidRPr="00126E04">
        <w:rPr>
          <w:bCs/>
        </w:rPr>
        <w:t>Recommandation</w:t>
      </w:r>
      <w:r w:rsidR="008513D7" w:rsidRPr="00126E04">
        <w:rPr>
          <w:bCs/>
        </w:rPr>
        <w:t> </w:t>
      </w:r>
      <w:r w:rsidRPr="00126E04">
        <w:rPr>
          <w:bCs/>
        </w:rPr>
        <w:t xml:space="preserve">14, </w:t>
      </w:r>
      <w:r w:rsidRPr="00126E04">
        <w:t>p.</w:t>
      </w:r>
      <w:r w:rsidR="008513D7" w:rsidRPr="00126E04">
        <w:t> </w:t>
      </w:r>
      <w:r w:rsidRPr="00126E04">
        <w:t>71.</w:t>
      </w:r>
    </w:p>
  </w:footnote>
  <w:footnote w:id="32">
    <w:p w14:paraId="01B18852" w14:textId="5B2AFA8D" w:rsidR="00A3288F" w:rsidRDefault="00A3288F" w:rsidP="00A3288F">
      <w:pPr>
        <w:pStyle w:val="Notedebasdepage"/>
        <w:spacing w:after="120" w:line="240" w:lineRule="auto"/>
      </w:pPr>
      <w:r>
        <w:rPr>
          <w:rStyle w:val="Appelnotedebasdep"/>
        </w:rPr>
        <w:footnoteRef/>
      </w:r>
      <w:r>
        <w:t xml:space="preserve"> </w:t>
      </w:r>
      <w:r>
        <w:tab/>
      </w:r>
      <w:r w:rsidRPr="00A3288F">
        <w:rPr>
          <w:sz w:val="18"/>
          <w:szCs w:val="18"/>
        </w:rPr>
        <w:t>Ci-après «</w:t>
      </w:r>
      <w:r w:rsidR="006F5813">
        <w:rPr>
          <w:sz w:val="18"/>
          <w:szCs w:val="18"/>
        </w:rPr>
        <w:t> </w:t>
      </w:r>
      <w:r w:rsidRPr="00A3288F">
        <w:rPr>
          <w:sz w:val="18"/>
          <w:szCs w:val="18"/>
        </w:rPr>
        <w:t>DPJ</w:t>
      </w:r>
      <w:r w:rsidR="006F5813">
        <w:rPr>
          <w:sz w:val="18"/>
          <w:szCs w:val="18"/>
        </w:rPr>
        <w:t> </w:t>
      </w:r>
      <w:r>
        <w:rPr>
          <w:sz w:val="18"/>
          <w:szCs w:val="18"/>
        </w:rPr>
        <w:t>»</w:t>
      </w:r>
      <w:r w:rsidRPr="00A3288F">
        <w:rPr>
          <w:sz w:val="18"/>
          <w:szCs w:val="18"/>
        </w:rPr>
        <w:t>.</w:t>
      </w:r>
    </w:p>
  </w:footnote>
  <w:footnote w:id="33">
    <w:p w14:paraId="16DFFA84" w14:textId="30716521" w:rsidR="004248FF" w:rsidRPr="00126E04" w:rsidRDefault="004248FF" w:rsidP="00202CC7">
      <w:pPr>
        <w:pStyle w:val="notebasde"/>
        <w:tabs>
          <w:tab w:val="left" w:pos="709"/>
        </w:tabs>
        <w:ind w:left="709" w:hanging="709"/>
        <w:jc w:val="left"/>
      </w:pPr>
      <w:r w:rsidRPr="00126E04">
        <w:rPr>
          <w:rStyle w:val="Appelnotedebasdep"/>
        </w:rPr>
        <w:footnoteRef/>
      </w:r>
      <w:r w:rsidRPr="00126E04">
        <w:rPr>
          <w:vertAlign w:val="superscript"/>
        </w:rPr>
        <w:t xml:space="preserve"> </w:t>
      </w:r>
      <w:r w:rsidRPr="00126E04">
        <w:tab/>
      </w:r>
      <w:r w:rsidR="00830E17" w:rsidRPr="00126E04">
        <w:rPr>
          <w:smallCaps/>
        </w:rPr>
        <w:t>C</w:t>
      </w:r>
      <w:r w:rsidRPr="00126E04">
        <w:rPr>
          <w:smallCaps/>
        </w:rPr>
        <w:t>ommission des droits de la personne et des droits de la jeunesse</w:t>
      </w:r>
      <w:r w:rsidRPr="00126E04">
        <w:t xml:space="preserve">, </w:t>
      </w:r>
      <w:r w:rsidR="00132536" w:rsidRPr="00126E04">
        <w:rPr>
          <w:i/>
          <w:iCs/>
        </w:rPr>
        <w:t>Mémoire à la Commission spéciale sur les droits des enfants et la protection de la jeunesse</w:t>
      </w:r>
      <w:r w:rsidR="00132536" w:rsidRPr="00126E04">
        <w:t>, (Cat. 2.211.5), 2020</w:t>
      </w:r>
      <w:r w:rsidRPr="00126E04">
        <w:t>, p. 45. Voir particulièrement la recommandation 13.</w:t>
      </w:r>
    </w:p>
  </w:footnote>
  <w:footnote w:id="34">
    <w:p w14:paraId="1F292BAE" w14:textId="2A25965F" w:rsidR="004248FF" w:rsidRPr="00126E04" w:rsidRDefault="004248FF" w:rsidP="00202CC7">
      <w:pPr>
        <w:pStyle w:val="notebasde"/>
        <w:tabs>
          <w:tab w:val="left" w:pos="709"/>
        </w:tabs>
        <w:ind w:left="709" w:hanging="709"/>
        <w:jc w:val="left"/>
      </w:pPr>
      <w:r w:rsidRPr="00126E04">
        <w:rPr>
          <w:rStyle w:val="Appelnotedebasdep"/>
        </w:rPr>
        <w:footnoteRef/>
      </w:r>
      <w:r w:rsidRPr="00126E04">
        <w:rPr>
          <w:vertAlign w:val="superscript"/>
        </w:rPr>
        <w:t xml:space="preserve"> </w:t>
      </w:r>
      <w:r w:rsidRPr="00126E04">
        <w:tab/>
      </w:r>
      <w:r w:rsidR="0078425A" w:rsidRPr="00126E04">
        <w:rPr>
          <w:i/>
          <w:iCs/>
        </w:rPr>
        <w:t>Id.</w:t>
      </w:r>
      <w:r w:rsidR="006A7153" w:rsidRPr="00126E04">
        <w:t>,</w:t>
      </w:r>
      <w:r w:rsidRPr="00126E04">
        <w:t xml:space="preserve"> p. 174 et </w:t>
      </w:r>
      <w:proofErr w:type="spellStart"/>
      <w:r w:rsidRPr="00126E04">
        <w:t>suiv</w:t>
      </w:r>
      <w:proofErr w:type="spellEnd"/>
      <w:r w:rsidR="0036375A" w:rsidRPr="00126E04">
        <w:t xml:space="preserve">. </w:t>
      </w:r>
      <w:r w:rsidR="003B6F96" w:rsidRPr="00126E04">
        <w:t>c</w:t>
      </w:r>
      <w:r w:rsidRPr="00126E04">
        <w:t xml:space="preserve">itant notamment le </w:t>
      </w:r>
      <w:r w:rsidRPr="00126E04">
        <w:rPr>
          <w:smallCaps/>
        </w:rPr>
        <w:t>Comité des droits de l’enfant</w:t>
      </w:r>
      <w:r w:rsidRPr="00126E04">
        <w:t xml:space="preserve">, </w:t>
      </w:r>
      <w:r w:rsidRPr="00126E04">
        <w:rPr>
          <w:i/>
          <w:iCs/>
        </w:rPr>
        <w:t>Observation générale n°</w:t>
      </w:r>
      <w:r w:rsidR="008513D7" w:rsidRPr="00126E04">
        <w:rPr>
          <w:i/>
          <w:iCs/>
        </w:rPr>
        <w:t> </w:t>
      </w:r>
      <w:r w:rsidRPr="00126E04">
        <w:rPr>
          <w:i/>
          <w:iCs/>
        </w:rPr>
        <w:t>11 (2009) sur les enfants autochtones et leurs droits en vertu de la Convention</w:t>
      </w:r>
      <w:r w:rsidRPr="00126E04">
        <w:t>, Doc. N.U.</w:t>
      </w:r>
      <w:r w:rsidR="00270465" w:rsidRPr="00126E04">
        <w:t> </w:t>
      </w:r>
      <w:r w:rsidRPr="00126E04">
        <w:t>CRC/C/GC/11, par.</w:t>
      </w:r>
      <w:r w:rsidR="008F5BFE" w:rsidRPr="00126E04">
        <w:t xml:space="preserve"> </w:t>
      </w:r>
      <w:r w:rsidRPr="00126E04">
        <w:t>32</w:t>
      </w:r>
      <w:r w:rsidR="00E00B80">
        <w:t> </w:t>
      </w:r>
      <w:r w:rsidR="005430F3" w:rsidRPr="00126E04">
        <w:t xml:space="preserve">; </w:t>
      </w:r>
      <w:r w:rsidRPr="00126E04">
        <w:rPr>
          <w:smallCaps/>
        </w:rPr>
        <w:t xml:space="preserve">Assemblée des </w:t>
      </w:r>
      <w:r w:rsidR="008261C1" w:rsidRPr="00126E04">
        <w:rPr>
          <w:smallCaps/>
        </w:rPr>
        <w:t>P</w:t>
      </w:r>
      <w:r w:rsidRPr="00126E04">
        <w:rPr>
          <w:smallCaps/>
        </w:rPr>
        <w:t xml:space="preserve">remières </w:t>
      </w:r>
      <w:r w:rsidR="00B05DDC" w:rsidRPr="00126E04">
        <w:rPr>
          <w:smallCaps/>
        </w:rPr>
        <w:t>N</w:t>
      </w:r>
      <w:r w:rsidRPr="00126E04">
        <w:rPr>
          <w:smallCaps/>
        </w:rPr>
        <w:t>ations du Québec-Labrador</w:t>
      </w:r>
      <w:r w:rsidRPr="00126E04">
        <w:t xml:space="preserve">, </w:t>
      </w:r>
      <w:r w:rsidRPr="00126E04">
        <w:rPr>
          <w:i/>
          <w:iCs/>
        </w:rPr>
        <w:t>Déclaration sur les droits des enfants des Premières Nations</w:t>
      </w:r>
      <w:r w:rsidRPr="00126E04">
        <w:t>, art. 12.</w:t>
      </w:r>
    </w:p>
  </w:footnote>
  <w:footnote w:id="35">
    <w:p w14:paraId="097D6C82" w14:textId="09F3E267" w:rsidR="004248FF" w:rsidRPr="00126E04" w:rsidRDefault="004248FF" w:rsidP="00202CC7">
      <w:pPr>
        <w:pStyle w:val="notebasde"/>
        <w:tabs>
          <w:tab w:val="left" w:pos="709"/>
        </w:tabs>
        <w:ind w:left="709" w:hanging="709"/>
        <w:jc w:val="left"/>
      </w:pPr>
      <w:r w:rsidRPr="00126E04">
        <w:rPr>
          <w:rStyle w:val="Appelnotedebasdep"/>
        </w:rPr>
        <w:footnoteRef/>
      </w:r>
      <w:r w:rsidRPr="00126E04">
        <w:rPr>
          <w:vertAlign w:val="superscript"/>
        </w:rPr>
        <w:t xml:space="preserve"> </w:t>
      </w:r>
      <w:r w:rsidRPr="00126E04">
        <w:tab/>
      </w:r>
      <w:r w:rsidRPr="00126E04">
        <w:rPr>
          <w:smallCaps/>
        </w:rPr>
        <w:t>Commission des droits de la personne et des droits de la jeunesse</w:t>
      </w:r>
      <w:r w:rsidRPr="00126E04">
        <w:t xml:space="preserve">, </w:t>
      </w:r>
      <w:r w:rsidRPr="00376F46">
        <w:rPr>
          <w:i/>
          <w:iCs/>
        </w:rPr>
        <w:t>Mémoire à la Commission de la santé et des services sociaux de l’Assemblée nationale</w:t>
      </w:r>
      <w:r w:rsidR="00B13434" w:rsidRPr="00376F46">
        <w:rPr>
          <w:i/>
          <w:iCs/>
        </w:rPr>
        <w:t xml:space="preserve">, </w:t>
      </w:r>
      <w:r w:rsidRPr="00376F46">
        <w:rPr>
          <w:i/>
          <w:iCs/>
        </w:rPr>
        <w:t>Projet de loi n°</w:t>
      </w:r>
      <w:r w:rsidR="008513D7" w:rsidRPr="00376F46">
        <w:rPr>
          <w:i/>
          <w:iCs/>
        </w:rPr>
        <w:t> </w:t>
      </w:r>
      <w:r w:rsidRPr="00376F46">
        <w:rPr>
          <w:i/>
          <w:iCs/>
        </w:rPr>
        <w:t>15, Loi modifiant la Loi sur la protection de la jeunesse et d’autres dispositions législatives</w:t>
      </w:r>
      <w:r w:rsidRPr="00126E04">
        <w:t>, (Cat. 2.412.101.3), 2022.</w:t>
      </w:r>
    </w:p>
  </w:footnote>
  <w:footnote w:id="36">
    <w:p w14:paraId="5EB3F81C" w14:textId="5DF4C46B"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DNUDPA, art.</w:t>
      </w:r>
      <w:r w:rsidR="008513D7" w:rsidRPr="00126E04">
        <w:t> </w:t>
      </w:r>
      <w:r w:rsidRPr="00126E04">
        <w:t>23.</w:t>
      </w:r>
    </w:p>
  </w:footnote>
  <w:footnote w:id="37">
    <w:p w14:paraId="39423A7D" w14:textId="758CA4D8"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Commission Viens, appel à l’action n</w:t>
      </w:r>
      <w:r w:rsidRPr="00126E04">
        <w:rPr>
          <w:vertAlign w:val="superscript"/>
        </w:rPr>
        <w:t>o</w:t>
      </w:r>
      <w:r w:rsidR="008513D7" w:rsidRPr="00126E04">
        <w:t> </w:t>
      </w:r>
      <w:r w:rsidRPr="00126E04">
        <w:t>3.</w:t>
      </w:r>
    </w:p>
  </w:footnote>
  <w:footnote w:id="38">
    <w:p w14:paraId="3CCAB1F7" w14:textId="2EF7477F" w:rsidR="004248FF" w:rsidRPr="00695E90" w:rsidRDefault="004248FF" w:rsidP="00695E90">
      <w:pPr>
        <w:pStyle w:val="Notedebasdepage"/>
        <w:tabs>
          <w:tab w:val="left" w:pos="709"/>
        </w:tabs>
        <w:spacing w:after="120" w:line="240" w:lineRule="auto"/>
        <w:ind w:left="709" w:hanging="709"/>
        <w:rPr>
          <w:sz w:val="18"/>
          <w:szCs w:val="18"/>
        </w:rPr>
      </w:pPr>
      <w:r w:rsidRPr="00126E04">
        <w:rPr>
          <w:rStyle w:val="Appelnotedebasdep"/>
        </w:rPr>
        <w:footnoteRef/>
      </w:r>
      <w:r w:rsidRPr="00126E04">
        <w:t xml:space="preserve"> </w:t>
      </w:r>
      <w:r w:rsidRPr="00126E04">
        <w:tab/>
      </w:r>
      <w:r w:rsidRPr="00695E90">
        <w:rPr>
          <w:smallCaps/>
          <w:sz w:val="18"/>
          <w:szCs w:val="18"/>
        </w:rPr>
        <w:t>Gouvernement du Québec</w:t>
      </w:r>
      <w:r w:rsidRPr="00695E90">
        <w:rPr>
          <w:sz w:val="18"/>
          <w:szCs w:val="18"/>
        </w:rPr>
        <w:t xml:space="preserve">, </w:t>
      </w:r>
      <w:r w:rsidRPr="00695E90">
        <w:rPr>
          <w:i/>
          <w:iCs/>
          <w:sz w:val="18"/>
          <w:szCs w:val="18"/>
        </w:rPr>
        <w:t>Tableau de suivi des réponses aux appels à l’action de la Commission d’enquête sur les relations entre les Autochtones et certains services publics</w:t>
      </w:r>
      <w:r w:rsidR="00110E65" w:rsidRPr="00695E90">
        <w:rPr>
          <w:i/>
          <w:iCs/>
          <w:sz w:val="18"/>
          <w:szCs w:val="18"/>
        </w:rPr>
        <w:t xml:space="preserve"> </w:t>
      </w:r>
      <w:r w:rsidR="009D5BA8" w:rsidRPr="00695E90">
        <w:rPr>
          <w:i/>
          <w:iCs/>
          <w:sz w:val="18"/>
          <w:szCs w:val="18"/>
        </w:rPr>
        <w:t>—</w:t>
      </w:r>
      <w:r w:rsidR="00110E65" w:rsidRPr="00695E90">
        <w:rPr>
          <w:i/>
          <w:iCs/>
          <w:sz w:val="18"/>
          <w:szCs w:val="18"/>
        </w:rPr>
        <w:t xml:space="preserve"> R</w:t>
      </w:r>
      <w:r w:rsidRPr="00695E90">
        <w:rPr>
          <w:i/>
          <w:iCs/>
          <w:sz w:val="18"/>
          <w:szCs w:val="18"/>
        </w:rPr>
        <w:t>apport d’étape</w:t>
      </w:r>
      <w:r w:rsidRPr="00695E90">
        <w:rPr>
          <w:sz w:val="18"/>
          <w:szCs w:val="18"/>
        </w:rPr>
        <w:t>, 2022, p.</w:t>
      </w:r>
      <w:r w:rsidR="008513D7" w:rsidRPr="00695E90">
        <w:rPr>
          <w:sz w:val="18"/>
          <w:szCs w:val="18"/>
        </w:rPr>
        <w:t> </w:t>
      </w:r>
      <w:r w:rsidRPr="00695E90">
        <w:rPr>
          <w:sz w:val="18"/>
          <w:szCs w:val="18"/>
        </w:rPr>
        <w:t>1.</w:t>
      </w:r>
    </w:p>
  </w:footnote>
  <w:footnote w:id="39">
    <w:p w14:paraId="471A216E" w14:textId="67C6E03D"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Rapporteur spécial des Nations Unies sur les droits des peuples autochtones</w:t>
      </w:r>
      <w:r w:rsidRPr="00126E04">
        <w:t xml:space="preserve">, </w:t>
      </w:r>
      <w:r w:rsidRPr="00126E04">
        <w:rPr>
          <w:i/>
          <w:iCs/>
        </w:rPr>
        <w:t>Visite de pays officielle au Canada, 1-10</w:t>
      </w:r>
      <w:r w:rsidR="00C960B5" w:rsidRPr="00126E04">
        <w:rPr>
          <w:i/>
          <w:iCs/>
        </w:rPr>
        <w:t> </w:t>
      </w:r>
      <w:r w:rsidRPr="00126E04">
        <w:rPr>
          <w:i/>
          <w:iCs/>
        </w:rPr>
        <w:t>mars 2023, Déclaration de fin de mission</w:t>
      </w:r>
      <w:r w:rsidRPr="00126E04">
        <w:t>, 2023, p.</w:t>
      </w:r>
      <w:r w:rsidR="008513D7" w:rsidRPr="00126E04">
        <w:t> </w:t>
      </w:r>
      <w:r w:rsidRPr="00126E04">
        <w:t>2.</w:t>
      </w:r>
    </w:p>
  </w:footnote>
  <w:footnote w:id="40">
    <w:p w14:paraId="6477D796" w14:textId="5168EF09" w:rsidR="003B55BF" w:rsidRPr="00126E04" w:rsidRDefault="00374D1A"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F32120" w:rsidRPr="00126E04">
        <w:rPr>
          <w:smallCaps/>
        </w:rPr>
        <w:t>Commission des droits de la personne et des droits de la jeunesse</w:t>
      </w:r>
      <w:r w:rsidR="00F32120" w:rsidRPr="00126E04">
        <w:t xml:space="preserve">, </w:t>
      </w:r>
      <w:r w:rsidR="006B2EE3" w:rsidRPr="00376F46">
        <w:rPr>
          <w:i/>
          <w:iCs/>
        </w:rPr>
        <w:t xml:space="preserve">Déclaration de la </w:t>
      </w:r>
      <w:r w:rsidR="003D1789" w:rsidRPr="00376F46">
        <w:rPr>
          <w:i/>
          <w:iCs/>
        </w:rPr>
        <w:t>C</w:t>
      </w:r>
      <w:r w:rsidR="006B2EE3" w:rsidRPr="00376F46">
        <w:rPr>
          <w:i/>
          <w:iCs/>
        </w:rPr>
        <w:t>ommission des droits de la personne et des droits de la jeunesse sur la déclaration sur les droits des peuples autochtones pour une pleine reconnaissance des droits des peuples autochtones au Canada</w:t>
      </w:r>
      <w:r w:rsidR="006B2EE3" w:rsidRPr="00126E04">
        <w:t xml:space="preserve">, </w:t>
      </w:r>
      <w:r w:rsidR="002C55B4" w:rsidRPr="00126E04">
        <w:t>(</w:t>
      </w:r>
      <w:r w:rsidR="00270350" w:rsidRPr="00126E04">
        <w:t>Cat. 2.600.225</w:t>
      </w:r>
      <w:r w:rsidR="002C55B4" w:rsidRPr="00126E04">
        <w:t>)</w:t>
      </w:r>
      <w:r w:rsidR="00270350" w:rsidRPr="00126E04">
        <w:t xml:space="preserve">, </w:t>
      </w:r>
      <w:r w:rsidR="006B2EE3" w:rsidRPr="00126E04">
        <w:t>201</w:t>
      </w:r>
      <w:r w:rsidR="00002F8D" w:rsidRPr="00126E04">
        <w:t>0</w:t>
      </w:r>
      <w:r w:rsidR="00270350" w:rsidRPr="00126E04">
        <w:t>.</w:t>
      </w:r>
    </w:p>
  </w:footnote>
  <w:footnote w:id="41">
    <w:p w14:paraId="5081447D" w14:textId="24907693"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C. </w:t>
      </w:r>
      <w:proofErr w:type="spellStart"/>
      <w:r w:rsidRPr="00126E04">
        <w:rPr>
          <w:smallCaps/>
        </w:rPr>
        <w:t>Chakanyuka</w:t>
      </w:r>
      <w:proofErr w:type="spellEnd"/>
      <w:r w:rsidRPr="00126E04">
        <w:t xml:space="preserve"> et </w:t>
      </w:r>
      <w:r w:rsidRPr="00126E04">
        <w:rPr>
          <w:i/>
          <w:iCs/>
        </w:rPr>
        <w:t>al</w:t>
      </w:r>
      <w:r w:rsidRPr="00126E04">
        <w:t xml:space="preserve">., </w:t>
      </w:r>
      <w:proofErr w:type="spellStart"/>
      <w:r w:rsidRPr="00126E04">
        <w:t>préc</w:t>
      </w:r>
      <w:proofErr w:type="spellEnd"/>
      <w:r w:rsidRPr="00126E04">
        <w:t xml:space="preserve">., note </w:t>
      </w:r>
      <w:r w:rsidR="00E603FB" w:rsidRPr="00126E04">
        <w:fldChar w:fldCharType="begin"/>
      </w:r>
      <w:r w:rsidR="00E603FB" w:rsidRPr="00126E04">
        <w:instrText xml:space="preserve"> NOTEREF _Ref144468084 \h </w:instrText>
      </w:r>
      <w:r w:rsidR="00C84C0A" w:rsidRPr="00126E04">
        <w:instrText xml:space="preserve"> \* MERGEFORMAT </w:instrText>
      </w:r>
      <w:r w:rsidR="00E603FB" w:rsidRPr="00126E04">
        <w:fldChar w:fldCharType="separate"/>
      </w:r>
      <w:r w:rsidR="008A75EF">
        <w:t>12</w:t>
      </w:r>
      <w:r w:rsidR="00E603FB" w:rsidRPr="00126E04">
        <w:fldChar w:fldCharType="end"/>
      </w:r>
      <w:r w:rsidRPr="00126E04">
        <w:t>, p. 14</w:t>
      </w:r>
      <w:r w:rsidR="007E3597" w:rsidRPr="00126E04">
        <w:t xml:space="preserve">; </w:t>
      </w:r>
      <w:r w:rsidR="00FA2B5E" w:rsidRPr="00FA2B5E">
        <w:rPr>
          <w:smallCaps/>
        </w:rPr>
        <w:t>Centre de collaboration nationale de la santé autochtone</w:t>
      </w:r>
      <w:r w:rsidR="007E3597" w:rsidRPr="00126E04">
        <w:t xml:space="preserve">, </w:t>
      </w:r>
      <w:proofErr w:type="spellStart"/>
      <w:r w:rsidR="007E3597" w:rsidRPr="00126E04">
        <w:t>préc</w:t>
      </w:r>
      <w:proofErr w:type="spellEnd"/>
      <w:r w:rsidR="007E3597" w:rsidRPr="00126E04">
        <w:t xml:space="preserve">., note </w:t>
      </w:r>
      <w:r w:rsidR="007E3597" w:rsidRPr="00126E04">
        <w:fldChar w:fldCharType="begin"/>
      </w:r>
      <w:r w:rsidR="007E3597" w:rsidRPr="00126E04">
        <w:instrText xml:space="preserve"> NOTEREF _Ref144365671 \h </w:instrText>
      </w:r>
      <w:r w:rsidR="00C84C0A" w:rsidRPr="00126E04">
        <w:instrText xml:space="preserve"> \* MERGEFORMAT </w:instrText>
      </w:r>
      <w:r w:rsidR="007E3597" w:rsidRPr="00126E04">
        <w:fldChar w:fldCharType="separate"/>
      </w:r>
      <w:r w:rsidR="008A75EF">
        <w:t>19</w:t>
      </w:r>
      <w:r w:rsidR="007E3597" w:rsidRPr="00126E04">
        <w:fldChar w:fldCharType="end"/>
      </w:r>
      <w:r w:rsidR="007E3597" w:rsidRPr="00126E04">
        <w:t>, p. 23.</w:t>
      </w:r>
    </w:p>
  </w:footnote>
  <w:footnote w:id="42">
    <w:p w14:paraId="06E9E7B8" w14:textId="279C9122"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Commission Viens, p.</w:t>
      </w:r>
      <w:r w:rsidR="008513D7" w:rsidRPr="00126E04">
        <w:t> </w:t>
      </w:r>
      <w:r w:rsidRPr="00126E04">
        <w:t>228.</w:t>
      </w:r>
    </w:p>
  </w:footnote>
  <w:footnote w:id="43">
    <w:p w14:paraId="7B3A799F" w14:textId="51C7D77E" w:rsidR="00837445" w:rsidRPr="00126E04" w:rsidRDefault="00837445"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391F71" w:rsidRPr="00126E04">
        <w:rPr>
          <w:smallCaps/>
        </w:rPr>
        <w:t>Commission des droits de la personne et des droits de la jeunesse</w:t>
      </w:r>
      <w:r w:rsidR="00391F71" w:rsidRPr="00126E04">
        <w:t xml:space="preserve">, « Des constats intolérables que nous ne pouvons plus ignorer », </w:t>
      </w:r>
      <w:r w:rsidR="00391F71" w:rsidRPr="00126E04">
        <w:rPr>
          <w:i/>
          <w:iCs/>
        </w:rPr>
        <w:t>lettre ouverte</w:t>
      </w:r>
      <w:r w:rsidR="00391F71" w:rsidRPr="00126E04">
        <w:t xml:space="preserve"> de Philippe-André </w:t>
      </w:r>
      <w:r w:rsidR="00391F71" w:rsidRPr="00126E04">
        <w:rPr>
          <w:smallCaps/>
        </w:rPr>
        <w:t>Tessier</w:t>
      </w:r>
      <w:r w:rsidR="00391F71" w:rsidRPr="00126E04">
        <w:t xml:space="preserve">, Myrlande </w:t>
      </w:r>
      <w:r w:rsidR="00391F71" w:rsidRPr="00126E04">
        <w:rPr>
          <w:smallCaps/>
        </w:rPr>
        <w:t>Pierre</w:t>
      </w:r>
      <w:r w:rsidR="00391F71" w:rsidRPr="00126E04">
        <w:t xml:space="preserve"> et Suzanne </w:t>
      </w:r>
      <w:r w:rsidR="00391F71" w:rsidRPr="00126E04">
        <w:rPr>
          <w:smallCaps/>
        </w:rPr>
        <w:t xml:space="preserve">Arpin, </w:t>
      </w:r>
      <w:r w:rsidR="00391F71" w:rsidRPr="00126E04">
        <w:t>25 mai 2021.</w:t>
      </w:r>
    </w:p>
  </w:footnote>
  <w:footnote w:id="44">
    <w:p w14:paraId="14088952" w14:textId="1FFA7650" w:rsidR="006436BC" w:rsidRDefault="006436BC" w:rsidP="00250412">
      <w:pPr>
        <w:pStyle w:val="NDBP"/>
      </w:pPr>
      <w:r>
        <w:rPr>
          <w:rStyle w:val="Appelnotedebasdep"/>
        </w:rPr>
        <w:footnoteRef/>
      </w:r>
      <w:r>
        <w:t xml:space="preserve"> </w:t>
      </w:r>
      <w:r>
        <w:tab/>
        <w:t>Ci-après «</w:t>
      </w:r>
      <w:r w:rsidR="001C4421">
        <w:t> </w:t>
      </w:r>
      <w:r>
        <w:t>PIDESC</w:t>
      </w:r>
      <w:r w:rsidR="001C4421">
        <w:t> </w:t>
      </w:r>
      <w:r>
        <w:t>».</w:t>
      </w:r>
    </w:p>
  </w:footnote>
  <w:footnote w:id="45">
    <w:p w14:paraId="6858B395" w14:textId="7F24AEC9" w:rsidR="004248FF" w:rsidRPr="00126E04" w:rsidRDefault="004248FF" w:rsidP="00202CC7">
      <w:pPr>
        <w:pStyle w:val="notebasde"/>
        <w:tabs>
          <w:tab w:val="left" w:pos="709"/>
        </w:tabs>
        <w:ind w:left="709" w:hanging="709"/>
        <w:jc w:val="left"/>
      </w:pPr>
      <w:r w:rsidRPr="00126E04">
        <w:rPr>
          <w:rStyle w:val="Appelnotedebasdep"/>
        </w:rPr>
        <w:footnoteRef/>
      </w:r>
      <w:r w:rsidRPr="00126E04">
        <w:t xml:space="preserve"> </w:t>
      </w:r>
      <w:r w:rsidRPr="00126E04">
        <w:tab/>
        <w:t>Les politiques devraient de même tenir compte des principes mis en avant par le Mécanisme d’experts dans son étude sur le droit de participer à la prise de décisions</w:t>
      </w:r>
      <w:r w:rsidR="007F7E69" w:rsidRPr="00126E04">
        <w:t xml:space="preserve">. </w:t>
      </w:r>
      <w:r w:rsidR="007F7E69" w:rsidRPr="00126E04">
        <w:rPr>
          <w:smallCaps/>
        </w:rPr>
        <w:t>Conseil des droits de l’homme</w:t>
      </w:r>
      <w:r w:rsidR="007F7E69" w:rsidRPr="00126E04">
        <w:t xml:space="preserve">, </w:t>
      </w:r>
      <w:r w:rsidR="005F1907" w:rsidRPr="00126E04">
        <w:rPr>
          <w:i/>
          <w:iCs/>
        </w:rPr>
        <w:t>Rapport final sur l’étude sur les peuples autochtones et le droit de participer à la prise de décisions, Rapport du Mécanisme d’experts sur les droits des peuples autochtones</w:t>
      </w:r>
      <w:r w:rsidR="00595668" w:rsidRPr="00126E04">
        <w:t>, Doc. N.U.</w:t>
      </w:r>
      <w:r w:rsidRPr="00126E04">
        <w:t xml:space="preserve"> A/HRC/18/42</w:t>
      </w:r>
      <w:r w:rsidR="00716045" w:rsidRPr="00126E04">
        <w:t xml:space="preserve"> (17</w:t>
      </w:r>
      <w:r w:rsidR="001C4421">
        <w:t> </w:t>
      </w:r>
      <w:r w:rsidR="00716045" w:rsidRPr="00126E04">
        <w:t>août 2011)</w:t>
      </w:r>
      <w:r w:rsidR="00595668" w:rsidRPr="00126E04">
        <w:t>.</w:t>
      </w:r>
    </w:p>
  </w:footnote>
  <w:footnote w:id="46">
    <w:p w14:paraId="1FAE128E" w14:textId="07D8600C" w:rsidR="001E4A31" w:rsidRPr="00DE4FCE" w:rsidRDefault="001E4A31" w:rsidP="00DE4FCE">
      <w:pPr>
        <w:pStyle w:val="notebasde"/>
        <w:tabs>
          <w:tab w:val="left" w:pos="709"/>
        </w:tabs>
        <w:ind w:left="709" w:hanging="709"/>
        <w:jc w:val="left"/>
        <w:rPr>
          <w:rStyle w:val="Appelnotedebasdep"/>
          <w:vertAlign w:val="baseline"/>
        </w:rPr>
      </w:pPr>
      <w:r w:rsidRPr="00126E04">
        <w:rPr>
          <w:rStyle w:val="Appelnotedebasdep"/>
        </w:rPr>
        <w:footnoteRef/>
      </w:r>
      <w:r w:rsidRPr="00DE4FCE">
        <w:rPr>
          <w:rStyle w:val="Appelnotedebasdep"/>
        </w:rPr>
        <w:t xml:space="preserve"> </w:t>
      </w:r>
      <w:r w:rsidRPr="00DE4FCE">
        <w:rPr>
          <w:rStyle w:val="Appelnotedebasdep"/>
          <w:vertAlign w:val="baseline"/>
        </w:rPr>
        <w:tab/>
      </w:r>
      <w:r w:rsidR="002B153F" w:rsidRPr="00DE4FCE">
        <w:rPr>
          <w:rStyle w:val="Appelnotedebasdep"/>
          <w:smallCaps/>
          <w:vertAlign w:val="baseline"/>
        </w:rPr>
        <w:t>Centre de collaboration nationale de la santé autochtone</w:t>
      </w:r>
      <w:r w:rsidR="00BB359E" w:rsidRPr="00DE4FCE">
        <w:rPr>
          <w:rStyle w:val="Appelnotedebasdep"/>
          <w:vertAlign w:val="baseline"/>
        </w:rPr>
        <w:t xml:space="preserve">, </w:t>
      </w:r>
      <w:proofErr w:type="spellStart"/>
      <w:r w:rsidR="00BB359E" w:rsidRPr="00DE4FCE">
        <w:rPr>
          <w:rStyle w:val="Appelnotedebasdep"/>
          <w:vertAlign w:val="baseline"/>
        </w:rPr>
        <w:t>préc</w:t>
      </w:r>
      <w:proofErr w:type="spellEnd"/>
      <w:r w:rsidR="00BB359E" w:rsidRPr="00DE4FCE">
        <w:rPr>
          <w:rStyle w:val="Appelnotedebasdep"/>
          <w:vertAlign w:val="baseline"/>
        </w:rPr>
        <w:t xml:space="preserve">., note </w:t>
      </w:r>
      <w:r w:rsidR="00BB359E" w:rsidRPr="00DE4FCE">
        <w:rPr>
          <w:rStyle w:val="Appelnotedebasdep"/>
          <w:vertAlign w:val="baseline"/>
        </w:rPr>
        <w:fldChar w:fldCharType="begin"/>
      </w:r>
      <w:r w:rsidR="00BB359E" w:rsidRPr="00DE4FCE">
        <w:rPr>
          <w:rStyle w:val="Appelnotedebasdep"/>
          <w:vertAlign w:val="baseline"/>
        </w:rPr>
        <w:instrText xml:space="preserve"> NOTEREF _Ref144365671 \h </w:instrText>
      </w:r>
      <w:r w:rsidR="00C84C0A" w:rsidRPr="00DE4FCE">
        <w:rPr>
          <w:rStyle w:val="Appelnotedebasdep"/>
          <w:vertAlign w:val="baseline"/>
        </w:rPr>
        <w:instrText xml:space="preserve"> \* MERGEFORMAT </w:instrText>
      </w:r>
      <w:r w:rsidR="00BB359E" w:rsidRPr="00DE4FCE">
        <w:rPr>
          <w:rStyle w:val="Appelnotedebasdep"/>
          <w:vertAlign w:val="baseline"/>
        </w:rPr>
      </w:r>
      <w:r w:rsidR="00BB359E" w:rsidRPr="00DE4FCE">
        <w:rPr>
          <w:rStyle w:val="Appelnotedebasdep"/>
          <w:vertAlign w:val="baseline"/>
        </w:rPr>
        <w:fldChar w:fldCharType="separate"/>
      </w:r>
      <w:r w:rsidR="008A75EF">
        <w:rPr>
          <w:rStyle w:val="Appelnotedebasdep"/>
          <w:vertAlign w:val="baseline"/>
        </w:rPr>
        <w:t>19</w:t>
      </w:r>
      <w:r w:rsidR="00BB359E" w:rsidRPr="00DE4FCE">
        <w:rPr>
          <w:rStyle w:val="Appelnotedebasdep"/>
          <w:vertAlign w:val="baseline"/>
        </w:rPr>
        <w:fldChar w:fldCharType="end"/>
      </w:r>
      <w:r w:rsidR="00911965" w:rsidRPr="00DE4FCE">
        <w:rPr>
          <w:rStyle w:val="Appelnotedebasdep"/>
          <w:vertAlign w:val="baseline"/>
        </w:rPr>
        <w:t>, p. 13</w:t>
      </w:r>
      <w:r w:rsidR="001F7D4E" w:rsidRPr="00DE4FCE">
        <w:rPr>
          <w:rStyle w:val="Appelnotedebasdep"/>
          <w:vertAlign w:val="baseline"/>
        </w:rPr>
        <w:t>.</w:t>
      </w:r>
    </w:p>
  </w:footnote>
  <w:footnote w:id="47">
    <w:p w14:paraId="01AE021E" w14:textId="3FDFE145" w:rsidR="005345D9" w:rsidRPr="00A76F84" w:rsidRDefault="005345D9" w:rsidP="00C0414C">
      <w:pPr>
        <w:pStyle w:val="Notedebasdepage"/>
        <w:tabs>
          <w:tab w:val="left" w:pos="709"/>
        </w:tabs>
        <w:spacing w:after="120" w:line="240" w:lineRule="auto"/>
        <w:ind w:left="709" w:hanging="709"/>
        <w:rPr>
          <w:sz w:val="18"/>
          <w:szCs w:val="18"/>
        </w:rPr>
      </w:pPr>
      <w:r w:rsidRPr="00A8472C">
        <w:rPr>
          <w:rStyle w:val="Appelnotedebasdep"/>
        </w:rPr>
        <w:footnoteRef/>
      </w:r>
      <w:r w:rsidRPr="004D2054">
        <w:t xml:space="preserve"> </w:t>
      </w:r>
      <w:r w:rsidRPr="004D2054">
        <w:tab/>
      </w:r>
      <w:r w:rsidRPr="00A76F84">
        <w:rPr>
          <w:sz w:val="18"/>
          <w:szCs w:val="18"/>
        </w:rPr>
        <w:t>Commission Viens, p. 392</w:t>
      </w:r>
      <w:r w:rsidR="00E00B80">
        <w:rPr>
          <w:sz w:val="18"/>
          <w:szCs w:val="18"/>
        </w:rPr>
        <w:t> </w:t>
      </w:r>
      <w:r w:rsidRPr="00A76F84">
        <w:rPr>
          <w:sz w:val="18"/>
          <w:szCs w:val="18"/>
        </w:rPr>
        <w:t xml:space="preserve">; </w:t>
      </w:r>
      <w:r w:rsidRPr="00A76F84">
        <w:rPr>
          <w:smallCaps/>
          <w:sz w:val="18"/>
          <w:szCs w:val="18"/>
        </w:rPr>
        <w:t>Centre de collaboration nationale de la santé autochtone</w:t>
      </w:r>
      <w:r w:rsidRPr="00A76F84">
        <w:rPr>
          <w:sz w:val="18"/>
          <w:szCs w:val="18"/>
        </w:rPr>
        <w:t xml:space="preserve">, </w:t>
      </w:r>
      <w:r w:rsidRPr="00A76F84">
        <w:rPr>
          <w:i/>
          <w:iCs/>
          <w:sz w:val="18"/>
          <w:szCs w:val="18"/>
        </w:rPr>
        <w:t>L’effet du racisme sur les autochtones et ses conséquence</w:t>
      </w:r>
      <w:r w:rsidRPr="00A76F84">
        <w:rPr>
          <w:sz w:val="18"/>
          <w:szCs w:val="18"/>
        </w:rPr>
        <w:t>s, Prince George, C.- B., 2014</w:t>
      </w:r>
      <w:r w:rsidR="00E00B80">
        <w:rPr>
          <w:sz w:val="18"/>
          <w:szCs w:val="18"/>
        </w:rPr>
        <w:t> </w:t>
      </w:r>
      <w:r w:rsidRPr="00A76F84">
        <w:rPr>
          <w:sz w:val="18"/>
          <w:szCs w:val="18"/>
        </w:rPr>
        <w:t xml:space="preserve">; </w:t>
      </w:r>
      <w:r w:rsidRPr="00A76F84">
        <w:rPr>
          <w:smallCaps/>
          <w:sz w:val="18"/>
          <w:szCs w:val="18"/>
        </w:rPr>
        <w:t>Réseau pour la stratégie urbaine de la communauté autochtone de Montréal</w:t>
      </w:r>
      <w:r w:rsidRPr="00A76F84">
        <w:rPr>
          <w:sz w:val="18"/>
          <w:szCs w:val="18"/>
        </w:rPr>
        <w:t xml:space="preserve">, </w:t>
      </w:r>
      <w:r w:rsidRPr="00A76F84">
        <w:rPr>
          <w:i/>
          <w:iCs/>
          <w:sz w:val="18"/>
          <w:szCs w:val="18"/>
        </w:rPr>
        <w:t>Évaluation des besoins en santé des autochtones en milieu urbain de Montréal</w:t>
      </w:r>
      <w:r w:rsidRPr="00A76F84">
        <w:rPr>
          <w:sz w:val="18"/>
          <w:szCs w:val="18"/>
        </w:rPr>
        <w:t>, 2012</w:t>
      </w:r>
      <w:r w:rsidR="00E00B80">
        <w:rPr>
          <w:sz w:val="18"/>
          <w:szCs w:val="18"/>
        </w:rPr>
        <w:t> </w:t>
      </w:r>
      <w:r w:rsidRPr="00A76F84">
        <w:rPr>
          <w:sz w:val="18"/>
          <w:szCs w:val="18"/>
        </w:rPr>
        <w:t xml:space="preserve">; </w:t>
      </w:r>
      <w:r w:rsidRPr="00A76F84">
        <w:rPr>
          <w:smallCaps/>
          <w:sz w:val="18"/>
          <w:szCs w:val="18"/>
        </w:rPr>
        <w:t>Enquête nationale sur les femmes et les filles autochtones disparues ou assassinées</w:t>
      </w:r>
      <w:r w:rsidRPr="00A76F84">
        <w:rPr>
          <w:sz w:val="18"/>
          <w:szCs w:val="18"/>
        </w:rPr>
        <w:t xml:space="preserve">, </w:t>
      </w:r>
      <w:r w:rsidRPr="00A76F84">
        <w:rPr>
          <w:i/>
          <w:iCs/>
          <w:sz w:val="18"/>
          <w:szCs w:val="18"/>
        </w:rPr>
        <w:t>Réclamer notre pouvoir et notre place. Le rapport final de l’Enquête nationale sur les femmes et les filles autochtones disparues et assassinées</w:t>
      </w:r>
      <w:r w:rsidRPr="00A76F84">
        <w:rPr>
          <w:sz w:val="18"/>
          <w:szCs w:val="18"/>
        </w:rPr>
        <w:t>, volume 1b, 2019.</w:t>
      </w:r>
    </w:p>
  </w:footnote>
  <w:footnote w:id="48">
    <w:p w14:paraId="69B088D5" w14:textId="341EEA40" w:rsidR="00533C72" w:rsidRDefault="00533C72" w:rsidP="006F62F6">
      <w:pPr>
        <w:pStyle w:val="NDBP"/>
      </w:pPr>
      <w:r>
        <w:rPr>
          <w:rStyle w:val="Appelnotedebasdep"/>
        </w:rPr>
        <w:footnoteRef/>
      </w:r>
      <w:r>
        <w:t xml:space="preserve"> </w:t>
      </w:r>
      <w:r>
        <w:tab/>
      </w:r>
      <w:r w:rsidRPr="006F62F6">
        <w:rPr>
          <w:smallCaps/>
        </w:rPr>
        <w:t>Gouvernement du Canada</w:t>
      </w:r>
      <w:r>
        <w:t>, «</w:t>
      </w:r>
      <w:r w:rsidR="001C4421">
        <w:t> </w:t>
      </w:r>
      <w:r>
        <w:t>Déterminants sociaux de la santé et inégalités en santé</w:t>
      </w:r>
      <w:r w:rsidR="001C4421">
        <w:t> </w:t>
      </w:r>
      <w:r>
        <w:t>», 2023, [</w:t>
      </w:r>
      <w:r w:rsidR="005F7877">
        <w:t>En ligne</w:t>
      </w:r>
      <w:r>
        <w:t>]</w:t>
      </w:r>
      <w:r w:rsidR="005F7877">
        <w:t xml:space="preserve">. </w:t>
      </w:r>
      <w:hyperlink r:id="rId1" w:history="1">
        <w:r w:rsidR="005F7877" w:rsidRPr="009F3910">
          <w:rPr>
            <w:rStyle w:val="Lienhypertexte"/>
          </w:rPr>
          <w:t>https://www.canada.ca/fr/sante-publique/services/promotion-sante/sante-population/est-determine-sante.html</w:t>
        </w:r>
      </w:hyperlink>
      <w:r w:rsidR="005F7877">
        <w:t xml:space="preserve"> </w:t>
      </w:r>
    </w:p>
  </w:footnote>
  <w:footnote w:id="49">
    <w:p w14:paraId="2F0348D2" w14:textId="1C34FD98" w:rsidR="007F67DF" w:rsidRPr="00A76F84" w:rsidRDefault="007F67DF" w:rsidP="007F67DF">
      <w:pPr>
        <w:pStyle w:val="Notedebasdepage"/>
        <w:tabs>
          <w:tab w:val="left" w:pos="709"/>
        </w:tabs>
        <w:spacing w:after="120" w:line="240" w:lineRule="auto"/>
        <w:ind w:left="709" w:hanging="709"/>
        <w:rPr>
          <w:sz w:val="18"/>
          <w:szCs w:val="18"/>
        </w:rPr>
      </w:pPr>
      <w:r w:rsidRPr="00A76F84">
        <w:rPr>
          <w:rStyle w:val="Appelnotedebasdep"/>
          <w:sz w:val="18"/>
          <w:szCs w:val="18"/>
        </w:rPr>
        <w:footnoteRef/>
      </w:r>
      <w:r w:rsidRPr="00A76F84">
        <w:rPr>
          <w:sz w:val="18"/>
          <w:szCs w:val="18"/>
        </w:rPr>
        <w:t xml:space="preserve"> </w:t>
      </w:r>
      <w:r w:rsidRPr="00A76F84">
        <w:rPr>
          <w:sz w:val="18"/>
          <w:szCs w:val="18"/>
        </w:rPr>
        <w:tab/>
        <w:t xml:space="preserve">Voir </w:t>
      </w:r>
      <w:r w:rsidRPr="00A76F84">
        <w:rPr>
          <w:smallCaps/>
          <w:sz w:val="18"/>
          <w:szCs w:val="18"/>
        </w:rPr>
        <w:t>Rapporteuse spéciale sur les droits des personnes handicapées</w:t>
      </w:r>
      <w:r w:rsidRPr="00A76F84">
        <w:rPr>
          <w:sz w:val="18"/>
          <w:szCs w:val="18"/>
        </w:rPr>
        <w:t xml:space="preserve">, </w:t>
      </w:r>
      <w:r w:rsidRPr="00A76F84">
        <w:rPr>
          <w:i/>
          <w:iCs/>
          <w:sz w:val="18"/>
          <w:szCs w:val="18"/>
        </w:rPr>
        <w:t>Visite au Canada</w:t>
      </w:r>
      <w:r w:rsidRPr="00A76F84">
        <w:rPr>
          <w:sz w:val="18"/>
          <w:szCs w:val="18"/>
        </w:rPr>
        <w:t>, Doc. N.U. A/HRC/43/41/ADD.2, 19</w:t>
      </w:r>
      <w:r w:rsidR="005F0BD9">
        <w:rPr>
          <w:sz w:val="18"/>
          <w:szCs w:val="18"/>
        </w:rPr>
        <w:t> </w:t>
      </w:r>
      <w:r w:rsidRPr="00A76F84">
        <w:rPr>
          <w:sz w:val="18"/>
          <w:szCs w:val="18"/>
        </w:rPr>
        <w:t>décembre 2019, par. 33</w:t>
      </w:r>
      <w:r w:rsidR="005F0BD9">
        <w:rPr>
          <w:sz w:val="18"/>
          <w:szCs w:val="18"/>
        </w:rPr>
        <w:t> </w:t>
      </w:r>
      <w:r w:rsidRPr="00A76F84">
        <w:rPr>
          <w:sz w:val="18"/>
          <w:szCs w:val="18"/>
        </w:rPr>
        <w:t>; Chantelle A. M.</w:t>
      </w:r>
      <w:r w:rsidRPr="00A76F84">
        <w:rPr>
          <w:smallCaps/>
          <w:sz w:val="18"/>
          <w:szCs w:val="18"/>
        </w:rPr>
        <w:t xml:space="preserve"> Richmond</w:t>
      </w:r>
      <w:r w:rsidRPr="00A76F84">
        <w:rPr>
          <w:sz w:val="18"/>
          <w:szCs w:val="18"/>
        </w:rPr>
        <w:t xml:space="preserve"> et Catherine C</w:t>
      </w:r>
      <w:r w:rsidRPr="00A76F84">
        <w:rPr>
          <w:smallCaps/>
          <w:sz w:val="18"/>
          <w:szCs w:val="18"/>
        </w:rPr>
        <w:t>ook</w:t>
      </w:r>
      <w:r w:rsidRPr="00A76F84">
        <w:rPr>
          <w:sz w:val="18"/>
          <w:szCs w:val="18"/>
        </w:rPr>
        <w:t>, «</w:t>
      </w:r>
      <w:r w:rsidR="005F0BD9">
        <w:rPr>
          <w:sz w:val="18"/>
          <w:szCs w:val="18"/>
        </w:rPr>
        <w:t> </w:t>
      </w:r>
      <w:proofErr w:type="spellStart"/>
      <w:r w:rsidRPr="00A76F84">
        <w:rPr>
          <w:sz w:val="18"/>
          <w:szCs w:val="18"/>
        </w:rPr>
        <w:t>Creating</w:t>
      </w:r>
      <w:proofErr w:type="spellEnd"/>
      <w:r w:rsidRPr="00A76F84">
        <w:rPr>
          <w:sz w:val="18"/>
          <w:szCs w:val="18"/>
        </w:rPr>
        <w:t xml:space="preserve"> conditions for Canadian </w:t>
      </w:r>
      <w:proofErr w:type="spellStart"/>
      <w:r w:rsidRPr="00A76F84">
        <w:rPr>
          <w:sz w:val="18"/>
          <w:szCs w:val="18"/>
        </w:rPr>
        <w:t>aboriginal</w:t>
      </w:r>
      <w:proofErr w:type="spellEnd"/>
      <w:r w:rsidRPr="00A76F84">
        <w:rPr>
          <w:sz w:val="18"/>
          <w:szCs w:val="18"/>
        </w:rPr>
        <w:t xml:space="preserve"> </w:t>
      </w:r>
      <w:proofErr w:type="spellStart"/>
      <w:r w:rsidRPr="00A76F84">
        <w:rPr>
          <w:sz w:val="18"/>
          <w:szCs w:val="18"/>
        </w:rPr>
        <w:t>health</w:t>
      </w:r>
      <w:proofErr w:type="spellEnd"/>
      <w:r w:rsidRPr="00A76F84">
        <w:rPr>
          <w:sz w:val="18"/>
          <w:szCs w:val="18"/>
        </w:rPr>
        <w:t xml:space="preserve"> </w:t>
      </w:r>
      <w:proofErr w:type="spellStart"/>
      <w:r w:rsidRPr="00A76F84">
        <w:rPr>
          <w:sz w:val="18"/>
          <w:szCs w:val="18"/>
        </w:rPr>
        <w:t>equity</w:t>
      </w:r>
      <w:proofErr w:type="spellEnd"/>
      <w:r w:rsidRPr="00A76F84">
        <w:rPr>
          <w:sz w:val="18"/>
          <w:szCs w:val="18"/>
        </w:rPr>
        <w:t xml:space="preserve">: the promise of </w:t>
      </w:r>
      <w:proofErr w:type="spellStart"/>
      <w:r w:rsidRPr="00A76F84">
        <w:rPr>
          <w:sz w:val="18"/>
          <w:szCs w:val="18"/>
        </w:rPr>
        <w:t>healthy</w:t>
      </w:r>
      <w:proofErr w:type="spellEnd"/>
      <w:r w:rsidRPr="00A76F84">
        <w:rPr>
          <w:sz w:val="18"/>
          <w:szCs w:val="18"/>
        </w:rPr>
        <w:t xml:space="preserve"> public </w:t>
      </w:r>
      <w:proofErr w:type="spellStart"/>
      <w:r w:rsidRPr="00A76F84">
        <w:rPr>
          <w:sz w:val="18"/>
          <w:szCs w:val="18"/>
        </w:rPr>
        <w:t>policy</w:t>
      </w:r>
      <w:proofErr w:type="spellEnd"/>
      <w:r w:rsidR="005F0BD9">
        <w:rPr>
          <w:sz w:val="18"/>
          <w:szCs w:val="18"/>
        </w:rPr>
        <w:t> </w:t>
      </w:r>
      <w:r w:rsidRPr="00A76F84">
        <w:rPr>
          <w:sz w:val="18"/>
          <w:szCs w:val="18"/>
        </w:rPr>
        <w:t xml:space="preserve">», (2016) 37(2) Public </w:t>
      </w:r>
      <w:proofErr w:type="spellStart"/>
      <w:r w:rsidRPr="00A76F84">
        <w:rPr>
          <w:sz w:val="18"/>
          <w:szCs w:val="18"/>
        </w:rPr>
        <w:t>Health</w:t>
      </w:r>
      <w:proofErr w:type="spellEnd"/>
      <w:r w:rsidRPr="00A76F84">
        <w:rPr>
          <w:sz w:val="18"/>
          <w:szCs w:val="18"/>
        </w:rPr>
        <w:t xml:space="preserve"> </w:t>
      </w:r>
      <w:proofErr w:type="spellStart"/>
      <w:r w:rsidRPr="00A76F84">
        <w:rPr>
          <w:sz w:val="18"/>
          <w:szCs w:val="18"/>
        </w:rPr>
        <w:t>Reviews</w:t>
      </w:r>
      <w:proofErr w:type="spellEnd"/>
      <w:r w:rsidR="005F0BD9">
        <w:rPr>
          <w:sz w:val="18"/>
          <w:szCs w:val="18"/>
        </w:rPr>
        <w:t> </w:t>
      </w:r>
      <w:r w:rsidRPr="00A76F84">
        <w:rPr>
          <w:sz w:val="18"/>
          <w:szCs w:val="18"/>
        </w:rPr>
        <w:t>7</w:t>
      </w:r>
      <w:r w:rsidR="005F0BD9">
        <w:rPr>
          <w:sz w:val="18"/>
          <w:szCs w:val="18"/>
        </w:rPr>
        <w:t> </w:t>
      </w:r>
      <w:r w:rsidRPr="00A76F84">
        <w:rPr>
          <w:sz w:val="18"/>
          <w:szCs w:val="18"/>
        </w:rPr>
        <w:t xml:space="preserve">; </w:t>
      </w:r>
      <w:r w:rsidRPr="00DC0462">
        <w:rPr>
          <w:smallCaps/>
          <w:sz w:val="18"/>
          <w:szCs w:val="18"/>
        </w:rPr>
        <w:t>Wellesley Institute</w:t>
      </w:r>
      <w:r>
        <w:rPr>
          <w:sz w:val="18"/>
          <w:szCs w:val="18"/>
        </w:rPr>
        <w:t xml:space="preserve">, </w:t>
      </w:r>
      <w:r w:rsidRPr="00A76F84">
        <w:rPr>
          <w:i/>
          <w:iCs/>
          <w:sz w:val="18"/>
          <w:szCs w:val="18"/>
        </w:rPr>
        <w:t xml:space="preserve">First Peoples, Second Class </w:t>
      </w:r>
      <w:proofErr w:type="spellStart"/>
      <w:r w:rsidRPr="00A76F84">
        <w:rPr>
          <w:i/>
          <w:iCs/>
          <w:sz w:val="18"/>
          <w:szCs w:val="18"/>
        </w:rPr>
        <w:t>Treatment</w:t>
      </w:r>
      <w:proofErr w:type="spellEnd"/>
      <w:r w:rsidRPr="00A76F84">
        <w:rPr>
          <w:i/>
          <w:iCs/>
          <w:sz w:val="18"/>
          <w:szCs w:val="18"/>
        </w:rPr>
        <w:t xml:space="preserve">. The </w:t>
      </w:r>
      <w:proofErr w:type="spellStart"/>
      <w:r w:rsidRPr="00A76F84">
        <w:rPr>
          <w:i/>
          <w:iCs/>
          <w:sz w:val="18"/>
          <w:szCs w:val="18"/>
        </w:rPr>
        <w:t>role</w:t>
      </w:r>
      <w:proofErr w:type="spellEnd"/>
      <w:r w:rsidRPr="00A76F84">
        <w:rPr>
          <w:i/>
          <w:iCs/>
          <w:sz w:val="18"/>
          <w:szCs w:val="18"/>
        </w:rPr>
        <w:t xml:space="preserve"> of </w:t>
      </w:r>
      <w:proofErr w:type="spellStart"/>
      <w:r w:rsidRPr="00A76F84">
        <w:rPr>
          <w:i/>
          <w:iCs/>
          <w:sz w:val="18"/>
          <w:szCs w:val="18"/>
        </w:rPr>
        <w:t>racism</w:t>
      </w:r>
      <w:proofErr w:type="spellEnd"/>
      <w:r w:rsidRPr="00A76F84">
        <w:rPr>
          <w:i/>
          <w:iCs/>
          <w:sz w:val="18"/>
          <w:szCs w:val="18"/>
        </w:rPr>
        <w:t xml:space="preserve"> in the </w:t>
      </w:r>
      <w:proofErr w:type="spellStart"/>
      <w:r w:rsidRPr="00A76F84">
        <w:rPr>
          <w:i/>
          <w:iCs/>
          <w:sz w:val="18"/>
          <w:szCs w:val="18"/>
        </w:rPr>
        <w:t>health</w:t>
      </w:r>
      <w:proofErr w:type="spellEnd"/>
      <w:r w:rsidRPr="00A76F84">
        <w:rPr>
          <w:i/>
          <w:iCs/>
          <w:sz w:val="18"/>
          <w:szCs w:val="18"/>
        </w:rPr>
        <w:t xml:space="preserve"> and </w:t>
      </w:r>
      <w:proofErr w:type="spellStart"/>
      <w:r w:rsidRPr="00A76F84">
        <w:rPr>
          <w:i/>
          <w:iCs/>
          <w:sz w:val="18"/>
          <w:szCs w:val="18"/>
        </w:rPr>
        <w:t>well-being</w:t>
      </w:r>
      <w:proofErr w:type="spellEnd"/>
      <w:r w:rsidRPr="00A76F84">
        <w:rPr>
          <w:i/>
          <w:iCs/>
          <w:sz w:val="18"/>
          <w:szCs w:val="18"/>
        </w:rPr>
        <w:t xml:space="preserve"> of </w:t>
      </w:r>
      <w:proofErr w:type="spellStart"/>
      <w:r w:rsidRPr="00A76F84">
        <w:rPr>
          <w:i/>
          <w:iCs/>
          <w:sz w:val="18"/>
          <w:szCs w:val="18"/>
        </w:rPr>
        <w:t>Indigenous</w:t>
      </w:r>
      <w:proofErr w:type="spellEnd"/>
      <w:r w:rsidRPr="00A76F84">
        <w:rPr>
          <w:i/>
          <w:iCs/>
          <w:sz w:val="18"/>
          <w:szCs w:val="18"/>
        </w:rPr>
        <w:t xml:space="preserve"> peoples in Canada</w:t>
      </w:r>
      <w:r w:rsidRPr="00A76F84">
        <w:rPr>
          <w:sz w:val="18"/>
          <w:szCs w:val="18"/>
        </w:rPr>
        <w:t xml:space="preserve">, Billie </w:t>
      </w:r>
      <w:r w:rsidRPr="00A76F84">
        <w:rPr>
          <w:smallCaps/>
          <w:sz w:val="18"/>
          <w:szCs w:val="18"/>
        </w:rPr>
        <w:t>Allan</w:t>
      </w:r>
      <w:r w:rsidRPr="00A76F84">
        <w:rPr>
          <w:sz w:val="18"/>
          <w:szCs w:val="18"/>
        </w:rPr>
        <w:t xml:space="preserve"> et Janet </w:t>
      </w:r>
      <w:proofErr w:type="spellStart"/>
      <w:r w:rsidRPr="00A76F84">
        <w:rPr>
          <w:smallCaps/>
          <w:sz w:val="18"/>
          <w:szCs w:val="18"/>
        </w:rPr>
        <w:t>Smylie</w:t>
      </w:r>
      <w:proofErr w:type="spellEnd"/>
      <w:r w:rsidRPr="00A76F84">
        <w:rPr>
          <w:sz w:val="18"/>
          <w:szCs w:val="18"/>
        </w:rPr>
        <w:t xml:space="preserve">, 2015; </w:t>
      </w:r>
      <w:r w:rsidRPr="008836CC">
        <w:rPr>
          <w:smallCaps/>
          <w:sz w:val="18"/>
          <w:szCs w:val="18"/>
        </w:rPr>
        <w:t>Centre de collaboration nationale de la santé autochtone</w:t>
      </w:r>
      <w:r w:rsidRPr="00A76F84">
        <w:rPr>
          <w:sz w:val="18"/>
          <w:szCs w:val="18"/>
        </w:rPr>
        <w:t xml:space="preserve">, </w:t>
      </w:r>
      <w:r w:rsidRPr="00A76F84">
        <w:rPr>
          <w:i/>
          <w:iCs/>
          <w:sz w:val="18"/>
          <w:szCs w:val="18"/>
        </w:rPr>
        <w:t>Inégalités en matière de santé et déterminants sociaux de la santé des peuples autochtones</w:t>
      </w:r>
      <w:r w:rsidRPr="00A76F84">
        <w:rPr>
          <w:sz w:val="18"/>
          <w:szCs w:val="18"/>
        </w:rPr>
        <w:t>, Charlotte R</w:t>
      </w:r>
      <w:r w:rsidRPr="00A76F84">
        <w:rPr>
          <w:smallCaps/>
          <w:sz w:val="18"/>
          <w:szCs w:val="18"/>
        </w:rPr>
        <w:t>eading</w:t>
      </w:r>
      <w:r w:rsidRPr="00A76F84">
        <w:rPr>
          <w:sz w:val="18"/>
          <w:szCs w:val="18"/>
        </w:rPr>
        <w:t xml:space="preserve"> et Fred W</w:t>
      </w:r>
      <w:r w:rsidRPr="00A76F84">
        <w:rPr>
          <w:smallCaps/>
          <w:sz w:val="18"/>
          <w:szCs w:val="18"/>
        </w:rPr>
        <w:t>ien</w:t>
      </w:r>
      <w:r w:rsidRPr="00A76F84">
        <w:rPr>
          <w:sz w:val="18"/>
          <w:szCs w:val="18"/>
        </w:rPr>
        <w:t>, 2009</w:t>
      </w:r>
      <w:r w:rsidR="005F0BD9">
        <w:rPr>
          <w:sz w:val="18"/>
          <w:szCs w:val="18"/>
        </w:rPr>
        <w:t> </w:t>
      </w:r>
      <w:r w:rsidRPr="00A76F84">
        <w:rPr>
          <w:sz w:val="18"/>
          <w:szCs w:val="18"/>
        </w:rPr>
        <w:t xml:space="preserve">; </w:t>
      </w:r>
      <w:r w:rsidRPr="00A76F84">
        <w:rPr>
          <w:smallCaps/>
          <w:sz w:val="18"/>
          <w:szCs w:val="18"/>
        </w:rPr>
        <w:t>Commission de vérité et réconciliation du canada</w:t>
      </w:r>
      <w:r w:rsidRPr="00A76F84">
        <w:rPr>
          <w:sz w:val="18"/>
          <w:szCs w:val="18"/>
        </w:rPr>
        <w:t xml:space="preserve">, </w:t>
      </w:r>
      <w:r w:rsidRPr="00861E60">
        <w:rPr>
          <w:i/>
          <w:iCs/>
          <w:sz w:val="18"/>
          <w:szCs w:val="18"/>
        </w:rPr>
        <w:t>Pensionnats du Canada</w:t>
      </w:r>
      <w:r w:rsidR="00530D45">
        <w:rPr>
          <w:i/>
          <w:iCs/>
          <w:sz w:val="18"/>
          <w:szCs w:val="18"/>
        </w:rPr>
        <w:t> </w:t>
      </w:r>
      <w:r w:rsidRPr="00861E60">
        <w:rPr>
          <w:i/>
          <w:iCs/>
          <w:sz w:val="18"/>
          <w:szCs w:val="18"/>
        </w:rPr>
        <w:t>: les séquelles, Rapport final</w:t>
      </w:r>
      <w:r w:rsidRPr="00A76F84">
        <w:rPr>
          <w:sz w:val="18"/>
          <w:szCs w:val="18"/>
        </w:rPr>
        <w:t>, volume</w:t>
      </w:r>
      <w:r w:rsidR="005F0BD9">
        <w:rPr>
          <w:sz w:val="18"/>
          <w:szCs w:val="18"/>
        </w:rPr>
        <w:t> </w:t>
      </w:r>
      <w:r w:rsidRPr="00A76F84">
        <w:rPr>
          <w:sz w:val="18"/>
          <w:szCs w:val="18"/>
        </w:rPr>
        <w:t>5, 2015, p.</w:t>
      </w:r>
      <w:r w:rsidR="005F0BD9">
        <w:rPr>
          <w:sz w:val="18"/>
          <w:szCs w:val="18"/>
        </w:rPr>
        <w:t> </w:t>
      </w:r>
      <w:r w:rsidRPr="00A76F84">
        <w:rPr>
          <w:sz w:val="18"/>
          <w:szCs w:val="18"/>
        </w:rPr>
        <w:t>170</w:t>
      </w:r>
      <w:r>
        <w:rPr>
          <w:sz w:val="18"/>
          <w:szCs w:val="18"/>
        </w:rPr>
        <w:t xml:space="preserve"> à </w:t>
      </w:r>
      <w:r w:rsidRPr="00A76F84">
        <w:rPr>
          <w:sz w:val="18"/>
          <w:szCs w:val="18"/>
        </w:rPr>
        <w:t>211.</w:t>
      </w:r>
    </w:p>
  </w:footnote>
  <w:footnote w:id="50">
    <w:p w14:paraId="0789648E" w14:textId="3F47A681" w:rsidR="00E3205B" w:rsidRPr="00A76F84" w:rsidRDefault="00E3205B" w:rsidP="00C0414C">
      <w:pPr>
        <w:pStyle w:val="Notedebasdepage"/>
        <w:tabs>
          <w:tab w:val="left" w:pos="709"/>
        </w:tabs>
        <w:spacing w:after="120" w:line="240" w:lineRule="auto"/>
        <w:ind w:left="709" w:hanging="709"/>
        <w:rPr>
          <w:sz w:val="18"/>
          <w:szCs w:val="18"/>
        </w:rPr>
      </w:pPr>
      <w:r w:rsidRPr="00A76F84">
        <w:rPr>
          <w:rStyle w:val="Appelnotedebasdep"/>
          <w:sz w:val="18"/>
          <w:szCs w:val="18"/>
        </w:rPr>
        <w:footnoteRef/>
      </w:r>
      <w:r w:rsidRPr="00A76F84">
        <w:rPr>
          <w:sz w:val="18"/>
          <w:szCs w:val="18"/>
        </w:rPr>
        <w:t xml:space="preserve"> </w:t>
      </w:r>
      <w:r w:rsidRPr="00A76F84">
        <w:rPr>
          <w:sz w:val="18"/>
          <w:szCs w:val="18"/>
        </w:rPr>
        <w:tab/>
      </w:r>
      <w:r w:rsidRPr="00A76F84">
        <w:rPr>
          <w:smallCaps/>
          <w:sz w:val="18"/>
          <w:szCs w:val="18"/>
        </w:rPr>
        <w:t xml:space="preserve">Commission de </w:t>
      </w:r>
      <w:r w:rsidR="0067467C" w:rsidRPr="00A76F84">
        <w:rPr>
          <w:smallCaps/>
          <w:sz w:val="18"/>
          <w:szCs w:val="18"/>
        </w:rPr>
        <w:t>v</w:t>
      </w:r>
      <w:r w:rsidRPr="00A76F84">
        <w:rPr>
          <w:smallCaps/>
          <w:sz w:val="18"/>
          <w:szCs w:val="18"/>
        </w:rPr>
        <w:t>érité et réconciliation du Canada</w:t>
      </w:r>
      <w:r w:rsidRPr="00A76F84">
        <w:rPr>
          <w:sz w:val="18"/>
          <w:szCs w:val="18"/>
        </w:rPr>
        <w:t xml:space="preserve">, </w:t>
      </w:r>
      <w:r w:rsidRPr="00A76F84">
        <w:rPr>
          <w:i/>
          <w:iCs/>
          <w:sz w:val="18"/>
          <w:szCs w:val="18"/>
        </w:rPr>
        <w:t>Honorer la vérité, réconcilier pour l’avenir</w:t>
      </w:r>
      <w:r w:rsidRPr="00A76F84">
        <w:rPr>
          <w:sz w:val="18"/>
          <w:szCs w:val="18"/>
        </w:rPr>
        <w:t xml:space="preserve">, </w:t>
      </w:r>
      <w:r w:rsidRPr="00A76F84">
        <w:rPr>
          <w:i/>
          <w:iCs/>
          <w:sz w:val="18"/>
          <w:szCs w:val="18"/>
        </w:rPr>
        <w:t>Sommaire du rapport final de la Commission de vérité et réconciliation du Canada</w:t>
      </w:r>
      <w:r w:rsidRPr="00A76F84">
        <w:rPr>
          <w:sz w:val="18"/>
          <w:szCs w:val="18"/>
        </w:rPr>
        <w:t>, Ed. McGill-</w:t>
      </w:r>
      <w:proofErr w:type="spellStart"/>
      <w:r w:rsidRPr="00A76F84">
        <w:rPr>
          <w:sz w:val="18"/>
          <w:szCs w:val="18"/>
        </w:rPr>
        <w:t>Queen’s</w:t>
      </w:r>
      <w:proofErr w:type="spellEnd"/>
      <w:r w:rsidRPr="00A76F84">
        <w:rPr>
          <w:sz w:val="18"/>
          <w:szCs w:val="18"/>
        </w:rPr>
        <w:t xml:space="preserve"> </w:t>
      </w:r>
      <w:proofErr w:type="spellStart"/>
      <w:r w:rsidRPr="00A76F84">
        <w:rPr>
          <w:sz w:val="18"/>
          <w:szCs w:val="18"/>
        </w:rPr>
        <w:t>University</w:t>
      </w:r>
      <w:proofErr w:type="spellEnd"/>
      <w:r w:rsidRPr="00A76F84">
        <w:rPr>
          <w:sz w:val="18"/>
          <w:szCs w:val="18"/>
        </w:rPr>
        <w:t xml:space="preserve"> </w:t>
      </w:r>
      <w:proofErr w:type="spellStart"/>
      <w:r w:rsidRPr="00A76F84">
        <w:rPr>
          <w:sz w:val="18"/>
          <w:szCs w:val="18"/>
        </w:rPr>
        <w:t>Press</w:t>
      </w:r>
      <w:proofErr w:type="spellEnd"/>
      <w:r w:rsidRPr="00A76F84">
        <w:rPr>
          <w:sz w:val="18"/>
          <w:szCs w:val="18"/>
        </w:rPr>
        <w:t xml:space="preserve">, 2015, </w:t>
      </w:r>
      <w:r w:rsidR="00957A38" w:rsidRPr="00A76F84">
        <w:rPr>
          <w:sz w:val="18"/>
          <w:szCs w:val="18"/>
        </w:rPr>
        <w:t>a</w:t>
      </w:r>
      <w:r w:rsidRPr="00A76F84">
        <w:rPr>
          <w:sz w:val="18"/>
          <w:szCs w:val="18"/>
        </w:rPr>
        <w:t>ppel à l’action 18.</w:t>
      </w:r>
    </w:p>
  </w:footnote>
  <w:footnote w:id="51">
    <w:p w14:paraId="6A8EBFF4" w14:textId="7A5D6E05" w:rsidR="00541728" w:rsidRPr="009E2CCF" w:rsidRDefault="00541728" w:rsidP="009E2CCF">
      <w:pPr>
        <w:pStyle w:val="Notedebasdepage"/>
        <w:tabs>
          <w:tab w:val="left" w:pos="709"/>
        </w:tabs>
        <w:spacing w:after="120" w:line="240" w:lineRule="auto"/>
        <w:ind w:left="709" w:hanging="709"/>
        <w:rPr>
          <w:sz w:val="18"/>
          <w:szCs w:val="18"/>
        </w:rPr>
      </w:pPr>
      <w:r w:rsidRPr="00126E04">
        <w:rPr>
          <w:rStyle w:val="Appelnotedebasdep"/>
        </w:rPr>
        <w:footnoteRef/>
      </w:r>
      <w:r w:rsidRPr="00126E04">
        <w:t xml:space="preserve"> </w:t>
      </w:r>
      <w:r w:rsidRPr="00126E04">
        <w:tab/>
      </w:r>
      <w:r w:rsidRPr="009E2CCF">
        <w:rPr>
          <w:sz w:val="18"/>
          <w:szCs w:val="18"/>
        </w:rPr>
        <w:t>Commission Viens, p.</w:t>
      </w:r>
      <w:r w:rsidR="008513D7" w:rsidRPr="009E2CCF">
        <w:rPr>
          <w:sz w:val="18"/>
          <w:szCs w:val="18"/>
        </w:rPr>
        <w:t> </w:t>
      </w:r>
      <w:r w:rsidRPr="009E2CCF">
        <w:rPr>
          <w:sz w:val="18"/>
          <w:szCs w:val="18"/>
        </w:rPr>
        <w:t>229.</w:t>
      </w:r>
    </w:p>
  </w:footnote>
  <w:footnote w:id="52">
    <w:p w14:paraId="6B68CDD9" w14:textId="1FA0D450" w:rsidR="003F3EA5" w:rsidRPr="009E2CCF" w:rsidRDefault="003F3EA5" w:rsidP="009E2CCF">
      <w:pPr>
        <w:pStyle w:val="Notedebasdepage"/>
        <w:tabs>
          <w:tab w:val="left" w:pos="709"/>
        </w:tabs>
        <w:spacing w:after="120" w:line="240" w:lineRule="auto"/>
        <w:ind w:left="709" w:hanging="709"/>
        <w:rPr>
          <w:sz w:val="18"/>
          <w:szCs w:val="18"/>
        </w:rPr>
      </w:pPr>
      <w:r w:rsidRPr="009E2CCF">
        <w:rPr>
          <w:rStyle w:val="Appelnotedebasdep"/>
          <w:sz w:val="18"/>
          <w:szCs w:val="18"/>
        </w:rPr>
        <w:footnoteRef/>
      </w:r>
      <w:r w:rsidRPr="009E2CCF">
        <w:rPr>
          <w:sz w:val="18"/>
          <w:szCs w:val="18"/>
        </w:rPr>
        <w:t xml:space="preserve"> </w:t>
      </w:r>
      <w:r w:rsidRPr="009E2CCF">
        <w:rPr>
          <w:sz w:val="18"/>
          <w:szCs w:val="18"/>
        </w:rPr>
        <w:tab/>
      </w:r>
      <w:r w:rsidRPr="00A60E9B">
        <w:rPr>
          <w:smallCaps/>
          <w:sz w:val="18"/>
          <w:szCs w:val="18"/>
        </w:rPr>
        <w:t>Conseil des Atikamekw de Manawan et Conseil de la Nation atikamekw</w:t>
      </w:r>
      <w:r w:rsidRPr="009E2CCF">
        <w:rPr>
          <w:sz w:val="18"/>
          <w:szCs w:val="18"/>
        </w:rPr>
        <w:t xml:space="preserve">, </w:t>
      </w:r>
      <w:proofErr w:type="spellStart"/>
      <w:r w:rsidRPr="009E2CCF">
        <w:rPr>
          <w:sz w:val="18"/>
          <w:szCs w:val="18"/>
        </w:rPr>
        <w:t>préc</w:t>
      </w:r>
      <w:proofErr w:type="spellEnd"/>
      <w:r w:rsidRPr="009E2CCF">
        <w:rPr>
          <w:sz w:val="18"/>
          <w:szCs w:val="18"/>
        </w:rPr>
        <w:t xml:space="preserve">., note </w:t>
      </w:r>
      <w:r w:rsidRPr="009E2CCF">
        <w:rPr>
          <w:sz w:val="18"/>
          <w:szCs w:val="18"/>
        </w:rPr>
        <w:fldChar w:fldCharType="begin"/>
      </w:r>
      <w:r w:rsidRPr="009E2CCF">
        <w:rPr>
          <w:sz w:val="18"/>
          <w:szCs w:val="18"/>
        </w:rPr>
        <w:instrText xml:space="preserve"> NOTEREF _Ref144799228 \h </w:instrText>
      </w:r>
      <w:r w:rsidR="009E2CCF" w:rsidRPr="009E2CCF">
        <w:rPr>
          <w:sz w:val="18"/>
          <w:szCs w:val="18"/>
        </w:rPr>
        <w:instrText xml:space="preserve"> \* MERGEFORMAT </w:instrText>
      </w:r>
      <w:r w:rsidRPr="009E2CCF">
        <w:rPr>
          <w:sz w:val="18"/>
          <w:szCs w:val="18"/>
        </w:rPr>
      </w:r>
      <w:r w:rsidRPr="009E2CCF">
        <w:rPr>
          <w:sz w:val="18"/>
          <w:szCs w:val="18"/>
        </w:rPr>
        <w:fldChar w:fldCharType="separate"/>
      </w:r>
      <w:r w:rsidR="008A75EF">
        <w:rPr>
          <w:sz w:val="18"/>
          <w:szCs w:val="18"/>
        </w:rPr>
        <w:t>28</w:t>
      </w:r>
      <w:r w:rsidRPr="009E2CCF">
        <w:rPr>
          <w:sz w:val="18"/>
          <w:szCs w:val="18"/>
        </w:rPr>
        <w:fldChar w:fldCharType="end"/>
      </w:r>
      <w:r w:rsidRPr="009E2CCF">
        <w:rPr>
          <w:sz w:val="18"/>
          <w:szCs w:val="18"/>
        </w:rPr>
        <w:t>, p. 6.</w:t>
      </w:r>
    </w:p>
  </w:footnote>
  <w:footnote w:id="53">
    <w:p w14:paraId="2EADEBAE" w14:textId="77777777" w:rsidR="003F3EA5" w:rsidRPr="009E2CCF" w:rsidRDefault="003F3EA5" w:rsidP="009E2CCF">
      <w:pPr>
        <w:pStyle w:val="Notedebasdepage"/>
        <w:tabs>
          <w:tab w:val="left" w:pos="709"/>
        </w:tabs>
        <w:spacing w:after="120" w:line="240" w:lineRule="auto"/>
        <w:ind w:left="709" w:hanging="709"/>
        <w:rPr>
          <w:sz w:val="18"/>
          <w:szCs w:val="18"/>
        </w:rPr>
      </w:pPr>
      <w:r w:rsidRPr="009E2CCF">
        <w:rPr>
          <w:rStyle w:val="Appelnotedebasdep"/>
          <w:sz w:val="18"/>
          <w:szCs w:val="18"/>
        </w:rPr>
        <w:footnoteRef/>
      </w:r>
      <w:r w:rsidRPr="009E2CCF">
        <w:rPr>
          <w:sz w:val="18"/>
          <w:szCs w:val="18"/>
        </w:rPr>
        <w:t xml:space="preserve"> </w:t>
      </w:r>
      <w:r w:rsidRPr="009E2CCF">
        <w:rPr>
          <w:sz w:val="18"/>
          <w:szCs w:val="18"/>
        </w:rPr>
        <w:tab/>
        <w:t>C’est notamment le cas du Collège des médecins, de l’Ordre des infirmières et infirmiers du Québec, de l’Association québécoise des infirmières et infirmiers en santé mentale, de l’Ordre des travailleurs sociaux et des thérapeutes conjugaux et familiaux du Québec et de l’Association des intervenants en dépendance du Québec.</w:t>
      </w:r>
    </w:p>
  </w:footnote>
  <w:footnote w:id="54">
    <w:p w14:paraId="1D099A3A" w14:textId="432F79F7" w:rsidR="00F63935" w:rsidRPr="00CB4745" w:rsidRDefault="00F35D9B" w:rsidP="00DB67DC">
      <w:pPr>
        <w:pStyle w:val="notebasde"/>
        <w:tabs>
          <w:tab w:val="left" w:pos="709"/>
        </w:tabs>
        <w:ind w:left="709" w:hanging="709"/>
      </w:pPr>
      <w:r w:rsidRPr="00DB67DC">
        <w:rPr>
          <w:rStyle w:val="Appelnotedebasdep"/>
        </w:rPr>
        <w:footnoteRef/>
      </w:r>
      <w:r w:rsidRPr="00DB67DC">
        <w:t xml:space="preserve"> </w:t>
      </w:r>
      <w:r w:rsidRPr="00DB67DC">
        <w:tab/>
      </w:r>
      <w:r w:rsidR="00F63935" w:rsidRPr="00DB67DC">
        <w:rPr>
          <w:smallCaps/>
        </w:rPr>
        <w:t>Gouvernement du Québec</w:t>
      </w:r>
      <w:r w:rsidR="00F63935" w:rsidRPr="00DB67DC">
        <w:t xml:space="preserve">, </w:t>
      </w:r>
      <w:r w:rsidR="00F63935" w:rsidRPr="00BD35F4">
        <w:rPr>
          <w:i/>
          <w:iCs/>
        </w:rPr>
        <w:t xml:space="preserve">La sécurisation culturelle en santé et en services sociaux : Vers des soins et des services culturellement sécurisants pour les Premières Nations et </w:t>
      </w:r>
      <w:proofErr w:type="gramStart"/>
      <w:r w:rsidR="00F63935" w:rsidRPr="00BD35F4">
        <w:rPr>
          <w:i/>
          <w:iCs/>
        </w:rPr>
        <w:t>les Inuit</w:t>
      </w:r>
      <w:proofErr w:type="gramEnd"/>
      <w:r w:rsidR="00F63935" w:rsidRPr="00DB67DC">
        <w:t>, 2021</w:t>
      </w:r>
      <w:r w:rsidR="00F63935">
        <w:t>.</w:t>
      </w:r>
    </w:p>
  </w:footnote>
  <w:footnote w:id="55">
    <w:p w14:paraId="7E567905" w14:textId="4582227F" w:rsidR="00F63935" w:rsidRPr="00DB67DC" w:rsidRDefault="00F63935" w:rsidP="00DB67DC">
      <w:pPr>
        <w:pStyle w:val="notebasde"/>
        <w:tabs>
          <w:tab w:val="left" w:pos="709"/>
        </w:tabs>
        <w:ind w:left="709" w:hanging="709"/>
        <w:rPr>
          <w:lang w:val="en-CA"/>
        </w:rPr>
      </w:pPr>
      <w:r>
        <w:rPr>
          <w:rStyle w:val="Appelnotedebasdep"/>
        </w:rPr>
        <w:footnoteRef/>
      </w:r>
      <w:r w:rsidRPr="00DB67DC">
        <w:rPr>
          <w:lang w:val="en-CA"/>
        </w:rPr>
        <w:t xml:space="preserve"> </w:t>
      </w:r>
      <w:r w:rsidRPr="00DB67DC">
        <w:rPr>
          <w:lang w:val="en-CA"/>
        </w:rPr>
        <w:tab/>
      </w:r>
      <w:r w:rsidRPr="00DB67DC">
        <w:rPr>
          <w:i/>
          <w:iCs/>
          <w:lang w:val="en-CA"/>
        </w:rPr>
        <w:t>Id</w:t>
      </w:r>
      <w:r w:rsidRPr="00DB67DC">
        <w:rPr>
          <w:lang w:val="en-CA"/>
        </w:rPr>
        <w:t>., p.</w:t>
      </w:r>
      <w:r w:rsidR="003A032B" w:rsidRPr="00DB67DC">
        <w:rPr>
          <w:lang w:val="en-CA"/>
        </w:rPr>
        <w:t xml:space="preserve"> 3</w:t>
      </w:r>
      <w:r w:rsidR="00DB67DC">
        <w:rPr>
          <w:lang w:val="en-CA"/>
        </w:rPr>
        <w:t>.</w:t>
      </w:r>
      <w:r w:rsidRPr="00DB67DC">
        <w:rPr>
          <w:lang w:val="en-CA"/>
        </w:rPr>
        <w:t xml:space="preserve"> </w:t>
      </w:r>
    </w:p>
  </w:footnote>
  <w:footnote w:id="56">
    <w:p w14:paraId="693EAD3E" w14:textId="08AD9BF5" w:rsidR="003A032B" w:rsidRPr="00DB67DC" w:rsidRDefault="003A032B" w:rsidP="00DB67DC">
      <w:pPr>
        <w:pStyle w:val="notebasde"/>
        <w:tabs>
          <w:tab w:val="left" w:pos="709"/>
        </w:tabs>
        <w:ind w:left="709" w:hanging="709"/>
        <w:rPr>
          <w:lang w:val="en-CA"/>
        </w:rPr>
      </w:pPr>
      <w:r w:rsidRPr="00DB67DC">
        <w:rPr>
          <w:rStyle w:val="Appelnotedebasdep"/>
          <w:i/>
          <w:iCs/>
        </w:rPr>
        <w:footnoteRef/>
      </w:r>
      <w:r w:rsidRPr="00DB67DC">
        <w:rPr>
          <w:lang w:val="en-CA"/>
        </w:rPr>
        <w:t xml:space="preserve"> </w:t>
      </w:r>
      <w:r w:rsidRPr="00DB67DC">
        <w:rPr>
          <w:lang w:val="en-CA"/>
        </w:rPr>
        <w:tab/>
      </w:r>
      <w:r w:rsidRPr="00DB67DC">
        <w:rPr>
          <w:i/>
          <w:iCs/>
          <w:lang w:val="en-CA"/>
        </w:rPr>
        <w:t>Id</w:t>
      </w:r>
      <w:r w:rsidRPr="00DB67DC">
        <w:rPr>
          <w:lang w:val="en-CA"/>
        </w:rPr>
        <w:t>.,</w:t>
      </w:r>
      <w:r w:rsidR="00460711" w:rsidRPr="00DB67DC">
        <w:rPr>
          <w:lang w:val="en-CA"/>
        </w:rPr>
        <w:t xml:space="preserve"> </w:t>
      </w:r>
      <w:r w:rsidR="000457D8" w:rsidRPr="00DB67DC">
        <w:rPr>
          <w:lang w:val="en-CA"/>
        </w:rPr>
        <w:t>p. xv</w:t>
      </w:r>
      <w:r w:rsidR="00DB67DC">
        <w:rPr>
          <w:lang w:val="en-CA"/>
        </w:rPr>
        <w:t>.</w:t>
      </w:r>
    </w:p>
  </w:footnote>
  <w:footnote w:id="57">
    <w:p w14:paraId="6ACB0054" w14:textId="6DF56ABB" w:rsidR="00AB2E6A" w:rsidRPr="00DB67DC" w:rsidRDefault="00AB2E6A" w:rsidP="00DB67DC">
      <w:pPr>
        <w:pStyle w:val="notebasde"/>
        <w:tabs>
          <w:tab w:val="left" w:pos="709"/>
        </w:tabs>
        <w:ind w:left="709" w:hanging="709"/>
        <w:rPr>
          <w:lang w:val="en-CA"/>
        </w:rPr>
      </w:pPr>
      <w:r w:rsidRPr="00DB67DC">
        <w:rPr>
          <w:rStyle w:val="Appelnotedebasdep"/>
          <w:i/>
          <w:iCs/>
        </w:rPr>
        <w:footnoteRef/>
      </w:r>
      <w:r w:rsidRPr="00DB67DC">
        <w:rPr>
          <w:lang w:val="en-CA"/>
        </w:rPr>
        <w:t xml:space="preserve"> </w:t>
      </w:r>
      <w:r w:rsidRPr="00DB67DC">
        <w:rPr>
          <w:lang w:val="en-CA"/>
        </w:rPr>
        <w:tab/>
      </w:r>
      <w:r w:rsidRPr="00DB67DC">
        <w:rPr>
          <w:i/>
          <w:iCs/>
          <w:lang w:val="en-CA"/>
        </w:rPr>
        <w:t>Id</w:t>
      </w:r>
      <w:r w:rsidRPr="00DB67DC">
        <w:rPr>
          <w:lang w:val="en-CA"/>
        </w:rPr>
        <w:t>.</w:t>
      </w:r>
      <w:r w:rsidR="000457D8" w:rsidRPr="00DB67DC">
        <w:rPr>
          <w:lang w:val="en-CA"/>
        </w:rPr>
        <w:t xml:space="preserve"> </w:t>
      </w:r>
    </w:p>
  </w:footnote>
  <w:footnote w:id="58">
    <w:p w14:paraId="00639EFF" w14:textId="3E16834F" w:rsidR="00CF5DD0" w:rsidRPr="00126E04" w:rsidRDefault="00CF5DD0" w:rsidP="00DB67DC">
      <w:pPr>
        <w:pStyle w:val="notebasde"/>
        <w:tabs>
          <w:tab w:val="left" w:pos="709"/>
        </w:tabs>
        <w:ind w:left="709" w:hanging="709"/>
      </w:pPr>
      <w:r w:rsidRPr="00126E04">
        <w:rPr>
          <w:rStyle w:val="Appelnotedebasdep"/>
        </w:rPr>
        <w:footnoteRef/>
      </w:r>
      <w:r w:rsidRPr="00126E04">
        <w:t xml:space="preserve"> </w:t>
      </w:r>
      <w:r w:rsidRPr="00126E04">
        <w:tab/>
      </w:r>
      <w:r w:rsidR="000457D8" w:rsidRPr="00DB67DC">
        <w:rPr>
          <w:i/>
          <w:iCs/>
        </w:rPr>
        <w:t>Id</w:t>
      </w:r>
      <w:r w:rsidR="000457D8" w:rsidRPr="00DB67DC">
        <w:t>.</w:t>
      </w:r>
      <w:r w:rsidR="000457D8">
        <w:rPr>
          <w:smallCaps/>
        </w:rPr>
        <w:t xml:space="preserve"> </w:t>
      </w:r>
      <w:r w:rsidRPr="00126E04">
        <w:t>p. 9.</w:t>
      </w:r>
    </w:p>
  </w:footnote>
  <w:footnote w:id="59">
    <w:p w14:paraId="213359B4" w14:textId="5AB9272A" w:rsidR="00F91C69" w:rsidRPr="00126E04" w:rsidRDefault="00F91C69" w:rsidP="00D07053">
      <w:pPr>
        <w:pStyle w:val="Notedebasdepage"/>
        <w:tabs>
          <w:tab w:val="left" w:pos="709"/>
        </w:tabs>
        <w:spacing w:after="120" w:line="240" w:lineRule="auto"/>
        <w:ind w:left="709" w:hanging="709"/>
      </w:pPr>
      <w:r w:rsidRPr="00126E04">
        <w:rPr>
          <w:rStyle w:val="Appelnotedebasdep"/>
        </w:rPr>
        <w:footnoteRef/>
      </w:r>
      <w:r w:rsidRPr="00126E04">
        <w:t xml:space="preserve"> </w:t>
      </w:r>
      <w:r w:rsidRPr="00126E04">
        <w:tab/>
      </w:r>
      <w:r w:rsidR="00957CCB" w:rsidRPr="00D07053">
        <w:rPr>
          <w:smallCaps/>
          <w:sz w:val="18"/>
          <w:szCs w:val="18"/>
        </w:rPr>
        <w:t>Enquête nationale sur les femmes et les filles autochtones disparues et assassinées</w:t>
      </w:r>
      <w:r w:rsidR="00957CCB" w:rsidRPr="00D07053">
        <w:rPr>
          <w:sz w:val="18"/>
          <w:szCs w:val="18"/>
        </w:rPr>
        <w:t xml:space="preserve">, </w:t>
      </w:r>
      <w:r w:rsidR="00957CCB" w:rsidRPr="00D07053">
        <w:rPr>
          <w:i/>
          <w:iCs/>
          <w:sz w:val="18"/>
          <w:szCs w:val="18"/>
        </w:rPr>
        <w:t>Réclamer notre pouvoir et notre place : le rapport final de l’enquête nationale sur les femmes et les filles autochtones disparues et assassinées</w:t>
      </w:r>
      <w:r w:rsidR="00957CCB" w:rsidRPr="00D07053">
        <w:rPr>
          <w:sz w:val="18"/>
          <w:szCs w:val="18"/>
        </w:rPr>
        <w:t xml:space="preserve">, 2019, vol. 1a ; </w:t>
      </w:r>
      <w:r w:rsidRPr="00D07053">
        <w:rPr>
          <w:rFonts w:eastAsiaTheme="minorHAnsi"/>
          <w:smallCaps/>
          <w:sz w:val="18"/>
          <w:szCs w:val="18"/>
          <w:lang w:eastAsia="en-US"/>
        </w:rPr>
        <w:t>Commission de vérité et réconciliation du Canada</w:t>
      </w:r>
      <w:r w:rsidRPr="00D07053">
        <w:rPr>
          <w:sz w:val="18"/>
          <w:szCs w:val="18"/>
        </w:rPr>
        <w:t xml:space="preserve">, </w:t>
      </w:r>
      <w:proofErr w:type="spellStart"/>
      <w:r w:rsidR="009C4C03" w:rsidRPr="00D07053">
        <w:rPr>
          <w:sz w:val="18"/>
          <w:szCs w:val="18"/>
        </w:rPr>
        <w:t>préc</w:t>
      </w:r>
      <w:proofErr w:type="spellEnd"/>
      <w:r w:rsidR="009C4C03" w:rsidRPr="00D07053">
        <w:rPr>
          <w:sz w:val="18"/>
          <w:szCs w:val="18"/>
        </w:rPr>
        <w:t>.</w:t>
      </w:r>
      <w:r w:rsidR="003C55C0" w:rsidRPr="00D07053">
        <w:rPr>
          <w:sz w:val="18"/>
          <w:szCs w:val="18"/>
        </w:rPr>
        <w:t>, note</w:t>
      </w:r>
      <w:r w:rsidRPr="00D07053">
        <w:rPr>
          <w:sz w:val="18"/>
          <w:szCs w:val="18"/>
        </w:rPr>
        <w:t xml:space="preserve"> </w:t>
      </w:r>
      <w:r w:rsidR="00CF5334" w:rsidRPr="00D07053">
        <w:rPr>
          <w:sz w:val="18"/>
          <w:szCs w:val="18"/>
        </w:rPr>
        <w:fldChar w:fldCharType="begin"/>
      </w:r>
      <w:r w:rsidR="00CF5334" w:rsidRPr="00D07053">
        <w:rPr>
          <w:sz w:val="18"/>
          <w:szCs w:val="18"/>
        </w:rPr>
        <w:instrText xml:space="preserve"> NOTEREF _Ref144810045 \h </w:instrText>
      </w:r>
      <w:r w:rsidR="00AD6FFC" w:rsidRPr="00D07053">
        <w:rPr>
          <w:sz w:val="18"/>
          <w:szCs w:val="18"/>
        </w:rPr>
        <w:instrText xml:space="preserve"> \* MERGEFORMAT </w:instrText>
      </w:r>
      <w:r w:rsidR="00CF5334" w:rsidRPr="00D07053">
        <w:rPr>
          <w:sz w:val="18"/>
          <w:szCs w:val="18"/>
        </w:rPr>
      </w:r>
      <w:r w:rsidR="00CF5334" w:rsidRPr="00D07053">
        <w:rPr>
          <w:sz w:val="18"/>
          <w:szCs w:val="18"/>
        </w:rPr>
        <w:fldChar w:fldCharType="separate"/>
      </w:r>
      <w:r w:rsidR="008A75EF">
        <w:rPr>
          <w:sz w:val="18"/>
          <w:szCs w:val="18"/>
        </w:rPr>
        <w:t>49</w:t>
      </w:r>
      <w:r w:rsidR="00CF5334" w:rsidRPr="00D07053">
        <w:rPr>
          <w:sz w:val="18"/>
          <w:szCs w:val="18"/>
        </w:rPr>
        <w:fldChar w:fldCharType="end"/>
      </w:r>
      <w:r w:rsidR="00CF5334" w:rsidRPr="00D07053">
        <w:rPr>
          <w:sz w:val="18"/>
          <w:szCs w:val="18"/>
        </w:rPr>
        <w:t xml:space="preserve">, </w:t>
      </w:r>
      <w:r w:rsidRPr="00D07053">
        <w:rPr>
          <w:sz w:val="18"/>
          <w:szCs w:val="18"/>
        </w:rPr>
        <w:t>p. 170</w:t>
      </w:r>
      <w:r w:rsidR="00394878" w:rsidRPr="00D07053">
        <w:rPr>
          <w:sz w:val="18"/>
          <w:szCs w:val="18"/>
        </w:rPr>
        <w:t> </w:t>
      </w:r>
      <w:r w:rsidRPr="00D07053">
        <w:rPr>
          <w:sz w:val="18"/>
          <w:szCs w:val="18"/>
        </w:rPr>
        <w:t xml:space="preserve">; </w:t>
      </w:r>
      <w:r w:rsidR="00C66D27" w:rsidRPr="00D07053">
        <w:rPr>
          <w:smallCaps/>
          <w:sz w:val="18"/>
          <w:szCs w:val="18"/>
        </w:rPr>
        <w:t>Commission de la santé et des services sociaux des Premières Nations du Québec et du Labrador,</w:t>
      </w:r>
      <w:r w:rsidR="008E56E8" w:rsidRPr="00D07053">
        <w:rPr>
          <w:smallCaps/>
          <w:sz w:val="18"/>
          <w:szCs w:val="18"/>
        </w:rPr>
        <w:t xml:space="preserve"> </w:t>
      </w:r>
      <w:r w:rsidR="008E56E8" w:rsidRPr="00D07053">
        <w:rPr>
          <w:i/>
          <w:iCs/>
          <w:sz w:val="18"/>
          <w:szCs w:val="18"/>
        </w:rPr>
        <w:t xml:space="preserve">Enquête régionale sur la santé des Premières Nations du Québec - </w:t>
      </w:r>
      <w:r w:rsidR="00C66D27" w:rsidRPr="00D07053">
        <w:rPr>
          <w:i/>
          <w:iCs/>
          <w:smallCaps/>
          <w:sz w:val="18"/>
          <w:szCs w:val="18"/>
        </w:rPr>
        <w:t xml:space="preserve"> </w:t>
      </w:r>
      <w:r w:rsidR="00C66D27" w:rsidRPr="00D07053">
        <w:rPr>
          <w:i/>
          <w:iCs/>
          <w:sz w:val="18"/>
          <w:szCs w:val="18"/>
        </w:rPr>
        <w:t>Accessibilité et utilisation des services de santé</w:t>
      </w:r>
      <w:r w:rsidR="00394878" w:rsidRPr="00D07053">
        <w:rPr>
          <w:sz w:val="18"/>
          <w:szCs w:val="18"/>
        </w:rPr>
        <w:t>,</w:t>
      </w:r>
      <w:r w:rsidR="00C66D27" w:rsidRPr="00D07053">
        <w:rPr>
          <w:smallCaps/>
          <w:sz w:val="18"/>
          <w:szCs w:val="18"/>
        </w:rPr>
        <w:t xml:space="preserve"> 2018</w:t>
      </w:r>
      <w:r w:rsidR="00394878" w:rsidRPr="00D07053">
        <w:rPr>
          <w:smallCaps/>
          <w:sz w:val="18"/>
          <w:szCs w:val="18"/>
        </w:rPr>
        <w:t>;</w:t>
      </w:r>
      <w:r w:rsidRPr="00D07053">
        <w:rPr>
          <w:sz w:val="18"/>
          <w:szCs w:val="18"/>
        </w:rPr>
        <w:t xml:space="preserve"> </w:t>
      </w:r>
      <w:r w:rsidRPr="00D07053">
        <w:rPr>
          <w:smallCaps/>
          <w:sz w:val="18"/>
          <w:szCs w:val="18"/>
        </w:rPr>
        <w:t>Commission de la santé et des services sociaux des Premières Nations du Québec et du Labrador</w:t>
      </w:r>
      <w:r w:rsidRPr="00D07053">
        <w:rPr>
          <w:sz w:val="18"/>
          <w:szCs w:val="18"/>
        </w:rPr>
        <w:t xml:space="preserve">, </w:t>
      </w:r>
      <w:r w:rsidRPr="00D07053">
        <w:rPr>
          <w:i/>
          <w:iCs/>
          <w:sz w:val="18"/>
          <w:szCs w:val="18"/>
        </w:rPr>
        <w:t>La santé publique chez les Premières Nations au Québec. Une responsabilité partagée pour une action concertée</w:t>
      </w:r>
      <w:r w:rsidRPr="00D07053">
        <w:rPr>
          <w:sz w:val="18"/>
          <w:szCs w:val="18"/>
        </w:rPr>
        <w:t>, 2018, p. 18</w:t>
      </w:r>
      <w:r w:rsidR="00605AF9" w:rsidRPr="00D07053">
        <w:rPr>
          <w:sz w:val="18"/>
          <w:szCs w:val="18"/>
        </w:rPr>
        <w:t xml:space="preserve"> à </w:t>
      </w:r>
      <w:r w:rsidRPr="00D07053">
        <w:rPr>
          <w:sz w:val="18"/>
          <w:szCs w:val="18"/>
        </w:rPr>
        <w:t xml:space="preserve">20 ; </w:t>
      </w:r>
      <w:r w:rsidRPr="00D07053">
        <w:rPr>
          <w:smallCaps/>
          <w:sz w:val="18"/>
          <w:szCs w:val="18"/>
        </w:rPr>
        <w:t>Centre de collaboration nationale de la santé autochtone,</w:t>
      </w:r>
      <w:r w:rsidRPr="00D07053">
        <w:rPr>
          <w:sz w:val="18"/>
          <w:szCs w:val="18"/>
        </w:rPr>
        <w:t xml:space="preserve"> </w:t>
      </w:r>
      <w:r w:rsidRPr="00D07053">
        <w:rPr>
          <w:i/>
          <w:iCs/>
          <w:sz w:val="18"/>
          <w:szCs w:val="18"/>
        </w:rPr>
        <w:t>Accès aux services de santé comme déterminant social de la santé des Premières Nations, des Inuit et des Métis</w:t>
      </w:r>
      <w:r w:rsidRPr="00D07053">
        <w:rPr>
          <w:sz w:val="18"/>
          <w:szCs w:val="18"/>
        </w:rPr>
        <w:t>, 2011 ;</w:t>
      </w:r>
      <w:r w:rsidR="002B473D" w:rsidRPr="00D07053">
        <w:rPr>
          <w:smallCaps/>
          <w:sz w:val="18"/>
          <w:szCs w:val="18"/>
        </w:rPr>
        <w:t xml:space="preserve"> Commission d’enquête sur les relations entre les autochtones et certains services publics, </w:t>
      </w:r>
      <w:r w:rsidRPr="00D07053">
        <w:rPr>
          <w:i/>
          <w:iCs/>
          <w:sz w:val="18"/>
          <w:szCs w:val="18"/>
        </w:rPr>
        <w:t>Revue de littérature. Santé. Thème : état de santé de la population autochtone au Québec</w:t>
      </w:r>
      <w:r w:rsidRPr="00D07053">
        <w:rPr>
          <w:sz w:val="18"/>
          <w:szCs w:val="18"/>
        </w:rPr>
        <w:t xml:space="preserve">, </w:t>
      </w:r>
      <w:r w:rsidR="002B473D" w:rsidRPr="00D07053">
        <w:rPr>
          <w:sz w:val="18"/>
          <w:szCs w:val="18"/>
        </w:rPr>
        <w:t xml:space="preserve">Carole </w:t>
      </w:r>
      <w:r w:rsidR="002B473D" w:rsidRPr="00D07053">
        <w:rPr>
          <w:smallCaps/>
          <w:sz w:val="18"/>
          <w:szCs w:val="18"/>
        </w:rPr>
        <w:t>Lévesque</w:t>
      </w:r>
      <w:r w:rsidR="002B473D" w:rsidRPr="00D07053">
        <w:rPr>
          <w:sz w:val="18"/>
          <w:szCs w:val="18"/>
        </w:rPr>
        <w:t xml:space="preserve">, Ioana </w:t>
      </w:r>
      <w:r w:rsidR="002B473D" w:rsidRPr="00D07053">
        <w:rPr>
          <w:smallCaps/>
          <w:sz w:val="18"/>
          <w:szCs w:val="18"/>
        </w:rPr>
        <w:t>Radu</w:t>
      </w:r>
      <w:r w:rsidR="002B473D" w:rsidRPr="00D07053">
        <w:rPr>
          <w:sz w:val="18"/>
          <w:szCs w:val="18"/>
        </w:rPr>
        <w:t xml:space="preserve"> et Nathalie </w:t>
      </w:r>
      <w:proofErr w:type="spellStart"/>
      <w:r w:rsidR="002B473D" w:rsidRPr="00D07053">
        <w:rPr>
          <w:smallCaps/>
          <w:sz w:val="18"/>
          <w:szCs w:val="18"/>
        </w:rPr>
        <w:t>Tran</w:t>
      </w:r>
      <w:proofErr w:type="spellEnd"/>
      <w:r w:rsidR="002B473D" w:rsidRPr="00D07053">
        <w:rPr>
          <w:sz w:val="18"/>
          <w:szCs w:val="18"/>
        </w:rPr>
        <w:t xml:space="preserve">, </w:t>
      </w:r>
      <w:r w:rsidRPr="00D07053">
        <w:rPr>
          <w:sz w:val="18"/>
          <w:szCs w:val="18"/>
        </w:rPr>
        <w:t>2018</w:t>
      </w:r>
      <w:r w:rsidR="00F74B1B" w:rsidRPr="00126E04">
        <w:t>.</w:t>
      </w:r>
    </w:p>
  </w:footnote>
  <w:footnote w:id="60">
    <w:p w14:paraId="0FF97939" w14:textId="532B6D06" w:rsidR="00B27719" w:rsidRPr="00126E04" w:rsidRDefault="00B27719"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des droits de la personne et des droits de la jeunesse</w:t>
      </w:r>
      <w:r w:rsidRPr="00126E04">
        <w:t xml:space="preserve">, </w:t>
      </w:r>
      <w:proofErr w:type="spellStart"/>
      <w:r w:rsidR="00986104" w:rsidRPr="00126E04">
        <w:t>préc</w:t>
      </w:r>
      <w:proofErr w:type="spellEnd"/>
      <w:r w:rsidR="00986104" w:rsidRPr="00126E04">
        <w:t xml:space="preserve">., note </w:t>
      </w:r>
      <w:r w:rsidR="00986104" w:rsidRPr="00126E04">
        <w:fldChar w:fldCharType="begin"/>
      </w:r>
      <w:r w:rsidR="00986104" w:rsidRPr="00126E04">
        <w:instrText xml:space="preserve"> NOTEREF _Ref144806562 \h </w:instrText>
      </w:r>
      <w:r w:rsidR="00AD6FFC" w:rsidRPr="00126E04">
        <w:instrText xml:space="preserve"> \* MERGEFORMAT </w:instrText>
      </w:r>
      <w:r w:rsidR="00986104" w:rsidRPr="00126E04">
        <w:fldChar w:fldCharType="separate"/>
      </w:r>
      <w:r w:rsidR="008A75EF">
        <w:t>42</w:t>
      </w:r>
      <w:r w:rsidR="00986104" w:rsidRPr="00126E04">
        <w:fldChar w:fldCharType="end"/>
      </w:r>
      <w:r w:rsidR="00986104" w:rsidRPr="00126E04">
        <w:t>.</w:t>
      </w:r>
    </w:p>
  </w:footnote>
  <w:footnote w:id="61">
    <w:p w14:paraId="17E82DE1" w14:textId="2C21213C" w:rsidR="000E5B62" w:rsidRPr="00126E04" w:rsidRDefault="000E5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des droits de la personne et des droits de la jeunesse</w:t>
      </w:r>
      <w:r w:rsidRPr="00126E04">
        <w:t xml:space="preserve">, </w:t>
      </w:r>
      <w:r w:rsidRPr="00126E04">
        <w:rPr>
          <w:i/>
          <w:iCs/>
        </w:rPr>
        <w:t>Document de réflexion sur la notion de « racisme systémique »</w:t>
      </w:r>
      <w:r w:rsidRPr="00126E04">
        <w:t>, 2021, p.123.</w:t>
      </w:r>
    </w:p>
  </w:footnote>
  <w:footnote w:id="62">
    <w:p w14:paraId="63B0C922" w14:textId="293AA532" w:rsidR="00541728" w:rsidRPr="00126E04" w:rsidRDefault="00541728"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4B0B9E" w:rsidRPr="00126E04">
        <w:rPr>
          <w:smallCaps/>
        </w:rPr>
        <w:t>Commission des droits de la personne et des droits de la jeunesse</w:t>
      </w:r>
      <w:r w:rsidRPr="00126E04">
        <w:t xml:space="preserve">, </w:t>
      </w:r>
      <w:proofErr w:type="spellStart"/>
      <w:r w:rsidR="000E5B62" w:rsidRPr="00126E04">
        <w:t>préc</w:t>
      </w:r>
      <w:proofErr w:type="spellEnd"/>
      <w:r w:rsidR="000E5B62" w:rsidRPr="00126E04">
        <w:t xml:space="preserve">., note </w:t>
      </w:r>
      <w:r w:rsidR="000E5B62" w:rsidRPr="00126E04">
        <w:fldChar w:fldCharType="begin"/>
      </w:r>
      <w:r w:rsidR="000E5B62" w:rsidRPr="00126E04">
        <w:instrText xml:space="preserve"> NOTEREF _Ref144806562 \h </w:instrText>
      </w:r>
      <w:r w:rsidR="00AD6FFC" w:rsidRPr="00126E04">
        <w:instrText xml:space="preserve"> \* MERGEFORMAT </w:instrText>
      </w:r>
      <w:r w:rsidR="000E5B62" w:rsidRPr="00126E04">
        <w:fldChar w:fldCharType="separate"/>
      </w:r>
      <w:r w:rsidR="008A75EF">
        <w:t>42</w:t>
      </w:r>
      <w:r w:rsidR="000E5B62" w:rsidRPr="00126E04">
        <w:fldChar w:fldCharType="end"/>
      </w:r>
      <w:r w:rsidR="000E5B62" w:rsidRPr="00126E04">
        <w:t>.</w:t>
      </w:r>
    </w:p>
  </w:footnote>
  <w:footnote w:id="63">
    <w:p w14:paraId="4A4992BA" w14:textId="66C84DDC" w:rsidR="00D63553" w:rsidRPr="00126E04" w:rsidRDefault="00D63553"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354C9B">
        <w:rPr>
          <w:i/>
          <w:iCs/>
        </w:rPr>
        <w:t xml:space="preserve">Arrêté 1438-76 </w:t>
      </w:r>
      <w:r w:rsidR="007524A0" w:rsidRPr="00354C9B">
        <w:rPr>
          <w:i/>
          <w:iCs/>
        </w:rPr>
        <w:t xml:space="preserve">en chambre du Conseil exécutif </w:t>
      </w:r>
      <w:r w:rsidRPr="00354C9B">
        <w:rPr>
          <w:i/>
          <w:iCs/>
        </w:rPr>
        <w:t>concernant la ratification du Pacte international relatif aux droits économiques, sociaux et culturels, du Pacte international relatif aux droits civils et politiques, du Protocole facultatif se rapportant au Pacte relatif aux droits civils et politiques, ainsi que la signature par Ottawa et les provinces d’une entente concernant les modalités et les mécanismes de participation de ces dernières à la mise en œuvre des instruments internationaux</w:t>
      </w:r>
      <w:r w:rsidRPr="00126E04">
        <w:t>, 21 avril 1976, (1984-1989) Recueil des ententes internationales du Québec 809.</w:t>
      </w:r>
    </w:p>
  </w:footnote>
  <w:footnote w:id="64">
    <w:p w14:paraId="20055397" w14:textId="77777777" w:rsidR="006016B6" w:rsidRPr="00126E04" w:rsidRDefault="006016B6" w:rsidP="006016B6">
      <w:pPr>
        <w:pStyle w:val="notebasde"/>
        <w:tabs>
          <w:tab w:val="left" w:pos="709"/>
        </w:tabs>
        <w:ind w:left="709" w:hanging="709"/>
        <w:jc w:val="left"/>
      </w:pPr>
      <w:r w:rsidRPr="00126E04">
        <w:rPr>
          <w:rStyle w:val="Appelnotedebasdep"/>
        </w:rPr>
        <w:footnoteRef/>
      </w:r>
      <w:r w:rsidRPr="00126E04">
        <w:t xml:space="preserve"> </w:t>
      </w:r>
      <w:r w:rsidRPr="00126E04">
        <w:tab/>
        <w:t>DNUDPA, art. 24.</w:t>
      </w:r>
    </w:p>
  </w:footnote>
  <w:footnote w:id="65">
    <w:p w14:paraId="1A6BF3F5" w14:textId="77777777" w:rsidR="009A2B05" w:rsidRPr="00126E04" w:rsidRDefault="009A2B05" w:rsidP="00202CC7">
      <w:pPr>
        <w:pStyle w:val="notebasde"/>
        <w:tabs>
          <w:tab w:val="left" w:pos="709"/>
        </w:tabs>
        <w:ind w:left="709" w:hanging="709"/>
        <w:jc w:val="left"/>
      </w:pPr>
      <w:r w:rsidRPr="00126E04">
        <w:rPr>
          <w:rStyle w:val="Appelnotedebasdep"/>
        </w:rPr>
        <w:footnoteRef/>
      </w:r>
      <w:r w:rsidRPr="00126E04">
        <w:tab/>
      </w:r>
      <w:r w:rsidRPr="00126E04">
        <w:rPr>
          <w:i/>
          <w:lang w:eastAsia="en-US"/>
        </w:rPr>
        <w:t>Déclaration universelle des droits de l’Homme</w:t>
      </w:r>
      <w:r w:rsidRPr="00126E04">
        <w:t xml:space="preserve">, </w:t>
      </w:r>
      <w:proofErr w:type="spellStart"/>
      <w:r w:rsidRPr="00126E04">
        <w:t>Rés</w:t>
      </w:r>
      <w:proofErr w:type="spellEnd"/>
      <w:r w:rsidRPr="00126E04">
        <w:t>. 217 A (III), Doc. Off. A.G. N. U., 3</w:t>
      </w:r>
      <w:r w:rsidRPr="00126E04">
        <w:rPr>
          <w:vertAlign w:val="superscript"/>
        </w:rPr>
        <w:t>e</w:t>
      </w:r>
      <w:r w:rsidRPr="00126E04">
        <w:t xml:space="preserve"> </w:t>
      </w:r>
      <w:proofErr w:type="spellStart"/>
      <w:r w:rsidRPr="00126E04">
        <w:t>sess</w:t>
      </w:r>
      <w:proofErr w:type="spellEnd"/>
      <w:r w:rsidRPr="00126E04">
        <w:t>., suppl. n° 13, p. 17, Doc. N.U. A/810 (1948).</w:t>
      </w:r>
    </w:p>
  </w:footnote>
  <w:footnote w:id="66">
    <w:p w14:paraId="3A7ACF14" w14:textId="77777777" w:rsidR="009A2B05" w:rsidRPr="00126E04" w:rsidRDefault="009A2B05" w:rsidP="00202CC7">
      <w:pPr>
        <w:pStyle w:val="notebasde"/>
        <w:tabs>
          <w:tab w:val="left" w:pos="709"/>
        </w:tabs>
        <w:ind w:left="709" w:hanging="709"/>
        <w:jc w:val="left"/>
      </w:pPr>
      <w:r w:rsidRPr="00126E04">
        <w:rPr>
          <w:rStyle w:val="Appelnotedebasdep"/>
        </w:rPr>
        <w:footnoteRef/>
      </w:r>
      <w:r w:rsidRPr="00126E04">
        <w:tab/>
      </w:r>
      <w:r w:rsidRPr="00126E04">
        <w:rPr>
          <w:i/>
          <w:lang w:eastAsia="en-US"/>
        </w:rPr>
        <w:t>Convention sur l’élimination de toutes les formes de discrimination raciale</w:t>
      </w:r>
      <w:r w:rsidRPr="00126E04">
        <w:t>, New York, 7 mars 1966, 660 R.T.N.U. 695 (entrée en vigueur : 4 janvier 1969).</w:t>
      </w:r>
    </w:p>
  </w:footnote>
  <w:footnote w:id="67">
    <w:p w14:paraId="1466FA46" w14:textId="77777777" w:rsidR="009A2B05" w:rsidRPr="00126E04" w:rsidRDefault="009A2B05" w:rsidP="00202CC7">
      <w:pPr>
        <w:pStyle w:val="notebasde"/>
        <w:tabs>
          <w:tab w:val="left" w:pos="709"/>
        </w:tabs>
        <w:ind w:left="709" w:hanging="709"/>
        <w:jc w:val="left"/>
      </w:pPr>
      <w:r w:rsidRPr="00126E04">
        <w:rPr>
          <w:rStyle w:val="Appelnotedebasdep"/>
        </w:rPr>
        <w:footnoteRef/>
      </w:r>
      <w:r w:rsidRPr="00126E04">
        <w:tab/>
      </w:r>
      <w:r w:rsidRPr="00A2232C">
        <w:rPr>
          <w:i/>
          <w:iCs/>
          <w:lang w:eastAsia="en-US"/>
        </w:rPr>
        <w:t>Convention sur l’élimination de toutes les formes de discrimination à l’égard des femmes</w:t>
      </w:r>
      <w:r w:rsidRPr="00126E04">
        <w:t>, New York, 18 décembre 1979, 1249 R.T3 (entrée en vigueur : 3 septembre 1981).</w:t>
      </w:r>
    </w:p>
  </w:footnote>
  <w:footnote w:id="68">
    <w:p w14:paraId="7BBB5FEA" w14:textId="77777777" w:rsidR="00024AC0" w:rsidRPr="00126E04" w:rsidRDefault="000C1F2C" w:rsidP="00D07053">
      <w:pPr>
        <w:pStyle w:val="notebasde"/>
        <w:tabs>
          <w:tab w:val="left" w:pos="709"/>
        </w:tabs>
        <w:spacing w:after="0"/>
        <w:ind w:left="709" w:hanging="709"/>
        <w:jc w:val="left"/>
      </w:pPr>
      <w:r w:rsidRPr="00126E04">
        <w:rPr>
          <w:rStyle w:val="Appelnotedebasdep"/>
        </w:rPr>
        <w:footnoteRef/>
      </w:r>
      <w:r w:rsidRPr="00126E04">
        <w:t xml:space="preserve"> </w:t>
      </w:r>
      <w:r w:rsidR="00BC39FA" w:rsidRPr="00126E04">
        <w:tab/>
      </w:r>
      <w:r w:rsidR="00024AC0" w:rsidRPr="00126E04">
        <w:rPr>
          <w:i/>
        </w:rPr>
        <w:t>Convention relative aux droits de l’enfant</w:t>
      </w:r>
      <w:r w:rsidR="00024AC0" w:rsidRPr="00126E04">
        <w:t xml:space="preserve">, </w:t>
      </w:r>
      <w:proofErr w:type="spellStart"/>
      <w:r w:rsidR="00024AC0" w:rsidRPr="00126E04">
        <w:t>Rés</w:t>
      </w:r>
      <w:proofErr w:type="spellEnd"/>
      <w:r w:rsidR="00024AC0" w:rsidRPr="00126E04">
        <w:t>. 44/25, Doc. Off. A.G.N.U, 44</w:t>
      </w:r>
      <w:r w:rsidR="00024AC0" w:rsidRPr="00126E04">
        <w:rPr>
          <w:vertAlign w:val="superscript"/>
        </w:rPr>
        <w:t>e</w:t>
      </w:r>
      <w:r w:rsidR="00024AC0" w:rsidRPr="00126E04">
        <w:t xml:space="preserve"> </w:t>
      </w:r>
      <w:proofErr w:type="spellStart"/>
      <w:r w:rsidR="00024AC0" w:rsidRPr="00126E04">
        <w:t>sess</w:t>
      </w:r>
      <w:proofErr w:type="spellEnd"/>
      <w:r w:rsidR="00024AC0" w:rsidRPr="00126E04">
        <w:t>., (1989), ratifiée par le</w:t>
      </w:r>
    </w:p>
    <w:p w14:paraId="270AC1A3" w14:textId="1AA1FD33" w:rsidR="00D07053" w:rsidRPr="00126E04" w:rsidRDefault="009E1BA3" w:rsidP="00D07053">
      <w:pPr>
        <w:pStyle w:val="notebasde"/>
        <w:tabs>
          <w:tab w:val="left" w:pos="709"/>
        </w:tabs>
        <w:ind w:left="709" w:hanging="709"/>
        <w:jc w:val="left"/>
      </w:pPr>
      <w:r>
        <w:tab/>
      </w:r>
      <w:r w:rsidR="00024AC0" w:rsidRPr="00126E04">
        <w:t>Canada le 13</w:t>
      </w:r>
      <w:r w:rsidR="001C4421">
        <w:t> </w:t>
      </w:r>
      <w:r w:rsidR="00024AC0" w:rsidRPr="00126E04">
        <w:t>décembre 1991 (ci-après «</w:t>
      </w:r>
      <w:r w:rsidR="001C4421">
        <w:t> </w:t>
      </w:r>
      <w:r w:rsidR="00024AC0" w:rsidRPr="00126E04">
        <w:t>CRDE</w:t>
      </w:r>
      <w:r w:rsidR="001C4421">
        <w:t> </w:t>
      </w:r>
      <w:r w:rsidR="00024AC0" w:rsidRPr="00126E04">
        <w:t>»). art. 24</w:t>
      </w:r>
      <w:r w:rsidR="00011498" w:rsidRPr="00126E04">
        <w:t>.</w:t>
      </w:r>
    </w:p>
  </w:footnote>
  <w:footnote w:id="69">
    <w:p w14:paraId="4D9C1842" w14:textId="77777777" w:rsidR="009A2B05" w:rsidRPr="00126E04" w:rsidRDefault="009A2B05"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lang w:val="fr-FR"/>
        </w:rPr>
        <w:t>Convention relative aux droits des personnes handicapées</w:t>
      </w:r>
      <w:r w:rsidRPr="00126E04">
        <w:rPr>
          <w:lang w:val="fr-FR"/>
        </w:rPr>
        <w:t xml:space="preserve">, 13 décembre 2006, [2010] R.T. Can. </w:t>
      </w:r>
      <w:proofErr w:type="gramStart"/>
      <w:r w:rsidRPr="00126E04">
        <w:rPr>
          <w:lang w:val="fr-FR"/>
        </w:rPr>
        <w:t>n</w:t>
      </w:r>
      <w:r w:rsidRPr="00126E04">
        <w:rPr>
          <w:vertAlign w:val="superscript"/>
          <w:lang w:val="fr-FR"/>
        </w:rPr>
        <w:t>o</w:t>
      </w:r>
      <w:proofErr w:type="gramEnd"/>
      <w:r w:rsidRPr="00126E04">
        <w:rPr>
          <w:lang w:val="fr-FR"/>
        </w:rPr>
        <w:t> 8,</w:t>
      </w:r>
      <w:r w:rsidRPr="00126E04">
        <w:t xml:space="preserve"> art. 25. Soulignons que la Convention a été adoptée à l’unanimité par l’Assemblée générale des Nations Unies. Le Canada a ratifié cette convention le 11 mars 2010, s’engageant ainsi à respecter les principes qu’elle contient et à les mettre en œuvre.</w:t>
      </w:r>
    </w:p>
  </w:footnote>
  <w:footnote w:id="70">
    <w:p w14:paraId="785B8B18" w14:textId="77777777" w:rsidR="009A2B05" w:rsidRPr="00126E04" w:rsidRDefault="009A2B05" w:rsidP="00202CC7">
      <w:pPr>
        <w:pStyle w:val="notebasde"/>
        <w:tabs>
          <w:tab w:val="left" w:pos="709"/>
        </w:tabs>
        <w:ind w:left="709" w:hanging="709"/>
        <w:jc w:val="left"/>
      </w:pPr>
      <w:r w:rsidRPr="00126E04">
        <w:rPr>
          <w:rStyle w:val="Appelnotedebasdep"/>
        </w:rPr>
        <w:footnoteRef/>
      </w:r>
      <w:r w:rsidRPr="00126E04">
        <w:tab/>
      </w:r>
      <w:r w:rsidRPr="00126E04">
        <w:rPr>
          <w:i/>
          <w:lang w:eastAsia="en-US"/>
        </w:rPr>
        <w:t>Constitution de l’Organisation mondiale de la santé</w:t>
      </w:r>
      <w:r w:rsidRPr="00126E04">
        <w:t>, New York, 22 juillet 1946, 14 R.T.N.U. 185 (entrée en vigueur 1</w:t>
      </w:r>
      <w:r w:rsidRPr="00126E04">
        <w:rPr>
          <w:vertAlign w:val="superscript"/>
        </w:rPr>
        <w:t>er</w:t>
      </w:r>
      <w:r w:rsidRPr="00126E04">
        <w:t> avril 1948).</w:t>
      </w:r>
    </w:p>
  </w:footnote>
  <w:footnote w:id="71">
    <w:p w14:paraId="6AF3FFDE" w14:textId="20F8E905" w:rsidR="009A2B05" w:rsidRPr="00126E04" w:rsidRDefault="009A2B05" w:rsidP="00202CC7">
      <w:pPr>
        <w:pStyle w:val="notebasde"/>
        <w:tabs>
          <w:tab w:val="left" w:pos="709"/>
        </w:tabs>
        <w:ind w:left="709" w:hanging="709"/>
        <w:jc w:val="left"/>
      </w:pPr>
      <w:r w:rsidRPr="00126E04">
        <w:rPr>
          <w:rStyle w:val="Appelnotedebasdep"/>
        </w:rPr>
        <w:footnoteRef/>
      </w:r>
      <w:r w:rsidRPr="00126E04">
        <w:t xml:space="preserve"> </w:t>
      </w:r>
      <w:r w:rsidRPr="00126E04">
        <w:tab/>
        <w:t xml:space="preserve">William </w:t>
      </w:r>
      <w:proofErr w:type="spellStart"/>
      <w:r w:rsidRPr="00126E04">
        <w:rPr>
          <w:smallCaps/>
        </w:rPr>
        <w:t>Schabas</w:t>
      </w:r>
      <w:proofErr w:type="spellEnd"/>
      <w:r w:rsidRPr="00126E04">
        <w:t>, « Le Canada et la Déclaration universelle des droits de l’Homme » (1998) 11:2 RQDI 67</w:t>
      </w:r>
      <w:r w:rsidR="003D4265" w:rsidRPr="00126E04">
        <w:t>,</w:t>
      </w:r>
      <w:r w:rsidRPr="00126E04">
        <w:t xml:space="preserve"> p</w:t>
      </w:r>
      <w:r w:rsidR="003D4265" w:rsidRPr="00126E04">
        <w:t>.</w:t>
      </w:r>
      <w:r w:rsidRPr="00126E04">
        <w:t> 67.</w:t>
      </w:r>
    </w:p>
  </w:footnote>
  <w:footnote w:id="72">
    <w:p w14:paraId="7A746CE9" w14:textId="5D8F7A01" w:rsidR="00DF1D00" w:rsidRPr="00126E04" w:rsidRDefault="00DF1D00"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712953" w:rsidRPr="00126E04">
        <w:rPr>
          <w:smallCaps/>
        </w:rPr>
        <w:t>Comité des droits économiques, sociaux et culturels des nations unies</w:t>
      </w:r>
      <w:r w:rsidR="00BD06DD" w:rsidRPr="00126E04">
        <w:t xml:space="preserve">, </w:t>
      </w:r>
      <w:r w:rsidR="00BD06DD" w:rsidRPr="00B63705">
        <w:rPr>
          <w:i/>
          <w:iCs/>
        </w:rPr>
        <w:t xml:space="preserve">Observation générale </w:t>
      </w:r>
      <w:r w:rsidR="008C62FC" w:rsidRPr="00B63705">
        <w:rPr>
          <w:i/>
          <w:iCs/>
        </w:rPr>
        <w:t>n</w:t>
      </w:r>
      <w:r w:rsidR="008C62FC" w:rsidRPr="00B63705">
        <w:rPr>
          <w:i/>
          <w:iCs/>
          <w:vertAlign w:val="superscript"/>
        </w:rPr>
        <w:t>o</w:t>
      </w:r>
      <w:r w:rsidR="00BD06DD" w:rsidRPr="00B63705">
        <w:rPr>
          <w:i/>
          <w:iCs/>
        </w:rPr>
        <w:t xml:space="preserve"> 14 : Le droit au meilleur état de santé susceptible d’être atteint (art. 12 du Pacte international relatif aux droits économiques, sociaux et culturels)</w:t>
      </w:r>
      <w:r w:rsidR="00BD06DD" w:rsidRPr="00126E04">
        <w:t xml:space="preserve">, 2000, E/C.12/2000/4, </w:t>
      </w:r>
      <w:r w:rsidRPr="00126E04">
        <w:t xml:space="preserve">par. 3. </w:t>
      </w:r>
    </w:p>
  </w:footnote>
  <w:footnote w:id="73">
    <w:p w14:paraId="2424DD26" w14:textId="68E6D35F" w:rsidR="007E6C71" w:rsidRPr="00126E04" w:rsidRDefault="007E6C71" w:rsidP="00202CC7">
      <w:pPr>
        <w:pStyle w:val="notebasde"/>
        <w:tabs>
          <w:tab w:val="left" w:pos="709"/>
        </w:tabs>
        <w:ind w:left="709" w:hanging="709"/>
        <w:jc w:val="left"/>
        <w:rPr>
          <w:lang w:val="fr-FR"/>
        </w:rPr>
      </w:pPr>
      <w:r w:rsidRPr="00126E04">
        <w:rPr>
          <w:rStyle w:val="Appelnotedebasdep"/>
        </w:rPr>
        <w:footnoteRef/>
      </w:r>
      <w:r w:rsidRPr="00126E04">
        <w:t xml:space="preserve"> </w:t>
      </w:r>
      <w:r w:rsidRPr="00126E04">
        <w:tab/>
      </w:r>
      <w:r w:rsidRPr="00126E04">
        <w:rPr>
          <w:smallCaps/>
        </w:rPr>
        <w:t>Comité sur l’élimination de la discrimination raciale</w:t>
      </w:r>
      <w:r w:rsidRPr="00126E04">
        <w:t xml:space="preserve">, </w:t>
      </w:r>
      <w:r w:rsidRPr="00B63705">
        <w:rPr>
          <w:i/>
          <w:iCs/>
        </w:rPr>
        <w:t>Premier projet de recommandation générale n° 37 (2023) sur la discrimination raciale dans l’exercice du droit à la santé</w:t>
      </w:r>
      <w:r w:rsidRPr="00126E04">
        <w:t xml:space="preserve">, </w:t>
      </w:r>
      <w:r w:rsidR="007B796C" w:rsidRPr="00126E04">
        <w:t>Doc. N.U.</w:t>
      </w:r>
      <w:r w:rsidR="00270465" w:rsidRPr="00126E04">
        <w:t> </w:t>
      </w:r>
      <w:r w:rsidRPr="00126E04">
        <w:t>CERD/C/GC/37</w:t>
      </w:r>
      <w:r w:rsidR="006F30AC" w:rsidRPr="00126E04">
        <w:t xml:space="preserve"> (5 mai 2023)</w:t>
      </w:r>
      <w:r w:rsidR="007B796C" w:rsidRPr="00126E04">
        <w:t>.</w:t>
      </w:r>
    </w:p>
  </w:footnote>
  <w:footnote w:id="74">
    <w:p w14:paraId="3A019999" w14:textId="3A377803" w:rsidR="007325B4" w:rsidRPr="00126E04" w:rsidRDefault="007325B4"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6D173A" w:rsidRPr="00126E04">
        <w:rPr>
          <w:smallCaps/>
        </w:rPr>
        <w:t>Conseil des droits de l’homme</w:t>
      </w:r>
      <w:r w:rsidR="006D173A" w:rsidRPr="00126E04">
        <w:t xml:space="preserve">, </w:t>
      </w:r>
      <w:r w:rsidR="00F0552E" w:rsidRPr="00A3697B">
        <w:rPr>
          <w:i/>
          <w:iCs/>
        </w:rPr>
        <w:t>Effets négatifs de l’héritage du colonialisme sur l’exercice des droits de l’</w:t>
      </w:r>
      <w:r w:rsidR="00E57A96" w:rsidRPr="00A3697B">
        <w:rPr>
          <w:i/>
          <w:iCs/>
        </w:rPr>
        <w:t>H</w:t>
      </w:r>
      <w:r w:rsidR="00F0552E" w:rsidRPr="00A3697B">
        <w:rPr>
          <w:i/>
          <w:iCs/>
        </w:rPr>
        <w:t>omme</w:t>
      </w:r>
      <w:r w:rsidR="00557523" w:rsidRPr="00126E04">
        <w:t xml:space="preserve">, </w:t>
      </w:r>
      <w:r w:rsidR="006D173A" w:rsidRPr="00126E04">
        <w:t>Doc. N.U. </w:t>
      </w:r>
      <w:r w:rsidRPr="00126E04">
        <w:t>A/HRC/RES/48/7</w:t>
      </w:r>
      <w:r w:rsidR="008A4626" w:rsidRPr="00126E04">
        <w:t xml:space="preserve"> (8</w:t>
      </w:r>
      <w:r w:rsidR="001C4421">
        <w:t> </w:t>
      </w:r>
      <w:r w:rsidR="008A4626" w:rsidRPr="00126E04">
        <w:t>octobre 2021)</w:t>
      </w:r>
      <w:r w:rsidRPr="00126E04">
        <w:t>.</w:t>
      </w:r>
    </w:p>
  </w:footnote>
  <w:footnote w:id="75">
    <w:p w14:paraId="0A8E0C45" w14:textId="25878CD4" w:rsidR="00EE13E1" w:rsidRPr="00126E04" w:rsidRDefault="00EE13E1"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Conseil des droits de l’homme</w:t>
      </w:r>
      <w:r w:rsidRPr="00126E04">
        <w:t xml:space="preserve">, </w:t>
      </w:r>
      <w:r w:rsidRPr="00A3697B">
        <w:rPr>
          <w:i/>
          <w:iCs/>
        </w:rPr>
        <w:t>Droit à la santé et peuples autochtones, notamment les enfants et les jeunes</w:t>
      </w:r>
      <w:r w:rsidRPr="00126E04">
        <w:t>, A/HRC/33/57, 2016, p. 9.</w:t>
      </w:r>
    </w:p>
  </w:footnote>
  <w:footnote w:id="76">
    <w:p w14:paraId="237FF96D" w14:textId="2007C851" w:rsidR="00C20169" w:rsidRPr="00126E04" w:rsidRDefault="00C20169" w:rsidP="00202CC7">
      <w:pPr>
        <w:pStyle w:val="notebasde"/>
        <w:tabs>
          <w:tab w:val="left" w:pos="709"/>
        </w:tabs>
        <w:ind w:left="709" w:hanging="709"/>
        <w:jc w:val="left"/>
      </w:pPr>
      <w:r w:rsidRPr="009F05AD">
        <w:rPr>
          <w:rStyle w:val="Appelnotedebasdep"/>
        </w:rPr>
        <w:footnoteRef/>
      </w:r>
      <w:r w:rsidRPr="009F05AD">
        <w:t xml:space="preserve"> </w:t>
      </w:r>
      <w:r w:rsidRPr="009F05AD">
        <w:tab/>
      </w:r>
      <w:r w:rsidR="00C262E8" w:rsidRPr="009F05AD">
        <w:rPr>
          <w:smallCaps/>
        </w:rPr>
        <w:t>Comité sur l’élimination de la discrimination raciale</w:t>
      </w:r>
      <w:r w:rsidR="00C262E8" w:rsidRPr="009F05AD">
        <w:t xml:space="preserve">, </w:t>
      </w:r>
      <w:r w:rsidR="00C262E8" w:rsidRPr="009F05AD">
        <w:rPr>
          <w:i/>
          <w:iCs/>
        </w:rPr>
        <w:t>Premier projet de recommandation générale n° 37 (2023) sur la discrimination raciale dans l’exercice du droit à la santé</w:t>
      </w:r>
      <w:r w:rsidR="00C262E8" w:rsidRPr="009F05AD">
        <w:t>, Doc. N.U. CERD/C/GC/37 (5 mai 2023)</w:t>
      </w:r>
      <w:r w:rsidR="00AB4A88" w:rsidRPr="009F05AD">
        <w:t xml:space="preserve">, </w:t>
      </w:r>
      <w:r w:rsidRPr="009F05AD">
        <w:t>par. 31.</w:t>
      </w:r>
    </w:p>
  </w:footnote>
  <w:footnote w:id="77">
    <w:p w14:paraId="6BBD533E" w14:textId="3BDF02BA" w:rsidR="00D72EFE" w:rsidRPr="00126E04" w:rsidRDefault="00D72EFE"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Conseil des droits de l’homme</w:t>
      </w:r>
      <w:r w:rsidRPr="00126E04">
        <w:t xml:space="preserve">, </w:t>
      </w:r>
      <w:proofErr w:type="spellStart"/>
      <w:r w:rsidR="008C62FC" w:rsidRPr="00126E04">
        <w:t>préc</w:t>
      </w:r>
      <w:proofErr w:type="spellEnd"/>
      <w:r w:rsidR="008C62FC" w:rsidRPr="00126E04">
        <w:t>., note</w:t>
      </w:r>
      <w:r w:rsidR="00CF0BA0">
        <w:t xml:space="preserve"> </w:t>
      </w:r>
      <w:r w:rsidR="008C62FC" w:rsidRPr="00126E04">
        <w:fldChar w:fldCharType="begin"/>
      </w:r>
      <w:r w:rsidR="008C62FC" w:rsidRPr="00126E04">
        <w:instrText xml:space="preserve"> NOTEREF _Ref144807038 \h </w:instrText>
      </w:r>
      <w:r w:rsidR="00AD6FFC" w:rsidRPr="00126E04">
        <w:instrText xml:space="preserve"> \* MERGEFORMAT </w:instrText>
      </w:r>
      <w:r w:rsidR="008C62FC" w:rsidRPr="00126E04">
        <w:fldChar w:fldCharType="separate"/>
      </w:r>
      <w:r w:rsidR="008A75EF">
        <w:t>74</w:t>
      </w:r>
      <w:r w:rsidR="008C62FC" w:rsidRPr="00126E04">
        <w:fldChar w:fldCharType="end"/>
      </w:r>
      <w:r w:rsidR="008C62FC" w:rsidRPr="00126E04">
        <w:t>, p. 13</w:t>
      </w:r>
      <w:r w:rsidR="000669CB">
        <w:t>.</w:t>
      </w:r>
    </w:p>
  </w:footnote>
  <w:footnote w:id="78">
    <w:p w14:paraId="0FA01111" w14:textId="77777777" w:rsidR="00444535" w:rsidRPr="004D2054" w:rsidRDefault="00444535" w:rsidP="00250412">
      <w:pPr>
        <w:pStyle w:val="NDBP"/>
      </w:pPr>
      <w:r w:rsidRPr="004D2054">
        <w:rPr>
          <w:rStyle w:val="Appelnotedebasdep"/>
          <w:szCs w:val="18"/>
        </w:rPr>
        <w:footnoteRef/>
      </w:r>
      <w:r w:rsidRPr="004D2054">
        <w:tab/>
        <w:t xml:space="preserve">« Selon un principe d’interprétation législative bien établi, une loi est réputée conforme au droit international. Cette présomption se fonde sur le principe judiciaire selon lequel les tribunaux sont légalement tenus d’éviter une interprétation du droit interne qui emporterait la contravention de l’État à ses obligations internationales, sauf lorsque le libellé de la loi commande clairement un tel résultat. » </w:t>
      </w:r>
      <w:r w:rsidRPr="004D2054">
        <w:rPr>
          <w:i/>
        </w:rPr>
        <w:t>Canada (</w:t>
      </w:r>
      <w:proofErr w:type="gramStart"/>
      <w:r w:rsidRPr="004D2054">
        <w:rPr>
          <w:i/>
        </w:rPr>
        <w:t>Ministre</w:t>
      </w:r>
      <w:proofErr w:type="gramEnd"/>
      <w:r w:rsidRPr="004D2054">
        <w:rPr>
          <w:i/>
        </w:rPr>
        <w:t xml:space="preserve"> de la Citoyenneté et de l’Immigration</w:t>
      </w:r>
      <w:r w:rsidRPr="004D2054">
        <w:t xml:space="preserve"> c. </w:t>
      </w:r>
      <w:proofErr w:type="spellStart"/>
      <w:r w:rsidRPr="004D2054">
        <w:rPr>
          <w:i/>
        </w:rPr>
        <w:t>Vavilov</w:t>
      </w:r>
      <w:proofErr w:type="spellEnd"/>
      <w:r w:rsidRPr="004D2054">
        <w:t xml:space="preserve">, 2019 CSC 65, par. 182 ; </w:t>
      </w:r>
      <w:r w:rsidRPr="004D2054">
        <w:rPr>
          <w:i/>
        </w:rPr>
        <w:t>R.</w:t>
      </w:r>
      <w:r w:rsidRPr="004D2054">
        <w:t xml:space="preserve"> c. </w:t>
      </w:r>
      <w:r w:rsidRPr="004D2054">
        <w:rPr>
          <w:i/>
        </w:rPr>
        <w:t>Hape</w:t>
      </w:r>
      <w:r w:rsidRPr="004D2054">
        <w:t xml:space="preserve">, 2007 CSC 26, [2007] 2 R.C.S. 292, par. 53. Voir également : </w:t>
      </w:r>
      <w:r w:rsidRPr="004D2054">
        <w:rPr>
          <w:i/>
        </w:rPr>
        <w:t>Baker</w:t>
      </w:r>
      <w:r w:rsidRPr="004D2054">
        <w:t xml:space="preserve"> c. </w:t>
      </w:r>
      <w:r w:rsidRPr="004D2054">
        <w:rPr>
          <w:i/>
        </w:rPr>
        <w:t>Canada (</w:t>
      </w:r>
      <w:proofErr w:type="gramStart"/>
      <w:r w:rsidRPr="004D2054">
        <w:rPr>
          <w:i/>
        </w:rPr>
        <w:t>Ministre</w:t>
      </w:r>
      <w:proofErr w:type="gramEnd"/>
      <w:r w:rsidRPr="004D2054">
        <w:rPr>
          <w:i/>
        </w:rPr>
        <w:t xml:space="preserve"> de la Citoyenneté et de l’Immigration)</w:t>
      </w:r>
      <w:r w:rsidRPr="004D2054">
        <w:t>, [1999] 2 R.C.S. 817, par. 70.</w:t>
      </w:r>
    </w:p>
  </w:footnote>
  <w:footnote w:id="79">
    <w:p w14:paraId="06DC84CE" w14:textId="274CA7B3" w:rsidR="00DC5458" w:rsidRPr="00126E04" w:rsidRDefault="00DC5458" w:rsidP="00202CC7">
      <w:pPr>
        <w:pStyle w:val="notebasde"/>
        <w:tabs>
          <w:tab w:val="left" w:pos="709"/>
        </w:tabs>
        <w:ind w:left="709" w:hanging="709"/>
        <w:jc w:val="left"/>
      </w:pPr>
      <w:r w:rsidRPr="00126E04">
        <w:rPr>
          <w:rStyle w:val="Appelnotedebasdep"/>
        </w:rPr>
        <w:footnoteRef/>
      </w:r>
      <w:r w:rsidRPr="00126E04">
        <w:t xml:space="preserve"> </w:t>
      </w:r>
      <w:r w:rsidRPr="00126E04">
        <w:tab/>
        <w:t>La Commission a recommandé à plusieurs reprises d’introduire dans la Charte «</w:t>
      </w:r>
      <w:r w:rsidR="00220DC8" w:rsidRPr="00126E04">
        <w:t> </w:t>
      </w:r>
      <w:r w:rsidRPr="00126E04">
        <w:t>le droit de toute personne de bénéficier des programmes, biens, services, installations et conditions lui permettant de jouir du meilleur état de santé physique et mentale qu’elle puisse atteindre ».</w:t>
      </w:r>
      <w:r w:rsidRPr="00126E04">
        <w:rPr>
          <w:smallCaps/>
        </w:rPr>
        <w:t xml:space="preserve"> </w:t>
      </w:r>
      <w:r w:rsidRPr="00126E04">
        <w:t>Voir notamment</w:t>
      </w:r>
      <w:r w:rsidRPr="00126E04">
        <w:rPr>
          <w:smallCaps/>
        </w:rPr>
        <w:t> : Commission des droits de la personne et des droits de la jeunesse</w:t>
      </w:r>
      <w:r w:rsidR="00F85C82" w:rsidRPr="00126E04">
        <w:rPr>
          <w:smallCaps/>
        </w:rPr>
        <w:t xml:space="preserve"> (2003)</w:t>
      </w:r>
      <w:r w:rsidRPr="00126E04">
        <w:t xml:space="preserve">, </w:t>
      </w:r>
      <w:proofErr w:type="spellStart"/>
      <w:r w:rsidR="00F85C82" w:rsidRPr="00126E04">
        <w:t>préc</w:t>
      </w:r>
      <w:proofErr w:type="spellEnd"/>
      <w:r w:rsidR="00F85C82" w:rsidRPr="00126E04">
        <w:t xml:space="preserve">., note </w:t>
      </w:r>
      <w:r w:rsidR="00F85C82" w:rsidRPr="00126E04">
        <w:fldChar w:fldCharType="begin"/>
      </w:r>
      <w:r w:rsidR="00F85C82" w:rsidRPr="00126E04">
        <w:instrText xml:space="preserve"> NOTEREF _Ref144883867 \h </w:instrText>
      </w:r>
      <w:r w:rsidR="00AD6FFC" w:rsidRPr="00126E04">
        <w:instrText xml:space="preserve"> \* MERGEFORMAT </w:instrText>
      </w:r>
      <w:r w:rsidR="00F85C82" w:rsidRPr="00126E04">
        <w:fldChar w:fldCharType="separate"/>
      </w:r>
      <w:r w:rsidR="008A75EF">
        <w:t>30</w:t>
      </w:r>
      <w:r w:rsidR="00F85C82" w:rsidRPr="00126E04">
        <w:fldChar w:fldCharType="end"/>
      </w:r>
      <w:r w:rsidRPr="00126E04">
        <w:t>, p. 28</w:t>
      </w:r>
      <w:r w:rsidRPr="00126E04">
        <w:rPr>
          <w:lang w:val="fr-FR"/>
        </w:rPr>
        <w:t>.</w:t>
      </w:r>
    </w:p>
  </w:footnote>
  <w:footnote w:id="80">
    <w:p w14:paraId="54DF972B" w14:textId="12AEC62A" w:rsidR="00DC5458" w:rsidRPr="00126E04" w:rsidRDefault="00DC5458" w:rsidP="00202CC7">
      <w:pPr>
        <w:pStyle w:val="notebasde"/>
        <w:tabs>
          <w:tab w:val="left" w:pos="709"/>
        </w:tabs>
        <w:ind w:left="709" w:hanging="709"/>
        <w:jc w:val="left"/>
      </w:pPr>
      <w:r w:rsidRPr="00126E04">
        <w:rPr>
          <w:rStyle w:val="Appelnotedebasdep"/>
        </w:rPr>
        <w:footnoteRef/>
      </w:r>
      <w:r w:rsidRPr="00126E04">
        <w:t xml:space="preserve"> </w:t>
      </w:r>
      <w:r w:rsidRPr="00126E04">
        <w:tab/>
        <w:t>La Commission l’a encore récemment recommandé à l’occasion de l’examen du projet de loi n</w:t>
      </w:r>
      <w:r w:rsidRPr="00126E04">
        <w:rPr>
          <w:vertAlign w:val="superscript"/>
        </w:rPr>
        <w:t xml:space="preserve">o </w:t>
      </w:r>
      <w:r w:rsidRPr="00126E04">
        <w:t xml:space="preserve">15, </w:t>
      </w:r>
      <w:r w:rsidRPr="00126E04">
        <w:rPr>
          <w:rFonts w:eastAsia="Calibri"/>
          <w:i/>
          <w:iCs/>
        </w:rPr>
        <w:t>Loi visant à rendre le système de santé et de services sociaux plus efficace</w:t>
      </w:r>
      <w:r w:rsidRPr="00126E04">
        <w:rPr>
          <w:rFonts w:eastAsia="Calibri"/>
        </w:rPr>
        <w:t xml:space="preserve">. </w:t>
      </w:r>
      <w:r w:rsidRPr="00126E04">
        <w:rPr>
          <w:smallCaps/>
        </w:rPr>
        <w:t>Commission des droits de la personne et des droits de la jeunesse</w:t>
      </w:r>
      <w:r w:rsidRPr="00126E04">
        <w:t xml:space="preserve">, </w:t>
      </w:r>
      <w:r w:rsidRPr="00126E04">
        <w:rPr>
          <w:i/>
          <w:iCs/>
        </w:rPr>
        <w:t xml:space="preserve">Mémoire à la </w:t>
      </w:r>
      <w:r w:rsidR="0038734B" w:rsidRPr="00126E04">
        <w:rPr>
          <w:i/>
          <w:iCs/>
        </w:rPr>
        <w:t>C</w:t>
      </w:r>
      <w:r w:rsidRPr="00126E04">
        <w:rPr>
          <w:i/>
          <w:iCs/>
        </w:rPr>
        <w:t xml:space="preserve">ommission de la santé et des services sociaux de l’Assemblée nationale projet de loi n° 15, </w:t>
      </w:r>
      <w:r w:rsidR="00D0033A" w:rsidRPr="00126E04">
        <w:rPr>
          <w:i/>
          <w:iCs/>
        </w:rPr>
        <w:t>L</w:t>
      </w:r>
      <w:r w:rsidRPr="00126E04">
        <w:rPr>
          <w:i/>
          <w:iCs/>
        </w:rPr>
        <w:t>oi visant à rendre le système de santé et de services sociaux plus efficace</w:t>
      </w:r>
      <w:r w:rsidRPr="00126E04">
        <w:t>, (Cat. 2.412.67.11), 2023, Recommandation 2, p. 12.</w:t>
      </w:r>
    </w:p>
  </w:footnote>
  <w:footnote w:id="81">
    <w:p w14:paraId="37C51B99" w14:textId="39C77386" w:rsidR="000845AB" w:rsidRPr="00126E04" w:rsidRDefault="000845AB"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CC347A" w:rsidRPr="00126E04">
        <w:t xml:space="preserve">Depuis longtemps, les tribunaux canadiens reconnaissent que les préjugés à l’endroit des personnes </w:t>
      </w:r>
      <w:r w:rsidR="00CC347A" w:rsidRPr="00126E04">
        <w:rPr>
          <w:rStyle w:val="solexhl"/>
        </w:rPr>
        <w:t>autochtones</w:t>
      </w:r>
      <w:r w:rsidR="00CC347A" w:rsidRPr="00126E04">
        <w:t xml:space="preserve"> constituent une source de discrimination fondée sur l’origine ethnique ou nationale</w:t>
      </w:r>
      <w:r w:rsidR="001C1A93" w:rsidRPr="00126E04">
        <w:t>,</w:t>
      </w:r>
      <w:r w:rsidR="00CC347A" w:rsidRPr="00126E04">
        <w:rPr>
          <w:i/>
          <w:iCs/>
        </w:rPr>
        <w:t xml:space="preserve"> </w:t>
      </w:r>
      <w:r w:rsidRPr="00126E04">
        <w:rPr>
          <w:i/>
          <w:iCs/>
        </w:rPr>
        <w:t>R.</w:t>
      </w:r>
      <w:r w:rsidRPr="00126E04">
        <w:t xml:space="preserve"> c</w:t>
      </w:r>
      <w:r w:rsidRPr="00126E04">
        <w:rPr>
          <w:i/>
          <w:iCs/>
        </w:rPr>
        <w:t>. Williams</w:t>
      </w:r>
      <w:r w:rsidRPr="00126E04">
        <w:t>, 1998</w:t>
      </w:r>
      <w:r w:rsidR="00C270F3" w:rsidRPr="00126E04">
        <w:t> </w:t>
      </w:r>
      <w:r w:rsidRPr="00126E04">
        <w:t>CanLII 782 (CSC), [1998] 1</w:t>
      </w:r>
      <w:r w:rsidR="00C270F3" w:rsidRPr="00126E04">
        <w:t> </w:t>
      </w:r>
      <w:r w:rsidRPr="00126E04">
        <w:t>R.C.S. 1128</w:t>
      </w:r>
      <w:r w:rsidR="00860477" w:rsidRPr="00126E04">
        <w:t> </w:t>
      </w:r>
      <w:r w:rsidRPr="00126E04">
        <w:t xml:space="preserve">; </w:t>
      </w:r>
      <w:r w:rsidRPr="00126E04">
        <w:rPr>
          <w:i/>
          <w:iCs/>
        </w:rPr>
        <w:t xml:space="preserve">Commission des droits de la personne et des droits de la jeunesse </w:t>
      </w:r>
      <w:r w:rsidRPr="00126E04">
        <w:t>c.</w:t>
      </w:r>
      <w:r w:rsidRPr="00126E04">
        <w:rPr>
          <w:i/>
          <w:iCs/>
        </w:rPr>
        <w:t xml:space="preserve"> Blais</w:t>
      </w:r>
      <w:r w:rsidRPr="00126E04">
        <w:t>, 2997</w:t>
      </w:r>
      <w:r w:rsidR="00C270F3" w:rsidRPr="00126E04">
        <w:t> </w:t>
      </w:r>
      <w:r w:rsidRPr="00126E04">
        <w:t>QCTDP 11 (requête pour permission d</w:t>
      </w:r>
      <w:r w:rsidR="00CE68CD" w:rsidRPr="00126E04">
        <w:t>’</w:t>
      </w:r>
      <w:r w:rsidRPr="00126E04">
        <w:t>appeler rejetée, C.A., 01-05-2007, 2007</w:t>
      </w:r>
      <w:r w:rsidR="00C270F3" w:rsidRPr="00126E04">
        <w:t> </w:t>
      </w:r>
      <w:r w:rsidRPr="00126E04">
        <w:t>QCCA 603 (CanLII), 200-09-005932-071, 2007</w:t>
      </w:r>
      <w:r w:rsidR="00C270F3" w:rsidRPr="00126E04">
        <w:t> </w:t>
      </w:r>
      <w:r w:rsidRPr="00126E04">
        <w:t>QCCA 603. Voir également</w:t>
      </w:r>
      <w:r w:rsidR="00F254A2" w:rsidRPr="00126E04">
        <w:t> </w:t>
      </w:r>
      <w:r w:rsidRPr="00126E04">
        <w:t xml:space="preserve">: </w:t>
      </w:r>
      <w:r w:rsidRPr="00126E04">
        <w:rPr>
          <w:smallCaps/>
        </w:rPr>
        <w:t>Commission royale sur les peuples autochtones</w:t>
      </w:r>
      <w:r w:rsidRPr="00126E04">
        <w:t xml:space="preserve">. </w:t>
      </w:r>
      <w:r w:rsidRPr="00126E04">
        <w:rPr>
          <w:i/>
          <w:iCs/>
        </w:rPr>
        <w:t>Par</w:t>
      </w:r>
      <w:r w:rsidRPr="00126E04">
        <w:rPr>
          <w:rFonts w:ascii="Cambria Math" w:hAnsi="Cambria Math" w:cs="Cambria Math"/>
          <w:i/>
          <w:iCs/>
        </w:rPr>
        <w:t>‑</w:t>
      </w:r>
      <w:r w:rsidRPr="00126E04">
        <w:rPr>
          <w:i/>
          <w:iCs/>
        </w:rPr>
        <w:t>delà les divisions culturelles</w:t>
      </w:r>
      <w:r w:rsidR="00F254A2" w:rsidRPr="00126E04">
        <w:rPr>
          <w:i/>
          <w:iCs/>
        </w:rPr>
        <w:t> </w:t>
      </w:r>
      <w:r w:rsidRPr="00126E04">
        <w:rPr>
          <w:i/>
          <w:iCs/>
        </w:rPr>
        <w:t>: Un rapport sur les autochtones et la justice pénale au Canada</w:t>
      </w:r>
      <w:r w:rsidRPr="00126E04">
        <w:t>, Ottawa, 1996.</w:t>
      </w:r>
    </w:p>
  </w:footnote>
  <w:footnote w:id="82">
    <w:p w14:paraId="1FC09D9E" w14:textId="52A62D8C" w:rsidR="000845AB" w:rsidRPr="00126E04" w:rsidRDefault="000845AB" w:rsidP="00202CC7">
      <w:pPr>
        <w:pStyle w:val="notebasde"/>
        <w:tabs>
          <w:tab w:val="left" w:pos="709"/>
        </w:tabs>
        <w:ind w:left="709" w:hanging="709"/>
        <w:jc w:val="left"/>
      </w:pPr>
      <w:r w:rsidRPr="00126E04">
        <w:rPr>
          <w:rStyle w:val="Appelnotedebasdep"/>
        </w:rPr>
        <w:footnoteRef/>
      </w:r>
      <w:r w:rsidRPr="00126E04">
        <w:t xml:space="preserve"> </w:t>
      </w:r>
      <w:r w:rsidRPr="00126E04">
        <w:tab/>
        <w:t>Commission Viens, p.</w:t>
      </w:r>
      <w:r w:rsidR="00315610" w:rsidRPr="00126E04">
        <w:t> </w:t>
      </w:r>
      <w:r w:rsidRPr="00126E04">
        <w:t>390</w:t>
      </w:r>
      <w:r w:rsidR="00315610" w:rsidRPr="00126E04">
        <w:t xml:space="preserve"> à </w:t>
      </w:r>
      <w:r w:rsidRPr="00126E04">
        <w:t xml:space="preserve">394. Sur le sentiment d’insécurité et la présence de barrières culturelles, voir aussi </w:t>
      </w:r>
      <w:r w:rsidRPr="00126E04">
        <w:rPr>
          <w:smallCaps/>
        </w:rPr>
        <w:t>Régie régionale de la santé et des services sociaux du Nunavik</w:t>
      </w:r>
      <w:r w:rsidRPr="00126E04">
        <w:t xml:space="preserve">, </w:t>
      </w:r>
      <w:r w:rsidRPr="00126E04">
        <w:rPr>
          <w:i/>
          <w:iCs/>
        </w:rPr>
        <w:t>Évaluation du système de santé et services sociaux du Nunavik : perspective des usagers dans le cadre du plan clinique régional du Nunavik</w:t>
      </w:r>
      <w:r w:rsidR="00315610" w:rsidRPr="00126E04">
        <w:rPr>
          <w:i/>
          <w:iCs/>
        </w:rPr>
        <w:t> </w:t>
      </w:r>
      <w:r w:rsidRPr="00126E04">
        <w:rPr>
          <w:i/>
          <w:iCs/>
        </w:rPr>
        <w:t>2021</w:t>
      </w:r>
      <w:r w:rsidRPr="00126E04">
        <w:t>, 2021</w:t>
      </w:r>
      <w:r w:rsidR="00860477" w:rsidRPr="00126E04">
        <w:t> </w:t>
      </w:r>
      <w:r w:rsidRPr="00126E04">
        <w:t>; p. 53</w:t>
      </w:r>
      <w:r w:rsidR="00860477" w:rsidRPr="00126E04">
        <w:t> </w:t>
      </w:r>
      <w:r w:rsidRPr="00126E04">
        <w:t xml:space="preserve">; </w:t>
      </w:r>
      <w:r w:rsidRPr="00126E04">
        <w:rPr>
          <w:smallCaps/>
        </w:rPr>
        <w:t xml:space="preserve">Régie régionale de la santé et des services sociaux du Nunavik </w:t>
      </w:r>
      <w:r w:rsidRPr="00126E04">
        <w:t>et</w:t>
      </w:r>
      <w:r w:rsidRPr="00126E04">
        <w:rPr>
          <w:smallCaps/>
        </w:rPr>
        <w:t xml:space="preserve"> Institut national de santé publique du Québec, </w:t>
      </w:r>
      <w:proofErr w:type="spellStart"/>
      <w:r w:rsidRPr="00126E04">
        <w:rPr>
          <w:i/>
          <w:iCs/>
        </w:rPr>
        <w:t>Sociocultural</w:t>
      </w:r>
      <w:proofErr w:type="spellEnd"/>
      <w:r w:rsidRPr="00126E04">
        <w:rPr>
          <w:i/>
          <w:iCs/>
        </w:rPr>
        <w:t xml:space="preserve"> </w:t>
      </w:r>
      <w:proofErr w:type="spellStart"/>
      <w:r w:rsidR="00CF5B5D" w:rsidRPr="00126E04">
        <w:rPr>
          <w:i/>
          <w:iCs/>
        </w:rPr>
        <w:t>D</w:t>
      </w:r>
      <w:r w:rsidRPr="00126E04">
        <w:rPr>
          <w:i/>
          <w:iCs/>
        </w:rPr>
        <w:t>eterminants</w:t>
      </w:r>
      <w:proofErr w:type="spellEnd"/>
      <w:r w:rsidRPr="00126E04">
        <w:rPr>
          <w:i/>
          <w:iCs/>
        </w:rPr>
        <w:t xml:space="preserve"> of </w:t>
      </w:r>
      <w:proofErr w:type="spellStart"/>
      <w:r w:rsidR="00CF5B5D" w:rsidRPr="00126E04">
        <w:rPr>
          <w:i/>
          <w:iCs/>
        </w:rPr>
        <w:t>H</w:t>
      </w:r>
      <w:r w:rsidRPr="00126E04">
        <w:rPr>
          <w:i/>
          <w:iCs/>
        </w:rPr>
        <w:t>ealth</w:t>
      </w:r>
      <w:proofErr w:type="spellEnd"/>
      <w:r w:rsidRPr="00126E04">
        <w:rPr>
          <w:i/>
          <w:iCs/>
        </w:rPr>
        <w:t xml:space="preserve"> and </w:t>
      </w:r>
      <w:proofErr w:type="spellStart"/>
      <w:r w:rsidR="00C72DF9" w:rsidRPr="00126E04">
        <w:rPr>
          <w:i/>
          <w:iCs/>
        </w:rPr>
        <w:t>W</w:t>
      </w:r>
      <w:r w:rsidRPr="00126E04">
        <w:rPr>
          <w:i/>
          <w:iCs/>
        </w:rPr>
        <w:t>ellness</w:t>
      </w:r>
      <w:proofErr w:type="spellEnd"/>
      <w:r w:rsidR="00C72DF9" w:rsidRPr="00126E04">
        <w:rPr>
          <w:i/>
          <w:iCs/>
        </w:rPr>
        <w:t xml:space="preserve"> </w:t>
      </w:r>
      <w:r w:rsidR="00315610" w:rsidRPr="00126E04">
        <w:rPr>
          <w:i/>
          <w:iCs/>
        </w:rPr>
        <w:t>—</w:t>
      </w:r>
      <w:r w:rsidRPr="00126E04">
        <w:rPr>
          <w:i/>
          <w:iCs/>
        </w:rPr>
        <w:t xml:space="preserve"> </w:t>
      </w:r>
      <w:proofErr w:type="spellStart"/>
      <w:r w:rsidR="00CF5B5D" w:rsidRPr="00126E04">
        <w:rPr>
          <w:i/>
          <w:iCs/>
        </w:rPr>
        <w:t>Qanuilirpitaa</w:t>
      </w:r>
      <w:proofErr w:type="spellEnd"/>
      <w:r w:rsidR="00315610" w:rsidRPr="00126E04">
        <w:rPr>
          <w:i/>
          <w:iCs/>
        </w:rPr>
        <w:t> </w:t>
      </w:r>
      <w:r w:rsidR="00CF5B5D" w:rsidRPr="00126E04">
        <w:rPr>
          <w:i/>
          <w:iCs/>
        </w:rPr>
        <w:t xml:space="preserve">? 2017, </w:t>
      </w:r>
      <w:r w:rsidRPr="00126E04">
        <w:rPr>
          <w:i/>
          <w:iCs/>
        </w:rPr>
        <w:t xml:space="preserve">Nunavik Inuit </w:t>
      </w:r>
      <w:proofErr w:type="spellStart"/>
      <w:r w:rsidRPr="00126E04">
        <w:rPr>
          <w:i/>
          <w:iCs/>
        </w:rPr>
        <w:t>Health</w:t>
      </w:r>
      <w:proofErr w:type="spellEnd"/>
      <w:r w:rsidRPr="00126E04">
        <w:rPr>
          <w:i/>
          <w:iCs/>
        </w:rPr>
        <w:t xml:space="preserve"> Survey</w:t>
      </w:r>
      <w:r w:rsidR="00CF5B5D" w:rsidRPr="00126E04">
        <w:t xml:space="preserve">, </w:t>
      </w:r>
      <w:r w:rsidRPr="00126E04">
        <w:t>2020, p. 23 et 24</w:t>
      </w:r>
      <w:r w:rsidR="002A1BC4" w:rsidRPr="00126E04">
        <w:t> </w:t>
      </w:r>
      <w:r w:rsidR="00C72DF9" w:rsidRPr="00126E04">
        <w:t>;</w:t>
      </w:r>
      <w:r w:rsidRPr="00126E04">
        <w:t xml:space="preserve"> </w:t>
      </w:r>
      <w:r w:rsidRPr="00126E04">
        <w:rPr>
          <w:smallCaps/>
        </w:rPr>
        <w:t xml:space="preserve">Regroupement des centres d’amitié autochtones du Québec, </w:t>
      </w:r>
      <w:r w:rsidRPr="00126E04">
        <w:rPr>
          <w:i/>
          <w:iCs/>
        </w:rPr>
        <w:t>Les Autochtones en milieu urbain et l’accès aux services publics. Portrait de la situation au Québec</w:t>
      </w:r>
      <w:r w:rsidRPr="00126E04">
        <w:t>, Wendake, 2018, p. 18.</w:t>
      </w:r>
    </w:p>
  </w:footnote>
  <w:footnote w:id="83">
    <w:p w14:paraId="18DBCE5F" w14:textId="484BC49B" w:rsidR="00612EAB" w:rsidRPr="00126E04" w:rsidRDefault="00612EAB"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597CDB" w:rsidRPr="00126E04">
        <w:rPr>
          <w:i/>
          <w:iCs/>
        </w:rPr>
        <w:t xml:space="preserve">Carter </w:t>
      </w:r>
      <w:r w:rsidR="00597CDB" w:rsidRPr="00126E04">
        <w:t>c.</w:t>
      </w:r>
      <w:r w:rsidR="00597CDB" w:rsidRPr="00126E04">
        <w:rPr>
          <w:i/>
          <w:iCs/>
        </w:rPr>
        <w:t xml:space="preserve"> Canada (Procureur général)</w:t>
      </w:r>
      <w:r w:rsidR="00597CDB" w:rsidRPr="00126E04">
        <w:t>, 2015 CSC 5, [2015] 1 R.C.S. 331</w:t>
      </w:r>
      <w:r w:rsidRPr="00126E04">
        <w:t>, par. 57.</w:t>
      </w:r>
    </w:p>
  </w:footnote>
  <w:footnote w:id="84">
    <w:p w14:paraId="4388C95C" w14:textId="27E3FB58" w:rsidR="00612EAB" w:rsidRPr="00126E04" w:rsidRDefault="00612EAB"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Comité des droits de l’homme</w:t>
      </w:r>
      <w:r w:rsidRPr="00126E04">
        <w:t xml:space="preserve">, </w:t>
      </w:r>
      <w:r w:rsidRPr="00B63705">
        <w:rPr>
          <w:i/>
          <w:iCs/>
        </w:rPr>
        <w:t>Observation générale n° 36 sur l’article 6 du Pacte international relatif aux droits civils et politiques, concernant le droit à la vie</w:t>
      </w:r>
      <w:r w:rsidRPr="00126E04">
        <w:t>, Doc. N.U.</w:t>
      </w:r>
      <w:r w:rsidR="00270465" w:rsidRPr="00126E04">
        <w:t> </w:t>
      </w:r>
      <w:r w:rsidRPr="00126E04">
        <w:t>CCPR/GC/36</w:t>
      </w:r>
      <w:r w:rsidR="0062269D" w:rsidRPr="00126E04">
        <w:t xml:space="preserve"> (</w:t>
      </w:r>
      <w:r w:rsidRPr="00126E04">
        <w:t>2017</w:t>
      </w:r>
      <w:r w:rsidR="0062269D" w:rsidRPr="00126E04">
        <w:t>)</w:t>
      </w:r>
      <w:r w:rsidRPr="00126E04">
        <w:t>, par. 30.</w:t>
      </w:r>
    </w:p>
  </w:footnote>
  <w:footnote w:id="85">
    <w:p w14:paraId="71A1A6C2" w14:textId="77777777" w:rsidR="00612EAB" w:rsidRPr="00126E04" w:rsidRDefault="00612EAB" w:rsidP="00202CC7">
      <w:pPr>
        <w:pStyle w:val="notebasde"/>
        <w:tabs>
          <w:tab w:val="left" w:pos="709"/>
        </w:tabs>
        <w:ind w:left="709" w:hanging="709"/>
        <w:jc w:val="left"/>
      </w:pPr>
      <w:r w:rsidRPr="00126E04">
        <w:rPr>
          <w:rStyle w:val="Appelnotedebasdep"/>
        </w:rPr>
        <w:footnoteRef/>
      </w:r>
      <w:r w:rsidRPr="00126E04">
        <w:t xml:space="preserve"> </w:t>
      </w:r>
      <w:r w:rsidRPr="00126E04">
        <w:tab/>
        <w:t>Henri</w:t>
      </w:r>
      <w:r w:rsidRPr="00126E04">
        <w:rPr>
          <w:smallCaps/>
        </w:rPr>
        <w:t xml:space="preserve"> Brun</w:t>
      </w:r>
      <w:r w:rsidRPr="00126E04">
        <w:t xml:space="preserve">, Guy </w:t>
      </w:r>
      <w:r w:rsidRPr="00126E04">
        <w:rPr>
          <w:smallCaps/>
        </w:rPr>
        <w:t>Tremblay</w:t>
      </w:r>
      <w:r w:rsidRPr="00126E04">
        <w:t xml:space="preserve"> et Eugénie </w:t>
      </w:r>
      <w:r w:rsidRPr="00126E04">
        <w:rPr>
          <w:smallCaps/>
        </w:rPr>
        <w:t>Brouille</w:t>
      </w:r>
      <w:r w:rsidRPr="00126E04">
        <w:t>t</w:t>
      </w:r>
      <w:r w:rsidRPr="00126E04">
        <w:rPr>
          <w:i/>
          <w:iCs/>
        </w:rPr>
        <w:t xml:space="preserve">, Droit constitutionnel, </w:t>
      </w:r>
      <w:r w:rsidRPr="00126E04">
        <w:t>6</w:t>
      </w:r>
      <w:r w:rsidRPr="00126E04">
        <w:rPr>
          <w:vertAlign w:val="superscript"/>
        </w:rPr>
        <w:t>e</w:t>
      </w:r>
      <w:r w:rsidRPr="00126E04">
        <w:t xml:space="preserve"> éd., Cowansville, Éditions Yvon Blais, 2014, p. 1182, par. XII-6.94 à XII-6.98. </w:t>
      </w:r>
    </w:p>
  </w:footnote>
  <w:footnote w:id="86">
    <w:p w14:paraId="6C88EAF8" w14:textId="77777777" w:rsidR="00C21677" w:rsidRPr="004D2054" w:rsidRDefault="00C21677" w:rsidP="00542488">
      <w:pPr>
        <w:pStyle w:val="Notedebasdepage"/>
        <w:spacing w:after="120" w:line="240" w:lineRule="auto"/>
        <w:ind w:left="709" w:hanging="709"/>
        <w:rPr>
          <w:rFonts w:eastAsia="Calibri" w:cs="Arial"/>
          <w:sz w:val="18"/>
          <w:szCs w:val="18"/>
        </w:rPr>
      </w:pPr>
      <w:r w:rsidRPr="00A8472C">
        <w:rPr>
          <w:rStyle w:val="Appelnotedebasdep"/>
        </w:rPr>
        <w:footnoteRef/>
      </w:r>
      <w:r w:rsidRPr="00A8472C">
        <w:t xml:space="preserve"> </w:t>
      </w:r>
      <w:r w:rsidRPr="00A8472C">
        <w:tab/>
      </w:r>
      <w:r w:rsidRPr="004D2054">
        <w:rPr>
          <w:rFonts w:eastAsia="Calibri" w:cs="Arial"/>
          <w:i/>
          <w:iCs/>
          <w:sz w:val="18"/>
          <w:szCs w:val="18"/>
        </w:rPr>
        <w:t xml:space="preserve">Québec (Curateur public) </w:t>
      </w:r>
      <w:r w:rsidRPr="004D2054">
        <w:rPr>
          <w:rFonts w:eastAsia="Calibri" w:cs="Arial"/>
          <w:sz w:val="18"/>
          <w:szCs w:val="18"/>
        </w:rPr>
        <w:t>c.</w:t>
      </w:r>
      <w:r w:rsidRPr="004D2054">
        <w:rPr>
          <w:rFonts w:eastAsia="Calibri" w:cs="Arial"/>
          <w:i/>
          <w:iCs/>
          <w:sz w:val="18"/>
          <w:szCs w:val="18"/>
        </w:rPr>
        <w:t xml:space="preserve"> Syndicat national des employés de l’hôpital St</w:t>
      </w:r>
      <w:r w:rsidRPr="004D2054">
        <w:rPr>
          <w:rFonts w:eastAsia="Calibri" w:cs="Arial"/>
          <w:i/>
          <w:iCs/>
          <w:sz w:val="18"/>
          <w:szCs w:val="18"/>
        </w:rPr>
        <w:noBreakHyphen/>
        <w:t>Ferdinand</w:t>
      </w:r>
      <w:r w:rsidRPr="004D2054">
        <w:rPr>
          <w:rFonts w:eastAsia="Calibri" w:cs="Arial"/>
          <w:sz w:val="18"/>
          <w:szCs w:val="18"/>
        </w:rPr>
        <w:t>, [1996] 3 R.C.S. 211, par. 105.</w:t>
      </w:r>
    </w:p>
  </w:footnote>
  <w:footnote w:id="87">
    <w:p w14:paraId="046323AD" w14:textId="375FF37F" w:rsidR="007707A9" w:rsidRPr="00126E04" w:rsidRDefault="007707A9"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iCs/>
        </w:rPr>
        <w:t>R</w:t>
      </w:r>
      <w:r w:rsidR="00D07337" w:rsidRPr="00126E04">
        <w:t>.</w:t>
      </w:r>
      <w:r w:rsidRPr="00126E04">
        <w:t xml:space="preserve"> c. </w:t>
      </w:r>
      <w:r w:rsidRPr="00126E04">
        <w:rPr>
          <w:i/>
          <w:iCs/>
        </w:rPr>
        <w:t>Big M Drug Mart</w:t>
      </w:r>
      <w:r w:rsidR="00225A12" w:rsidRPr="00126E04">
        <w:rPr>
          <w:i/>
          <w:iCs/>
        </w:rPr>
        <w:t xml:space="preserve"> Ltd</w:t>
      </w:r>
      <w:r w:rsidRPr="00126E04">
        <w:t>.</w:t>
      </w:r>
      <w:r w:rsidR="00225A12" w:rsidRPr="00126E04">
        <w:t>,</w:t>
      </w:r>
      <w:r w:rsidRPr="00126E04">
        <w:t xml:space="preserve"> [1985] 1 R.C.S. 295, par. 94, Renvoi sur la </w:t>
      </w:r>
      <w:proofErr w:type="spellStart"/>
      <w:r w:rsidRPr="00126E04">
        <w:rPr>
          <w:i/>
          <w:iCs/>
        </w:rPr>
        <w:t>Motor</w:t>
      </w:r>
      <w:proofErr w:type="spellEnd"/>
      <w:r w:rsidRPr="00126E04">
        <w:rPr>
          <w:i/>
          <w:iCs/>
        </w:rPr>
        <w:t xml:space="preserve"> </w:t>
      </w:r>
      <w:proofErr w:type="spellStart"/>
      <w:r w:rsidRPr="00126E04">
        <w:rPr>
          <w:i/>
          <w:iCs/>
        </w:rPr>
        <w:t>Vehicle</w:t>
      </w:r>
      <w:proofErr w:type="spellEnd"/>
      <w:r w:rsidRPr="00126E04">
        <w:rPr>
          <w:i/>
          <w:iCs/>
        </w:rPr>
        <w:t xml:space="preserve"> </w:t>
      </w:r>
      <w:proofErr w:type="spellStart"/>
      <w:r w:rsidRPr="00126E04">
        <w:rPr>
          <w:i/>
          <w:iCs/>
        </w:rPr>
        <w:t>Act</w:t>
      </w:r>
      <w:proofErr w:type="spellEnd"/>
      <w:r w:rsidRPr="00126E04">
        <w:t xml:space="preserve"> (C.-B.), [1985] 2</w:t>
      </w:r>
      <w:r w:rsidR="00283CC2" w:rsidRPr="00126E04">
        <w:t> </w:t>
      </w:r>
      <w:r w:rsidRPr="00126E04">
        <w:t xml:space="preserve">R.C.S. 486, p. 512 ; </w:t>
      </w:r>
      <w:proofErr w:type="spellStart"/>
      <w:r w:rsidRPr="00126E04">
        <w:rPr>
          <w:i/>
          <w:iCs/>
        </w:rPr>
        <w:t>Blencoe</w:t>
      </w:r>
      <w:proofErr w:type="spellEnd"/>
      <w:r w:rsidRPr="00126E04">
        <w:t xml:space="preserve"> c. </w:t>
      </w:r>
      <w:r w:rsidRPr="00126E04">
        <w:rPr>
          <w:i/>
          <w:iCs/>
        </w:rPr>
        <w:t xml:space="preserve">Colombie-Britannique (Human </w:t>
      </w:r>
      <w:proofErr w:type="spellStart"/>
      <w:r w:rsidRPr="00126E04">
        <w:rPr>
          <w:i/>
          <w:iCs/>
        </w:rPr>
        <w:t>Rights</w:t>
      </w:r>
      <w:proofErr w:type="spellEnd"/>
      <w:r w:rsidRPr="00126E04">
        <w:rPr>
          <w:i/>
          <w:iCs/>
        </w:rPr>
        <w:t xml:space="preserve"> Commission)</w:t>
      </w:r>
      <w:r w:rsidRPr="00126E04">
        <w:t>, [2002] 2</w:t>
      </w:r>
      <w:r w:rsidR="00283CC2" w:rsidRPr="00126E04">
        <w:t> </w:t>
      </w:r>
      <w:r w:rsidRPr="00126E04">
        <w:t>R.C.S. 307, par. 76</w:t>
      </w:r>
      <w:r w:rsidR="00D71869" w:rsidRPr="00126E04">
        <w:t>-</w:t>
      </w:r>
      <w:r w:rsidRPr="00126E04">
        <w:t xml:space="preserve">80 ; </w:t>
      </w:r>
      <w:r w:rsidRPr="00126E04">
        <w:rPr>
          <w:i/>
          <w:iCs/>
        </w:rPr>
        <w:t>B. (R.)</w:t>
      </w:r>
      <w:r w:rsidRPr="00126E04">
        <w:t xml:space="preserve"> c. </w:t>
      </w:r>
      <w:proofErr w:type="spellStart"/>
      <w:r w:rsidRPr="00126E04">
        <w:rPr>
          <w:i/>
          <w:iCs/>
        </w:rPr>
        <w:t>Children’s</w:t>
      </w:r>
      <w:proofErr w:type="spellEnd"/>
      <w:r w:rsidRPr="00126E04">
        <w:rPr>
          <w:i/>
          <w:iCs/>
        </w:rPr>
        <w:t xml:space="preserve"> </w:t>
      </w:r>
      <w:proofErr w:type="spellStart"/>
      <w:r w:rsidRPr="00126E04">
        <w:rPr>
          <w:i/>
          <w:iCs/>
        </w:rPr>
        <w:t>Aids</w:t>
      </w:r>
      <w:proofErr w:type="spellEnd"/>
      <w:r w:rsidRPr="00126E04">
        <w:rPr>
          <w:i/>
          <w:iCs/>
        </w:rPr>
        <w:t xml:space="preserve"> Society of </w:t>
      </w:r>
      <w:proofErr w:type="spellStart"/>
      <w:r w:rsidRPr="00126E04">
        <w:rPr>
          <w:i/>
          <w:iCs/>
        </w:rPr>
        <w:t>Metropolitan</w:t>
      </w:r>
      <w:proofErr w:type="spellEnd"/>
      <w:r w:rsidRPr="00126E04">
        <w:rPr>
          <w:i/>
          <w:iCs/>
        </w:rPr>
        <w:t xml:space="preserve"> Toronto</w:t>
      </w:r>
      <w:r w:rsidRPr="00126E04">
        <w:t xml:space="preserve">, [1995] 1 R.C.S. 315, par. 80-81; </w:t>
      </w:r>
      <w:r w:rsidRPr="00126E04">
        <w:rPr>
          <w:i/>
          <w:iCs/>
        </w:rPr>
        <w:t>Association de la police montée de l’Ontario</w:t>
      </w:r>
      <w:r w:rsidRPr="00126E04">
        <w:t xml:space="preserve"> c. </w:t>
      </w:r>
      <w:r w:rsidRPr="00126E04">
        <w:rPr>
          <w:i/>
          <w:iCs/>
        </w:rPr>
        <w:t>Canada (P.G.)</w:t>
      </w:r>
      <w:r w:rsidR="00D71869" w:rsidRPr="00126E04">
        <w:t>,</w:t>
      </w:r>
      <w:r w:rsidRPr="00126E04">
        <w:t xml:space="preserve"> 2015</w:t>
      </w:r>
      <w:r w:rsidR="00B21BC6" w:rsidRPr="00126E04">
        <w:t> </w:t>
      </w:r>
      <w:r w:rsidRPr="00126E04">
        <w:t>CSC1, par. 50.</w:t>
      </w:r>
    </w:p>
  </w:footnote>
  <w:footnote w:id="88">
    <w:p w14:paraId="0AA48482" w14:textId="77777777" w:rsidR="00AA3827" w:rsidRPr="004D2054" w:rsidRDefault="00AA3827" w:rsidP="00542488">
      <w:pPr>
        <w:pStyle w:val="Notedebasdepage"/>
        <w:spacing w:after="120" w:line="240" w:lineRule="auto"/>
        <w:rPr>
          <w:sz w:val="18"/>
          <w:szCs w:val="18"/>
        </w:rPr>
      </w:pPr>
      <w:r w:rsidRPr="00A8472C">
        <w:rPr>
          <w:rStyle w:val="Appelnotedebasdep"/>
          <w:sz w:val="18"/>
          <w:szCs w:val="18"/>
        </w:rPr>
        <w:footnoteRef/>
      </w:r>
      <w:r w:rsidRPr="00A8472C">
        <w:rPr>
          <w:sz w:val="18"/>
          <w:szCs w:val="18"/>
        </w:rPr>
        <w:t xml:space="preserve"> </w:t>
      </w:r>
      <w:r w:rsidRPr="00A8472C">
        <w:rPr>
          <w:sz w:val="18"/>
          <w:szCs w:val="18"/>
        </w:rPr>
        <w:tab/>
        <w:t xml:space="preserve">Charte, préambule. </w:t>
      </w:r>
    </w:p>
  </w:footnote>
  <w:footnote w:id="89">
    <w:p w14:paraId="647C2314" w14:textId="77777777" w:rsidR="00AA3827" w:rsidRPr="004D2054" w:rsidRDefault="00AA3827" w:rsidP="00AA3827">
      <w:pPr>
        <w:pStyle w:val="Notedebasdepage"/>
        <w:spacing w:line="240" w:lineRule="auto"/>
      </w:pPr>
      <w:r w:rsidRPr="00A8472C">
        <w:rPr>
          <w:rStyle w:val="Appelnotedebasdep"/>
          <w:sz w:val="18"/>
          <w:szCs w:val="18"/>
        </w:rPr>
        <w:footnoteRef/>
      </w:r>
      <w:r w:rsidRPr="00A8472C">
        <w:rPr>
          <w:sz w:val="18"/>
          <w:szCs w:val="18"/>
        </w:rPr>
        <w:t xml:space="preserve"> </w:t>
      </w:r>
      <w:r w:rsidRPr="00A8472C">
        <w:rPr>
          <w:sz w:val="18"/>
          <w:szCs w:val="18"/>
        </w:rPr>
        <w:tab/>
      </w:r>
      <w:r w:rsidRPr="004D2054">
        <w:rPr>
          <w:i/>
          <w:iCs/>
          <w:color w:val="000000"/>
          <w:sz w:val="18"/>
          <w:szCs w:val="18"/>
        </w:rPr>
        <w:t>Ward </w:t>
      </w:r>
      <w:r w:rsidRPr="004D2054">
        <w:rPr>
          <w:color w:val="000000"/>
          <w:sz w:val="18"/>
          <w:szCs w:val="18"/>
        </w:rPr>
        <w:t>c.</w:t>
      </w:r>
      <w:r w:rsidRPr="004D2054">
        <w:rPr>
          <w:i/>
          <w:iCs/>
          <w:color w:val="000000"/>
          <w:sz w:val="18"/>
          <w:szCs w:val="18"/>
        </w:rPr>
        <w:t> Québec (Commission des droits de la personne et des droits de la jeunesse),</w:t>
      </w:r>
      <w:r w:rsidRPr="004D2054">
        <w:rPr>
          <w:color w:val="000000"/>
          <w:sz w:val="18"/>
          <w:szCs w:val="18"/>
        </w:rPr>
        <w:t xml:space="preserve"> 2021 CSC 43, par. 58.</w:t>
      </w:r>
      <w:r w:rsidRPr="004D2054">
        <w:rPr>
          <w:color w:val="000000"/>
        </w:rPr>
        <w:t xml:space="preserve"> </w:t>
      </w:r>
    </w:p>
  </w:footnote>
  <w:footnote w:id="90">
    <w:p w14:paraId="543CCCF1" w14:textId="5F282961" w:rsidR="00B136A2" w:rsidRPr="00126E04" w:rsidRDefault="00B136A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B63705">
        <w:rPr>
          <w:i/>
          <w:iCs/>
        </w:rPr>
        <w:t>Syndicat interprofessionnel de Lanaudière</w:t>
      </w:r>
      <w:r w:rsidRPr="00126E04">
        <w:t xml:space="preserve"> c. </w:t>
      </w:r>
      <w:r w:rsidRPr="00B63705">
        <w:rPr>
          <w:i/>
          <w:iCs/>
        </w:rPr>
        <w:t>Centre intégré de santé et de services sociaux de Lanaudière</w:t>
      </w:r>
      <w:r w:rsidRPr="00126E04">
        <w:t>, 2022</w:t>
      </w:r>
      <w:r w:rsidR="00283CC2" w:rsidRPr="00126E04">
        <w:t> </w:t>
      </w:r>
      <w:r w:rsidRPr="00126E04">
        <w:t>CanLII 58961 (QC SAT)</w:t>
      </w:r>
      <w:r w:rsidR="00C25BEA" w:rsidRPr="00126E04">
        <w:t>, par. 130.</w:t>
      </w:r>
    </w:p>
  </w:footnote>
  <w:footnote w:id="91">
    <w:p w14:paraId="7E00E742" w14:textId="476FE801" w:rsidR="005C6E47" w:rsidRPr="00D05442" w:rsidRDefault="005C6E47" w:rsidP="00202CC7">
      <w:pPr>
        <w:pStyle w:val="notebasde"/>
        <w:tabs>
          <w:tab w:val="left" w:pos="709"/>
        </w:tabs>
        <w:jc w:val="left"/>
        <w:rPr>
          <w:lang w:val="en-CA"/>
        </w:rPr>
      </w:pPr>
      <w:r w:rsidRPr="00126E04">
        <w:rPr>
          <w:rStyle w:val="Appelnotedebasdep"/>
        </w:rPr>
        <w:footnoteRef/>
      </w:r>
      <w:r w:rsidRPr="00D05442">
        <w:rPr>
          <w:lang w:val="en-CA"/>
        </w:rPr>
        <w:t xml:space="preserve"> </w:t>
      </w:r>
      <w:r w:rsidRPr="00D05442">
        <w:rPr>
          <w:lang w:val="en-CA"/>
        </w:rPr>
        <w:tab/>
      </w:r>
      <w:r w:rsidRPr="00D05442">
        <w:rPr>
          <w:i/>
          <w:lang w:val="en-CA"/>
        </w:rPr>
        <w:t>Id.</w:t>
      </w:r>
    </w:p>
  </w:footnote>
  <w:footnote w:id="92">
    <w:p w14:paraId="241CE35B" w14:textId="65B6C70C" w:rsidR="00FA29F5" w:rsidRPr="00D05442" w:rsidRDefault="00FA29F5" w:rsidP="00202CC7">
      <w:pPr>
        <w:pStyle w:val="notebasde"/>
        <w:tabs>
          <w:tab w:val="left" w:pos="709"/>
        </w:tabs>
        <w:ind w:left="709" w:hanging="709"/>
        <w:jc w:val="left"/>
        <w:rPr>
          <w:lang w:val="en-CA"/>
        </w:rPr>
      </w:pPr>
      <w:r w:rsidRPr="00126E04">
        <w:rPr>
          <w:rStyle w:val="Appelnotedebasdep"/>
        </w:rPr>
        <w:footnoteRef/>
      </w:r>
      <w:r w:rsidRPr="00D05442">
        <w:rPr>
          <w:lang w:val="en-CA"/>
        </w:rPr>
        <w:t xml:space="preserve"> </w:t>
      </w:r>
      <w:r w:rsidRPr="00D05442">
        <w:rPr>
          <w:lang w:val="en-CA"/>
        </w:rPr>
        <w:tab/>
      </w:r>
      <w:r w:rsidR="001A7C00" w:rsidRPr="00D05442">
        <w:rPr>
          <w:lang w:val="en-CA"/>
        </w:rPr>
        <w:t xml:space="preserve">I. M. </w:t>
      </w:r>
      <w:r w:rsidRPr="00D05442">
        <w:rPr>
          <w:smallCaps/>
          <w:lang w:val="en-CA"/>
        </w:rPr>
        <w:t>Ramsden</w:t>
      </w:r>
      <w:r w:rsidRPr="00D05442">
        <w:rPr>
          <w:lang w:val="en-CA"/>
        </w:rPr>
        <w:t xml:space="preserve">, </w:t>
      </w:r>
      <w:proofErr w:type="spellStart"/>
      <w:r w:rsidR="00FB3E23" w:rsidRPr="00D05442">
        <w:rPr>
          <w:lang w:val="en-CA"/>
        </w:rPr>
        <w:t>préc</w:t>
      </w:r>
      <w:proofErr w:type="spellEnd"/>
      <w:r w:rsidR="00FB3E23" w:rsidRPr="00D05442">
        <w:rPr>
          <w:lang w:val="en-CA"/>
        </w:rPr>
        <w:t xml:space="preserve">., note </w:t>
      </w:r>
      <w:r w:rsidR="00E323E3" w:rsidRPr="00126E04">
        <w:rPr>
          <w:lang w:val="en-CA"/>
        </w:rPr>
        <w:fldChar w:fldCharType="begin"/>
      </w:r>
      <w:r w:rsidR="00E323E3" w:rsidRPr="00D05442">
        <w:rPr>
          <w:lang w:val="en-CA"/>
        </w:rPr>
        <w:instrText xml:space="preserve"> NOTEREF _Ref144467866 \h </w:instrText>
      </w:r>
      <w:r w:rsidR="00C84C0A" w:rsidRPr="00D05442">
        <w:rPr>
          <w:lang w:val="en-CA"/>
        </w:rPr>
        <w:instrText xml:space="preserve"> \* MERGEFORMAT </w:instrText>
      </w:r>
      <w:r w:rsidR="00E323E3" w:rsidRPr="00126E04">
        <w:rPr>
          <w:lang w:val="en-CA"/>
        </w:rPr>
      </w:r>
      <w:r w:rsidR="00E323E3" w:rsidRPr="00126E04">
        <w:rPr>
          <w:lang w:val="en-CA"/>
        </w:rPr>
        <w:fldChar w:fldCharType="separate"/>
      </w:r>
      <w:r w:rsidR="008A75EF">
        <w:rPr>
          <w:lang w:val="en-CA"/>
        </w:rPr>
        <w:t>10</w:t>
      </w:r>
      <w:r w:rsidR="00E323E3" w:rsidRPr="00126E04">
        <w:rPr>
          <w:lang w:val="en-CA"/>
        </w:rPr>
        <w:fldChar w:fldCharType="end"/>
      </w:r>
      <w:r w:rsidR="00FB3E23" w:rsidRPr="00D05442">
        <w:rPr>
          <w:lang w:val="en-CA"/>
        </w:rPr>
        <w:t>.</w:t>
      </w:r>
    </w:p>
  </w:footnote>
  <w:footnote w:id="93">
    <w:p w14:paraId="7DF5B556" w14:textId="1B0B55FB" w:rsidR="00646957" w:rsidRPr="00126E04" w:rsidRDefault="00646957" w:rsidP="00202CC7">
      <w:pPr>
        <w:pStyle w:val="notebasde"/>
        <w:tabs>
          <w:tab w:val="left" w:pos="709"/>
        </w:tabs>
        <w:ind w:left="709" w:hanging="709"/>
        <w:jc w:val="left"/>
      </w:pPr>
      <w:r w:rsidRPr="00126E04">
        <w:rPr>
          <w:rStyle w:val="Appelnotedebasdep"/>
        </w:rPr>
        <w:footnoteRef/>
      </w:r>
      <w:r w:rsidRPr="00126E04">
        <w:t xml:space="preserve"> </w:t>
      </w:r>
      <w:r w:rsidRPr="00126E04">
        <w:tab/>
        <w:t>Projet de loi</w:t>
      </w:r>
      <w:r w:rsidR="00082D49" w:rsidRPr="00126E04">
        <w:t xml:space="preserve"> n</w:t>
      </w:r>
      <w:r w:rsidR="00082D49" w:rsidRPr="00126E04">
        <w:rPr>
          <w:vertAlign w:val="superscript"/>
        </w:rPr>
        <w:t>o</w:t>
      </w:r>
      <w:r w:rsidR="00082D49" w:rsidRPr="00126E04">
        <w:t xml:space="preserve"> 32</w:t>
      </w:r>
      <w:r w:rsidRPr="00126E04">
        <w:t>, art. 1.</w:t>
      </w:r>
    </w:p>
  </w:footnote>
  <w:footnote w:id="94">
    <w:p w14:paraId="19961F04" w14:textId="5EFE6D3F" w:rsidR="00CF68B9" w:rsidRPr="00126E04" w:rsidRDefault="00CF68B9" w:rsidP="00202CC7">
      <w:pPr>
        <w:pStyle w:val="notebasde"/>
        <w:tabs>
          <w:tab w:val="left" w:pos="709"/>
        </w:tabs>
        <w:ind w:left="709" w:hanging="709"/>
        <w:jc w:val="left"/>
      </w:pPr>
      <w:r w:rsidRPr="00126E04">
        <w:rPr>
          <w:rStyle w:val="Appelnotedebasdep"/>
        </w:rPr>
        <w:footnoteRef/>
      </w:r>
      <w:r w:rsidRPr="00126E04">
        <w:t xml:space="preserve"> </w:t>
      </w:r>
      <w:r w:rsidRPr="00126E04">
        <w:tab/>
        <w:t xml:space="preserve">N. </w:t>
      </w:r>
      <w:r w:rsidRPr="00126E04">
        <w:rPr>
          <w:smallCaps/>
        </w:rPr>
        <w:t>Blanchet-Cohen</w:t>
      </w:r>
      <w:r w:rsidRPr="00126E04">
        <w:t xml:space="preserve"> et C. </w:t>
      </w:r>
      <w:r w:rsidRPr="00126E04">
        <w:rPr>
          <w:smallCaps/>
        </w:rPr>
        <w:t>Richardson/</w:t>
      </w:r>
      <w:proofErr w:type="spellStart"/>
      <w:r w:rsidR="005A0C72" w:rsidRPr="00126E04">
        <w:rPr>
          <w:smallCaps/>
        </w:rPr>
        <w:t>K</w:t>
      </w:r>
      <w:r w:rsidRPr="00126E04">
        <w:rPr>
          <w:smallCaps/>
        </w:rPr>
        <w:t>inewesquao</w:t>
      </w:r>
      <w:proofErr w:type="spellEnd"/>
      <w:r w:rsidRPr="00126E04">
        <w:t xml:space="preserve">, </w:t>
      </w:r>
      <w:proofErr w:type="spellStart"/>
      <w:r w:rsidRPr="00126E04">
        <w:t>préc</w:t>
      </w:r>
      <w:proofErr w:type="spellEnd"/>
      <w:r w:rsidRPr="00126E04">
        <w:t>., note</w:t>
      </w:r>
      <w:r w:rsidR="00A02C28" w:rsidRPr="00126E04">
        <w:t xml:space="preserve"> </w:t>
      </w:r>
      <w:r w:rsidR="00A02C28" w:rsidRPr="00126E04">
        <w:fldChar w:fldCharType="begin"/>
      </w:r>
      <w:r w:rsidR="00A02C28" w:rsidRPr="00126E04">
        <w:instrText xml:space="preserve"> NOTEREF _Ref144797600 \h </w:instrText>
      </w:r>
      <w:r w:rsidR="00AD6FFC" w:rsidRPr="00126E04">
        <w:instrText xml:space="preserve"> \* MERGEFORMAT </w:instrText>
      </w:r>
      <w:r w:rsidR="00A02C28" w:rsidRPr="00126E04">
        <w:fldChar w:fldCharType="separate"/>
      </w:r>
      <w:r w:rsidR="008A75EF">
        <w:t>13</w:t>
      </w:r>
      <w:r w:rsidR="00A02C28" w:rsidRPr="00126E04">
        <w:fldChar w:fldCharType="end"/>
      </w:r>
      <w:r w:rsidRPr="00126E04">
        <w:t xml:space="preserve">, </w:t>
      </w:r>
      <w:r w:rsidR="001276D2" w:rsidRPr="00821549">
        <w:t xml:space="preserve">p. </w:t>
      </w:r>
      <w:r w:rsidRPr="00A60E9B">
        <w:t>139;</w:t>
      </w:r>
      <w:r w:rsidRPr="00126E04">
        <w:t xml:space="preserve"> </w:t>
      </w:r>
      <w:r w:rsidR="002B153F" w:rsidRPr="00FA2B5E">
        <w:rPr>
          <w:smallCaps/>
        </w:rPr>
        <w:t>Centre de collaboration nationale de la santé autochtone</w:t>
      </w:r>
      <w:r w:rsidRPr="00126E04">
        <w:t xml:space="preserve">, </w:t>
      </w:r>
      <w:proofErr w:type="spellStart"/>
      <w:r w:rsidRPr="00126E04">
        <w:t>préc</w:t>
      </w:r>
      <w:proofErr w:type="spellEnd"/>
      <w:r w:rsidRPr="00126E04">
        <w:t xml:space="preserve">., note </w:t>
      </w:r>
      <w:r w:rsidR="00BB359E" w:rsidRPr="00126E04">
        <w:fldChar w:fldCharType="begin"/>
      </w:r>
      <w:r w:rsidR="00BB359E" w:rsidRPr="00126E04">
        <w:instrText xml:space="preserve"> NOTEREF _Ref144365671 \h </w:instrText>
      </w:r>
      <w:r w:rsidR="00C84C0A" w:rsidRPr="00126E04">
        <w:instrText xml:space="preserve"> \* MERGEFORMAT </w:instrText>
      </w:r>
      <w:r w:rsidR="00BB359E" w:rsidRPr="00126E04">
        <w:fldChar w:fldCharType="separate"/>
      </w:r>
      <w:r w:rsidR="008A75EF">
        <w:t>19</w:t>
      </w:r>
      <w:r w:rsidR="00BB359E" w:rsidRPr="00126E04">
        <w:fldChar w:fldCharType="end"/>
      </w:r>
      <w:r w:rsidR="00BB359E" w:rsidRPr="00126E04">
        <w:t xml:space="preserve">, </w:t>
      </w:r>
      <w:r w:rsidRPr="00126E04">
        <w:t>p. 28.</w:t>
      </w:r>
    </w:p>
  </w:footnote>
  <w:footnote w:id="95">
    <w:p w14:paraId="2F30A2E3" w14:textId="0F06AE1D" w:rsidR="00CF68B9" w:rsidRPr="00126E04" w:rsidRDefault="00CF68B9"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Comité des droits économiques, sociaux et culturels</w:t>
      </w:r>
      <w:r w:rsidRPr="00B63705">
        <w:rPr>
          <w:i/>
          <w:iCs/>
        </w:rPr>
        <w:t xml:space="preserve">, Observation générale </w:t>
      </w:r>
      <w:r w:rsidR="00761BE9" w:rsidRPr="00B63705">
        <w:rPr>
          <w:i/>
          <w:iCs/>
        </w:rPr>
        <w:t>n</w:t>
      </w:r>
      <w:r w:rsidR="00761BE9" w:rsidRPr="00B63705">
        <w:rPr>
          <w:i/>
          <w:iCs/>
          <w:vertAlign w:val="superscript"/>
        </w:rPr>
        <w:t>o</w:t>
      </w:r>
      <w:r w:rsidRPr="00B63705">
        <w:rPr>
          <w:i/>
          <w:iCs/>
        </w:rPr>
        <w:t xml:space="preserve"> 14 (2000). Le droit au meilleur état de santé susceptible d’être atteint (art. 12 du Pacte international relatif aux droits économiques, sociaux et culturels)</w:t>
      </w:r>
      <w:r w:rsidRPr="00126E04">
        <w:t>, Doc. N.U. E/C.12/2000/4, par. 21.</w:t>
      </w:r>
    </w:p>
  </w:footnote>
  <w:footnote w:id="96">
    <w:p w14:paraId="59AC96A1" w14:textId="165613F5" w:rsidR="006B143D" w:rsidRPr="00126E04" w:rsidRDefault="006B143D"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DA7361" w:rsidRPr="00126E04">
        <w:rPr>
          <w:smallCaps/>
        </w:rPr>
        <w:t>Comité pour l’élimination de la discrimination à l’égard des femmes</w:t>
      </w:r>
      <w:r w:rsidR="00DA7361" w:rsidRPr="00126E04">
        <w:t xml:space="preserve">, </w:t>
      </w:r>
      <w:r w:rsidR="006E2B19" w:rsidRPr="00126E04">
        <w:rPr>
          <w:i/>
          <w:iCs/>
        </w:rPr>
        <w:t>Recommandation générale n</w:t>
      </w:r>
      <w:r w:rsidR="006E2B19" w:rsidRPr="00126E04">
        <w:rPr>
          <w:i/>
          <w:iCs/>
          <w:vertAlign w:val="superscript"/>
        </w:rPr>
        <w:t>o</w:t>
      </w:r>
      <w:r w:rsidR="006E2B19" w:rsidRPr="00126E04">
        <w:rPr>
          <w:i/>
          <w:iCs/>
        </w:rPr>
        <w:t xml:space="preserve"> 39 (2022) sur les droits des femmes et des filles autochtones</w:t>
      </w:r>
      <w:r w:rsidR="006E2B19" w:rsidRPr="00126E04">
        <w:t>, Doc. N.U. CEDAW/C/GC/39</w:t>
      </w:r>
      <w:r w:rsidR="006F1346" w:rsidRPr="00126E04">
        <w:t xml:space="preserve"> (31</w:t>
      </w:r>
      <w:r w:rsidR="001C4421">
        <w:t> </w:t>
      </w:r>
      <w:r w:rsidR="006F1346" w:rsidRPr="00126E04">
        <w:t>octobre 2022)</w:t>
      </w:r>
      <w:r w:rsidR="006E2B19" w:rsidRPr="00126E04">
        <w:t xml:space="preserve">, par. </w:t>
      </w:r>
      <w:r w:rsidR="008F0E74" w:rsidRPr="00126E04">
        <w:t>51.</w:t>
      </w:r>
    </w:p>
  </w:footnote>
  <w:footnote w:id="97">
    <w:p w14:paraId="29C3170D" w14:textId="39322869" w:rsidR="00B07E9C" w:rsidRPr="00126E04" w:rsidRDefault="00B07E9C"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iCs/>
        </w:rPr>
        <w:t>Id.</w:t>
      </w:r>
      <w:r w:rsidR="008F0E74" w:rsidRPr="00126E04">
        <w:t>, par. 52</w:t>
      </w:r>
      <w:r w:rsidR="004F44D0" w:rsidRPr="00126E04">
        <w:t>.</w:t>
      </w:r>
    </w:p>
  </w:footnote>
  <w:footnote w:id="98">
    <w:p w14:paraId="0C3F18DC" w14:textId="00632948" w:rsidR="006F699D" w:rsidRPr="00126E04" w:rsidRDefault="006F699D" w:rsidP="006F699D">
      <w:pPr>
        <w:pStyle w:val="notebasde"/>
        <w:tabs>
          <w:tab w:val="left" w:pos="709"/>
        </w:tabs>
        <w:ind w:left="709" w:hanging="709"/>
        <w:jc w:val="left"/>
      </w:pPr>
      <w:r w:rsidRPr="00126E04">
        <w:rPr>
          <w:rStyle w:val="Appelnotedebasdep"/>
        </w:rPr>
        <w:footnoteRef/>
      </w:r>
      <w:r w:rsidRPr="00126E04">
        <w:t xml:space="preserve"> </w:t>
      </w:r>
      <w:r w:rsidRPr="00126E04">
        <w:tab/>
        <w:t xml:space="preserve">Voir : </w:t>
      </w:r>
      <w:r w:rsidRPr="00126E04">
        <w:rPr>
          <w:smallCaps/>
        </w:rPr>
        <w:t>Commission de la santé et des services sociaux des Premières Nations du Québec et du Labrador</w:t>
      </w:r>
      <w:r w:rsidRPr="00126E04">
        <w:t xml:space="preserve">, </w:t>
      </w:r>
      <w:r w:rsidRPr="008A3AB7">
        <w:rPr>
          <w:i/>
          <w:iCs/>
        </w:rPr>
        <w:t>Consentement libre et éclairé et stérilisations imposées de femmes des Premières Nations et Inuit au Québec — Rapport de recherche</w:t>
      </w:r>
      <w:r w:rsidRPr="00126E04">
        <w:t xml:space="preserve">, Wendake, 2022, recommandation 25 ; </w:t>
      </w:r>
      <w:r w:rsidRPr="00126E04">
        <w:rPr>
          <w:smallCaps/>
        </w:rPr>
        <w:t xml:space="preserve">Saskatoon </w:t>
      </w:r>
      <w:proofErr w:type="spellStart"/>
      <w:r w:rsidRPr="00126E04">
        <w:rPr>
          <w:smallCaps/>
        </w:rPr>
        <w:t>Health</w:t>
      </w:r>
      <w:proofErr w:type="spellEnd"/>
      <w:r w:rsidRPr="00126E04">
        <w:rPr>
          <w:smallCaps/>
        </w:rPr>
        <w:t xml:space="preserve"> </w:t>
      </w:r>
      <w:proofErr w:type="spellStart"/>
      <w:r w:rsidRPr="00126E04">
        <w:rPr>
          <w:smallCaps/>
        </w:rPr>
        <w:t>Region</w:t>
      </w:r>
      <w:proofErr w:type="spellEnd"/>
      <w:r w:rsidRPr="00126E04">
        <w:t>,</w:t>
      </w:r>
      <w:r w:rsidRPr="00126E04">
        <w:rPr>
          <w:color w:val="545454"/>
          <w:shd w:val="clear" w:color="auto" w:fill="FFFFFF"/>
        </w:rPr>
        <w:t xml:space="preserve"> </w:t>
      </w:r>
      <w:proofErr w:type="spellStart"/>
      <w:r w:rsidRPr="008A3AB7">
        <w:rPr>
          <w:i/>
          <w:iCs/>
        </w:rPr>
        <w:t>External</w:t>
      </w:r>
      <w:proofErr w:type="spellEnd"/>
      <w:r w:rsidRPr="008A3AB7">
        <w:rPr>
          <w:i/>
          <w:iCs/>
        </w:rPr>
        <w:t xml:space="preserve"> </w:t>
      </w:r>
      <w:proofErr w:type="spellStart"/>
      <w:r w:rsidRPr="008A3AB7">
        <w:rPr>
          <w:i/>
          <w:iCs/>
        </w:rPr>
        <w:t>Review</w:t>
      </w:r>
      <w:proofErr w:type="spellEnd"/>
      <w:r w:rsidRPr="008A3AB7">
        <w:rPr>
          <w:i/>
          <w:iCs/>
        </w:rPr>
        <w:t xml:space="preserve">: </w:t>
      </w:r>
      <w:proofErr w:type="spellStart"/>
      <w:r w:rsidRPr="008A3AB7">
        <w:rPr>
          <w:i/>
          <w:iCs/>
        </w:rPr>
        <w:t>Tubal</w:t>
      </w:r>
      <w:proofErr w:type="spellEnd"/>
      <w:r w:rsidRPr="008A3AB7">
        <w:rPr>
          <w:i/>
          <w:iCs/>
        </w:rPr>
        <w:t xml:space="preserve"> Ligation in the Saskatoon </w:t>
      </w:r>
      <w:proofErr w:type="spellStart"/>
      <w:r w:rsidRPr="008A3AB7">
        <w:rPr>
          <w:i/>
          <w:iCs/>
        </w:rPr>
        <w:t>Health</w:t>
      </w:r>
      <w:proofErr w:type="spellEnd"/>
      <w:r w:rsidRPr="008A3AB7">
        <w:rPr>
          <w:i/>
          <w:iCs/>
        </w:rPr>
        <w:t xml:space="preserve"> </w:t>
      </w:r>
      <w:proofErr w:type="spellStart"/>
      <w:r w:rsidRPr="008A3AB7">
        <w:rPr>
          <w:i/>
          <w:iCs/>
        </w:rPr>
        <w:t>Region</w:t>
      </w:r>
      <w:proofErr w:type="spellEnd"/>
      <w:r w:rsidRPr="008A3AB7">
        <w:rPr>
          <w:i/>
          <w:iCs/>
        </w:rPr>
        <w:t xml:space="preserve">: The </w:t>
      </w:r>
      <w:proofErr w:type="spellStart"/>
      <w:r w:rsidRPr="008A3AB7">
        <w:rPr>
          <w:i/>
          <w:iCs/>
        </w:rPr>
        <w:t>Lived</w:t>
      </w:r>
      <w:proofErr w:type="spellEnd"/>
      <w:r w:rsidRPr="008A3AB7">
        <w:rPr>
          <w:i/>
          <w:iCs/>
        </w:rPr>
        <w:t xml:space="preserve"> </w:t>
      </w:r>
      <w:proofErr w:type="spellStart"/>
      <w:r w:rsidRPr="008A3AB7">
        <w:rPr>
          <w:i/>
          <w:iCs/>
        </w:rPr>
        <w:t>Experience</w:t>
      </w:r>
      <w:proofErr w:type="spellEnd"/>
      <w:r w:rsidRPr="008A3AB7">
        <w:rPr>
          <w:i/>
          <w:iCs/>
        </w:rPr>
        <w:t xml:space="preserve"> of </w:t>
      </w:r>
      <w:proofErr w:type="spellStart"/>
      <w:r w:rsidRPr="008A3AB7">
        <w:rPr>
          <w:i/>
          <w:iCs/>
        </w:rPr>
        <w:t>Aboriginal</w:t>
      </w:r>
      <w:proofErr w:type="spellEnd"/>
      <w:r w:rsidRPr="008A3AB7">
        <w:rPr>
          <w:i/>
          <w:iCs/>
        </w:rPr>
        <w:t xml:space="preserve"> </w:t>
      </w:r>
      <w:proofErr w:type="spellStart"/>
      <w:r w:rsidRPr="008A3AB7">
        <w:rPr>
          <w:i/>
          <w:iCs/>
        </w:rPr>
        <w:t>Women</w:t>
      </w:r>
      <w:proofErr w:type="spellEnd"/>
      <w:r w:rsidRPr="00126E04">
        <w:t xml:space="preserve">, Yvonne </w:t>
      </w:r>
      <w:r w:rsidRPr="00126E04">
        <w:rPr>
          <w:smallCaps/>
        </w:rPr>
        <w:t xml:space="preserve">Boyer </w:t>
      </w:r>
      <w:r w:rsidRPr="00126E04">
        <w:t xml:space="preserve">et Judith </w:t>
      </w:r>
      <w:r w:rsidRPr="00126E04">
        <w:rPr>
          <w:smallCaps/>
        </w:rPr>
        <w:t xml:space="preserve">Bartlett, </w:t>
      </w:r>
      <w:r w:rsidRPr="00126E04">
        <w:t>2017, appels à l’action 2 et 3</w:t>
      </w:r>
      <w:r w:rsidR="00E00B80">
        <w:t> </w:t>
      </w:r>
      <w:r w:rsidRPr="00126E04">
        <w:t xml:space="preserve">; </w:t>
      </w:r>
      <w:r w:rsidRPr="00126E04">
        <w:rPr>
          <w:smallCaps/>
        </w:rPr>
        <w:t xml:space="preserve">Assemblée des Premières Nations Québec-Labrador </w:t>
      </w:r>
      <w:r w:rsidRPr="00126E04">
        <w:t>et</w:t>
      </w:r>
      <w:r w:rsidRPr="00126E04">
        <w:rPr>
          <w:smallCaps/>
        </w:rPr>
        <w:t xml:space="preserve"> Commission de la santé et des services sociaux des Premières Nations du Québec et du Labrador</w:t>
      </w:r>
      <w:r w:rsidRPr="00126E04">
        <w:t xml:space="preserve">, </w:t>
      </w:r>
      <w:proofErr w:type="spellStart"/>
      <w:r w:rsidRPr="00126E04">
        <w:t>préc</w:t>
      </w:r>
      <w:proofErr w:type="spellEnd"/>
      <w:r w:rsidRPr="00126E04">
        <w:t xml:space="preserve">., note </w:t>
      </w:r>
      <w:r w:rsidRPr="00126E04">
        <w:fldChar w:fldCharType="begin"/>
      </w:r>
      <w:r w:rsidRPr="00126E04">
        <w:instrText xml:space="preserve"> NOTEREF _Ref140824997 \h  \* MERGEFORMAT </w:instrText>
      </w:r>
      <w:r w:rsidRPr="00126E04">
        <w:fldChar w:fldCharType="separate"/>
      </w:r>
      <w:r w:rsidR="008A75EF">
        <w:t>23</w:t>
      </w:r>
      <w:r w:rsidRPr="00126E04">
        <w:fldChar w:fldCharType="end"/>
      </w:r>
      <w:r w:rsidRPr="00126E04">
        <w:t>, p. 2.</w:t>
      </w:r>
    </w:p>
  </w:footnote>
  <w:footnote w:id="99">
    <w:p w14:paraId="686724A4" w14:textId="55404ABF" w:rsidR="001E3DB6" w:rsidRPr="008D76DB" w:rsidRDefault="001E3DB6" w:rsidP="00202CC7">
      <w:pPr>
        <w:pStyle w:val="notebasde"/>
        <w:tabs>
          <w:tab w:val="left" w:pos="709"/>
        </w:tabs>
        <w:ind w:left="709" w:hanging="709"/>
        <w:jc w:val="left"/>
        <w:rPr>
          <w:lang w:val="en-CA"/>
        </w:rPr>
      </w:pPr>
      <w:r w:rsidRPr="00126E04">
        <w:rPr>
          <w:rStyle w:val="Appelnotedebasdep"/>
        </w:rPr>
        <w:footnoteRef/>
      </w:r>
      <w:r w:rsidRPr="008D76DB">
        <w:rPr>
          <w:lang w:val="en-CA"/>
        </w:rPr>
        <w:t xml:space="preserve"> </w:t>
      </w:r>
      <w:r w:rsidRPr="008D76DB">
        <w:rPr>
          <w:lang w:val="en-CA"/>
        </w:rPr>
        <w:tab/>
      </w:r>
      <w:r w:rsidR="00563207" w:rsidRPr="008D76DB">
        <w:rPr>
          <w:iCs/>
          <w:lang w:val="en-CA"/>
        </w:rPr>
        <w:t>DNUDPA</w:t>
      </w:r>
      <w:r w:rsidR="00563207" w:rsidRPr="008D76DB">
        <w:rPr>
          <w:lang w:val="en-CA"/>
        </w:rPr>
        <w:t>, a</w:t>
      </w:r>
      <w:r w:rsidRPr="008D76DB">
        <w:rPr>
          <w:lang w:val="en-CA"/>
        </w:rPr>
        <w:t>rt. 21 et 22.</w:t>
      </w:r>
    </w:p>
  </w:footnote>
  <w:footnote w:id="100">
    <w:p w14:paraId="4FBDDCF4" w14:textId="0B081F5F" w:rsidR="003B4CC6" w:rsidRPr="008D76DB" w:rsidRDefault="00AF0365" w:rsidP="00202CC7">
      <w:pPr>
        <w:pStyle w:val="notebasde"/>
        <w:tabs>
          <w:tab w:val="left" w:pos="709"/>
        </w:tabs>
        <w:ind w:left="709" w:hanging="709"/>
        <w:jc w:val="left"/>
        <w:rPr>
          <w:lang w:val="en-CA"/>
        </w:rPr>
      </w:pPr>
      <w:r w:rsidRPr="00126E04">
        <w:rPr>
          <w:rStyle w:val="Appelnotedebasdep"/>
        </w:rPr>
        <w:footnoteRef/>
      </w:r>
      <w:r w:rsidRPr="008D76DB">
        <w:rPr>
          <w:lang w:val="en-CA"/>
        </w:rPr>
        <w:t xml:space="preserve"> </w:t>
      </w:r>
      <w:r w:rsidRPr="008D76DB">
        <w:rPr>
          <w:lang w:val="en-CA"/>
        </w:rPr>
        <w:tab/>
      </w:r>
      <w:r w:rsidR="005045E4" w:rsidRPr="008D76DB">
        <w:rPr>
          <w:lang w:val="en-CA"/>
        </w:rPr>
        <w:t>CRDE</w:t>
      </w:r>
      <w:r w:rsidRPr="008D76DB">
        <w:rPr>
          <w:iCs/>
          <w:lang w:val="en-CA"/>
        </w:rPr>
        <w:t>, art. 24.</w:t>
      </w:r>
    </w:p>
  </w:footnote>
  <w:footnote w:id="101">
    <w:p w14:paraId="2A3E161C" w14:textId="2DFD23B1" w:rsidR="00CB778E" w:rsidRPr="008D76DB" w:rsidRDefault="00CB778E" w:rsidP="00202CC7">
      <w:pPr>
        <w:pStyle w:val="notebasde"/>
        <w:tabs>
          <w:tab w:val="left" w:pos="709"/>
        </w:tabs>
        <w:ind w:left="709" w:hanging="709"/>
        <w:jc w:val="left"/>
        <w:rPr>
          <w:lang w:val="en-CA"/>
        </w:rPr>
      </w:pPr>
      <w:r w:rsidRPr="00126E04">
        <w:rPr>
          <w:rStyle w:val="Appelnotedebasdep"/>
        </w:rPr>
        <w:footnoteRef/>
      </w:r>
      <w:r w:rsidRPr="008D76DB">
        <w:rPr>
          <w:lang w:val="en-CA"/>
        </w:rPr>
        <w:t xml:space="preserve"> </w:t>
      </w:r>
      <w:r w:rsidRPr="008D76DB">
        <w:rPr>
          <w:lang w:val="en-CA"/>
        </w:rPr>
        <w:tab/>
      </w:r>
      <w:r w:rsidR="005045E4" w:rsidRPr="008D76DB">
        <w:rPr>
          <w:lang w:val="en-CA"/>
        </w:rPr>
        <w:t>CRDE</w:t>
      </w:r>
      <w:r w:rsidRPr="008D76DB">
        <w:rPr>
          <w:lang w:val="en-CA"/>
        </w:rPr>
        <w:t>,</w:t>
      </w:r>
      <w:r w:rsidR="00D37606" w:rsidRPr="008D76DB">
        <w:rPr>
          <w:lang w:val="en-CA"/>
        </w:rPr>
        <w:t xml:space="preserve"> </w:t>
      </w:r>
      <w:r w:rsidRPr="008D76DB">
        <w:rPr>
          <w:lang w:val="en-CA"/>
        </w:rPr>
        <w:t>art. 30.</w:t>
      </w:r>
    </w:p>
  </w:footnote>
  <w:footnote w:id="102">
    <w:p w14:paraId="6466F8CC" w14:textId="27D47814" w:rsidR="00AB4D95" w:rsidRDefault="00AB4D95" w:rsidP="0014209E">
      <w:pPr>
        <w:pStyle w:val="notebasde"/>
        <w:tabs>
          <w:tab w:val="left" w:pos="709"/>
        </w:tabs>
        <w:ind w:left="709" w:hanging="709"/>
      </w:pPr>
      <w:r>
        <w:rPr>
          <w:rStyle w:val="Appelnotedebasdep"/>
        </w:rPr>
        <w:footnoteRef/>
      </w:r>
      <w:r>
        <w:t xml:space="preserve"> </w:t>
      </w:r>
      <w:r>
        <w:tab/>
      </w:r>
      <w:r w:rsidRPr="00126E04">
        <w:rPr>
          <w:smallCaps/>
        </w:rPr>
        <w:t>Comité des droits de l’enfant</w:t>
      </w:r>
      <w:r w:rsidRPr="00126E04">
        <w:t xml:space="preserve">, </w:t>
      </w:r>
      <w:r w:rsidRPr="00CA7873">
        <w:rPr>
          <w:i/>
          <w:iCs/>
        </w:rPr>
        <w:t>O</w:t>
      </w:r>
      <w:proofErr w:type="spellStart"/>
      <w:r w:rsidRPr="00CA7873">
        <w:rPr>
          <w:i/>
          <w:iCs/>
          <w:lang w:val="fr-CH"/>
        </w:rPr>
        <w:t>bservation</w:t>
      </w:r>
      <w:proofErr w:type="spellEnd"/>
      <w:r w:rsidRPr="00CA7873">
        <w:rPr>
          <w:i/>
          <w:iCs/>
          <w:lang w:val="fr-CH"/>
        </w:rPr>
        <w:t xml:space="preserve"> générale n</w:t>
      </w:r>
      <w:r w:rsidRPr="00CA7873">
        <w:rPr>
          <w:i/>
          <w:iCs/>
          <w:vertAlign w:val="superscript"/>
          <w:lang w:val="fr-CH"/>
        </w:rPr>
        <w:t>o</w:t>
      </w:r>
      <w:r w:rsidRPr="00CA7873">
        <w:rPr>
          <w:i/>
          <w:iCs/>
          <w:lang w:val="fr-CH"/>
        </w:rPr>
        <w:t xml:space="preserve"> 11 (2009), </w:t>
      </w:r>
      <w:r w:rsidRPr="00CA7873">
        <w:rPr>
          <w:bCs/>
          <w:i/>
          <w:iCs/>
          <w:lang w:val="fr-CH"/>
        </w:rPr>
        <w:t>Les enfants autochtones et leurs droits en vertu de la Convention</w:t>
      </w:r>
      <w:r w:rsidRPr="00126E04">
        <w:rPr>
          <w:bCs/>
          <w:lang w:val="fr-CH"/>
        </w:rPr>
        <w:t xml:space="preserve">, </w:t>
      </w:r>
      <w:r w:rsidRPr="00126E04">
        <w:t>CRC/C/GC/11, par. 49</w:t>
      </w:r>
      <w:r w:rsidR="004850C2">
        <w:t>.</w:t>
      </w:r>
    </w:p>
  </w:footnote>
  <w:footnote w:id="103">
    <w:p w14:paraId="62E326B2" w14:textId="65482D97" w:rsidR="00815E70" w:rsidRPr="00126E04" w:rsidRDefault="00815E70"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14209E" w:rsidRPr="0014209E">
        <w:rPr>
          <w:i/>
          <w:iCs/>
        </w:rPr>
        <w:t>Id</w:t>
      </w:r>
      <w:r w:rsidR="004850C2">
        <w:rPr>
          <w:i/>
          <w:iCs/>
        </w:rPr>
        <w:t>.</w:t>
      </w:r>
      <w:r w:rsidR="005B7B98" w:rsidRPr="00126E04">
        <w:t xml:space="preserve">, par. </w:t>
      </w:r>
      <w:r w:rsidR="0014209E">
        <w:t>25</w:t>
      </w:r>
      <w:r w:rsidR="004850C2">
        <w:t>.</w:t>
      </w:r>
    </w:p>
  </w:footnote>
  <w:footnote w:id="104">
    <w:p w14:paraId="4164F3A5" w14:textId="35EABC54" w:rsidR="00A94FCB" w:rsidRPr="00126E04" w:rsidRDefault="00A94FCB" w:rsidP="00202CC7">
      <w:pPr>
        <w:pStyle w:val="notebasde"/>
        <w:tabs>
          <w:tab w:val="left" w:pos="709"/>
        </w:tabs>
        <w:ind w:left="709" w:hanging="709"/>
        <w:jc w:val="left"/>
      </w:pPr>
      <w:r w:rsidRPr="00126E04">
        <w:rPr>
          <w:rStyle w:val="Appelnotedebasdep"/>
        </w:rPr>
        <w:footnoteRef/>
      </w:r>
      <w:r w:rsidRPr="00126E04">
        <w:t xml:space="preserve"> </w:t>
      </w:r>
      <w:r w:rsidR="00061041" w:rsidRPr="00126E04">
        <w:tab/>
      </w:r>
      <w:r w:rsidR="005B7B98" w:rsidRPr="00126E04">
        <w:rPr>
          <w:i/>
          <w:iCs/>
          <w:smallCaps/>
        </w:rPr>
        <w:t>I</w:t>
      </w:r>
      <w:r w:rsidR="005B7B98" w:rsidRPr="00126E04">
        <w:rPr>
          <w:i/>
          <w:iCs/>
        </w:rPr>
        <w:t>d</w:t>
      </w:r>
      <w:r w:rsidR="005B7B98" w:rsidRPr="00126E04">
        <w:rPr>
          <w:i/>
          <w:iCs/>
          <w:smallCaps/>
        </w:rPr>
        <w:t>.</w:t>
      </w:r>
      <w:r w:rsidR="005B7B98" w:rsidRPr="00126E04">
        <w:rPr>
          <w:smallCaps/>
        </w:rPr>
        <w:t>,</w:t>
      </w:r>
      <w:r w:rsidR="001D4597" w:rsidRPr="00126E04">
        <w:t xml:space="preserve"> par</w:t>
      </w:r>
      <w:r w:rsidR="005B7B98" w:rsidRPr="00126E04">
        <w:t>.</w:t>
      </w:r>
      <w:r w:rsidR="001D4597" w:rsidRPr="00126E04">
        <w:t xml:space="preserve"> 50.</w:t>
      </w:r>
    </w:p>
  </w:footnote>
  <w:footnote w:id="105">
    <w:p w14:paraId="428F906F" w14:textId="2BB4E818" w:rsidR="00254AC4" w:rsidRPr="00126E04" w:rsidRDefault="00254AC4"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B12293" w:rsidRPr="00126E04">
        <w:rPr>
          <w:i/>
          <w:iCs/>
        </w:rPr>
        <w:t>Id</w:t>
      </w:r>
      <w:r w:rsidR="00604C48" w:rsidRPr="00126E04">
        <w:rPr>
          <w:i/>
          <w:iCs/>
        </w:rPr>
        <w:t>.</w:t>
      </w:r>
      <w:r w:rsidRPr="00126E04">
        <w:t>, par, 48.</w:t>
      </w:r>
    </w:p>
  </w:footnote>
  <w:footnote w:id="106">
    <w:p w14:paraId="035648F6" w14:textId="3B873ABD" w:rsidR="001E3DB6" w:rsidRPr="00126E04" w:rsidRDefault="001E3DB6"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B63705">
        <w:rPr>
          <w:i/>
          <w:iCs/>
        </w:rPr>
        <w:t>Société de soutien à l’enfance et à la famille des Premières Nations du Canada et al</w:t>
      </w:r>
      <w:r w:rsidRPr="00126E04">
        <w:t xml:space="preserve">. c. </w:t>
      </w:r>
      <w:r w:rsidRPr="00B63705">
        <w:rPr>
          <w:i/>
          <w:iCs/>
        </w:rPr>
        <w:t>Procureur général du Canada (représentant le ministre des Affaires indiennes et du Nord canadien)</w:t>
      </w:r>
      <w:r w:rsidRPr="00126E04">
        <w:t xml:space="preserve">, </w:t>
      </w:r>
      <w:r w:rsidR="00A92C2B" w:rsidRPr="00126E04">
        <w:rPr>
          <w:shd w:val="clear" w:color="auto" w:fill="FFFFFF" w:themeFill="background1"/>
        </w:rPr>
        <w:t>2016 TCDP 2</w:t>
      </w:r>
      <w:r w:rsidRPr="00126E04">
        <w:rPr>
          <w:shd w:val="clear" w:color="auto" w:fill="FFFFFF" w:themeFill="background1"/>
        </w:rPr>
        <w:t>, par. 453.</w:t>
      </w:r>
    </w:p>
  </w:footnote>
  <w:footnote w:id="107">
    <w:p w14:paraId="6C810A48" w14:textId="59AB9200" w:rsidR="00A16A6A" w:rsidRPr="00126E04" w:rsidRDefault="00A16A6A" w:rsidP="00202CC7">
      <w:pPr>
        <w:pStyle w:val="notebasde"/>
        <w:tabs>
          <w:tab w:val="left" w:pos="709"/>
        </w:tabs>
        <w:ind w:left="709" w:hanging="709"/>
        <w:jc w:val="left"/>
      </w:pPr>
      <w:r w:rsidRPr="00126E04">
        <w:rPr>
          <w:rStyle w:val="Appelnotedebasdep"/>
        </w:rPr>
        <w:footnoteRef/>
      </w:r>
      <w:r w:rsidRPr="00126E04">
        <w:t xml:space="preserve"> </w:t>
      </w:r>
      <w:r w:rsidR="00A422B6" w:rsidRPr="00126E04">
        <w:tab/>
        <w:t>Commission Viens</w:t>
      </w:r>
      <w:r w:rsidR="002A6A26" w:rsidRPr="00126E04">
        <w:t xml:space="preserve">, p. 444. </w:t>
      </w:r>
    </w:p>
  </w:footnote>
  <w:footnote w:id="108">
    <w:p w14:paraId="04ABC4CD" w14:textId="486F145E" w:rsidR="008E11A1" w:rsidRPr="00126E04" w:rsidRDefault="008E11A1"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iCs/>
        </w:rPr>
        <w:t>Id.</w:t>
      </w:r>
      <w:r w:rsidRPr="00126E04">
        <w:t>, p. 447.</w:t>
      </w:r>
    </w:p>
  </w:footnote>
  <w:footnote w:id="109">
    <w:p w14:paraId="31C5EE7E" w14:textId="087B7C9E" w:rsidR="00B27C70" w:rsidRPr="00126E04" w:rsidRDefault="00B27C70" w:rsidP="00202CC7">
      <w:pPr>
        <w:pStyle w:val="notebasde"/>
        <w:tabs>
          <w:tab w:val="left" w:pos="709"/>
        </w:tabs>
        <w:ind w:left="709" w:hanging="709"/>
        <w:jc w:val="left"/>
      </w:pPr>
      <w:r w:rsidRPr="00126E04">
        <w:rPr>
          <w:rStyle w:val="Appelnotedebasdep"/>
        </w:rPr>
        <w:footnoteRef/>
      </w:r>
      <w:r w:rsidRPr="00126E04">
        <w:t xml:space="preserve"> </w:t>
      </w:r>
      <w:r w:rsidRPr="00126E04">
        <w:tab/>
        <w:t>Voir</w:t>
      </w:r>
      <w:r w:rsidR="00F254A2" w:rsidRPr="00126E04">
        <w:t> </w:t>
      </w:r>
      <w:r w:rsidRPr="00126E04">
        <w:t xml:space="preserve">: </w:t>
      </w:r>
      <w:r w:rsidRPr="00126E04">
        <w:rPr>
          <w:smallCaps/>
        </w:rPr>
        <w:t>Commission des droits de la personne et des droits de la jeunesse</w:t>
      </w:r>
      <w:r w:rsidRPr="00126E04">
        <w:t xml:space="preserve">, </w:t>
      </w:r>
      <w:proofErr w:type="spellStart"/>
      <w:r w:rsidR="00AE03E2" w:rsidRPr="00126E04">
        <w:t>préc</w:t>
      </w:r>
      <w:proofErr w:type="spellEnd"/>
      <w:r w:rsidR="00AE03E2" w:rsidRPr="00126E04">
        <w:t xml:space="preserve">., note </w:t>
      </w:r>
      <w:r w:rsidR="00AE03E2" w:rsidRPr="00126E04">
        <w:fldChar w:fldCharType="begin"/>
      </w:r>
      <w:r w:rsidR="00AE03E2" w:rsidRPr="00126E04">
        <w:instrText xml:space="preserve"> NOTEREF _Ref144801800 \h </w:instrText>
      </w:r>
      <w:r w:rsidR="00AD6FFC" w:rsidRPr="00126E04">
        <w:instrText xml:space="preserve"> \* MERGEFORMAT </w:instrText>
      </w:r>
      <w:r w:rsidR="00AE03E2" w:rsidRPr="00126E04">
        <w:fldChar w:fldCharType="separate"/>
      </w:r>
      <w:r w:rsidR="008A75EF">
        <w:t>32</w:t>
      </w:r>
      <w:r w:rsidR="00AE03E2" w:rsidRPr="00126E04">
        <w:fldChar w:fldCharType="end"/>
      </w:r>
      <w:r w:rsidRPr="00126E04">
        <w:t>, citant</w:t>
      </w:r>
      <w:r w:rsidR="00F254A2" w:rsidRPr="00126E04">
        <w:t> </w:t>
      </w:r>
      <w:r w:rsidR="00526C4B" w:rsidRPr="00126E04">
        <w:t>«</w:t>
      </w:r>
      <w:r w:rsidRPr="00126E04">
        <w:rPr>
          <w:i/>
          <w:iCs/>
        </w:rPr>
        <w:t xml:space="preserve"> </w:t>
      </w:r>
      <w:r w:rsidRPr="00126E04">
        <w:t>La Commission a souligné que certaines communautés autochtones étaient plus touchées que le reste de la population québécoise par les problèmes soulevés. Voir par exemple</w:t>
      </w:r>
      <w:r w:rsidR="00F254A2" w:rsidRPr="00126E04">
        <w:t> </w:t>
      </w:r>
      <w:r w:rsidRPr="00126E04">
        <w:t>: C</w:t>
      </w:r>
      <w:r w:rsidRPr="00126E04">
        <w:rPr>
          <w:smallCaps/>
        </w:rPr>
        <w:t>ommission des droits de la personne et des droits de la jeunesse</w:t>
      </w:r>
      <w:r w:rsidRPr="00126E04">
        <w:t xml:space="preserve">, </w:t>
      </w:r>
      <w:r w:rsidRPr="00126E04">
        <w:rPr>
          <w:i/>
          <w:iCs/>
        </w:rPr>
        <w:t>Enquête systémique sur les services dispensés aux enfants en famille d’accueil de la région de la Mauricie et du Centre-du-Québec pour la période du 1</w:t>
      </w:r>
      <w:r w:rsidRPr="00126E04">
        <w:rPr>
          <w:i/>
          <w:iCs/>
          <w:vertAlign w:val="superscript"/>
        </w:rPr>
        <w:t>er</w:t>
      </w:r>
      <w:r w:rsidRPr="00126E04">
        <w:rPr>
          <w:i/>
          <w:iCs/>
        </w:rPr>
        <w:t> janvier 2013 au 31 décembre 2016</w:t>
      </w:r>
      <w:r w:rsidRPr="00126E04">
        <w:t>, 2019 ; C</w:t>
      </w:r>
      <w:r w:rsidRPr="00126E04">
        <w:rPr>
          <w:smallCaps/>
        </w:rPr>
        <w:t xml:space="preserve">ommission des droits de la personne et des droits de la jeunesse, </w:t>
      </w:r>
      <w:r w:rsidRPr="00126E04">
        <w:rPr>
          <w:i/>
        </w:rPr>
        <w:t>Enquête sur la situation des enfants Inuit hébergés dans des centres de réadaptation du CIUSSS de l’</w:t>
      </w:r>
      <w:proofErr w:type="spellStart"/>
      <w:r w:rsidRPr="00126E04">
        <w:rPr>
          <w:i/>
        </w:rPr>
        <w:t>Ouest-de-l’Île</w:t>
      </w:r>
      <w:proofErr w:type="spellEnd"/>
      <w:r w:rsidRPr="00126E04">
        <w:rPr>
          <w:i/>
        </w:rPr>
        <w:t xml:space="preserve"> de Montréal et du Centre de santé </w:t>
      </w:r>
      <w:proofErr w:type="spellStart"/>
      <w:r w:rsidRPr="00126E04">
        <w:rPr>
          <w:i/>
        </w:rPr>
        <w:t>Tulattavik</w:t>
      </w:r>
      <w:proofErr w:type="spellEnd"/>
      <w:r w:rsidRPr="00126E04">
        <w:rPr>
          <w:i/>
        </w:rPr>
        <w:t xml:space="preserve"> de l’Ungava</w:t>
      </w:r>
      <w:r w:rsidRPr="00126E04">
        <w:t>, 2021.</w:t>
      </w:r>
    </w:p>
  </w:footnote>
  <w:footnote w:id="110">
    <w:p w14:paraId="115B23E7" w14:textId="0591BA55" w:rsidR="00B27C70" w:rsidRPr="00126E04" w:rsidRDefault="00B27C70" w:rsidP="00202CC7">
      <w:pPr>
        <w:pStyle w:val="notebasde"/>
        <w:tabs>
          <w:tab w:val="left" w:pos="709"/>
        </w:tabs>
        <w:ind w:left="709" w:hanging="709"/>
        <w:jc w:val="left"/>
      </w:pPr>
      <w:r w:rsidRPr="00126E04">
        <w:rPr>
          <w:rStyle w:val="Appelnotedebasdep"/>
        </w:rPr>
        <w:footnoteRef/>
      </w:r>
      <w:r w:rsidRPr="00126E04">
        <w:t xml:space="preserve"> </w:t>
      </w:r>
      <w:r w:rsidRPr="00126E04">
        <w:tab/>
        <w:t>Cette surreprésentation a été décriée dans le rapport de la Commission Viens tant au niveau des signalements que de la prise en charge,</w:t>
      </w:r>
      <w:r w:rsidRPr="00126E04">
        <w:rPr>
          <w:smallCaps/>
        </w:rPr>
        <w:t xml:space="preserve"> </w:t>
      </w:r>
      <w:r w:rsidRPr="00126E04">
        <w:t>p. 473</w:t>
      </w:r>
      <w:r w:rsidR="005045E4">
        <w:t xml:space="preserve"> à </w:t>
      </w:r>
      <w:r w:rsidRPr="00126E04">
        <w:t>477.</w:t>
      </w:r>
    </w:p>
  </w:footnote>
  <w:footnote w:id="111">
    <w:p w14:paraId="707D1D5F" w14:textId="33AA301E" w:rsidR="00B27C70" w:rsidRPr="00126E04" w:rsidRDefault="00B27C70"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des droits de la personne et des droits de la jeunesse</w:t>
      </w:r>
      <w:r w:rsidRPr="00126E04">
        <w:t xml:space="preserve">, </w:t>
      </w:r>
      <w:proofErr w:type="spellStart"/>
      <w:r w:rsidR="003B6F96" w:rsidRPr="00126E04">
        <w:t>préc</w:t>
      </w:r>
      <w:proofErr w:type="spellEnd"/>
      <w:r w:rsidR="003B6F96" w:rsidRPr="00126E04">
        <w:t xml:space="preserve">., note </w:t>
      </w:r>
      <w:r w:rsidR="003B6F96" w:rsidRPr="00126E04">
        <w:fldChar w:fldCharType="begin"/>
      </w:r>
      <w:r w:rsidR="003B6F96" w:rsidRPr="00126E04">
        <w:instrText xml:space="preserve"> NOTEREF _Ref144470341 \h  \* MERGEFORMAT </w:instrText>
      </w:r>
      <w:r w:rsidR="003B6F96" w:rsidRPr="00126E04">
        <w:fldChar w:fldCharType="separate"/>
      </w:r>
      <w:r w:rsidR="008A75EF">
        <w:t>34</w:t>
      </w:r>
      <w:r w:rsidR="003B6F96" w:rsidRPr="00126E04">
        <w:fldChar w:fldCharType="end"/>
      </w:r>
      <w:r w:rsidRPr="00126E04">
        <w:t>, p. 39.</w:t>
      </w:r>
    </w:p>
  </w:footnote>
  <w:footnote w:id="112">
    <w:p w14:paraId="0ADCB828" w14:textId="6B467167" w:rsidR="00B27C70" w:rsidRPr="00126E04" w:rsidRDefault="00B27C70"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C51A64" w:rsidRPr="00126E04">
        <w:rPr>
          <w:i/>
        </w:rPr>
        <w:t>Id</w:t>
      </w:r>
      <w:r w:rsidR="00C51A64" w:rsidRPr="00126E04">
        <w:t>.</w:t>
      </w:r>
    </w:p>
  </w:footnote>
  <w:footnote w:id="113">
    <w:p w14:paraId="509186B6" w14:textId="77777777" w:rsidR="00B27C70" w:rsidRPr="00126E04" w:rsidRDefault="00B27C70"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rPr>
        <w:t>Id</w:t>
      </w:r>
      <w:r w:rsidRPr="00126E04">
        <w:t xml:space="preserve">. </w:t>
      </w:r>
    </w:p>
  </w:footnote>
  <w:footnote w:id="114">
    <w:p w14:paraId="38260D27" w14:textId="6B739E0E" w:rsidR="0015475F" w:rsidRPr="004D2054" w:rsidRDefault="0015475F" w:rsidP="0015475F">
      <w:pPr>
        <w:pStyle w:val="Notedebasdepage"/>
      </w:pPr>
      <w:r w:rsidRPr="004B1A29">
        <w:rPr>
          <w:rStyle w:val="Appelnotedebasdep"/>
          <w:sz w:val="18"/>
          <w:szCs w:val="20"/>
        </w:rPr>
        <w:footnoteRef/>
      </w:r>
      <w:r w:rsidRPr="004B1A29">
        <w:rPr>
          <w:sz w:val="18"/>
          <w:szCs w:val="20"/>
        </w:rPr>
        <w:t xml:space="preserve"> </w:t>
      </w:r>
      <w:r w:rsidRPr="004B1A29">
        <w:rPr>
          <w:sz w:val="18"/>
          <w:szCs w:val="20"/>
        </w:rPr>
        <w:tab/>
      </w:r>
      <w:proofErr w:type="spellStart"/>
      <w:r w:rsidR="00F976A8">
        <w:rPr>
          <w:sz w:val="18"/>
          <w:szCs w:val="20"/>
        </w:rPr>
        <w:t>L</w:t>
      </w:r>
      <w:r w:rsidR="00C91EA5">
        <w:rPr>
          <w:sz w:val="18"/>
          <w:szCs w:val="20"/>
        </w:rPr>
        <w:t>.p.j</w:t>
      </w:r>
      <w:proofErr w:type="spellEnd"/>
      <w:r w:rsidR="00C91EA5">
        <w:rPr>
          <w:sz w:val="18"/>
          <w:szCs w:val="20"/>
        </w:rPr>
        <w:t>.</w:t>
      </w:r>
      <w:r w:rsidR="00F976A8">
        <w:rPr>
          <w:sz w:val="18"/>
          <w:szCs w:val="20"/>
        </w:rPr>
        <w:t>,</w:t>
      </w:r>
      <w:r w:rsidRPr="004B1A29">
        <w:rPr>
          <w:sz w:val="18"/>
          <w:szCs w:val="20"/>
        </w:rPr>
        <w:t xml:space="preserve"> préambule.</w:t>
      </w:r>
    </w:p>
  </w:footnote>
  <w:footnote w:id="115">
    <w:p w14:paraId="4BB4416D" w14:textId="44BC3A24" w:rsidR="005411CB" w:rsidRPr="00126E04" w:rsidRDefault="005411CB" w:rsidP="00202CC7">
      <w:pPr>
        <w:pStyle w:val="notebasde"/>
        <w:tabs>
          <w:tab w:val="left" w:pos="709"/>
        </w:tabs>
        <w:ind w:left="709" w:hanging="709"/>
        <w:jc w:val="left"/>
        <w:rPr>
          <w:lang w:val="fr-FR"/>
        </w:rPr>
      </w:pPr>
      <w:r w:rsidRPr="00126E04">
        <w:rPr>
          <w:rStyle w:val="Appelnotedebasdep"/>
        </w:rPr>
        <w:footnoteRef/>
      </w:r>
      <w:r w:rsidRPr="00126E04">
        <w:t xml:space="preserve"> </w:t>
      </w:r>
      <w:r w:rsidR="000A0F52" w:rsidRPr="00126E04">
        <w:tab/>
      </w:r>
      <w:r w:rsidR="008975B3" w:rsidRPr="00126E04">
        <w:t xml:space="preserve">Commission Viens, p. </w:t>
      </w:r>
      <w:r w:rsidR="00D7729B" w:rsidRPr="00126E04">
        <w:t>400</w:t>
      </w:r>
      <w:r w:rsidR="00ED58F5" w:rsidRPr="00126E04">
        <w:t xml:space="preserve"> et </w:t>
      </w:r>
      <w:r w:rsidR="00D7729B" w:rsidRPr="00126E04">
        <w:t>401.</w:t>
      </w:r>
    </w:p>
  </w:footnote>
  <w:footnote w:id="116">
    <w:p w14:paraId="7D77BF3F" w14:textId="180BB924" w:rsidR="000A0F52" w:rsidRPr="00126E04" w:rsidRDefault="000A0F52" w:rsidP="00202CC7">
      <w:pPr>
        <w:pStyle w:val="notebasde"/>
        <w:tabs>
          <w:tab w:val="left" w:pos="709"/>
        </w:tabs>
        <w:ind w:left="709" w:hanging="709"/>
        <w:jc w:val="left"/>
        <w:rPr>
          <w:lang w:val="fr-FR"/>
        </w:rPr>
      </w:pPr>
      <w:r w:rsidRPr="00126E04">
        <w:rPr>
          <w:rStyle w:val="Appelnotedebasdep"/>
        </w:rPr>
        <w:footnoteRef/>
      </w:r>
      <w:r w:rsidRPr="00126E04">
        <w:t xml:space="preserve"> </w:t>
      </w:r>
      <w:r w:rsidR="00D7729B" w:rsidRPr="00126E04">
        <w:tab/>
        <w:t xml:space="preserve">Commission Viens, p. </w:t>
      </w:r>
      <w:r w:rsidR="00B37451" w:rsidRPr="00126E04">
        <w:t>403.</w:t>
      </w:r>
    </w:p>
  </w:footnote>
  <w:footnote w:id="117">
    <w:p w14:paraId="6B74F8EE" w14:textId="6EFCB61F" w:rsidR="001E3DB6" w:rsidRPr="00126E04" w:rsidRDefault="001E3DB6" w:rsidP="00202CC7">
      <w:pPr>
        <w:pStyle w:val="notebasde"/>
        <w:tabs>
          <w:tab w:val="left" w:pos="709"/>
        </w:tabs>
        <w:ind w:left="709" w:hanging="709"/>
        <w:jc w:val="left"/>
      </w:pPr>
      <w:r w:rsidRPr="00126E04">
        <w:rPr>
          <w:rStyle w:val="Appelnotedebasdep"/>
        </w:rPr>
        <w:footnoteRef/>
      </w:r>
      <w:r w:rsidRPr="00126E04">
        <w:t xml:space="preserve"> </w:t>
      </w:r>
      <w:r w:rsidR="00D72DBF" w:rsidRPr="00126E04">
        <w:tab/>
      </w:r>
      <w:r w:rsidR="008C257A" w:rsidRPr="00A3697B">
        <w:rPr>
          <w:i/>
          <w:iCs/>
        </w:rPr>
        <w:t>Loi visant à lutter contre la maltraitance envers les aînés et toute autre personne majeure en situation de vulnérabilité</w:t>
      </w:r>
      <w:r w:rsidR="008C257A" w:rsidRPr="00126E04">
        <w:t xml:space="preserve">, RLRQ, c. </w:t>
      </w:r>
      <w:r w:rsidR="00B0084D" w:rsidRPr="00126E04">
        <w:t xml:space="preserve">I-6.3, art. </w:t>
      </w:r>
      <w:r w:rsidR="00926374" w:rsidRPr="00126E04">
        <w:t>2</w:t>
      </w:r>
      <w:r w:rsidR="00164C74" w:rsidRPr="00126E04">
        <w:t>.</w:t>
      </w:r>
    </w:p>
  </w:footnote>
  <w:footnote w:id="118">
    <w:p w14:paraId="017EA73E" w14:textId="2618BB6E" w:rsidR="001E3DB6" w:rsidRPr="00126E04" w:rsidRDefault="001E3DB6" w:rsidP="00202CC7">
      <w:pPr>
        <w:pStyle w:val="notebasde"/>
        <w:tabs>
          <w:tab w:val="left" w:pos="709"/>
        </w:tabs>
        <w:ind w:left="709" w:hanging="709"/>
        <w:jc w:val="left"/>
      </w:pPr>
      <w:r w:rsidRPr="00126E04">
        <w:rPr>
          <w:rStyle w:val="Appelnotedebasdep"/>
        </w:rPr>
        <w:footnoteRef/>
      </w:r>
      <w:r w:rsidRPr="00126E04">
        <w:t xml:space="preserve"> </w:t>
      </w:r>
      <w:r w:rsidR="00D72DBF" w:rsidRPr="00126E04">
        <w:tab/>
      </w:r>
      <w:r w:rsidR="00993B97" w:rsidRPr="00126E04">
        <w:t>Charte, art. 48.</w:t>
      </w:r>
    </w:p>
  </w:footnote>
  <w:footnote w:id="119">
    <w:p w14:paraId="72E2B4D6" w14:textId="0924CD5A" w:rsidR="001E3DB6" w:rsidRPr="00126E04" w:rsidRDefault="001E3DB6" w:rsidP="00202CC7">
      <w:pPr>
        <w:pStyle w:val="notebasde"/>
        <w:tabs>
          <w:tab w:val="left" w:pos="709"/>
        </w:tabs>
        <w:ind w:left="709" w:hanging="709"/>
        <w:jc w:val="left"/>
      </w:pPr>
      <w:r w:rsidRPr="00126E04">
        <w:rPr>
          <w:rStyle w:val="Appelnotedebasdep"/>
        </w:rPr>
        <w:footnoteRef/>
      </w:r>
      <w:r w:rsidRPr="00126E04">
        <w:t xml:space="preserve"> </w:t>
      </w:r>
      <w:r w:rsidR="00D72DBF" w:rsidRPr="00126E04">
        <w:tab/>
      </w:r>
      <w:r w:rsidR="00B27DD5" w:rsidRPr="00126E04">
        <w:rPr>
          <w:smallCaps/>
          <w:lang w:val="fr-FR"/>
        </w:rPr>
        <w:t>Gouvernement du Québec</w:t>
      </w:r>
      <w:r w:rsidR="00B27DD5" w:rsidRPr="00126E04">
        <w:rPr>
          <w:lang w:val="fr-FR"/>
        </w:rPr>
        <w:t xml:space="preserve">, </w:t>
      </w:r>
      <w:r w:rsidR="00B27DD5" w:rsidRPr="00DE6D60">
        <w:rPr>
          <w:i/>
          <w:iCs/>
          <w:lang w:val="fr-FR"/>
        </w:rPr>
        <w:t>Plan d’action gouvernemental pour contrer la maltraitance envers les personnes aînées 2022-202</w:t>
      </w:r>
      <w:r w:rsidR="000F4563" w:rsidRPr="00DE6D60">
        <w:rPr>
          <w:i/>
          <w:iCs/>
          <w:lang w:val="fr-FR"/>
        </w:rPr>
        <w:t>7</w:t>
      </w:r>
      <w:r w:rsidR="00B27DD5" w:rsidRPr="00126E04">
        <w:rPr>
          <w:lang w:val="fr-FR"/>
        </w:rPr>
        <w:t>, 20</w:t>
      </w:r>
      <w:r w:rsidR="000F4563" w:rsidRPr="00126E04">
        <w:rPr>
          <w:lang w:val="fr-FR"/>
        </w:rPr>
        <w:t>22</w:t>
      </w:r>
      <w:r w:rsidR="00B27DD5" w:rsidRPr="00126E04">
        <w:rPr>
          <w:lang w:val="fr-FR"/>
        </w:rPr>
        <w:t xml:space="preserve">, p. </w:t>
      </w:r>
      <w:r w:rsidR="00844542" w:rsidRPr="00126E04">
        <w:rPr>
          <w:lang w:val="fr-FR"/>
        </w:rPr>
        <w:t>75</w:t>
      </w:r>
      <w:r w:rsidR="00880524" w:rsidRPr="00126E04">
        <w:rPr>
          <w:lang w:val="fr-FR"/>
        </w:rPr>
        <w:t>.</w:t>
      </w:r>
      <w:r w:rsidR="000A738B" w:rsidRPr="00126E04">
        <w:t xml:space="preserve"> </w:t>
      </w:r>
    </w:p>
  </w:footnote>
  <w:footnote w:id="120">
    <w:p w14:paraId="7E40623C" w14:textId="78190AC4" w:rsidR="001E3DB6" w:rsidRPr="00126E04" w:rsidRDefault="001E3DB6" w:rsidP="00202CC7">
      <w:pPr>
        <w:pStyle w:val="notebasde"/>
        <w:tabs>
          <w:tab w:val="left" w:pos="709"/>
        </w:tabs>
        <w:ind w:left="709" w:hanging="709"/>
        <w:jc w:val="left"/>
      </w:pPr>
      <w:r w:rsidRPr="00126E04">
        <w:rPr>
          <w:rStyle w:val="Appelnotedebasdep"/>
        </w:rPr>
        <w:footnoteRef/>
      </w:r>
      <w:r w:rsidRPr="00126E04">
        <w:t xml:space="preserve"> </w:t>
      </w:r>
      <w:r w:rsidR="00D72DBF" w:rsidRPr="00126E04">
        <w:tab/>
      </w:r>
      <w:r w:rsidR="0031698C" w:rsidRPr="00126E04">
        <w:rPr>
          <w:i/>
          <w:iCs/>
        </w:rPr>
        <w:t>Id.</w:t>
      </w:r>
      <w:r w:rsidR="0031698C" w:rsidRPr="00126E04">
        <w:t xml:space="preserve">, p. </w:t>
      </w:r>
      <w:r w:rsidR="004060C0" w:rsidRPr="00126E04">
        <w:t>76.</w:t>
      </w:r>
    </w:p>
  </w:footnote>
  <w:footnote w:id="121">
    <w:p w14:paraId="0705A424" w14:textId="56F4CF81" w:rsidR="001E3DB6" w:rsidRPr="00126E04" w:rsidRDefault="001E3DB6" w:rsidP="00202CC7">
      <w:pPr>
        <w:pStyle w:val="notebasde"/>
        <w:tabs>
          <w:tab w:val="left" w:pos="709"/>
        </w:tabs>
        <w:ind w:left="709" w:hanging="709"/>
        <w:jc w:val="left"/>
      </w:pPr>
      <w:r w:rsidRPr="00126E04">
        <w:rPr>
          <w:rStyle w:val="Appelnotedebasdep"/>
        </w:rPr>
        <w:footnoteRef/>
      </w:r>
      <w:r w:rsidRPr="00126E04">
        <w:t xml:space="preserve"> </w:t>
      </w:r>
      <w:r w:rsidR="00D72DBF" w:rsidRPr="00126E04">
        <w:tab/>
      </w:r>
      <w:r w:rsidR="00340558" w:rsidRPr="00126E04">
        <w:rPr>
          <w:smallCaps/>
        </w:rPr>
        <w:t>Commission des droits de la personne et des droits de la jeunesse</w:t>
      </w:r>
      <w:r w:rsidR="00340558" w:rsidRPr="00126E04">
        <w:t xml:space="preserve">, </w:t>
      </w:r>
      <w:r w:rsidR="008C309B" w:rsidRPr="00376F46">
        <w:rPr>
          <w:i/>
          <w:iCs/>
        </w:rPr>
        <w:t>Orientations en matière de protection contre l’exploitation de personnes âgées ou handicapées</w:t>
      </w:r>
      <w:r w:rsidR="008C309B" w:rsidRPr="00126E04">
        <w:t xml:space="preserve">, 2022, </w:t>
      </w:r>
      <w:r w:rsidR="00BA6880" w:rsidRPr="00126E04">
        <w:t>p. 5</w:t>
      </w:r>
      <w:r w:rsidR="00880524" w:rsidRPr="00126E04">
        <w:t>.</w:t>
      </w:r>
    </w:p>
  </w:footnote>
  <w:footnote w:id="122">
    <w:p w14:paraId="3E349DD4" w14:textId="2CE8185B" w:rsidR="00E607CD" w:rsidRPr="00126E04" w:rsidRDefault="00E607CD"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7D466B" w:rsidRPr="00126E04">
        <w:t>Les service</w:t>
      </w:r>
      <w:r w:rsidR="00A301A7" w:rsidRPr="00126E04">
        <w:t>s</w:t>
      </w:r>
      <w:r w:rsidR="007D466B" w:rsidRPr="00126E04">
        <w:t xml:space="preserve"> de santé offerts dans certains établissements de détention</w:t>
      </w:r>
      <w:r w:rsidR="000A2BDF">
        <w:t xml:space="preserve"> </w:t>
      </w:r>
      <w:r w:rsidR="007D466B" w:rsidRPr="00126E04">
        <w:t xml:space="preserve">sont </w:t>
      </w:r>
      <w:r w:rsidR="003B4538" w:rsidRPr="00126E04">
        <w:t>de la responsabilité des établissement</w:t>
      </w:r>
      <w:r w:rsidR="00A301A7" w:rsidRPr="00126E04">
        <w:t>s</w:t>
      </w:r>
      <w:r w:rsidR="003B4538" w:rsidRPr="00126E04">
        <w:t xml:space="preserve"> de détention et non des établissements du RSSS. </w:t>
      </w:r>
      <w:r w:rsidR="00A301A7" w:rsidRPr="00126E04">
        <w:t xml:space="preserve">Qui plus est, la population autochtone est surreprésentée en milieu carcéral et </w:t>
      </w:r>
      <w:r w:rsidR="00D7595C" w:rsidRPr="00126E04">
        <w:t xml:space="preserve">la Commission Viens a attesté de la présence de discriminations directes et indirectes à l’endroit des personnes autochtones dans les établissements de détention. </w:t>
      </w:r>
      <w:r w:rsidR="00EB695B" w:rsidRPr="00126E04">
        <w:t>Commission Viens, p.</w:t>
      </w:r>
      <w:r w:rsidR="00CC50EA" w:rsidRPr="00126E04">
        <w:t> </w:t>
      </w:r>
      <w:r w:rsidR="00EB695B" w:rsidRPr="00126E04">
        <w:t>358.</w:t>
      </w:r>
    </w:p>
  </w:footnote>
  <w:footnote w:id="123">
    <w:p w14:paraId="7E9BE366" w14:textId="77777777" w:rsidR="006436BC" w:rsidRDefault="006436BC" w:rsidP="00250412">
      <w:pPr>
        <w:pStyle w:val="NDBP"/>
      </w:pPr>
      <w:r>
        <w:rPr>
          <w:rStyle w:val="Appelnotedebasdep"/>
        </w:rPr>
        <w:footnoteRef/>
      </w:r>
      <w:r>
        <w:t xml:space="preserve"> </w:t>
      </w:r>
      <w:r>
        <w:tab/>
        <w:t xml:space="preserve">Selon l’ENFFADA, cet acronyme désigne </w:t>
      </w:r>
      <w:r w:rsidRPr="00903E76">
        <w:t>les personnes bispirituelles, lesbiennes, gaies, bisexuelles, transgenres, queers, en questionnement, intersexes et asexuelles</w:t>
      </w:r>
      <w:r>
        <w:t>.</w:t>
      </w:r>
    </w:p>
  </w:footnote>
  <w:footnote w:id="124">
    <w:p w14:paraId="3D6FB3AB" w14:textId="6372C9A4" w:rsidR="006436BC" w:rsidRPr="00784230" w:rsidRDefault="006436BC" w:rsidP="00250412">
      <w:pPr>
        <w:pStyle w:val="NDBP"/>
      </w:pPr>
      <w:r w:rsidRPr="00A8472C">
        <w:rPr>
          <w:rStyle w:val="Appelnotedebasdep"/>
        </w:rPr>
        <w:footnoteRef/>
      </w:r>
      <w:r w:rsidRPr="00A8472C">
        <w:t xml:space="preserve"> </w:t>
      </w:r>
      <w:r w:rsidRPr="00A8472C">
        <w:tab/>
        <w:t>V</w:t>
      </w:r>
      <w:r w:rsidRPr="004D2054">
        <w:t xml:space="preserve">oir </w:t>
      </w:r>
      <w:r w:rsidRPr="008A3AB7">
        <w:rPr>
          <w:smallCaps/>
        </w:rPr>
        <w:t>Centre de collaboration nation le de la santé autochtone</w:t>
      </w:r>
      <w:r>
        <w:t xml:space="preserve">, </w:t>
      </w:r>
      <w:r>
        <w:rPr>
          <w:i/>
          <w:iCs/>
        </w:rPr>
        <w:t>Une introduction à la santé des personnes bispirituelles : questions historiques, contemporaines et émergentes</w:t>
      </w:r>
      <w:r>
        <w:t xml:space="preserve">, Sarah </w:t>
      </w:r>
      <w:r w:rsidRPr="004B1A29">
        <w:rPr>
          <w:smallCaps/>
        </w:rPr>
        <w:t>Hunt</w:t>
      </w:r>
      <w:r>
        <w:t>, 2016</w:t>
      </w:r>
      <w:r w:rsidR="001C4421">
        <w:t> </w:t>
      </w:r>
      <w:r w:rsidRPr="004D2054">
        <w:t xml:space="preserve">; Dominique </w:t>
      </w:r>
      <w:r w:rsidRPr="004D2054">
        <w:rPr>
          <w:smallCaps/>
        </w:rPr>
        <w:t>Comeau</w:t>
      </w:r>
      <w:r w:rsidRPr="004D2054">
        <w:t xml:space="preserve">, Claire </w:t>
      </w:r>
      <w:r w:rsidRPr="004D2054">
        <w:rPr>
          <w:smallCaps/>
        </w:rPr>
        <w:t xml:space="preserve">Johnson </w:t>
      </w:r>
      <w:r w:rsidRPr="004D2054">
        <w:t xml:space="preserve">et Nadia </w:t>
      </w:r>
      <w:proofErr w:type="spellStart"/>
      <w:r w:rsidRPr="004D2054">
        <w:rPr>
          <w:smallCaps/>
        </w:rPr>
        <w:t>Bouhamdani</w:t>
      </w:r>
      <w:proofErr w:type="spellEnd"/>
      <w:r w:rsidRPr="004D2054">
        <w:t>, «</w:t>
      </w:r>
      <w:r w:rsidR="001C4421">
        <w:t> </w:t>
      </w:r>
      <w:proofErr w:type="spellStart"/>
      <w:r w:rsidRPr="004D2054">
        <w:t>Review</w:t>
      </w:r>
      <w:proofErr w:type="spellEnd"/>
      <w:r w:rsidRPr="004D2054">
        <w:t xml:space="preserve"> of </w:t>
      </w:r>
      <w:proofErr w:type="spellStart"/>
      <w:r w:rsidRPr="004D2054">
        <w:t>current</w:t>
      </w:r>
      <w:proofErr w:type="spellEnd"/>
      <w:r w:rsidRPr="004D2054">
        <w:t xml:space="preserve"> 2SLGBTQIA+ </w:t>
      </w:r>
      <w:proofErr w:type="spellStart"/>
      <w:r w:rsidRPr="004D2054">
        <w:t>inequities</w:t>
      </w:r>
      <w:proofErr w:type="spellEnd"/>
      <w:r w:rsidRPr="004D2054">
        <w:t xml:space="preserve"> in the Canadian </w:t>
      </w:r>
      <w:proofErr w:type="spellStart"/>
      <w:r w:rsidRPr="004D2054">
        <w:t>health</w:t>
      </w:r>
      <w:proofErr w:type="spellEnd"/>
      <w:r w:rsidRPr="004B1A29">
        <w:t xml:space="preserve"> care system</w:t>
      </w:r>
      <w:r w:rsidR="001C4421">
        <w:t> </w:t>
      </w:r>
      <w:r w:rsidRPr="00A8472C">
        <w:t>», (2023).</w:t>
      </w:r>
      <w:r w:rsidRPr="004B1A29">
        <w:t xml:space="preserve"> </w:t>
      </w:r>
      <w:r w:rsidRPr="008756B3">
        <w:rPr>
          <w:i/>
          <w:iCs/>
          <w:lang w:val="en-CA"/>
        </w:rPr>
        <w:t>Frontiers in Public Health</w:t>
      </w:r>
      <w:r w:rsidRPr="008756B3">
        <w:rPr>
          <w:lang w:val="en-CA"/>
        </w:rPr>
        <w:t xml:space="preserve"> </w:t>
      </w:r>
      <w:proofErr w:type="spellStart"/>
      <w:r w:rsidRPr="008756B3">
        <w:rPr>
          <w:lang w:val="en-CA"/>
        </w:rPr>
        <w:t>doi</w:t>
      </w:r>
      <w:proofErr w:type="spellEnd"/>
      <w:r w:rsidRPr="008756B3">
        <w:rPr>
          <w:lang w:val="en-CA"/>
        </w:rPr>
        <w:t xml:space="preserve">: 10.3389/fpubh.2023.1183284 4; Miranda </w:t>
      </w:r>
      <w:r w:rsidRPr="008756B3">
        <w:rPr>
          <w:smallCaps/>
          <w:lang w:val="en-CA"/>
        </w:rPr>
        <w:t xml:space="preserve">Schreiber </w:t>
      </w:r>
      <w:r w:rsidRPr="008756B3">
        <w:rPr>
          <w:lang w:val="en-CA"/>
        </w:rPr>
        <w:t>et al.,</w:t>
      </w:r>
      <w:r w:rsidRPr="008756B3">
        <w:rPr>
          <w:smallCaps/>
          <w:lang w:val="en-CA"/>
        </w:rPr>
        <w:t xml:space="preserve"> «</w:t>
      </w:r>
      <w:r w:rsidR="001C4421">
        <w:rPr>
          <w:smallCaps/>
          <w:lang w:val="en-CA"/>
        </w:rPr>
        <w:t> </w:t>
      </w:r>
      <w:r w:rsidRPr="008756B3">
        <w:rPr>
          <w:lang w:val="en-CA"/>
        </w:rPr>
        <w:t>The case for a Canadian standard for 2SLGBTQUIA+ medical education</w:t>
      </w:r>
      <w:r w:rsidR="001C4421">
        <w:rPr>
          <w:lang w:val="en-CA"/>
        </w:rPr>
        <w:t> </w:t>
      </w:r>
      <w:r w:rsidRPr="008756B3">
        <w:rPr>
          <w:lang w:val="en-CA"/>
        </w:rPr>
        <w:t xml:space="preserve">», (2021). </w:t>
      </w:r>
      <w:r w:rsidRPr="00784230">
        <w:t>193</w:t>
      </w:r>
      <w:r w:rsidR="00A64E2D">
        <w:t xml:space="preserve"> </w:t>
      </w:r>
      <w:r w:rsidRPr="00784230">
        <w:t xml:space="preserve">(16) </w:t>
      </w:r>
      <w:r w:rsidRPr="00784230">
        <w:rPr>
          <w:i/>
        </w:rPr>
        <w:t xml:space="preserve">Canadian </w:t>
      </w:r>
      <w:proofErr w:type="spellStart"/>
      <w:r w:rsidRPr="00784230">
        <w:rPr>
          <w:i/>
        </w:rPr>
        <w:t>Medical</w:t>
      </w:r>
      <w:proofErr w:type="spellEnd"/>
      <w:r w:rsidRPr="00784230">
        <w:rPr>
          <w:i/>
        </w:rPr>
        <w:t xml:space="preserve"> Association Journal</w:t>
      </w:r>
      <w:r w:rsidR="00A64E2D">
        <w:t> </w:t>
      </w:r>
      <w:r w:rsidRPr="00784230">
        <w:t>E562.</w:t>
      </w:r>
    </w:p>
  </w:footnote>
  <w:footnote w:id="125">
    <w:p w14:paraId="79E17F96" w14:textId="04E4CD35" w:rsidR="00B100C3" w:rsidRPr="00126E04" w:rsidRDefault="00B100C3" w:rsidP="00202CC7">
      <w:pPr>
        <w:pStyle w:val="notebasde"/>
        <w:tabs>
          <w:tab w:val="left" w:pos="709"/>
        </w:tabs>
        <w:ind w:left="709" w:hanging="709"/>
        <w:jc w:val="left"/>
      </w:pPr>
      <w:r w:rsidRPr="00126E04">
        <w:rPr>
          <w:rStyle w:val="Appelnotedebasdep"/>
        </w:rPr>
        <w:footnoteRef/>
      </w:r>
      <w:r w:rsidRPr="00126E04">
        <w:t xml:space="preserve"> </w:t>
      </w:r>
      <w:r w:rsidRPr="00126E04">
        <w:tab/>
        <w:t>Projet d</w:t>
      </w:r>
      <w:r w:rsidR="00674463" w:rsidRPr="00126E04">
        <w:t xml:space="preserve">e </w:t>
      </w:r>
      <w:r w:rsidRPr="00126E04">
        <w:t>loi, art. 1 al. 2</w:t>
      </w:r>
      <w:r w:rsidR="00275E93" w:rsidRPr="00126E04">
        <w:t>.</w:t>
      </w:r>
      <w:r w:rsidR="006B1178" w:rsidRPr="00126E04">
        <w:t>, par. 4</w:t>
      </w:r>
      <w:r w:rsidR="00674463" w:rsidRPr="00126E04">
        <w:t xml:space="preserve"> a).</w:t>
      </w:r>
    </w:p>
  </w:footnote>
  <w:footnote w:id="126">
    <w:p w14:paraId="33C79F90" w14:textId="0A8D0137" w:rsidR="009A281A" w:rsidRPr="00126E04" w:rsidRDefault="009A281A" w:rsidP="00202CC7">
      <w:pPr>
        <w:pStyle w:val="notebasde"/>
        <w:tabs>
          <w:tab w:val="left" w:pos="709"/>
        </w:tabs>
        <w:ind w:left="709" w:hanging="709"/>
        <w:jc w:val="left"/>
        <w:rPr>
          <w:lang w:val="en-CA"/>
        </w:rPr>
      </w:pPr>
      <w:r w:rsidRPr="00126E04">
        <w:rPr>
          <w:rStyle w:val="Appelnotedebasdep"/>
        </w:rPr>
        <w:footnoteRef/>
      </w:r>
      <w:r w:rsidRPr="000C5FD8">
        <w:t xml:space="preserve"> </w:t>
      </w:r>
      <w:r w:rsidRPr="000C5FD8">
        <w:tab/>
        <w:t xml:space="preserve">Voir notamment Mary Ellen </w:t>
      </w:r>
      <w:proofErr w:type="spellStart"/>
      <w:r w:rsidRPr="000C5FD8">
        <w:rPr>
          <w:smallCaps/>
        </w:rPr>
        <w:t>Turpel</w:t>
      </w:r>
      <w:proofErr w:type="spellEnd"/>
      <w:r w:rsidRPr="000C5FD8">
        <w:rPr>
          <w:smallCaps/>
        </w:rPr>
        <w:t>-Lafond</w:t>
      </w:r>
      <w:r w:rsidR="00B2751C" w:rsidRPr="000C5FD8">
        <w:rPr>
          <w:smallCaps/>
        </w:rPr>
        <w:t xml:space="preserve"> et </w:t>
      </w:r>
      <w:r w:rsidR="00B2751C" w:rsidRPr="000C5FD8">
        <w:t>Harmony</w:t>
      </w:r>
      <w:r w:rsidR="00B2751C" w:rsidRPr="000C5FD8">
        <w:rPr>
          <w:smallCaps/>
        </w:rPr>
        <w:t xml:space="preserve"> </w:t>
      </w:r>
      <w:bookmarkStart w:id="53" w:name="_Hlk145260607"/>
      <w:r w:rsidR="00B2751C" w:rsidRPr="000C5FD8">
        <w:rPr>
          <w:smallCaps/>
        </w:rPr>
        <w:t>Johnson</w:t>
      </w:r>
      <w:bookmarkEnd w:id="53"/>
      <w:r w:rsidRPr="000C5FD8">
        <w:t xml:space="preserve">, </w:t>
      </w:r>
      <w:r w:rsidR="000C5FD8" w:rsidRPr="000C5FD8">
        <w:t>«</w:t>
      </w:r>
      <w:r w:rsidR="001E0964">
        <w:t> </w:t>
      </w:r>
      <w:r w:rsidRPr="000C5FD8">
        <w:t xml:space="preserve">In Plain </w:t>
      </w:r>
      <w:proofErr w:type="spellStart"/>
      <w:r w:rsidRPr="000C5FD8">
        <w:t>Sight</w:t>
      </w:r>
      <w:proofErr w:type="spellEnd"/>
      <w:r w:rsidRPr="000C5FD8">
        <w:t xml:space="preserve">. </w:t>
      </w:r>
      <w:proofErr w:type="spellStart"/>
      <w:r w:rsidRPr="000C5FD8">
        <w:t>Addressing</w:t>
      </w:r>
      <w:proofErr w:type="spellEnd"/>
      <w:r w:rsidRPr="000C5FD8">
        <w:t xml:space="preserve"> </w:t>
      </w:r>
      <w:proofErr w:type="spellStart"/>
      <w:r w:rsidRPr="000C5FD8">
        <w:t>Indigenous-specific</w:t>
      </w:r>
      <w:proofErr w:type="spellEnd"/>
      <w:r w:rsidRPr="000C5FD8">
        <w:t xml:space="preserve"> </w:t>
      </w:r>
      <w:proofErr w:type="spellStart"/>
      <w:r w:rsidRPr="000C5FD8">
        <w:t>Racism</w:t>
      </w:r>
      <w:proofErr w:type="spellEnd"/>
      <w:r w:rsidRPr="000C5FD8">
        <w:t xml:space="preserve"> and Discrimination in B.C. </w:t>
      </w:r>
      <w:proofErr w:type="spellStart"/>
      <w:r w:rsidRPr="000C5FD8">
        <w:t>Health</w:t>
      </w:r>
      <w:proofErr w:type="spellEnd"/>
      <w:r w:rsidRPr="000C5FD8">
        <w:t xml:space="preserve"> </w:t>
      </w:r>
      <w:proofErr w:type="gramStart"/>
      <w:r w:rsidRPr="000C5FD8">
        <w:t>Care</w:t>
      </w:r>
      <w:r w:rsidR="000C5FD8" w:rsidRPr="000C5FD8">
        <w:rPr>
          <w:i/>
          <w:iCs/>
        </w:rPr>
        <w:t>»</w:t>
      </w:r>
      <w:proofErr w:type="gramEnd"/>
      <w:r w:rsidRPr="000C5FD8">
        <w:t>,</w:t>
      </w:r>
      <w:r w:rsidR="00454CA6" w:rsidRPr="00454CA6">
        <w:t xml:space="preserve"> </w:t>
      </w:r>
      <w:r w:rsidR="00454CA6" w:rsidRPr="00454CA6">
        <w:rPr>
          <w:i/>
          <w:iCs/>
        </w:rPr>
        <w:t xml:space="preserve">The British </w:t>
      </w:r>
      <w:proofErr w:type="spellStart"/>
      <w:r w:rsidR="00454CA6" w:rsidRPr="00454CA6">
        <w:rPr>
          <w:i/>
          <w:iCs/>
        </w:rPr>
        <w:t>Columbian</w:t>
      </w:r>
      <w:proofErr w:type="spellEnd"/>
      <w:r w:rsidR="00454CA6" w:rsidRPr="00454CA6">
        <w:rPr>
          <w:i/>
          <w:iCs/>
        </w:rPr>
        <w:t xml:space="preserve"> </w:t>
      </w:r>
      <w:proofErr w:type="spellStart"/>
      <w:r w:rsidR="00454CA6" w:rsidRPr="00454CA6">
        <w:rPr>
          <w:i/>
          <w:iCs/>
        </w:rPr>
        <w:t>Quarterly</w:t>
      </w:r>
      <w:proofErr w:type="spellEnd"/>
      <w:r w:rsidR="00454CA6" w:rsidRPr="00454CA6">
        <w:t>,</w:t>
      </w:r>
      <w:r w:rsidRPr="000C5FD8">
        <w:t xml:space="preserve"> 2020, p. 33; </w:t>
      </w:r>
      <w:r w:rsidRPr="000C5FD8">
        <w:rPr>
          <w:smallCaps/>
        </w:rPr>
        <w:t>Régie régionale de la santé et des services sociaux du Nunavik</w:t>
      </w:r>
      <w:r w:rsidRPr="000C5FD8">
        <w:t xml:space="preserve">, </w:t>
      </w:r>
      <w:r w:rsidR="007005C0" w:rsidRPr="000C5FD8">
        <w:t xml:space="preserve">2021, </w:t>
      </w:r>
      <w:proofErr w:type="spellStart"/>
      <w:r w:rsidRPr="000C5FD8">
        <w:t>préc</w:t>
      </w:r>
      <w:proofErr w:type="spellEnd"/>
      <w:r w:rsidRPr="000C5FD8">
        <w:t>., note</w:t>
      </w:r>
      <w:r w:rsidR="009D4D99" w:rsidRPr="000C5FD8">
        <w:t xml:space="preserve"> </w:t>
      </w:r>
      <w:r w:rsidR="009D4D99" w:rsidRPr="00126E04">
        <w:fldChar w:fldCharType="begin"/>
      </w:r>
      <w:r w:rsidR="009D4D99" w:rsidRPr="000C5FD8">
        <w:instrText xml:space="preserve"> NOTEREF _Ref144801342 \h </w:instrText>
      </w:r>
      <w:r w:rsidR="00AD6FFC" w:rsidRPr="000C5FD8">
        <w:instrText xml:space="preserve"> \* MERGEFORMAT </w:instrText>
      </w:r>
      <w:r w:rsidR="009D4D99" w:rsidRPr="00126E04">
        <w:fldChar w:fldCharType="separate"/>
      </w:r>
      <w:r w:rsidR="008A75EF">
        <w:t>81</w:t>
      </w:r>
      <w:r w:rsidR="009D4D99" w:rsidRPr="00126E04">
        <w:fldChar w:fldCharType="end"/>
      </w:r>
      <w:r w:rsidRPr="000C5FD8">
        <w:t>, p. 13</w:t>
      </w:r>
      <w:r w:rsidR="001E0964">
        <w:t> </w:t>
      </w:r>
      <w:r w:rsidR="000708B8" w:rsidRPr="000C5FD8">
        <w:t xml:space="preserve">; </w:t>
      </w:r>
      <w:r w:rsidR="003B73F0" w:rsidRPr="000C5FD8">
        <w:t>Sarah</w:t>
      </w:r>
      <w:r w:rsidR="00757443" w:rsidRPr="000C5FD8">
        <w:t xml:space="preserve"> Louise </w:t>
      </w:r>
      <w:r w:rsidR="00757443" w:rsidRPr="000C5FD8">
        <w:rPr>
          <w:smallCaps/>
        </w:rPr>
        <w:t>Fraser</w:t>
      </w:r>
      <w:r w:rsidR="00757443" w:rsidRPr="000C5FD8">
        <w:t xml:space="preserve">, Dominique </w:t>
      </w:r>
      <w:proofErr w:type="spellStart"/>
      <w:r w:rsidR="00757443" w:rsidRPr="000C5FD8">
        <w:rPr>
          <w:smallCaps/>
        </w:rPr>
        <w:t>Gaulin</w:t>
      </w:r>
      <w:proofErr w:type="spellEnd"/>
      <w:r w:rsidR="00757443" w:rsidRPr="000C5FD8">
        <w:t xml:space="preserve"> et William </w:t>
      </w:r>
      <w:proofErr w:type="spellStart"/>
      <w:r w:rsidR="00757443" w:rsidRPr="000C5FD8">
        <w:t>Daibhid</w:t>
      </w:r>
      <w:proofErr w:type="spellEnd"/>
      <w:r w:rsidR="00757443" w:rsidRPr="000C5FD8">
        <w:t xml:space="preserve"> </w:t>
      </w:r>
      <w:r w:rsidR="00757443" w:rsidRPr="000C5FD8">
        <w:rPr>
          <w:smallCaps/>
        </w:rPr>
        <w:t>Fraser</w:t>
      </w:r>
      <w:r w:rsidR="00757443" w:rsidRPr="000C5FD8">
        <w:t>, «</w:t>
      </w:r>
      <w:r w:rsidR="001E0964">
        <w:t> </w:t>
      </w:r>
      <w:proofErr w:type="spellStart"/>
      <w:r w:rsidR="00757443" w:rsidRPr="000C5FD8">
        <w:t>Dissecting</w:t>
      </w:r>
      <w:proofErr w:type="spellEnd"/>
      <w:r w:rsidR="00757443" w:rsidRPr="000C5FD8">
        <w:t xml:space="preserve"> </w:t>
      </w:r>
      <w:proofErr w:type="spellStart"/>
      <w:r w:rsidR="00757443" w:rsidRPr="000C5FD8">
        <w:t>systemic</w:t>
      </w:r>
      <w:proofErr w:type="spellEnd"/>
      <w:r w:rsidR="00757443" w:rsidRPr="000C5FD8">
        <w:t xml:space="preserve"> </w:t>
      </w:r>
      <w:proofErr w:type="spellStart"/>
      <w:r w:rsidR="00757443" w:rsidRPr="000C5FD8">
        <w:t>racism</w:t>
      </w:r>
      <w:proofErr w:type="spellEnd"/>
      <w:r w:rsidR="00757443" w:rsidRPr="000C5FD8">
        <w:t xml:space="preserve">: </w:t>
      </w:r>
      <w:proofErr w:type="spellStart"/>
      <w:r w:rsidR="00757443" w:rsidRPr="000C5FD8">
        <w:t>policies</w:t>
      </w:r>
      <w:proofErr w:type="spellEnd"/>
      <w:r w:rsidR="00757443" w:rsidRPr="000C5FD8">
        <w:t xml:space="preserve">, practices and </w:t>
      </w:r>
      <w:proofErr w:type="spellStart"/>
      <w:r w:rsidR="00757443" w:rsidRPr="000C5FD8">
        <w:t>epistemologies</w:t>
      </w:r>
      <w:proofErr w:type="spellEnd"/>
      <w:r w:rsidR="00757443" w:rsidRPr="000C5FD8">
        <w:t xml:space="preserve"> </w:t>
      </w:r>
      <w:proofErr w:type="spellStart"/>
      <w:r w:rsidR="00757443" w:rsidRPr="000C5FD8">
        <w:t>creating</w:t>
      </w:r>
      <w:proofErr w:type="spellEnd"/>
      <w:r w:rsidR="00757443" w:rsidRPr="000C5FD8">
        <w:t xml:space="preserve"> </w:t>
      </w:r>
      <w:proofErr w:type="spellStart"/>
      <w:r w:rsidR="00757443" w:rsidRPr="000C5FD8">
        <w:t>racialized</w:t>
      </w:r>
      <w:proofErr w:type="spellEnd"/>
      <w:r w:rsidR="00757443" w:rsidRPr="000C5FD8">
        <w:t xml:space="preserve"> </w:t>
      </w:r>
      <w:proofErr w:type="spellStart"/>
      <w:r w:rsidR="00757443" w:rsidRPr="000C5FD8">
        <w:t>systems</w:t>
      </w:r>
      <w:proofErr w:type="spellEnd"/>
      <w:r w:rsidR="00757443" w:rsidRPr="000C5FD8">
        <w:t xml:space="preserve"> of care for </w:t>
      </w:r>
      <w:proofErr w:type="spellStart"/>
      <w:r w:rsidR="00757443" w:rsidRPr="000C5FD8">
        <w:t>Indigenous</w:t>
      </w:r>
      <w:proofErr w:type="spellEnd"/>
      <w:r w:rsidR="00757443" w:rsidRPr="000C5FD8">
        <w:t xml:space="preserve"> peoples</w:t>
      </w:r>
      <w:r w:rsidR="001E0964">
        <w:t> </w:t>
      </w:r>
      <w:r w:rsidR="00757443" w:rsidRPr="000C5FD8">
        <w:t xml:space="preserve">», (2021). </w:t>
      </w:r>
      <w:r w:rsidR="00757443" w:rsidRPr="00126E04">
        <w:rPr>
          <w:lang w:val="en-CA"/>
        </w:rPr>
        <w:t xml:space="preserve">20 :164 </w:t>
      </w:r>
      <w:r w:rsidR="00757443" w:rsidRPr="00126E04">
        <w:rPr>
          <w:i/>
          <w:lang w:val="en-CA"/>
        </w:rPr>
        <w:t xml:space="preserve">International </w:t>
      </w:r>
      <w:r w:rsidR="00773441" w:rsidRPr="00126E04">
        <w:rPr>
          <w:i/>
          <w:lang w:val="en-CA"/>
        </w:rPr>
        <w:t>Journal for Equity in Health</w:t>
      </w:r>
      <w:r w:rsidR="008E70B2" w:rsidRPr="00126E04">
        <w:rPr>
          <w:i/>
          <w:lang w:val="en-CA"/>
        </w:rPr>
        <w:t xml:space="preserve"> </w:t>
      </w:r>
      <w:r w:rsidR="000F1A17" w:rsidRPr="00126E04">
        <w:rPr>
          <w:lang w:val="en-CA"/>
        </w:rPr>
        <w:t>https://doi.org/10.1186/s12939-021-01500-8</w:t>
      </w:r>
    </w:p>
  </w:footnote>
  <w:footnote w:id="127">
    <w:p w14:paraId="0DC09A02" w14:textId="5E45011A" w:rsidR="009A281A" w:rsidRPr="00126E04" w:rsidRDefault="009A281A"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des droits de la personne et des droits de la jeunesse</w:t>
      </w:r>
      <w:r w:rsidRPr="00126E04">
        <w:t xml:space="preserve">, </w:t>
      </w:r>
      <w:r w:rsidRPr="00376F46">
        <w:rPr>
          <w:i/>
          <w:iCs/>
        </w:rPr>
        <w:t>Rapport triennal 2016-2019. Loi sur l’accès à l’égalité en emploi dans des organismes publics</w:t>
      </w:r>
      <w:r w:rsidRPr="00126E04">
        <w:t>, 2020, p. 37.</w:t>
      </w:r>
    </w:p>
  </w:footnote>
  <w:footnote w:id="128">
    <w:p w14:paraId="65A4709F" w14:textId="4ECCD109" w:rsidR="00443AE5" w:rsidRPr="004D2054" w:rsidRDefault="00443AE5" w:rsidP="001E0964">
      <w:pPr>
        <w:pStyle w:val="notebasde"/>
      </w:pPr>
      <w:r w:rsidRPr="004D2054">
        <w:rPr>
          <w:rStyle w:val="Appelnotedebasdep"/>
        </w:rPr>
        <w:footnoteRef/>
      </w:r>
      <w:r w:rsidRPr="004D2054">
        <w:t xml:space="preserve"> </w:t>
      </w:r>
      <w:r w:rsidRPr="004D2054">
        <w:tab/>
        <w:t>Commission Viens, p. 425</w:t>
      </w:r>
      <w:r w:rsidR="001E0964">
        <w:t xml:space="preserve"> et </w:t>
      </w:r>
      <w:r w:rsidRPr="004D2054">
        <w:t>426.</w:t>
      </w:r>
    </w:p>
  </w:footnote>
  <w:footnote w:id="129">
    <w:p w14:paraId="0DFF7AAC" w14:textId="53A6C59D" w:rsidR="009A281A" w:rsidRPr="00126E04" w:rsidRDefault="009A281A"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A60E9B">
        <w:t xml:space="preserve">Elizabeth </w:t>
      </w:r>
      <w:r w:rsidRPr="00A60E9B">
        <w:rPr>
          <w:smallCaps/>
        </w:rPr>
        <w:t>Fast</w:t>
      </w:r>
      <w:r w:rsidR="00827D42" w:rsidRPr="00A60E9B">
        <w:rPr>
          <w:smallCaps/>
        </w:rPr>
        <w:t xml:space="preserve"> </w:t>
      </w:r>
      <w:r w:rsidR="00827D42" w:rsidRPr="00A60E9B">
        <w:t xml:space="preserve">et </w:t>
      </w:r>
      <w:r w:rsidR="00827D42" w:rsidRPr="00A60E9B">
        <w:rPr>
          <w:i/>
          <w:iCs/>
        </w:rPr>
        <w:t>al</w:t>
      </w:r>
      <w:r w:rsidR="00827D42" w:rsidRPr="00A60E9B">
        <w:t>.</w:t>
      </w:r>
      <w:r w:rsidRPr="00A60E9B">
        <w:t xml:space="preserve">, </w:t>
      </w:r>
      <w:r w:rsidRPr="00A60E9B">
        <w:rPr>
          <w:i/>
          <w:iCs/>
        </w:rPr>
        <w:t>Un pas en avant, deux pas en arrière : Les services d’aide sociale à l’enfance offerts à la clientèle autochtone de Montréal, Projet de recherche-action</w:t>
      </w:r>
      <w:r w:rsidRPr="007E5196">
        <w:t>, rapport final, 2019, p. 11.</w:t>
      </w:r>
    </w:p>
  </w:footnote>
  <w:footnote w:id="130">
    <w:p w14:paraId="3094C914" w14:textId="2D82C0BB" w:rsidR="009A281A" w:rsidRPr="00126E04" w:rsidRDefault="009A281A" w:rsidP="00202CC7">
      <w:pPr>
        <w:pStyle w:val="notebasde"/>
        <w:tabs>
          <w:tab w:val="left" w:pos="709"/>
        </w:tabs>
        <w:ind w:left="709" w:hanging="709"/>
        <w:jc w:val="left"/>
      </w:pPr>
      <w:r w:rsidRPr="00126E04">
        <w:rPr>
          <w:rStyle w:val="Appelnotedebasdep"/>
        </w:rPr>
        <w:footnoteRef/>
      </w:r>
      <w:r w:rsidRPr="00126E04">
        <w:t xml:space="preserve"> </w:t>
      </w:r>
      <w:r w:rsidRPr="00126E04">
        <w:tab/>
        <w:t>M. E.</w:t>
      </w:r>
      <w:r w:rsidR="00827D42" w:rsidRPr="00126E04">
        <w:t xml:space="preserve"> </w:t>
      </w:r>
      <w:proofErr w:type="spellStart"/>
      <w:r w:rsidRPr="007B5D21">
        <w:rPr>
          <w:smallCaps/>
        </w:rPr>
        <w:t>Turpel</w:t>
      </w:r>
      <w:proofErr w:type="spellEnd"/>
      <w:r w:rsidRPr="007B5D21">
        <w:rPr>
          <w:smallCaps/>
        </w:rPr>
        <w:t>-Lafond</w:t>
      </w:r>
      <w:r w:rsidR="001E0964">
        <w:rPr>
          <w:smallCaps/>
        </w:rPr>
        <w:t xml:space="preserve"> et H. </w:t>
      </w:r>
      <w:r w:rsidR="001E0964" w:rsidRPr="000C5FD8">
        <w:rPr>
          <w:smallCaps/>
        </w:rPr>
        <w:t>Johnson</w:t>
      </w:r>
      <w:r w:rsidRPr="00126E04">
        <w:t xml:space="preserve">, </w:t>
      </w:r>
      <w:proofErr w:type="spellStart"/>
      <w:r w:rsidRPr="00126E04">
        <w:t>préc</w:t>
      </w:r>
      <w:proofErr w:type="spellEnd"/>
      <w:r w:rsidRPr="00126E04">
        <w:t xml:space="preserve">., note </w:t>
      </w:r>
      <w:r w:rsidRPr="00126E04">
        <w:fldChar w:fldCharType="begin"/>
      </w:r>
      <w:r w:rsidRPr="00126E04">
        <w:instrText xml:space="preserve"> NOTEREF _Ref140156845 \h  \* MERGEFORMAT </w:instrText>
      </w:r>
      <w:r w:rsidRPr="00126E04">
        <w:fldChar w:fldCharType="separate"/>
      </w:r>
      <w:r w:rsidR="008A75EF">
        <w:t>125</w:t>
      </w:r>
      <w:r w:rsidRPr="00126E04">
        <w:fldChar w:fldCharType="end"/>
      </w:r>
      <w:r w:rsidRPr="00126E04">
        <w:t>, p. 33</w:t>
      </w:r>
      <w:r w:rsidR="004C54EA" w:rsidRPr="00126E04">
        <w:t xml:space="preserve"> à </w:t>
      </w:r>
      <w:r w:rsidRPr="00126E04">
        <w:t>35.</w:t>
      </w:r>
    </w:p>
  </w:footnote>
  <w:footnote w:id="131">
    <w:p w14:paraId="7D443C92" w14:textId="18B4BBF5" w:rsidR="001201A1" w:rsidRDefault="001201A1" w:rsidP="00250412">
      <w:pPr>
        <w:pStyle w:val="NDBP"/>
      </w:pPr>
      <w:r>
        <w:rPr>
          <w:rStyle w:val="Appelnotedebasdep"/>
        </w:rPr>
        <w:footnoteRef/>
      </w:r>
      <w:r>
        <w:t xml:space="preserve"> </w:t>
      </w:r>
      <w:r>
        <w:tab/>
      </w:r>
      <w:r w:rsidRPr="004B1A29">
        <w:rPr>
          <w:smallCaps/>
        </w:rPr>
        <w:t>Commission des droits de la personne et des droits de la jeunesse</w:t>
      </w:r>
      <w:r>
        <w:t>, «</w:t>
      </w:r>
      <w:r w:rsidR="001C4421">
        <w:t> </w:t>
      </w:r>
      <w:r w:rsidRPr="005F7C6A">
        <w:t>Le racisme systémique dans une perspective intersectionnelle</w:t>
      </w:r>
      <w:r w:rsidR="00530D45">
        <w:t> </w:t>
      </w:r>
      <w:r w:rsidRPr="005F7C6A">
        <w:t>: mieux comprendre afin de mieux lutter</w:t>
      </w:r>
      <w:r w:rsidR="001C4421">
        <w:t> </w:t>
      </w:r>
      <w:r>
        <w:t>», 2</w:t>
      </w:r>
      <w:r w:rsidR="001C4421">
        <w:t> </w:t>
      </w:r>
      <w:r>
        <w:t xml:space="preserve">juin 2022, [En ligne]. </w:t>
      </w:r>
      <w:hyperlink r:id="rId2" w:history="1">
        <w:r w:rsidRPr="003F07CF">
          <w:rPr>
            <w:rStyle w:val="Lienhypertexte"/>
          </w:rPr>
          <w:t>https://www.cdpdj.qc.ca/fr/actualites/allocution-racisme-systemique</w:t>
        </w:r>
      </w:hyperlink>
      <w:r>
        <w:t xml:space="preserve"> </w:t>
      </w:r>
    </w:p>
  </w:footnote>
  <w:footnote w:id="132">
    <w:p w14:paraId="79E57FC3" w14:textId="0C0511EF" w:rsidR="00D76054" w:rsidRPr="00126E04" w:rsidRDefault="00D76054"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A3697B">
        <w:rPr>
          <w:i/>
          <w:iCs/>
        </w:rPr>
        <w:t>Loi sur l’accès à l’égalité en emploi dans des organismes publics</w:t>
      </w:r>
      <w:r w:rsidR="001262F2">
        <w:t xml:space="preserve">, </w:t>
      </w:r>
      <w:proofErr w:type="spellStart"/>
      <w:r w:rsidR="001262F2">
        <w:t>préc</w:t>
      </w:r>
      <w:proofErr w:type="spellEnd"/>
      <w:r w:rsidR="001262F2">
        <w:t>., note</w:t>
      </w:r>
      <w:r w:rsidR="00C16213">
        <w:t xml:space="preserve"> </w:t>
      </w:r>
      <w:r w:rsidR="00C16213">
        <w:fldChar w:fldCharType="begin"/>
      </w:r>
      <w:r w:rsidR="00C16213">
        <w:instrText xml:space="preserve"> NOTEREF _Ref145319984 \h </w:instrText>
      </w:r>
      <w:r w:rsidR="00C16213">
        <w:fldChar w:fldCharType="separate"/>
      </w:r>
      <w:r w:rsidR="008A75EF">
        <w:t>4</w:t>
      </w:r>
      <w:r w:rsidR="00C16213">
        <w:fldChar w:fldCharType="end"/>
      </w:r>
      <w:r w:rsidR="00926955">
        <w:t>.</w:t>
      </w:r>
    </w:p>
  </w:footnote>
  <w:footnote w:id="133">
    <w:p w14:paraId="28D2BDCA" w14:textId="0F58F0F0" w:rsidR="007E5AA9" w:rsidRPr="00126E04" w:rsidRDefault="007E5AA9" w:rsidP="00202CC7">
      <w:pPr>
        <w:pStyle w:val="notebasde"/>
        <w:tabs>
          <w:tab w:val="left" w:pos="709"/>
        </w:tabs>
        <w:ind w:left="709" w:hanging="709"/>
        <w:jc w:val="left"/>
      </w:pPr>
      <w:r w:rsidRPr="00126E04">
        <w:rPr>
          <w:rStyle w:val="Appelnotedebasdep"/>
        </w:rPr>
        <w:footnoteRef/>
      </w:r>
      <w:r w:rsidRPr="00126E04">
        <w:t xml:space="preserve"> </w:t>
      </w:r>
      <w:r w:rsidRPr="00126E04">
        <w:tab/>
        <w:t>Projet de loi, art. 1, al. 2, par. 4, c).</w:t>
      </w:r>
    </w:p>
  </w:footnote>
  <w:footnote w:id="134">
    <w:p w14:paraId="37C7B3D8" w14:textId="2A7F9876" w:rsidR="007E5AA9" w:rsidRPr="00126E04" w:rsidRDefault="007E5AA9"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Cabinet du ministre responsable des relations avec les Premières Nations et les Inuit</w:t>
      </w:r>
      <w:r w:rsidRPr="00126E04">
        <w:t xml:space="preserve">, </w:t>
      </w:r>
      <w:r w:rsidR="00F84508" w:rsidRPr="00126E04">
        <w:t>«</w:t>
      </w:r>
      <w:r w:rsidR="001C4421">
        <w:t> </w:t>
      </w:r>
      <w:r w:rsidR="00F84508" w:rsidRPr="00126E04">
        <w:t>Présentation du projet de loi sur la sécurisation culturelle</w:t>
      </w:r>
      <w:r w:rsidR="001C4421">
        <w:t> </w:t>
      </w:r>
      <w:r w:rsidR="00F84508" w:rsidRPr="00126E04">
        <w:t>», 14</w:t>
      </w:r>
      <w:r w:rsidR="001C4421">
        <w:t> </w:t>
      </w:r>
      <w:r w:rsidR="00F84508" w:rsidRPr="00126E04">
        <w:t xml:space="preserve">juin 2023, [En ligne]. </w:t>
      </w:r>
      <w:hyperlink r:id="rId3" w:history="1">
        <w:r w:rsidR="00F84508" w:rsidRPr="00126E04">
          <w:rPr>
            <w:rStyle w:val="Lienhypertexte"/>
          </w:rPr>
          <w:t>https://www.quebec.ca/nouvelles/actualites/details/presentation-du-projet-de-loi-sur-la-securisation-culturelle-48614</w:t>
        </w:r>
      </w:hyperlink>
      <w:r w:rsidRPr="00126E04">
        <w:t>.</w:t>
      </w:r>
    </w:p>
  </w:footnote>
  <w:footnote w:id="135">
    <w:p w14:paraId="034B278F" w14:textId="5D9A12EE" w:rsidR="007E5AA9" w:rsidRPr="00126E04" w:rsidRDefault="007E5AA9" w:rsidP="00202CC7">
      <w:pPr>
        <w:pStyle w:val="notebasde"/>
        <w:tabs>
          <w:tab w:val="left" w:pos="709"/>
        </w:tabs>
        <w:ind w:left="709" w:hanging="709"/>
        <w:jc w:val="left"/>
      </w:pPr>
      <w:r w:rsidRPr="00126E04">
        <w:rPr>
          <w:rStyle w:val="Appelnotedebasdep"/>
        </w:rPr>
        <w:footnoteRef/>
      </w:r>
      <w:r w:rsidRPr="00126E04">
        <w:t xml:space="preserve"> </w:t>
      </w:r>
      <w:r w:rsidRPr="00126E04">
        <w:tab/>
        <w:t xml:space="preserve">Laurence </w:t>
      </w:r>
      <w:proofErr w:type="spellStart"/>
      <w:r w:rsidRPr="00126E04">
        <w:rPr>
          <w:smallCaps/>
        </w:rPr>
        <w:t>Niosi</w:t>
      </w:r>
      <w:proofErr w:type="spellEnd"/>
      <w:r w:rsidRPr="00126E04">
        <w:t>, «</w:t>
      </w:r>
      <w:r w:rsidR="00220DC8" w:rsidRPr="00126E04">
        <w:t> </w:t>
      </w:r>
      <w:r w:rsidRPr="00126E04">
        <w:t xml:space="preserve">Joyce </w:t>
      </w:r>
      <w:proofErr w:type="spellStart"/>
      <w:r w:rsidRPr="00126E04">
        <w:t>Echaquan</w:t>
      </w:r>
      <w:proofErr w:type="spellEnd"/>
      <w:r w:rsidRPr="00126E04">
        <w:t xml:space="preserve"> : </w:t>
      </w:r>
      <w:r w:rsidR="00C61F95" w:rsidRPr="00126E04">
        <w:t xml:space="preserve">« </w:t>
      </w:r>
      <w:r w:rsidRPr="00126E04">
        <w:t>une formation sur les réalités autochtones dénoncée</w:t>
      </w:r>
      <w:r w:rsidR="00220DC8" w:rsidRPr="00126E04">
        <w:t> </w:t>
      </w:r>
      <w:r w:rsidRPr="00126E04">
        <w:t xml:space="preserve">», </w:t>
      </w:r>
      <w:r w:rsidRPr="00126E04">
        <w:rPr>
          <w:i/>
          <w:iCs/>
        </w:rPr>
        <w:t>Radio-Canada</w:t>
      </w:r>
      <w:r w:rsidRPr="00126E04">
        <w:t>, 26</w:t>
      </w:r>
      <w:r w:rsidR="00C960B5" w:rsidRPr="00126E04">
        <w:t> </w:t>
      </w:r>
      <w:r w:rsidRPr="00126E04">
        <w:t xml:space="preserve">septembre 2022, [En ligne]. </w:t>
      </w:r>
      <w:hyperlink r:id="rId4" w:history="1">
        <w:r w:rsidRPr="00126E04">
          <w:rPr>
            <w:rStyle w:val="Lienhypertexte"/>
          </w:rPr>
          <w:t>https://ici.radio-canada.ca/nouvelle/1917604/joyce-echaquan-formation-critique-realites-autochtones</w:t>
        </w:r>
      </w:hyperlink>
      <w:r w:rsidRPr="00126E04">
        <w:t xml:space="preserve"> </w:t>
      </w:r>
    </w:p>
  </w:footnote>
  <w:footnote w:id="136">
    <w:p w14:paraId="7539545D" w14:textId="5BC04410" w:rsidR="007E5AA9" w:rsidRPr="00126E04" w:rsidRDefault="007E5AA9" w:rsidP="00202CC7">
      <w:pPr>
        <w:pStyle w:val="notebasde"/>
        <w:tabs>
          <w:tab w:val="left" w:pos="709"/>
        </w:tabs>
        <w:ind w:left="709" w:hanging="709"/>
        <w:jc w:val="left"/>
      </w:pPr>
      <w:r w:rsidRPr="00126E04">
        <w:rPr>
          <w:rStyle w:val="Appelnotedebasdep"/>
        </w:rPr>
        <w:footnoteRef/>
      </w:r>
      <w:r w:rsidRPr="00126E04">
        <w:t xml:space="preserve"> </w:t>
      </w:r>
      <w:r w:rsidRPr="00126E04">
        <w:tab/>
        <w:t xml:space="preserve">Nicole </w:t>
      </w:r>
      <w:proofErr w:type="spellStart"/>
      <w:r w:rsidRPr="00126E04">
        <w:rPr>
          <w:smallCaps/>
        </w:rPr>
        <w:t>O’Bomsawin</w:t>
      </w:r>
      <w:proofErr w:type="spellEnd"/>
      <w:r w:rsidRPr="00126E04">
        <w:t xml:space="preserve"> et Laurie </w:t>
      </w:r>
      <w:proofErr w:type="spellStart"/>
      <w:r w:rsidRPr="00126E04">
        <w:rPr>
          <w:smallCaps/>
        </w:rPr>
        <w:t>Grimond</w:t>
      </w:r>
      <w:proofErr w:type="spellEnd"/>
      <w:r w:rsidRPr="00126E04">
        <w:t>, «</w:t>
      </w:r>
      <w:r w:rsidR="00220DC8" w:rsidRPr="00126E04">
        <w:t> </w:t>
      </w:r>
      <w:r w:rsidRPr="00126E04">
        <w:t>Formation sur les réalités autochtones : des nuances s’imposent</w:t>
      </w:r>
      <w:r w:rsidR="00220DC8" w:rsidRPr="00126E04">
        <w:t> </w:t>
      </w:r>
      <w:r w:rsidRPr="00126E04">
        <w:t xml:space="preserve">», </w:t>
      </w:r>
      <w:r w:rsidRPr="00126E04">
        <w:rPr>
          <w:i/>
          <w:iCs/>
        </w:rPr>
        <w:t>Radio-Canada</w:t>
      </w:r>
      <w:r w:rsidRPr="00126E04">
        <w:t>, 29</w:t>
      </w:r>
      <w:r w:rsidR="00C960B5" w:rsidRPr="00126E04">
        <w:t> </w:t>
      </w:r>
      <w:r w:rsidRPr="00126E04">
        <w:t xml:space="preserve">septembre 2022, [En ligne]. </w:t>
      </w:r>
      <w:hyperlink r:id="rId5" w:history="1">
        <w:r w:rsidRPr="00126E04">
          <w:rPr>
            <w:rStyle w:val="Lienhypertexte"/>
          </w:rPr>
          <w:t>https://ici.radio-canada.ca/espaces-autochtones/1920551/conception-formation-realites-autochtones-employes-etat</w:t>
        </w:r>
      </w:hyperlink>
      <w:r w:rsidRPr="00126E04">
        <w:t xml:space="preserve"> </w:t>
      </w:r>
    </w:p>
  </w:footnote>
  <w:footnote w:id="137">
    <w:p w14:paraId="785AC269" w14:textId="7B83517A" w:rsidR="00574068" w:rsidRPr="00126E04" w:rsidRDefault="00574068"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A34524" w:rsidRPr="00126E04">
        <w:rPr>
          <w:smallCaps/>
        </w:rPr>
        <w:t>Institut national de santé publique du Québec</w:t>
      </w:r>
      <w:r w:rsidR="00A34524" w:rsidRPr="00126E04">
        <w:t xml:space="preserve">, </w:t>
      </w:r>
      <w:r w:rsidR="00A34524" w:rsidRPr="001D4D77">
        <w:rPr>
          <w:i/>
          <w:iCs/>
        </w:rPr>
        <w:t>Conditions de succès et limites des formations en sécurisation culturelle pour le personnel de santé et services sociaux</w:t>
      </w:r>
      <w:r w:rsidR="00A34524" w:rsidRPr="00126E04">
        <w:t>, 2022, p. 1.</w:t>
      </w:r>
    </w:p>
  </w:footnote>
  <w:footnote w:id="138">
    <w:p w14:paraId="09CC90B3" w14:textId="42F4FCFF" w:rsidR="007E5AA9" w:rsidRPr="00126E04" w:rsidRDefault="007E5AA9"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F84508" w:rsidRPr="00126E04">
        <w:rPr>
          <w:i/>
          <w:iCs/>
        </w:rPr>
        <w:t>Id</w:t>
      </w:r>
      <w:r w:rsidR="001D4437" w:rsidRPr="00126E04">
        <w:rPr>
          <w:i/>
          <w:iCs/>
        </w:rPr>
        <w:t>.</w:t>
      </w:r>
      <w:r w:rsidRPr="00126E04">
        <w:t>, p. 3.</w:t>
      </w:r>
    </w:p>
  </w:footnote>
  <w:footnote w:id="139">
    <w:p w14:paraId="07D7CECA" w14:textId="2F316FE2" w:rsidR="007E5AA9" w:rsidRPr="00126E04" w:rsidRDefault="007E5AA9"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1D4437" w:rsidRPr="00126E04">
        <w:rPr>
          <w:i/>
          <w:iCs/>
        </w:rPr>
        <w:t>Id.</w:t>
      </w:r>
      <w:r w:rsidRPr="00126E04">
        <w:t>, p. 13.</w:t>
      </w:r>
    </w:p>
  </w:footnote>
  <w:footnote w:id="140">
    <w:p w14:paraId="169DF5AA" w14:textId="0E0B0F4D" w:rsidR="00726263" w:rsidRPr="00126E04" w:rsidRDefault="00BD0BD7" w:rsidP="00202CC7">
      <w:pPr>
        <w:pStyle w:val="notebasde"/>
        <w:tabs>
          <w:tab w:val="left" w:pos="709"/>
        </w:tabs>
        <w:ind w:left="709" w:hanging="709"/>
        <w:jc w:val="left"/>
      </w:pPr>
      <w:r w:rsidRPr="00126E04">
        <w:rPr>
          <w:rStyle w:val="Appelnotedebasdep"/>
        </w:rPr>
        <w:footnoteRef/>
      </w:r>
      <w:r w:rsidRPr="00126E04">
        <w:t xml:space="preserve"> </w:t>
      </w:r>
      <w:r w:rsidR="00726263" w:rsidRPr="00126E04">
        <w:tab/>
      </w:r>
      <w:r w:rsidR="00B54A12" w:rsidRPr="00126E04">
        <w:t xml:space="preserve">C. </w:t>
      </w:r>
      <w:r w:rsidR="00B54A12" w:rsidRPr="00815562">
        <w:rPr>
          <w:smallCaps/>
        </w:rPr>
        <w:t>Guay</w:t>
      </w:r>
      <w:r w:rsidR="00B54A12" w:rsidRPr="00126E04">
        <w:t xml:space="preserve">, L. </w:t>
      </w:r>
      <w:r w:rsidR="00B54A12" w:rsidRPr="00815562">
        <w:rPr>
          <w:smallCaps/>
        </w:rPr>
        <w:t>Ellington</w:t>
      </w:r>
      <w:r w:rsidR="00B54A12" w:rsidRPr="00126E04">
        <w:t xml:space="preserve"> et N</w:t>
      </w:r>
      <w:r w:rsidR="00834AA9" w:rsidRPr="00126E04">
        <w:t>.</w:t>
      </w:r>
      <w:r w:rsidR="00B54A12" w:rsidRPr="00126E04">
        <w:t xml:space="preserve"> </w:t>
      </w:r>
      <w:proofErr w:type="spellStart"/>
      <w:r w:rsidR="00B54A12" w:rsidRPr="00815562">
        <w:rPr>
          <w:smallCaps/>
        </w:rPr>
        <w:t>Vollant</w:t>
      </w:r>
      <w:proofErr w:type="spellEnd"/>
      <w:r w:rsidR="00726263" w:rsidRPr="00126E04">
        <w:t xml:space="preserve">, </w:t>
      </w:r>
      <w:proofErr w:type="spellStart"/>
      <w:r w:rsidR="002119B0" w:rsidRPr="00126E04">
        <w:t>préc</w:t>
      </w:r>
      <w:proofErr w:type="spellEnd"/>
      <w:r w:rsidR="002119B0" w:rsidRPr="00126E04">
        <w:t xml:space="preserve">., note </w:t>
      </w:r>
      <w:r w:rsidR="00C34350" w:rsidRPr="00126E04">
        <w:fldChar w:fldCharType="begin"/>
      </w:r>
      <w:r w:rsidR="00C34350" w:rsidRPr="00126E04">
        <w:instrText xml:space="preserve"> NOTEREF _Ref144798074 \h </w:instrText>
      </w:r>
      <w:r w:rsidR="00AD6FFC" w:rsidRPr="00126E04">
        <w:instrText xml:space="preserve"> \* MERGEFORMAT </w:instrText>
      </w:r>
      <w:r w:rsidR="00C34350" w:rsidRPr="00126E04">
        <w:fldChar w:fldCharType="separate"/>
      </w:r>
      <w:r w:rsidR="008A75EF">
        <w:t>21</w:t>
      </w:r>
      <w:r w:rsidR="00C34350" w:rsidRPr="00126E04">
        <w:fldChar w:fldCharType="end"/>
      </w:r>
      <w:r w:rsidR="003D3E43" w:rsidRPr="00126E04">
        <w:t xml:space="preserve">, </w:t>
      </w:r>
      <w:r w:rsidR="00726263" w:rsidRPr="00126E04">
        <w:t>p. 178.</w:t>
      </w:r>
    </w:p>
  </w:footnote>
  <w:footnote w:id="141">
    <w:p w14:paraId="0374C962" w14:textId="70F168A6" w:rsidR="001870EE" w:rsidRPr="00126E04" w:rsidRDefault="001870EE"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iCs/>
        </w:rPr>
        <w:t>Id.</w:t>
      </w:r>
    </w:p>
  </w:footnote>
  <w:footnote w:id="142">
    <w:p w14:paraId="599E403C" w14:textId="6D5A41D8" w:rsidR="00E21798" w:rsidRPr="00126E04" w:rsidRDefault="00E21798"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Comité pour l’élimination de la discrimination raciale</w:t>
      </w:r>
      <w:r w:rsidRPr="00126E04">
        <w:t xml:space="preserve">, </w:t>
      </w:r>
      <w:proofErr w:type="spellStart"/>
      <w:r w:rsidRPr="00126E04">
        <w:t>préc</w:t>
      </w:r>
      <w:proofErr w:type="spellEnd"/>
      <w:r w:rsidRPr="00126E04">
        <w:t xml:space="preserve">., note </w:t>
      </w:r>
      <w:r w:rsidR="00FB3093" w:rsidRPr="00126E04">
        <w:fldChar w:fldCharType="begin"/>
      </w:r>
      <w:r w:rsidR="00FB3093" w:rsidRPr="00126E04">
        <w:instrText xml:space="preserve"> NOTEREF _Ref141176174 \h </w:instrText>
      </w:r>
      <w:r w:rsidR="00AD6FFC" w:rsidRPr="00126E04">
        <w:instrText xml:space="preserve"> \* MERGEFORMAT </w:instrText>
      </w:r>
      <w:r w:rsidR="00FB3093" w:rsidRPr="00126E04">
        <w:fldChar w:fldCharType="separate"/>
      </w:r>
      <w:r w:rsidR="008A75EF">
        <w:t>75</w:t>
      </w:r>
      <w:r w:rsidR="00FB3093" w:rsidRPr="00126E04">
        <w:fldChar w:fldCharType="end"/>
      </w:r>
      <w:r w:rsidR="00251DEC" w:rsidRPr="00126E04">
        <w:t xml:space="preserve">, </w:t>
      </w:r>
      <w:r w:rsidRPr="00126E04">
        <w:t>par. 48.</w:t>
      </w:r>
    </w:p>
  </w:footnote>
  <w:footnote w:id="143">
    <w:p w14:paraId="5CC76DBF" w14:textId="315EDF07" w:rsidR="007E5AA9" w:rsidRPr="00126E04" w:rsidRDefault="007E5AA9"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6A35EC">
        <w:rPr>
          <w:smallCaps/>
        </w:rPr>
        <w:t>Conseil des Atikamekw de Manawan et Conseil de la Nation Atikamekw</w:t>
      </w:r>
      <w:r w:rsidRPr="00126E04">
        <w:t xml:space="preserve">, </w:t>
      </w:r>
      <w:proofErr w:type="spellStart"/>
      <w:r w:rsidRPr="00126E04">
        <w:t>préc</w:t>
      </w:r>
      <w:proofErr w:type="spellEnd"/>
      <w:r w:rsidRPr="00126E04">
        <w:t xml:space="preserve">., </w:t>
      </w:r>
      <w:r w:rsidR="00B43736" w:rsidRPr="00126E04">
        <w:t xml:space="preserve">note </w:t>
      </w:r>
      <w:r w:rsidR="00B43736" w:rsidRPr="00126E04">
        <w:fldChar w:fldCharType="begin"/>
      </w:r>
      <w:r w:rsidR="00B43736" w:rsidRPr="00126E04">
        <w:instrText xml:space="preserve"> NOTEREF _Ref144799228 \h </w:instrText>
      </w:r>
      <w:r w:rsidR="00AD6FFC" w:rsidRPr="00126E04">
        <w:instrText xml:space="preserve"> \* MERGEFORMAT </w:instrText>
      </w:r>
      <w:r w:rsidR="00B43736" w:rsidRPr="00126E04">
        <w:fldChar w:fldCharType="separate"/>
      </w:r>
      <w:r w:rsidR="008A75EF">
        <w:t>28</w:t>
      </w:r>
      <w:r w:rsidR="00B43736" w:rsidRPr="00126E04">
        <w:fldChar w:fldCharType="end"/>
      </w:r>
      <w:r w:rsidRPr="00126E04">
        <w:t>, p. 12.</w:t>
      </w:r>
    </w:p>
  </w:footnote>
  <w:footnote w:id="144">
    <w:p w14:paraId="5E52F87C" w14:textId="6DD521B1" w:rsidR="003C25A4" w:rsidRPr="00126E04" w:rsidRDefault="003C25A4"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 vérité et réconciliation du Canada</w:t>
      </w:r>
      <w:r w:rsidRPr="00126E04">
        <w:t xml:space="preserve">, </w:t>
      </w:r>
      <w:r w:rsidR="0091177E" w:rsidRPr="00982ED8">
        <w:rPr>
          <w:i/>
        </w:rPr>
        <w:t xml:space="preserve">Commission de vérité et réconciliation du Canada : Appels à </w:t>
      </w:r>
      <w:r w:rsidR="0091177E" w:rsidRPr="00982ED8">
        <w:rPr>
          <w:i/>
          <w:iCs/>
        </w:rPr>
        <w:t>l’action</w:t>
      </w:r>
      <w:r w:rsidR="00982ED8">
        <w:t>, 2012,</w:t>
      </w:r>
      <w:r w:rsidRPr="00126E04">
        <w:t xml:space="preserve"> p. 4</w:t>
      </w:r>
      <w:r w:rsidR="00E02757" w:rsidRPr="00126E04">
        <w:t xml:space="preserve"> et </w:t>
      </w:r>
      <w:r w:rsidRPr="00126E04">
        <w:t>5.</w:t>
      </w:r>
    </w:p>
  </w:footnote>
  <w:footnote w:id="145">
    <w:p w14:paraId="19A294A3" w14:textId="51A68FE8" w:rsidR="005E41B4" w:rsidRPr="00126E04" w:rsidRDefault="005E41B4" w:rsidP="00202CC7">
      <w:pPr>
        <w:pStyle w:val="notebasde"/>
        <w:tabs>
          <w:tab w:val="left" w:pos="709"/>
        </w:tabs>
        <w:ind w:left="709" w:hanging="709"/>
        <w:jc w:val="left"/>
      </w:pPr>
      <w:r w:rsidRPr="00126E04">
        <w:rPr>
          <w:rStyle w:val="Appelnotedebasdep"/>
        </w:rPr>
        <w:footnoteRef/>
      </w:r>
      <w:r w:rsidRPr="00126E04">
        <w:t xml:space="preserve"> </w:t>
      </w:r>
      <w:r w:rsidR="00016852" w:rsidRPr="00126E04">
        <w:tab/>
        <w:t xml:space="preserve">Le Collège des </w:t>
      </w:r>
      <w:r w:rsidR="003F4E35" w:rsidRPr="00126E04">
        <w:t>m</w:t>
      </w:r>
      <w:r w:rsidR="00016852" w:rsidRPr="00126E04">
        <w:t xml:space="preserve">édecins </w:t>
      </w:r>
      <w:r w:rsidR="003F4E35" w:rsidRPr="00126E04">
        <w:t xml:space="preserve">du Québec </w:t>
      </w:r>
      <w:r w:rsidR="00016852" w:rsidRPr="00126E04">
        <w:t>a cependant annoncé souhaiter offrir une formation de base sur la sécurisation culturelle à ses membres</w:t>
      </w:r>
    </w:p>
  </w:footnote>
  <w:footnote w:id="146">
    <w:p w14:paraId="4785A059" w14:textId="462C4EC3" w:rsidR="007C2DFD" w:rsidRPr="00126E04" w:rsidRDefault="007C2DFD" w:rsidP="00202CC7">
      <w:pPr>
        <w:pStyle w:val="notebasde"/>
        <w:tabs>
          <w:tab w:val="left" w:pos="709"/>
        </w:tabs>
        <w:ind w:left="709" w:hanging="709"/>
        <w:jc w:val="left"/>
      </w:pPr>
      <w:r w:rsidRPr="00126E04">
        <w:rPr>
          <w:rStyle w:val="Appelnotedebasdep"/>
        </w:rPr>
        <w:footnoteRef/>
      </w:r>
      <w:r w:rsidRPr="00126E04">
        <w:t xml:space="preserve"> </w:t>
      </w:r>
      <w:r w:rsidR="00280B30" w:rsidRPr="00126E04">
        <w:tab/>
      </w:r>
      <w:r w:rsidR="00A73725" w:rsidRPr="00126E04">
        <w:rPr>
          <w:smallCaps/>
        </w:rPr>
        <w:t>Fédération médicale étudiante du Québec</w:t>
      </w:r>
      <w:r w:rsidR="00A73725" w:rsidRPr="00126E04">
        <w:t xml:space="preserve">, </w:t>
      </w:r>
      <w:r w:rsidR="00A73725" w:rsidRPr="006760AD">
        <w:rPr>
          <w:i/>
          <w:iCs/>
        </w:rPr>
        <w:t>Santé autochtone, sécurisation culturelle et représentation : perspective de la relève médicale</w:t>
      </w:r>
      <w:r w:rsidR="0008288F" w:rsidRPr="006760AD">
        <w:rPr>
          <w:i/>
          <w:iCs/>
        </w:rPr>
        <w:t xml:space="preserve"> </w:t>
      </w:r>
      <w:r w:rsidR="00F56090" w:rsidRPr="006760AD">
        <w:rPr>
          <w:i/>
          <w:iCs/>
        </w:rPr>
        <w:t>— M</w:t>
      </w:r>
      <w:r w:rsidR="00A73725" w:rsidRPr="006760AD">
        <w:rPr>
          <w:i/>
          <w:iCs/>
        </w:rPr>
        <w:t>émoire présenté dans le cadre de la Journée d’action politique</w:t>
      </w:r>
      <w:r w:rsidR="00F56090" w:rsidRPr="006760AD">
        <w:rPr>
          <w:i/>
          <w:iCs/>
        </w:rPr>
        <w:t> </w:t>
      </w:r>
      <w:r w:rsidR="00A73725" w:rsidRPr="006760AD">
        <w:rPr>
          <w:i/>
          <w:iCs/>
        </w:rPr>
        <w:t>2022 de la Fédération médicale étudiante du Québec</w:t>
      </w:r>
      <w:r w:rsidR="00A73725" w:rsidRPr="00126E04">
        <w:t>, 2022, p.</w:t>
      </w:r>
      <w:r w:rsidR="00F56090" w:rsidRPr="00126E04">
        <w:t> </w:t>
      </w:r>
      <w:r w:rsidR="00A73725" w:rsidRPr="00126E04">
        <w:t>24</w:t>
      </w:r>
      <w:r w:rsidR="003F4E35" w:rsidRPr="00126E04">
        <w:t xml:space="preserve"> et </w:t>
      </w:r>
      <w:r w:rsidR="00A73725" w:rsidRPr="00126E04">
        <w:t>25.</w:t>
      </w:r>
    </w:p>
  </w:footnote>
  <w:footnote w:id="147">
    <w:p w14:paraId="710F8BA1" w14:textId="451E2CC3" w:rsidR="002209A8" w:rsidRPr="00126E04" w:rsidRDefault="002209A8" w:rsidP="00202CC7">
      <w:pPr>
        <w:pStyle w:val="notebasde"/>
        <w:tabs>
          <w:tab w:val="left" w:pos="709"/>
        </w:tabs>
        <w:ind w:left="709" w:hanging="709"/>
        <w:jc w:val="left"/>
      </w:pPr>
      <w:r w:rsidRPr="00126E04">
        <w:rPr>
          <w:rStyle w:val="Appelnotedebasdep"/>
        </w:rPr>
        <w:footnoteRef/>
      </w:r>
      <w:r w:rsidRPr="00126E04">
        <w:t xml:space="preserve"> </w:t>
      </w:r>
      <w:r w:rsidR="00680DED" w:rsidRPr="00126E04">
        <w:tab/>
        <w:t>C</w:t>
      </w:r>
      <w:r w:rsidR="00680DED" w:rsidRPr="00126E04">
        <w:rPr>
          <w:smallCaps/>
        </w:rPr>
        <w:t>ommission des droits de la personne et des droits de la jeunesse</w:t>
      </w:r>
      <w:r w:rsidR="00680DED" w:rsidRPr="00126E04">
        <w:t xml:space="preserve">, </w:t>
      </w:r>
      <w:r w:rsidR="00680DED" w:rsidRPr="00376F46">
        <w:rPr>
          <w:i/>
          <w:iCs/>
        </w:rPr>
        <w:t>Bilan</w:t>
      </w:r>
      <w:r w:rsidR="008F3FDD" w:rsidRPr="00376F46">
        <w:rPr>
          <w:i/>
          <w:iCs/>
        </w:rPr>
        <w:t xml:space="preserve"> de la mise en œuvre des recommandations du rapport de la consultation de la Commi</w:t>
      </w:r>
      <w:r w:rsidR="00B73D57" w:rsidRPr="00376F46">
        <w:rPr>
          <w:i/>
          <w:iCs/>
        </w:rPr>
        <w:t>ssion des droits de la personne et des droits de la jeunesse sur le profilage racial et ses conséquences</w:t>
      </w:r>
      <w:r w:rsidR="00B73D57" w:rsidRPr="00126E04">
        <w:t xml:space="preserve">, 2020, p. </w:t>
      </w:r>
      <w:r w:rsidR="00875BC6" w:rsidRPr="00126E04">
        <w:t>66.</w:t>
      </w:r>
    </w:p>
  </w:footnote>
  <w:footnote w:id="148">
    <w:p w14:paraId="0541A2ED" w14:textId="2E0D4A8B" w:rsidR="002941E8" w:rsidRPr="00126E04" w:rsidRDefault="002941E8"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Gouvernement du Québec</w:t>
      </w:r>
      <w:r w:rsidRPr="00126E04">
        <w:t xml:space="preserve">, </w:t>
      </w:r>
      <w:proofErr w:type="spellStart"/>
      <w:r w:rsidRPr="00126E04">
        <w:t>préc</w:t>
      </w:r>
      <w:proofErr w:type="spellEnd"/>
      <w:r w:rsidRPr="00126E04">
        <w:t>., note</w:t>
      </w:r>
      <w:r w:rsidR="00983AA2">
        <w:t xml:space="preserve"> </w:t>
      </w:r>
      <w:r w:rsidR="00983AA2">
        <w:fldChar w:fldCharType="begin"/>
      </w:r>
      <w:r w:rsidR="00983AA2">
        <w:instrText xml:space="preserve"> NOTEREF _Ref145083638 \h </w:instrText>
      </w:r>
      <w:r w:rsidR="00983AA2">
        <w:fldChar w:fldCharType="separate"/>
      </w:r>
      <w:r w:rsidR="008A75EF">
        <w:t>57</w:t>
      </w:r>
      <w:r w:rsidR="00983AA2">
        <w:fldChar w:fldCharType="end"/>
      </w:r>
      <w:r w:rsidRPr="00126E04">
        <w:t>, p. 11.</w:t>
      </w:r>
    </w:p>
  </w:footnote>
  <w:footnote w:id="149">
    <w:p w14:paraId="041330F9" w14:textId="218C03D3" w:rsidR="005E6C87" w:rsidRPr="00126E04" w:rsidRDefault="005E6C87"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2B153F" w:rsidRPr="00FA2B5E">
        <w:rPr>
          <w:smallCaps/>
        </w:rPr>
        <w:t>Centre de collaboration nationale de la santé autochtone</w:t>
      </w:r>
      <w:r w:rsidR="00BB359E" w:rsidRPr="00126E04">
        <w:t xml:space="preserve">, </w:t>
      </w:r>
      <w:proofErr w:type="spellStart"/>
      <w:r w:rsidR="00BB359E" w:rsidRPr="00126E04">
        <w:t>préc</w:t>
      </w:r>
      <w:proofErr w:type="spellEnd"/>
      <w:r w:rsidR="00BB359E" w:rsidRPr="00126E04">
        <w:t xml:space="preserve">., note </w:t>
      </w:r>
      <w:r w:rsidR="00BB359E" w:rsidRPr="00126E04">
        <w:fldChar w:fldCharType="begin"/>
      </w:r>
      <w:r w:rsidR="00BB359E" w:rsidRPr="00126E04">
        <w:instrText xml:space="preserve"> NOTEREF _Ref144365671 \h </w:instrText>
      </w:r>
      <w:r w:rsidR="00C84C0A" w:rsidRPr="00126E04">
        <w:instrText xml:space="preserve"> \* MERGEFORMAT </w:instrText>
      </w:r>
      <w:r w:rsidR="00BB359E" w:rsidRPr="00126E04">
        <w:fldChar w:fldCharType="separate"/>
      </w:r>
      <w:r w:rsidR="008A75EF">
        <w:t>19</w:t>
      </w:r>
      <w:r w:rsidR="00BB359E" w:rsidRPr="00126E04">
        <w:fldChar w:fldCharType="end"/>
      </w:r>
      <w:r w:rsidRPr="00126E04">
        <w:t>, p. 15</w:t>
      </w:r>
      <w:r w:rsidR="00FC6F59" w:rsidRPr="00126E04">
        <w:t xml:space="preserve"> à </w:t>
      </w:r>
      <w:r w:rsidRPr="00126E04">
        <w:t>26.</w:t>
      </w:r>
    </w:p>
  </w:footnote>
  <w:footnote w:id="150">
    <w:p w14:paraId="7714095D" w14:textId="74ED2310" w:rsidR="002E76D8" w:rsidRPr="00126E04" w:rsidRDefault="002E76D8"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 la santé et des services sociaux des Premières Nations du Québec et du Labrador</w:t>
      </w:r>
      <w:r w:rsidRPr="00126E04">
        <w:t xml:space="preserve">, </w:t>
      </w:r>
      <w:r w:rsidR="00056AD8" w:rsidRPr="006760AD">
        <w:rPr>
          <w:i/>
          <w:iCs/>
        </w:rPr>
        <w:t xml:space="preserve">Rapport final </w:t>
      </w:r>
      <w:r w:rsidR="00944A25" w:rsidRPr="006760AD">
        <w:rPr>
          <w:i/>
          <w:iCs/>
        </w:rPr>
        <w:t>—</w:t>
      </w:r>
      <w:r w:rsidR="00056AD8" w:rsidRPr="006760AD">
        <w:rPr>
          <w:i/>
          <w:iCs/>
        </w:rPr>
        <w:t xml:space="preserve"> </w:t>
      </w:r>
      <w:r w:rsidRPr="006760AD">
        <w:rPr>
          <w:i/>
          <w:iCs/>
        </w:rPr>
        <w:t>Consultation régionale en vue de l’élaboration conjointe de dispositions législatives sur la santé des Autochtones fondées sur les distinctions</w:t>
      </w:r>
      <w:r w:rsidRPr="00126E04">
        <w:t>, 2022, p.</w:t>
      </w:r>
      <w:r w:rsidR="00944A25" w:rsidRPr="00126E04">
        <w:t> </w:t>
      </w:r>
      <w:r w:rsidRPr="00126E04">
        <w:t>3</w:t>
      </w:r>
      <w:r w:rsidR="00056AD8" w:rsidRPr="00126E04">
        <w:t>.</w:t>
      </w:r>
    </w:p>
  </w:footnote>
  <w:footnote w:id="151">
    <w:p w14:paraId="04687A14" w14:textId="0C712BFD" w:rsidR="00527406" w:rsidRDefault="00527406" w:rsidP="00250412">
      <w:pPr>
        <w:pStyle w:val="NDBP"/>
      </w:pPr>
      <w:r>
        <w:rPr>
          <w:rStyle w:val="Appelnotedebasdep"/>
        </w:rPr>
        <w:footnoteRef/>
      </w:r>
      <w:r>
        <w:t xml:space="preserve"> </w:t>
      </w:r>
      <w:r w:rsidR="00AB27BC">
        <w:tab/>
      </w:r>
      <w:r w:rsidR="00733426">
        <w:t xml:space="preserve">HSO, </w:t>
      </w:r>
      <w:r w:rsidR="00504242" w:rsidRPr="00494BD3">
        <w:rPr>
          <w:i/>
        </w:rPr>
        <w:t>Feuillet d’information pour les usagers et les proches : Norme Gouvernance</w:t>
      </w:r>
      <w:r w:rsidR="00504242">
        <w:t>, 2022, p. 2.</w:t>
      </w:r>
      <w:r w:rsidR="00720C48">
        <w:t xml:space="preserve"> Précisons que </w:t>
      </w:r>
      <w:r w:rsidR="00E82673">
        <w:t xml:space="preserve">l’agrément est obligatoire pour les </w:t>
      </w:r>
      <w:r w:rsidR="00D25BEC">
        <w:t xml:space="preserve">établissements </w:t>
      </w:r>
      <w:r w:rsidR="00E82673">
        <w:t>du RSSS</w:t>
      </w:r>
      <w:r w:rsidR="00D25BEC">
        <w:t xml:space="preserve"> en vertu de l’article 107.1 de </w:t>
      </w:r>
      <w:r w:rsidR="005735BC">
        <w:t xml:space="preserve">la </w:t>
      </w:r>
      <w:r w:rsidR="005735BC">
        <w:rPr>
          <w:i/>
          <w:iCs/>
        </w:rPr>
        <w:t>Loi sur les services de santé et les services sociaux</w:t>
      </w:r>
      <w:r w:rsidR="009215D1">
        <w:rPr>
          <w:i/>
          <w:iCs/>
        </w:rPr>
        <w:t xml:space="preserve">, </w:t>
      </w:r>
      <w:r w:rsidR="00BF1197">
        <w:t>RLR</w:t>
      </w:r>
      <w:r w:rsidR="00250412">
        <w:t xml:space="preserve">Q, c. </w:t>
      </w:r>
      <w:r w:rsidR="00250412" w:rsidRPr="00250412">
        <w:t>S-4.2</w:t>
      </w:r>
      <w:r w:rsidR="000A0177">
        <w:t>.</w:t>
      </w:r>
    </w:p>
  </w:footnote>
  <w:footnote w:id="152">
    <w:p w14:paraId="2ABAA035" w14:textId="20ECDFE6" w:rsidR="002A2B33" w:rsidRDefault="002A2B33" w:rsidP="00250412">
      <w:pPr>
        <w:pStyle w:val="NDBP"/>
      </w:pPr>
      <w:r>
        <w:rPr>
          <w:rStyle w:val="Appelnotedebasdep"/>
        </w:rPr>
        <w:footnoteRef/>
      </w:r>
      <w:r>
        <w:t xml:space="preserve"> </w:t>
      </w:r>
      <w:r>
        <w:tab/>
      </w:r>
      <w:r w:rsidRPr="00BB7A00">
        <w:rPr>
          <w:smallCaps/>
        </w:rPr>
        <w:t>Agrément Canada</w:t>
      </w:r>
      <w:r>
        <w:t>, «</w:t>
      </w:r>
      <w:r w:rsidR="001C4421">
        <w:t> </w:t>
      </w:r>
      <w:r>
        <w:t>Notre engagement envers la progression de la sécurité culturelle dans les soins de santé et les services sociaux</w:t>
      </w:r>
      <w:r w:rsidR="001C4421">
        <w:t> </w:t>
      </w:r>
      <w:r>
        <w:t>»</w:t>
      </w:r>
      <w:r w:rsidR="00494BD3">
        <w:t>, 2023</w:t>
      </w:r>
      <w:r w:rsidR="001A5507">
        <w:t>,</w:t>
      </w:r>
      <w:r>
        <w:t xml:space="preserve"> </w:t>
      </w:r>
    </w:p>
  </w:footnote>
  <w:footnote w:id="153">
    <w:p w14:paraId="211501E7" w14:textId="063F28A4" w:rsidR="008D105F" w:rsidRPr="007D0434" w:rsidRDefault="008D105F" w:rsidP="00202CC7">
      <w:pPr>
        <w:pStyle w:val="notebasde"/>
        <w:tabs>
          <w:tab w:val="left" w:pos="709"/>
        </w:tabs>
        <w:ind w:left="709" w:hanging="709"/>
        <w:jc w:val="left"/>
        <w:rPr>
          <w:lang w:val="es-ES"/>
        </w:rPr>
      </w:pPr>
      <w:r w:rsidRPr="00126E04">
        <w:rPr>
          <w:rStyle w:val="Appelnotedebasdep"/>
        </w:rPr>
        <w:footnoteRef/>
      </w:r>
      <w:r w:rsidRPr="007D0434">
        <w:rPr>
          <w:lang w:val="es-ES"/>
        </w:rPr>
        <w:t xml:space="preserve"> </w:t>
      </w:r>
      <w:r w:rsidRPr="007D0434">
        <w:rPr>
          <w:lang w:val="es-ES"/>
        </w:rPr>
        <w:tab/>
      </w:r>
      <w:r w:rsidR="001576CC" w:rsidRPr="007D0434">
        <w:rPr>
          <w:lang w:val="es-ES"/>
        </w:rPr>
        <w:t xml:space="preserve">C. </w:t>
      </w:r>
      <w:proofErr w:type="spellStart"/>
      <w:r w:rsidR="001576CC" w:rsidRPr="007D0434">
        <w:rPr>
          <w:lang w:val="es-ES"/>
        </w:rPr>
        <w:t>prof</w:t>
      </w:r>
      <w:proofErr w:type="spellEnd"/>
      <w:r w:rsidRPr="007D0434">
        <w:rPr>
          <w:lang w:val="es-ES"/>
        </w:rPr>
        <w:t>, art.</w:t>
      </w:r>
      <w:r w:rsidR="004A5310" w:rsidRPr="007D0434">
        <w:rPr>
          <w:lang w:val="es-ES"/>
        </w:rPr>
        <w:t> </w:t>
      </w:r>
      <w:r w:rsidRPr="007D0434">
        <w:rPr>
          <w:lang w:val="es-ES"/>
        </w:rPr>
        <w:t>37.1, al. 1, par. 1.1.1</w:t>
      </w:r>
      <w:r w:rsidRPr="007D0434">
        <w:rPr>
          <w:vertAlign w:val="superscript"/>
          <w:lang w:val="es-ES"/>
        </w:rPr>
        <w:t>o</w:t>
      </w:r>
      <w:r w:rsidRPr="007D0434">
        <w:rPr>
          <w:lang w:val="es-ES"/>
        </w:rPr>
        <w:t>, b), par. 8</w:t>
      </w:r>
      <w:r w:rsidRPr="007D0434">
        <w:rPr>
          <w:vertAlign w:val="superscript"/>
          <w:lang w:val="es-ES"/>
        </w:rPr>
        <w:t>o</w:t>
      </w:r>
      <w:r w:rsidRPr="007D0434">
        <w:rPr>
          <w:lang w:val="es-ES"/>
        </w:rPr>
        <w:t>, b) et par. 9</w:t>
      </w:r>
      <w:r w:rsidRPr="007D0434">
        <w:rPr>
          <w:vertAlign w:val="superscript"/>
          <w:lang w:val="es-ES"/>
        </w:rPr>
        <w:t>o</w:t>
      </w:r>
      <w:r w:rsidRPr="007D0434">
        <w:rPr>
          <w:lang w:val="es-ES"/>
        </w:rPr>
        <w:t>, b)</w:t>
      </w:r>
      <w:r w:rsidR="003042BF" w:rsidRPr="007D0434">
        <w:rPr>
          <w:lang w:val="es-ES"/>
        </w:rPr>
        <w:t>.</w:t>
      </w:r>
    </w:p>
  </w:footnote>
  <w:footnote w:id="154">
    <w:p w14:paraId="3DF6B6DC" w14:textId="7A6124F1" w:rsidR="008D105F" w:rsidRPr="007D0434" w:rsidRDefault="008D105F" w:rsidP="00202CC7">
      <w:pPr>
        <w:pStyle w:val="notebasde"/>
        <w:tabs>
          <w:tab w:val="left" w:pos="709"/>
        </w:tabs>
        <w:ind w:left="709" w:hanging="709"/>
        <w:jc w:val="left"/>
        <w:rPr>
          <w:lang w:val="es-ES"/>
        </w:rPr>
      </w:pPr>
      <w:r w:rsidRPr="00126E04">
        <w:rPr>
          <w:rStyle w:val="Appelnotedebasdep"/>
        </w:rPr>
        <w:footnoteRef/>
      </w:r>
      <w:r w:rsidRPr="007D0434">
        <w:rPr>
          <w:lang w:val="es-ES"/>
        </w:rPr>
        <w:t xml:space="preserve"> </w:t>
      </w:r>
      <w:r w:rsidRPr="007D0434">
        <w:rPr>
          <w:lang w:val="es-ES"/>
        </w:rPr>
        <w:tab/>
      </w:r>
      <w:r w:rsidR="00A54B1A" w:rsidRPr="007D0434">
        <w:rPr>
          <w:lang w:val="es-ES"/>
        </w:rPr>
        <w:t xml:space="preserve">C. </w:t>
      </w:r>
      <w:proofErr w:type="spellStart"/>
      <w:r w:rsidR="00A54B1A" w:rsidRPr="007D0434">
        <w:rPr>
          <w:lang w:val="es-ES"/>
        </w:rPr>
        <w:t>prof</w:t>
      </w:r>
      <w:r w:rsidRPr="007D0434">
        <w:rPr>
          <w:i/>
          <w:iCs/>
          <w:lang w:val="es-ES"/>
        </w:rPr>
        <w:t>.</w:t>
      </w:r>
      <w:proofErr w:type="spellEnd"/>
      <w:r w:rsidRPr="007D0434">
        <w:rPr>
          <w:lang w:val="es-ES"/>
        </w:rPr>
        <w:t>, art. 37.1, al. 1, par. 1.1.1</w:t>
      </w:r>
      <w:r w:rsidRPr="007D0434">
        <w:rPr>
          <w:vertAlign w:val="superscript"/>
          <w:lang w:val="es-ES"/>
        </w:rPr>
        <w:t>o</w:t>
      </w:r>
      <w:r w:rsidRPr="007D0434">
        <w:rPr>
          <w:lang w:val="es-ES"/>
        </w:rPr>
        <w:t>, c), par. 1.2.</w:t>
      </w:r>
      <w:r w:rsidRPr="007D0434">
        <w:rPr>
          <w:vertAlign w:val="superscript"/>
          <w:lang w:val="es-ES"/>
        </w:rPr>
        <w:t>o</w:t>
      </w:r>
      <w:r w:rsidRPr="007D0434">
        <w:rPr>
          <w:lang w:val="es-ES"/>
        </w:rPr>
        <w:t>, d), par. 8</w:t>
      </w:r>
      <w:r w:rsidRPr="007D0434">
        <w:rPr>
          <w:vertAlign w:val="superscript"/>
          <w:lang w:val="es-ES"/>
        </w:rPr>
        <w:t>o</w:t>
      </w:r>
      <w:r w:rsidRPr="007D0434">
        <w:rPr>
          <w:lang w:val="es-ES"/>
        </w:rPr>
        <w:t>, c), par. 9</w:t>
      </w:r>
      <w:r w:rsidRPr="007D0434">
        <w:rPr>
          <w:vertAlign w:val="superscript"/>
          <w:lang w:val="es-ES"/>
        </w:rPr>
        <w:t>o</w:t>
      </w:r>
      <w:r w:rsidRPr="007D0434">
        <w:rPr>
          <w:lang w:val="es-ES"/>
        </w:rPr>
        <w:t>, c), par. 10</w:t>
      </w:r>
      <w:r w:rsidRPr="007D0434">
        <w:rPr>
          <w:vertAlign w:val="superscript"/>
          <w:lang w:val="es-ES"/>
        </w:rPr>
        <w:t>o,</w:t>
      </w:r>
      <w:r w:rsidRPr="007D0434">
        <w:rPr>
          <w:lang w:val="es-ES"/>
        </w:rPr>
        <w:t xml:space="preserve"> c).</w:t>
      </w:r>
    </w:p>
  </w:footnote>
  <w:footnote w:id="155">
    <w:p w14:paraId="3CD1FBC0" w14:textId="7A1E06EB" w:rsidR="008D105F" w:rsidRPr="007D0434" w:rsidRDefault="008D105F" w:rsidP="00202CC7">
      <w:pPr>
        <w:pStyle w:val="notebasde"/>
        <w:tabs>
          <w:tab w:val="left" w:pos="709"/>
        </w:tabs>
        <w:ind w:left="709" w:hanging="709"/>
        <w:jc w:val="left"/>
        <w:rPr>
          <w:lang w:val="es-ES"/>
        </w:rPr>
      </w:pPr>
      <w:r w:rsidRPr="00126E04">
        <w:rPr>
          <w:rStyle w:val="Appelnotedebasdep"/>
        </w:rPr>
        <w:footnoteRef/>
      </w:r>
      <w:r w:rsidRPr="007D0434">
        <w:rPr>
          <w:lang w:val="es-ES"/>
        </w:rPr>
        <w:t xml:space="preserve"> </w:t>
      </w:r>
      <w:r w:rsidRPr="007D0434">
        <w:rPr>
          <w:lang w:val="es-ES"/>
        </w:rPr>
        <w:tab/>
      </w:r>
      <w:r w:rsidR="0016792A" w:rsidRPr="007D0434">
        <w:rPr>
          <w:lang w:val="es-ES"/>
        </w:rPr>
        <w:t xml:space="preserve">C. </w:t>
      </w:r>
      <w:proofErr w:type="spellStart"/>
      <w:r w:rsidR="0016792A" w:rsidRPr="007D0434">
        <w:rPr>
          <w:lang w:val="es-ES"/>
        </w:rPr>
        <w:t>prof</w:t>
      </w:r>
      <w:r w:rsidRPr="007D0434">
        <w:rPr>
          <w:i/>
          <w:iCs/>
          <w:lang w:val="es-ES"/>
        </w:rPr>
        <w:t>.</w:t>
      </w:r>
      <w:proofErr w:type="spellEnd"/>
      <w:r w:rsidRPr="007D0434">
        <w:rPr>
          <w:lang w:val="es-ES"/>
        </w:rPr>
        <w:t>, art. 37.1, al. 1, par. 1.1.1</w:t>
      </w:r>
      <w:r w:rsidRPr="007D0434">
        <w:rPr>
          <w:vertAlign w:val="superscript"/>
          <w:lang w:val="es-ES"/>
        </w:rPr>
        <w:t>o</w:t>
      </w:r>
      <w:r w:rsidRPr="007D0434">
        <w:rPr>
          <w:lang w:val="es-ES"/>
        </w:rPr>
        <w:t>, g), par. 8</w:t>
      </w:r>
      <w:r w:rsidRPr="007D0434">
        <w:rPr>
          <w:vertAlign w:val="superscript"/>
          <w:lang w:val="es-ES"/>
        </w:rPr>
        <w:t>o</w:t>
      </w:r>
      <w:r w:rsidRPr="007D0434">
        <w:rPr>
          <w:lang w:val="es-ES"/>
        </w:rPr>
        <w:t>, d), par. 9</w:t>
      </w:r>
      <w:r w:rsidRPr="007D0434">
        <w:rPr>
          <w:vertAlign w:val="superscript"/>
          <w:lang w:val="es-ES"/>
        </w:rPr>
        <w:t>o</w:t>
      </w:r>
      <w:r w:rsidRPr="007D0434">
        <w:rPr>
          <w:lang w:val="es-ES"/>
        </w:rPr>
        <w:t>, f).</w:t>
      </w:r>
    </w:p>
  </w:footnote>
  <w:footnote w:id="156">
    <w:p w14:paraId="41111C36" w14:textId="77777777"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A3697B">
        <w:rPr>
          <w:i/>
          <w:iCs/>
        </w:rPr>
        <w:t>Loi modifiant le Code des professions et d’autres dispositions législatives dans le domaine de la santé mentale et des relations humaines</w:t>
      </w:r>
      <w:r w:rsidRPr="00126E04">
        <w:t>, L. Q. 2009, c. 28.</w:t>
      </w:r>
    </w:p>
  </w:footnote>
  <w:footnote w:id="157">
    <w:p w14:paraId="6483F5A5" w14:textId="66CECFD0" w:rsidR="00C30054"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432B7D" w:rsidRPr="00126E04">
        <w:rPr>
          <w:smallCaps/>
        </w:rPr>
        <w:t>L’Office des professions du Québec</w:t>
      </w:r>
      <w:r w:rsidR="00432B7D" w:rsidRPr="00126E04">
        <w:t xml:space="preserve">, </w:t>
      </w:r>
      <w:r w:rsidRPr="00A3697B">
        <w:rPr>
          <w:i/>
          <w:iCs/>
        </w:rPr>
        <w:t>Des solutions adaptées aux communautés des Premières Nations et des Inuit</w:t>
      </w:r>
      <w:r w:rsidR="00561639" w:rsidRPr="00A3697B">
        <w:rPr>
          <w:i/>
          <w:iCs/>
        </w:rPr>
        <w:t>s</w:t>
      </w:r>
      <w:r w:rsidRPr="00A3697B">
        <w:rPr>
          <w:i/>
          <w:iCs/>
        </w:rPr>
        <w:t xml:space="preserve"> pour soutenir l’application du PL</w:t>
      </w:r>
      <w:r w:rsidR="00791085" w:rsidRPr="00A3697B">
        <w:rPr>
          <w:i/>
          <w:iCs/>
        </w:rPr>
        <w:t xml:space="preserve"> </w:t>
      </w:r>
      <w:r w:rsidRPr="00A3697B">
        <w:rPr>
          <w:i/>
          <w:iCs/>
        </w:rPr>
        <w:t>21</w:t>
      </w:r>
      <w:r w:rsidR="00860E48" w:rsidRPr="00A3697B">
        <w:rPr>
          <w:i/>
          <w:iCs/>
        </w:rPr>
        <w:t xml:space="preserve"> – Rapport du Comité sur l’application du PL 21 au sein des communautés autochtones</w:t>
      </w:r>
      <w:r w:rsidRPr="00126E04">
        <w:t xml:space="preserve">, 2016, p. </w:t>
      </w:r>
      <w:r w:rsidR="00145139" w:rsidRPr="00126E04">
        <w:t xml:space="preserve">v et </w:t>
      </w:r>
      <w:r w:rsidRPr="00126E04">
        <w:t>vi</w:t>
      </w:r>
      <w:r w:rsidR="00C30054" w:rsidRPr="00126E04">
        <w:t>.</w:t>
      </w:r>
      <w:r w:rsidRPr="00126E04">
        <w:t xml:space="preserve"> </w:t>
      </w:r>
    </w:p>
    <w:p w14:paraId="11A16932" w14:textId="08795EF4" w:rsidR="00D16CB5" w:rsidRPr="00126E04" w:rsidRDefault="00CC0258" w:rsidP="00202CC7">
      <w:pPr>
        <w:pStyle w:val="notebasde"/>
        <w:tabs>
          <w:tab w:val="left" w:pos="709"/>
        </w:tabs>
        <w:ind w:left="709" w:hanging="709"/>
        <w:jc w:val="left"/>
      </w:pPr>
      <w:r w:rsidRPr="00126E04">
        <w:tab/>
      </w:r>
      <w:r w:rsidR="00D16CB5" w:rsidRPr="00A3697B">
        <w:rPr>
          <w:i/>
          <w:iCs/>
        </w:rPr>
        <w:t>Pour accroître le nombre d’intervenants des Premières Nations et des Inuits (PNI) habilités à exercer les activités réservées par le PL 21</w:t>
      </w:r>
      <w:r w:rsidR="00B473B0">
        <w:t> </w:t>
      </w:r>
      <w:r w:rsidR="00D16CB5" w:rsidRPr="00126E04">
        <w:t>:</w:t>
      </w:r>
    </w:p>
    <w:p w14:paraId="784D64F3" w14:textId="2E845C32" w:rsidR="00D16CB5" w:rsidRPr="00126E04" w:rsidRDefault="00D16CB5" w:rsidP="00D709C8">
      <w:pPr>
        <w:pStyle w:val="notebasde"/>
        <w:numPr>
          <w:ilvl w:val="0"/>
          <w:numId w:val="21"/>
        </w:numPr>
        <w:tabs>
          <w:tab w:val="left" w:pos="709"/>
        </w:tabs>
        <w:ind w:hanging="720"/>
        <w:jc w:val="left"/>
      </w:pPr>
      <w:r w:rsidRPr="00126E04">
        <w:t>Élaborer des mesures adaptées de formation qualifiante, de reconnaissance et de rehaussement des compétences, destinées à des intervenants des PNI en vue de l’exercice d’activités réservées par le PL 21.</w:t>
      </w:r>
    </w:p>
    <w:p w14:paraId="4C26AA8C" w14:textId="26D1AD9A" w:rsidR="00D16CB5" w:rsidRPr="00126E04" w:rsidRDefault="00D16CB5" w:rsidP="00D709C8">
      <w:pPr>
        <w:pStyle w:val="notebasde"/>
        <w:numPr>
          <w:ilvl w:val="0"/>
          <w:numId w:val="21"/>
        </w:numPr>
        <w:tabs>
          <w:tab w:val="left" w:pos="709"/>
        </w:tabs>
        <w:ind w:hanging="720"/>
        <w:jc w:val="left"/>
      </w:pPr>
      <w:r w:rsidRPr="00126E04">
        <w:t xml:space="preserve">Mettre en place des mécanismes réglementaires permettant aux ordres professionnels de reconnaître les compétences et d’autoriser progressivement l’exercice d’activités réservées. </w:t>
      </w:r>
    </w:p>
    <w:p w14:paraId="0269A8D6" w14:textId="54FDB2B4" w:rsidR="00D16CB5" w:rsidRPr="00126E04" w:rsidRDefault="00D16CB5" w:rsidP="00D709C8">
      <w:pPr>
        <w:pStyle w:val="notebasde"/>
        <w:numPr>
          <w:ilvl w:val="0"/>
          <w:numId w:val="21"/>
        </w:numPr>
        <w:tabs>
          <w:tab w:val="left" w:pos="709"/>
        </w:tabs>
        <w:ind w:hanging="720"/>
        <w:jc w:val="left"/>
      </w:pPr>
      <w:r w:rsidRPr="00126E04">
        <w:t>Mettre en place des mesures incitatives aux conditions d’emploi.</w:t>
      </w:r>
      <w:r w:rsidRPr="00126E04" w:rsidDel="0090385B">
        <w:t xml:space="preserve"> </w:t>
      </w:r>
    </w:p>
    <w:p w14:paraId="2A7EC367" w14:textId="77777777" w:rsidR="00D16CB5" w:rsidRPr="00126E04" w:rsidRDefault="00D16CB5" w:rsidP="00D709C8">
      <w:pPr>
        <w:pStyle w:val="notebasde"/>
        <w:tabs>
          <w:tab w:val="left" w:pos="709"/>
        </w:tabs>
        <w:ind w:left="709" w:hanging="720"/>
        <w:jc w:val="left"/>
      </w:pPr>
      <w:r w:rsidRPr="00126E04">
        <w:tab/>
      </w:r>
      <w:r w:rsidRPr="00A3697B">
        <w:rPr>
          <w:i/>
          <w:iCs/>
        </w:rPr>
        <w:t>Pour soutenir l’application du PL 21 dans les communautés des PNI</w:t>
      </w:r>
      <w:r w:rsidRPr="00126E04">
        <w:t xml:space="preserve"> : </w:t>
      </w:r>
    </w:p>
    <w:p w14:paraId="5C1B1FF5" w14:textId="4CF8292B" w:rsidR="00D16CB5" w:rsidRPr="00126E04" w:rsidRDefault="00D16CB5" w:rsidP="00D709C8">
      <w:pPr>
        <w:pStyle w:val="notebasde"/>
        <w:numPr>
          <w:ilvl w:val="0"/>
          <w:numId w:val="21"/>
        </w:numPr>
        <w:tabs>
          <w:tab w:val="left" w:pos="709"/>
        </w:tabs>
        <w:ind w:hanging="720"/>
        <w:jc w:val="left"/>
      </w:pPr>
      <w:r w:rsidRPr="00126E04">
        <w:t xml:space="preserve">Mettre en place des mesures d’attraction et de rétention des professionnels membres d’un ordre. </w:t>
      </w:r>
    </w:p>
    <w:p w14:paraId="17A5ED2C" w14:textId="67503361" w:rsidR="00D16CB5" w:rsidRPr="00126E04" w:rsidRDefault="00D16CB5" w:rsidP="00D709C8">
      <w:pPr>
        <w:pStyle w:val="notebasde"/>
        <w:numPr>
          <w:ilvl w:val="0"/>
          <w:numId w:val="21"/>
        </w:numPr>
        <w:tabs>
          <w:tab w:val="left" w:pos="709"/>
        </w:tabs>
        <w:ind w:hanging="720"/>
        <w:jc w:val="left"/>
      </w:pPr>
      <w:r w:rsidRPr="00126E04">
        <w:t xml:space="preserve">Faciliter la pratique de professionnels anglophones en communauté autochtone anglophone. </w:t>
      </w:r>
    </w:p>
    <w:p w14:paraId="53886B6D" w14:textId="0AD00B80" w:rsidR="00D16CB5" w:rsidRPr="00126E04" w:rsidRDefault="00D16CB5" w:rsidP="00D709C8">
      <w:pPr>
        <w:pStyle w:val="notebasde"/>
        <w:numPr>
          <w:ilvl w:val="0"/>
          <w:numId w:val="21"/>
        </w:numPr>
        <w:tabs>
          <w:tab w:val="left" w:pos="709"/>
        </w:tabs>
        <w:ind w:hanging="720"/>
        <w:jc w:val="left"/>
      </w:pPr>
      <w:r w:rsidRPr="00126E04">
        <w:t xml:space="preserve">Reconnaître les acquis et les compétences des intervenants pratiquant ou œuvrant déjà au sein des communautés des PNI. </w:t>
      </w:r>
    </w:p>
    <w:p w14:paraId="338E2883" w14:textId="6A55D942" w:rsidR="00D16CB5" w:rsidRPr="00126E04" w:rsidRDefault="00D16CB5" w:rsidP="00D709C8">
      <w:pPr>
        <w:pStyle w:val="notebasde"/>
        <w:numPr>
          <w:ilvl w:val="0"/>
          <w:numId w:val="21"/>
        </w:numPr>
        <w:tabs>
          <w:tab w:val="left" w:pos="709"/>
        </w:tabs>
        <w:ind w:hanging="720"/>
        <w:jc w:val="left"/>
      </w:pPr>
      <w:r w:rsidRPr="00126E04">
        <w:t xml:space="preserve">Répertorier les outils d’intervention et d’évaluation adaptés au contexte des PNI. </w:t>
      </w:r>
    </w:p>
    <w:p w14:paraId="6FB5035A" w14:textId="77777777" w:rsidR="00D16CB5" w:rsidRPr="00A3697B" w:rsidRDefault="00D16CB5" w:rsidP="00D709C8">
      <w:pPr>
        <w:pStyle w:val="notebasde"/>
        <w:tabs>
          <w:tab w:val="left" w:pos="709"/>
        </w:tabs>
        <w:ind w:left="709" w:hanging="720"/>
        <w:jc w:val="left"/>
        <w:rPr>
          <w:i/>
          <w:iCs/>
        </w:rPr>
      </w:pPr>
      <w:r w:rsidRPr="00126E04">
        <w:tab/>
      </w:r>
      <w:r w:rsidRPr="00A3697B">
        <w:rPr>
          <w:i/>
          <w:iCs/>
        </w:rPr>
        <w:t xml:space="preserve">Pour assurer la mise en œuvre des recommandations : </w:t>
      </w:r>
    </w:p>
    <w:p w14:paraId="0E4E84C4" w14:textId="7A7C95CF" w:rsidR="00D16CB5" w:rsidRPr="00126E04" w:rsidRDefault="00D16CB5" w:rsidP="00D709C8">
      <w:pPr>
        <w:pStyle w:val="notebasde"/>
        <w:numPr>
          <w:ilvl w:val="0"/>
          <w:numId w:val="21"/>
        </w:numPr>
        <w:tabs>
          <w:tab w:val="left" w:pos="709"/>
        </w:tabs>
        <w:ind w:hanging="720"/>
        <w:jc w:val="left"/>
      </w:pPr>
      <w:r w:rsidRPr="00126E04">
        <w:t xml:space="preserve">Mettre en place un comité directeur pour assurer le suivi de la mise en œuvre. </w:t>
      </w:r>
    </w:p>
    <w:p w14:paraId="0FBACA98" w14:textId="05CA6A4C" w:rsidR="00807B62" w:rsidRPr="00126E04" w:rsidRDefault="00D16CB5" w:rsidP="00D709C8">
      <w:pPr>
        <w:pStyle w:val="notebasde"/>
        <w:numPr>
          <w:ilvl w:val="0"/>
          <w:numId w:val="21"/>
        </w:numPr>
        <w:tabs>
          <w:tab w:val="left" w:pos="709"/>
        </w:tabs>
        <w:ind w:hanging="709"/>
        <w:jc w:val="left"/>
      </w:pPr>
      <w:r w:rsidRPr="00126E04">
        <w:t>Constituer un fonds pluriannuel pour la mise en œuvre des recommandations</w:t>
      </w:r>
      <w:r w:rsidRPr="00A3697B">
        <w:t>.</w:t>
      </w:r>
    </w:p>
  </w:footnote>
  <w:footnote w:id="158">
    <w:p w14:paraId="0BFAEEC1" w14:textId="31F945FC"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t>Commission Viens, p.</w:t>
      </w:r>
      <w:r w:rsidR="00F454C0" w:rsidRPr="00126E04">
        <w:t> </w:t>
      </w:r>
      <w:r w:rsidRPr="00126E04">
        <w:t>426</w:t>
      </w:r>
      <w:r w:rsidR="00860477" w:rsidRPr="00126E04">
        <w:t> </w:t>
      </w:r>
      <w:r w:rsidRPr="00126E04">
        <w:t xml:space="preserve">; À cet égard, en 2018, la Régie </w:t>
      </w:r>
      <w:r w:rsidR="00EB31F2" w:rsidRPr="00126E04">
        <w:t>r</w:t>
      </w:r>
      <w:r w:rsidRPr="00126E04">
        <w:t xml:space="preserve">égionale de la santé et des services sociaux du Nunavik soutenait que l’application du PL-21 avait généré des bris de services et imposé des obstacles à une offre de services culturellement sécuritaires, ajoutant que la majorité des services était offert par des allochtones ne parlant pas l’inuktitut et n’ayant pas de connaissances suffisantes sur les réalités </w:t>
      </w:r>
      <w:proofErr w:type="gramStart"/>
      <w:r w:rsidRPr="00126E04">
        <w:t>des Inuit</w:t>
      </w:r>
      <w:proofErr w:type="gramEnd"/>
      <w:r w:rsidRPr="00126E04">
        <w:t xml:space="preserve">. </w:t>
      </w:r>
      <w:r w:rsidRPr="00126E04">
        <w:rPr>
          <w:smallCaps/>
        </w:rPr>
        <w:t>Régie régionale de la santé et des services sociaux du Nunavik</w:t>
      </w:r>
      <w:r w:rsidRPr="00126E04">
        <w:t xml:space="preserve">, </w:t>
      </w:r>
      <w:r w:rsidR="00754C7D" w:rsidRPr="00126E04">
        <w:rPr>
          <w:i/>
          <w:iCs/>
        </w:rPr>
        <w:t xml:space="preserve">Mémoire de la Régie Régionale de la </w:t>
      </w:r>
      <w:r w:rsidR="00AE3808" w:rsidRPr="00126E04">
        <w:rPr>
          <w:i/>
          <w:iCs/>
        </w:rPr>
        <w:t>S</w:t>
      </w:r>
      <w:r w:rsidR="00754C7D" w:rsidRPr="00126E04">
        <w:rPr>
          <w:i/>
          <w:iCs/>
        </w:rPr>
        <w:t xml:space="preserve">anté et des </w:t>
      </w:r>
      <w:r w:rsidR="00AE3808" w:rsidRPr="00126E04">
        <w:rPr>
          <w:i/>
          <w:iCs/>
        </w:rPr>
        <w:t>S</w:t>
      </w:r>
      <w:r w:rsidR="00754C7D" w:rsidRPr="00126E04">
        <w:rPr>
          <w:i/>
          <w:iCs/>
        </w:rPr>
        <w:t>ervices</w:t>
      </w:r>
      <w:r w:rsidR="00657CCD" w:rsidRPr="00126E04">
        <w:rPr>
          <w:i/>
          <w:iCs/>
        </w:rPr>
        <w:t xml:space="preserve"> </w:t>
      </w:r>
      <w:r w:rsidR="00754C7D" w:rsidRPr="00126E04">
        <w:rPr>
          <w:i/>
          <w:iCs/>
        </w:rPr>
        <w:t>sociaux du Nunavik</w:t>
      </w:r>
      <w:r w:rsidR="00754C7D" w:rsidRPr="00126E04">
        <w:t xml:space="preserve"> </w:t>
      </w:r>
      <w:r w:rsidR="00F454C0" w:rsidRPr="00126E04">
        <w:t>—</w:t>
      </w:r>
      <w:r w:rsidR="00754C7D" w:rsidRPr="00126E04">
        <w:t xml:space="preserve"> </w:t>
      </w:r>
      <w:r w:rsidRPr="00126E04">
        <w:rPr>
          <w:i/>
          <w:iCs/>
        </w:rPr>
        <w:t>Une vision intégrée de la sécurisation culturelle du réseau de la santé et des services sociaux du Nunavi</w:t>
      </w:r>
      <w:r w:rsidR="00754C7D" w:rsidRPr="00126E04">
        <w:rPr>
          <w:i/>
          <w:iCs/>
        </w:rPr>
        <w:t xml:space="preserve">k </w:t>
      </w:r>
      <w:r w:rsidR="00F454C0" w:rsidRPr="00126E04">
        <w:rPr>
          <w:i/>
          <w:iCs/>
        </w:rPr>
        <w:t>—</w:t>
      </w:r>
      <w:r w:rsidRPr="00126E04">
        <w:t xml:space="preserve"> </w:t>
      </w:r>
      <w:r w:rsidRPr="00126E04">
        <w:rPr>
          <w:i/>
          <w:iCs/>
        </w:rPr>
        <w:t>présenté à la Commission d’enquête sur les relations entre les Autochtones et certains services publics : écoute, réconciliation et progrès</w:t>
      </w:r>
      <w:r w:rsidRPr="00126E04">
        <w:t>, 2018, p.</w:t>
      </w:r>
      <w:r w:rsidR="00F454C0" w:rsidRPr="00126E04">
        <w:t> </w:t>
      </w:r>
      <w:r w:rsidRPr="00126E04">
        <w:t>8.</w:t>
      </w:r>
      <w:r w:rsidR="0067724B" w:rsidRPr="00126E04">
        <w:t xml:space="preserve"> Voir aussi </w:t>
      </w:r>
      <w:r w:rsidR="00137930" w:rsidRPr="00126E04">
        <w:t xml:space="preserve">S. L. </w:t>
      </w:r>
      <w:r w:rsidR="00137930" w:rsidRPr="00126E04">
        <w:rPr>
          <w:smallCaps/>
        </w:rPr>
        <w:t>Fraser</w:t>
      </w:r>
      <w:r w:rsidR="00137930" w:rsidRPr="00126E04">
        <w:t>, D.</w:t>
      </w:r>
      <w:r w:rsidR="00F454C0" w:rsidRPr="00126E04">
        <w:t> </w:t>
      </w:r>
      <w:proofErr w:type="spellStart"/>
      <w:r w:rsidR="00137930" w:rsidRPr="00126E04">
        <w:rPr>
          <w:smallCaps/>
        </w:rPr>
        <w:t>Gaulin</w:t>
      </w:r>
      <w:proofErr w:type="spellEnd"/>
      <w:r w:rsidR="00137930" w:rsidRPr="00126E04">
        <w:t xml:space="preserve"> et W. D. </w:t>
      </w:r>
      <w:r w:rsidR="00137930" w:rsidRPr="00126E04">
        <w:rPr>
          <w:smallCaps/>
        </w:rPr>
        <w:t>Fraser,</w:t>
      </w:r>
      <w:r w:rsidR="00D27697" w:rsidRPr="00126E04">
        <w:t xml:space="preserve"> </w:t>
      </w:r>
      <w:proofErr w:type="spellStart"/>
      <w:r w:rsidR="00D27697" w:rsidRPr="00126E04">
        <w:t>préc</w:t>
      </w:r>
      <w:proofErr w:type="spellEnd"/>
      <w:r w:rsidR="00D27697" w:rsidRPr="00126E04">
        <w:t xml:space="preserve">., note </w:t>
      </w:r>
      <w:r w:rsidR="00A26C83">
        <w:fldChar w:fldCharType="begin"/>
      </w:r>
      <w:r w:rsidR="00A26C83">
        <w:instrText xml:space="preserve"> NOTEREF _Ref140156845 \h </w:instrText>
      </w:r>
      <w:r w:rsidR="00A26C83">
        <w:fldChar w:fldCharType="separate"/>
      </w:r>
      <w:r w:rsidR="008A75EF">
        <w:t>125</w:t>
      </w:r>
      <w:r w:rsidR="00A26C83">
        <w:fldChar w:fldCharType="end"/>
      </w:r>
      <w:r w:rsidR="00D27697" w:rsidRPr="00126E04">
        <w:fldChar w:fldCharType="begin"/>
      </w:r>
      <w:r w:rsidR="00D27697" w:rsidRPr="00126E04">
        <w:instrText xml:space="preserve"> NOTEREF _Ref144388858 \h </w:instrText>
      </w:r>
      <w:r w:rsidR="00C84C0A" w:rsidRPr="00126E04">
        <w:instrText xml:space="preserve"> \* MERGEFORMAT </w:instrText>
      </w:r>
      <w:r w:rsidR="00D27697" w:rsidRPr="00126E04">
        <w:fldChar w:fldCharType="separate"/>
      </w:r>
      <w:r w:rsidR="008A75EF">
        <w:t>125</w:t>
      </w:r>
      <w:r w:rsidR="00D27697" w:rsidRPr="00126E04">
        <w:fldChar w:fldCharType="end"/>
      </w:r>
      <w:r w:rsidR="00D27697" w:rsidRPr="00126E04">
        <w:t>.</w:t>
      </w:r>
    </w:p>
  </w:footnote>
  <w:footnote w:id="159">
    <w:p w14:paraId="34A62B2B" w14:textId="77777777"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iCs/>
        </w:rPr>
        <w:t>Id.</w:t>
      </w:r>
      <w:r w:rsidRPr="00126E04">
        <w:t>, p. 17.</w:t>
      </w:r>
    </w:p>
  </w:footnote>
  <w:footnote w:id="160">
    <w:p w14:paraId="680C1BF1" w14:textId="2A0706F4"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9A0E21" w:rsidRPr="00126E04">
        <w:rPr>
          <w:smallCaps/>
        </w:rPr>
        <w:t>L’Office des professions du Québec</w:t>
      </w:r>
      <w:r w:rsidRPr="00126E04">
        <w:t xml:space="preserve">, </w:t>
      </w:r>
      <w:proofErr w:type="spellStart"/>
      <w:r w:rsidR="008A6449" w:rsidRPr="00126E04">
        <w:t>préc</w:t>
      </w:r>
      <w:proofErr w:type="spellEnd"/>
      <w:r w:rsidR="008A6449" w:rsidRPr="00126E04">
        <w:t xml:space="preserve">., </w:t>
      </w:r>
      <w:bookmarkStart w:id="59" w:name="_Hlk145326846"/>
      <w:r w:rsidR="008A6449" w:rsidRPr="00126E04">
        <w:t xml:space="preserve">note </w:t>
      </w:r>
      <w:r w:rsidR="00CE759C">
        <w:fldChar w:fldCharType="begin"/>
      </w:r>
      <w:r w:rsidR="00CE759C">
        <w:instrText xml:space="preserve"> NOTEREF _Ref144810369 \h </w:instrText>
      </w:r>
      <w:r w:rsidR="00CE759C">
        <w:fldChar w:fldCharType="separate"/>
      </w:r>
      <w:r w:rsidR="008A75EF">
        <w:t>156</w:t>
      </w:r>
      <w:r w:rsidR="00CE759C">
        <w:fldChar w:fldCharType="end"/>
      </w:r>
      <w:bookmarkEnd w:id="59"/>
      <w:r w:rsidR="008A6449" w:rsidRPr="00126E04">
        <w:fldChar w:fldCharType="begin"/>
      </w:r>
      <w:r w:rsidR="008A6449" w:rsidRPr="00126E04">
        <w:instrText xml:space="preserve"> NOTEREF _Ref144810369 \h </w:instrText>
      </w:r>
      <w:r w:rsidR="00AD6FFC" w:rsidRPr="00126E04">
        <w:instrText xml:space="preserve"> \* MERGEFORMAT </w:instrText>
      </w:r>
      <w:r w:rsidR="008A6449" w:rsidRPr="00126E04">
        <w:fldChar w:fldCharType="separate"/>
      </w:r>
      <w:r w:rsidR="008A75EF">
        <w:t>156</w:t>
      </w:r>
      <w:r w:rsidR="008A6449" w:rsidRPr="00126E04">
        <w:fldChar w:fldCharType="end"/>
      </w:r>
      <w:r w:rsidR="008A6449" w:rsidRPr="00126E04">
        <w:t>,</w:t>
      </w:r>
      <w:r w:rsidRPr="00126E04">
        <w:t xml:space="preserve"> p. 16.</w:t>
      </w:r>
    </w:p>
  </w:footnote>
  <w:footnote w:id="161">
    <w:p w14:paraId="3398D9F2" w14:textId="77777777"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iCs/>
        </w:rPr>
        <w:t>Id.</w:t>
      </w:r>
    </w:p>
  </w:footnote>
  <w:footnote w:id="162">
    <w:p w14:paraId="09EDFA40" w14:textId="1DE95CAF"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des droits de la personne et des droits de la jeunesse</w:t>
      </w:r>
      <w:r w:rsidRPr="00126E04">
        <w:t xml:space="preserve">, </w:t>
      </w:r>
      <w:r w:rsidRPr="00376F46">
        <w:rPr>
          <w:i/>
          <w:iCs/>
        </w:rPr>
        <w:t>Commentaires sur le projet de loi n</w:t>
      </w:r>
      <w:r w:rsidRPr="00376F46">
        <w:rPr>
          <w:i/>
          <w:iCs/>
          <w:vertAlign w:val="superscript"/>
        </w:rPr>
        <w:t>o</w:t>
      </w:r>
      <w:r w:rsidRPr="00376F46">
        <w:rPr>
          <w:i/>
          <w:iCs/>
        </w:rPr>
        <w:t xml:space="preserve"> 21, Loi modifiant le Code des professions et d’autres dispositions législatives dans le domaine de la santé mentale et des relations humaines</w:t>
      </w:r>
      <w:r w:rsidRPr="00126E04">
        <w:t>, (Cat. 2.412.105.1), 2009,</w:t>
      </w:r>
      <w:r w:rsidR="006E4C31" w:rsidRPr="00126E04">
        <w:t xml:space="preserve"> </w:t>
      </w:r>
      <w:r w:rsidRPr="00126E04">
        <w:t>p. 3.</w:t>
      </w:r>
    </w:p>
  </w:footnote>
  <w:footnote w:id="163">
    <w:p w14:paraId="09A61ADB" w14:textId="7AE5D6AC"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0C276A" w:rsidRPr="00126E04">
        <w:rPr>
          <w:smallCaps/>
        </w:rPr>
        <w:t>Commission des droits de la personne et des droits de la jeunesse</w:t>
      </w:r>
      <w:r w:rsidRPr="00126E04">
        <w:t xml:space="preserve">, </w:t>
      </w:r>
      <w:proofErr w:type="spellStart"/>
      <w:r w:rsidRPr="00126E04">
        <w:t>préc</w:t>
      </w:r>
      <w:proofErr w:type="spellEnd"/>
      <w:r w:rsidRPr="00126E04">
        <w:t>., note </w:t>
      </w:r>
      <w:r w:rsidR="00CB49B0" w:rsidRPr="00126E04">
        <w:fldChar w:fldCharType="begin"/>
      </w:r>
      <w:r w:rsidR="00CB49B0" w:rsidRPr="00126E04">
        <w:instrText xml:space="preserve"> NOTEREF _Ref144801800 \h </w:instrText>
      </w:r>
      <w:r w:rsidR="00AD6FFC" w:rsidRPr="00126E04">
        <w:instrText xml:space="preserve"> \* MERGEFORMAT </w:instrText>
      </w:r>
      <w:r w:rsidR="00CB49B0" w:rsidRPr="00126E04">
        <w:fldChar w:fldCharType="separate"/>
      </w:r>
      <w:r w:rsidR="008A75EF">
        <w:t>32</w:t>
      </w:r>
      <w:r w:rsidR="00CB49B0" w:rsidRPr="00126E04">
        <w:fldChar w:fldCharType="end"/>
      </w:r>
      <w:r w:rsidRPr="00126E04">
        <w:t>, p. 40</w:t>
      </w:r>
      <w:r w:rsidR="009A0E21" w:rsidRPr="00126E04">
        <w:t xml:space="preserve"> et </w:t>
      </w:r>
      <w:r w:rsidRPr="00126E04">
        <w:t>41.</w:t>
      </w:r>
    </w:p>
  </w:footnote>
  <w:footnote w:id="164">
    <w:p w14:paraId="4461007A" w14:textId="589A1652"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t>Voir par exemple</w:t>
      </w:r>
      <w:r w:rsidR="00F254A2" w:rsidRPr="00126E04">
        <w:t> </w:t>
      </w:r>
      <w:r w:rsidRPr="00126E04">
        <w:t>: C</w:t>
      </w:r>
      <w:r w:rsidRPr="00126E04">
        <w:rPr>
          <w:smallCaps/>
        </w:rPr>
        <w:t>ommission de protection de la jeunesse</w:t>
      </w:r>
      <w:r w:rsidRPr="00126E04">
        <w:t xml:space="preserve">, </w:t>
      </w:r>
      <w:r w:rsidRPr="00126E04">
        <w:rPr>
          <w:i/>
          <w:iCs/>
        </w:rPr>
        <w:t>Enquête sur la situation de 102 enfants amérindiens en Abitibi-Témiscamingue</w:t>
      </w:r>
      <w:r w:rsidRPr="00126E04">
        <w:t>, Comité des enquêtes, 1990. Voir entre autres</w:t>
      </w:r>
      <w:r w:rsidR="00F254A2" w:rsidRPr="00126E04">
        <w:t> </w:t>
      </w:r>
      <w:r w:rsidRPr="00126E04">
        <w:t>: Enquête Nunavik 2007 ; C</w:t>
      </w:r>
      <w:r w:rsidRPr="00126E04">
        <w:rPr>
          <w:smallCaps/>
        </w:rPr>
        <w:t>ommission des droits de la personne et des droits de la jeunesse</w:t>
      </w:r>
      <w:r w:rsidRPr="00126E04">
        <w:t xml:space="preserve">, </w:t>
      </w:r>
      <w:r w:rsidRPr="00126E04">
        <w:rPr>
          <w:i/>
          <w:iCs/>
        </w:rPr>
        <w:t>Rapport de suivi des recommandations de l’enquête portant sur les services de protection de la jeunesse dans la baie d’Ungava et la baie d’Hudson</w:t>
      </w:r>
      <w:r w:rsidRPr="00126E04">
        <w:t>, 2010</w:t>
      </w:r>
      <w:r w:rsidR="00860477" w:rsidRPr="00126E04">
        <w:t> </w:t>
      </w:r>
      <w:r w:rsidRPr="00126E04">
        <w:t>; C</w:t>
      </w:r>
      <w:r w:rsidRPr="00126E04">
        <w:rPr>
          <w:smallCaps/>
        </w:rPr>
        <w:t>ommission des droits de la personne et des droits de la jeunesse</w:t>
      </w:r>
      <w:r w:rsidRPr="00126E04">
        <w:t xml:space="preserve">, </w:t>
      </w:r>
      <w:r w:rsidRPr="00126E04">
        <w:rPr>
          <w:iCs/>
        </w:rPr>
        <w:t>« Lettre à la ministre de la Santé et des Services sociaux et au ministre délégué à la Santé et aux Services sociaux sur les services de protection de l’enfance et de la jeunesse au Nunavik »</w:t>
      </w:r>
      <w:r w:rsidRPr="00126E04">
        <w:t>, Communiqué, 18 mars 2019</w:t>
      </w:r>
      <w:r w:rsidR="008A72D4" w:rsidRPr="00126E04">
        <w:t xml:space="preserve">. </w:t>
      </w:r>
    </w:p>
  </w:footnote>
  <w:footnote w:id="165">
    <w:p w14:paraId="585C15A5" w14:textId="6FD053AB"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D709C8">
        <w:rPr>
          <w:i/>
          <w:iCs/>
        </w:rPr>
        <w:t>Décision de la Chambre de la jeunesse, district d’Abitibi, village d’Akulivik</w:t>
      </w:r>
      <w:r w:rsidRPr="00126E04">
        <w:t>, n</w:t>
      </w:r>
      <w:r w:rsidRPr="00126E04">
        <w:rPr>
          <w:vertAlign w:val="superscript"/>
        </w:rPr>
        <w:t>os</w:t>
      </w:r>
      <w:r w:rsidRPr="00126E04">
        <w:t xml:space="preserve"> 640-41-001362-117 et 640-41-001363-115, 8</w:t>
      </w:r>
      <w:r w:rsidR="001C4421">
        <w:t> </w:t>
      </w:r>
      <w:r w:rsidRPr="00126E04">
        <w:t>décembre 2011, j. McKenna (non publiée)</w:t>
      </w:r>
      <w:r w:rsidR="001C4421">
        <w:t> </w:t>
      </w:r>
      <w:r w:rsidRPr="00126E04">
        <w:t xml:space="preserve">; </w:t>
      </w:r>
      <w:r w:rsidRPr="00D709C8">
        <w:rPr>
          <w:i/>
          <w:iCs/>
        </w:rPr>
        <w:t>Décision de la Chambre de la jeunesse, district d’Abitibi, village de Kuujjuaq</w:t>
      </w:r>
      <w:r w:rsidRPr="00126E04">
        <w:t>, n</w:t>
      </w:r>
      <w:r w:rsidRPr="00126E04">
        <w:rPr>
          <w:vertAlign w:val="superscript"/>
        </w:rPr>
        <w:t>os</w:t>
      </w:r>
      <w:r w:rsidRPr="00126E04">
        <w:t xml:space="preserve"> 635-41-00643-152, 635-41-00644-150 et 635-41-000645-157, 28</w:t>
      </w:r>
      <w:r w:rsidR="001C4421">
        <w:t> </w:t>
      </w:r>
      <w:r w:rsidRPr="00126E04">
        <w:t>novembre 2016, j. Leduc (non publiée)</w:t>
      </w:r>
      <w:r w:rsidR="001C4421">
        <w:t> </w:t>
      </w:r>
      <w:r w:rsidRPr="00126E04">
        <w:t>; Protection de la jeunesse – 1884, 2018 QCCQ 248, j. Beauchemin</w:t>
      </w:r>
      <w:r w:rsidR="001C4421">
        <w:t> </w:t>
      </w:r>
      <w:r w:rsidRPr="00126E04">
        <w:t xml:space="preserve">; </w:t>
      </w:r>
      <w:r w:rsidRPr="00D709C8">
        <w:rPr>
          <w:i/>
          <w:iCs/>
        </w:rPr>
        <w:t>Décision de la Chambre de la jeunesse, district d’Abitibi, village de Kangirsuk</w:t>
      </w:r>
      <w:r w:rsidRPr="00126E04">
        <w:t>, n</w:t>
      </w:r>
      <w:r w:rsidRPr="00126E04">
        <w:rPr>
          <w:vertAlign w:val="superscript"/>
        </w:rPr>
        <w:t>o</w:t>
      </w:r>
      <w:r w:rsidRPr="00126E04">
        <w:t xml:space="preserve"> 635-41-000730-165, 9</w:t>
      </w:r>
      <w:r w:rsidR="001C4421">
        <w:t> </w:t>
      </w:r>
      <w:r w:rsidRPr="00126E04">
        <w:t xml:space="preserve">juillet 2018, j. Lemoine (non publiée) et </w:t>
      </w:r>
      <w:r w:rsidRPr="00D709C8">
        <w:rPr>
          <w:i/>
          <w:iCs/>
        </w:rPr>
        <w:t>Décision de la Chambre de la jeunesse, district d’Abitibi, village de Puvirnituq</w:t>
      </w:r>
      <w:r w:rsidRPr="00126E04">
        <w:t>, n</w:t>
      </w:r>
      <w:r w:rsidRPr="00126E04">
        <w:rPr>
          <w:vertAlign w:val="superscript"/>
        </w:rPr>
        <w:t>o</w:t>
      </w:r>
      <w:r w:rsidRPr="00126E04">
        <w:t xml:space="preserve"> 640-41-002258-181, 18</w:t>
      </w:r>
      <w:r w:rsidR="001C4421">
        <w:t> </w:t>
      </w:r>
      <w:r w:rsidRPr="00126E04">
        <w:t>janvier 2019 (rédigé le 6</w:t>
      </w:r>
      <w:r w:rsidR="001C4421">
        <w:t> </w:t>
      </w:r>
      <w:r w:rsidRPr="00126E04">
        <w:t>février 2019), j. </w:t>
      </w:r>
      <w:proofErr w:type="spellStart"/>
      <w:r w:rsidRPr="00126E04">
        <w:t>Warolin</w:t>
      </w:r>
      <w:proofErr w:type="spellEnd"/>
      <w:r w:rsidRPr="00126E04">
        <w:t xml:space="preserve"> (non publiée). </w:t>
      </w:r>
    </w:p>
  </w:footnote>
  <w:footnote w:id="166">
    <w:p w14:paraId="150B9054" w14:textId="0EBB60CB"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AD3F69" w:rsidRPr="00376F46">
        <w:rPr>
          <w:smallCaps/>
        </w:rPr>
        <w:t>Commission des droits de la personne et des droits de la jeunesse</w:t>
      </w:r>
      <w:r w:rsidRPr="00126E04">
        <w:t xml:space="preserve">, </w:t>
      </w:r>
      <w:proofErr w:type="spellStart"/>
      <w:r w:rsidRPr="00126E04">
        <w:t>préc</w:t>
      </w:r>
      <w:proofErr w:type="spellEnd"/>
      <w:r w:rsidRPr="00126E04">
        <w:t>., note </w:t>
      </w:r>
      <w:r w:rsidR="004B4BEA" w:rsidRPr="00126E04">
        <w:fldChar w:fldCharType="begin"/>
      </w:r>
      <w:r w:rsidR="004B4BEA" w:rsidRPr="00126E04">
        <w:instrText xml:space="preserve"> NOTEREF _Ref144801800 \h </w:instrText>
      </w:r>
      <w:r w:rsidR="00AD6FFC" w:rsidRPr="00126E04">
        <w:instrText xml:space="preserve"> \* MERGEFORMAT </w:instrText>
      </w:r>
      <w:r w:rsidR="004B4BEA" w:rsidRPr="00126E04">
        <w:fldChar w:fldCharType="separate"/>
      </w:r>
      <w:r w:rsidR="008A75EF">
        <w:t>32</w:t>
      </w:r>
      <w:r w:rsidR="004B4BEA" w:rsidRPr="00126E04">
        <w:fldChar w:fldCharType="end"/>
      </w:r>
      <w:r w:rsidRPr="00126E04">
        <w:t>, p. 41.</w:t>
      </w:r>
    </w:p>
  </w:footnote>
  <w:footnote w:id="167">
    <w:p w14:paraId="77AC9C89" w14:textId="4B4D97FF"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t>En plus de plusieurs dossiers individuels, voir</w:t>
      </w:r>
      <w:r w:rsidR="00F254A2" w:rsidRPr="00126E04">
        <w:t> </w:t>
      </w:r>
      <w:r w:rsidRPr="00126E04">
        <w:t xml:space="preserve">: </w:t>
      </w:r>
      <w:r w:rsidRPr="00126E04">
        <w:rPr>
          <w:i/>
          <w:iCs/>
        </w:rPr>
        <w:t>Enquête sur les services de protection de la jeunesse offerts aux enfants algonquins</w:t>
      </w:r>
      <w:r w:rsidRPr="00126E04">
        <w:t>, 2003 ; Enquête Nunavik, 2007.</w:t>
      </w:r>
    </w:p>
  </w:footnote>
  <w:footnote w:id="168">
    <w:p w14:paraId="39E60B96" w14:textId="6635AC70"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des droits de la personne et des droits de la jeunesse</w:t>
      </w:r>
      <w:r w:rsidRPr="00126E04">
        <w:t xml:space="preserve">, </w:t>
      </w:r>
      <w:proofErr w:type="spellStart"/>
      <w:r w:rsidRPr="00126E04">
        <w:t>préc</w:t>
      </w:r>
      <w:proofErr w:type="spellEnd"/>
      <w:r w:rsidRPr="00126E04">
        <w:t xml:space="preserve">., note </w:t>
      </w:r>
      <w:r w:rsidR="00A878A2" w:rsidRPr="00126E04">
        <w:fldChar w:fldCharType="begin"/>
      </w:r>
      <w:r w:rsidR="00A878A2" w:rsidRPr="00126E04">
        <w:instrText xml:space="preserve"> NOTEREF _Ref144470341 \h </w:instrText>
      </w:r>
      <w:r w:rsidR="00AD6FFC" w:rsidRPr="00126E04">
        <w:instrText xml:space="preserve"> \* MERGEFORMAT </w:instrText>
      </w:r>
      <w:r w:rsidR="00A878A2" w:rsidRPr="00126E04">
        <w:fldChar w:fldCharType="separate"/>
      </w:r>
      <w:r w:rsidR="008A75EF">
        <w:t>34</w:t>
      </w:r>
      <w:r w:rsidR="00A878A2" w:rsidRPr="00126E04">
        <w:fldChar w:fldCharType="end"/>
      </w:r>
      <w:r w:rsidRPr="00126E04">
        <w:t xml:space="preserve">, </w:t>
      </w:r>
      <w:r w:rsidR="00934395" w:rsidRPr="00126E04">
        <w:t>au sujet de l’</w:t>
      </w:r>
      <w:r w:rsidRPr="00126E04">
        <w:t>art. 60</w:t>
      </w:r>
      <w:r w:rsidR="00934395" w:rsidRPr="00126E04">
        <w:t xml:space="preserve"> du projet de loi</w:t>
      </w:r>
      <w:r w:rsidR="001760DA" w:rsidRPr="00126E04">
        <w:t xml:space="preserve"> n</w:t>
      </w:r>
      <w:r w:rsidR="001760DA" w:rsidRPr="00126E04">
        <w:rPr>
          <w:vertAlign w:val="superscript"/>
        </w:rPr>
        <w:t>o</w:t>
      </w:r>
      <w:r w:rsidR="001760DA" w:rsidRPr="00126E04">
        <w:t xml:space="preserve"> 15</w:t>
      </w:r>
      <w:r w:rsidRPr="00126E04">
        <w:t>, introduisant le chapitre</w:t>
      </w:r>
      <w:r w:rsidR="00B21BC6" w:rsidRPr="00126E04">
        <w:t> </w:t>
      </w:r>
      <w:r w:rsidRPr="00126E04">
        <w:t>V.1.</w:t>
      </w:r>
    </w:p>
  </w:footnote>
  <w:footnote w:id="169">
    <w:p w14:paraId="49575474" w14:textId="34CB7A2A"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C47374" w:rsidRPr="00126E04">
        <w:rPr>
          <w:i/>
        </w:rPr>
        <w:t xml:space="preserve">Loi modifiant la Loi sur la protection de la jeunesse et d’autres dispositions législatives, </w:t>
      </w:r>
      <w:r w:rsidR="00C47374" w:rsidRPr="00126E04">
        <w:t>projet de loi n° 15, (présentation – 1</w:t>
      </w:r>
      <w:r w:rsidR="00C47374" w:rsidRPr="00126E04">
        <w:rPr>
          <w:vertAlign w:val="superscript"/>
        </w:rPr>
        <w:t>er</w:t>
      </w:r>
      <w:r w:rsidR="001C4421">
        <w:t> </w:t>
      </w:r>
      <w:r w:rsidR="00C47374" w:rsidRPr="00126E04">
        <w:t>décembre 2021), 1</w:t>
      </w:r>
      <w:r w:rsidR="00C47374" w:rsidRPr="00126E04">
        <w:rPr>
          <w:vertAlign w:val="superscript"/>
        </w:rPr>
        <w:t>re</w:t>
      </w:r>
      <w:r w:rsidR="00C47374" w:rsidRPr="00126E04">
        <w:t xml:space="preserve"> </w:t>
      </w:r>
      <w:proofErr w:type="spellStart"/>
      <w:r w:rsidR="00C47374" w:rsidRPr="00126E04">
        <w:t>sess</w:t>
      </w:r>
      <w:proofErr w:type="spellEnd"/>
      <w:r w:rsidR="00C47374" w:rsidRPr="00126E04">
        <w:t>., 42</w:t>
      </w:r>
      <w:r w:rsidR="00C47374" w:rsidRPr="00126E04">
        <w:rPr>
          <w:vertAlign w:val="superscript"/>
        </w:rPr>
        <w:t>e</w:t>
      </w:r>
      <w:r w:rsidR="00C47374" w:rsidRPr="00126E04">
        <w:t xml:space="preserve"> </w:t>
      </w:r>
      <w:proofErr w:type="spellStart"/>
      <w:r w:rsidR="00C47374" w:rsidRPr="00126E04">
        <w:t>légis</w:t>
      </w:r>
      <w:proofErr w:type="spellEnd"/>
      <w:r w:rsidR="00C47374" w:rsidRPr="00126E04">
        <w:t>. (</w:t>
      </w:r>
      <w:proofErr w:type="spellStart"/>
      <w:r w:rsidR="00C47374" w:rsidRPr="00126E04">
        <w:t>Qc</w:t>
      </w:r>
      <w:proofErr w:type="spellEnd"/>
      <w:r w:rsidR="00C47374" w:rsidRPr="00126E04">
        <w:t xml:space="preserve">), </w:t>
      </w:r>
      <w:r w:rsidRPr="00126E04">
        <w:t>notes explicatives.</w:t>
      </w:r>
    </w:p>
  </w:footnote>
  <w:footnote w:id="170">
    <w:p w14:paraId="364FD39D" w14:textId="0F495308"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B1308D" w:rsidRPr="00126E04">
        <w:rPr>
          <w:i/>
          <w:iCs/>
        </w:rPr>
        <w:t>Id.</w:t>
      </w:r>
      <w:r w:rsidRPr="00126E04">
        <w:t xml:space="preserve">, article 54 introduisant l’article 131.1 à la </w:t>
      </w:r>
      <w:proofErr w:type="spellStart"/>
      <w:r w:rsidR="007E17CF">
        <w:t>L</w:t>
      </w:r>
      <w:r w:rsidR="00C91EA5">
        <w:t>.p.j</w:t>
      </w:r>
      <w:proofErr w:type="spellEnd"/>
      <w:r w:rsidR="00CE5897">
        <w:t>.</w:t>
      </w:r>
    </w:p>
  </w:footnote>
  <w:footnote w:id="171">
    <w:p w14:paraId="5A83F74D" w14:textId="13E21B3D"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smallCaps/>
        </w:rPr>
        <w:t>Commission des droits de la personne et des droits de la jeunesse</w:t>
      </w:r>
      <w:r w:rsidRPr="00126E04">
        <w:t xml:space="preserve">, </w:t>
      </w:r>
      <w:proofErr w:type="spellStart"/>
      <w:r w:rsidRPr="00126E04">
        <w:t>préc</w:t>
      </w:r>
      <w:proofErr w:type="spellEnd"/>
      <w:r w:rsidRPr="00126E04">
        <w:t>., note </w:t>
      </w:r>
      <w:r w:rsidR="00372613" w:rsidRPr="00126E04">
        <w:fldChar w:fldCharType="begin"/>
      </w:r>
      <w:r w:rsidR="00372613" w:rsidRPr="00126E04">
        <w:instrText xml:space="preserve"> NOTEREF _Ref144470341 \h </w:instrText>
      </w:r>
      <w:r w:rsidR="00C84C0A" w:rsidRPr="00126E04">
        <w:instrText xml:space="preserve"> \* MERGEFORMAT </w:instrText>
      </w:r>
      <w:r w:rsidR="00372613" w:rsidRPr="00126E04">
        <w:fldChar w:fldCharType="separate"/>
      </w:r>
      <w:r w:rsidR="008A75EF">
        <w:t>34</w:t>
      </w:r>
      <w:r w:rsidR="00372613" w:rsidRPr="00126E04">
        <w:fldChar w:fldCharType="end"/>
      </w:r>
      <w:r w:rsidR="00372613" w:rsidRPr="00126E04">
        <w:t>,</w:t>
      </w:r>
      <w:r w:rsidRPr="00126E04">
        <w:t xml:space="preserve"> p. 37</w:t>
      </w:r>
      <w:r w:rsidR="005010FE" w:rsidRPr="00126E04">
        <w:t xml:space="preserve"> à </w:t>
      </w:r>
      <w:r w:rsidRPr="00126E04">
        <w:t>40.</w:t>
      </w:r>
    </w:p>
  </w:footnote>
  <w:footnote w:id="172">
    <w:p w14:paraId="13B328A1" w14:textId="04E463AF"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Pr="00126E04">
        <w:rPr>
          <w:i/>
        </w:rPr>
        <w:t>Id</w:t>
      </w:r>
      <w:r w:rsidRPr="00126E04">
        <w:t>., p.</w:t>
      </w:r>
      <w:r w:rsidR="006C097C">
        <w:t> </w:t>
      </w:r>
      <w:r w:rsidRPr="00126E04">
        <w:t>38</w:t>
      </w:r>
      <w:r w:rsidR="005010FE" w:rsidRPr="00126E04">
        <w:t xml:space="preserve"> et </w:t>
      </w:r>
      <w:r w:rsidRPr="00126E04">
        <w:t>39. D’autres de ses recommandations portaient sur l’élaboration des plans d’intervention culturels qui incluent le maintien de la langue d’origine, les traditions, des contacts réguliers avec sa famille et sa communauté ainsi que sur l’accès aux services d’interprètes et aux documents traduits dans leur langue de même qu’aux activités culturelles qui répondent aux besoins des jeunes et les visites régulières dans leurs communautés.</w:t>
      </w:r>
    </w:p>
  </w:footnote>
  <w:footnote w:id="173">
    <w:p w14:paraId="5B2A724B" w14:textId="628C1452"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8E3F3A" w:rsidRPr="00126E04">
        <w:rPr>
          <w:i/>
          <w:iCs/>
        </w:rPr>
        <w:t>Id.</w:t>
      </w:r>
      <w:r w:rsidR="008E3F3A" w:rsidRPr="00126E04">
        <w:t>,</w:t>
      </w:r>
      <w:r w:rsidR="000760D9" w:rsidRPr="00126E04">
        <w:t xml:space="preserve"> p.</w:t>
      </w:r>
      <w:r w:rsidR="00F40BA8" w:rsidRPr="00126E04">
        <w:t xml:space="preserve"> 42.</w:t>
      </w:r>
    </w:p>
  </w:footnote>
  <w:footnote w:id="174">
    <w:p w14:paraId="066F7DDE" w14:textId="15D32DB8" w:rsidR="00807B62" w:rsidRPr="00126E04" w:rsidRDefault="00807B62" w:rsidP="00202CC7">
      <w:pPr>
        <w:pStyle w:val="notebasde"/>
        <w:tabs>
          <w:tab w:val="left" w:pos="709"/>
        </w:tabs>
        <w:ind w:left="709" w:hanging="709"/>
        <w:jc w:val="left"/>
      </w:pPr>
      <w:r w:rsidRPr="00CE759C">
        <w:rPr>
          <w:rStyle w:val="Appelnotedebasdep"/>
        </w:rPr>
        <w:footnoteRef/>
      </w:r>
      <w:r w:rsidRPr="00CE759C">
        <w:t xml:space="preserve"> </w:t>
      </w:r>
      <w:r w:rsidRPr="00CE759C">
        <w:tab/>
      </w:r>
      <w:r w:rsidR="005B64AA" w:rsidRPr="00CE759C">
        <w:rPr>
          <w:smallCaps/>
        </w:rPr>
        <w:t>L’Office des professions du Québec</w:t>
      </w:r>
      <w:r w:rsidRPr="00CE759C">
        <w:t xml:space="preserve">, </w:t>
      </w:r>
      <w:proofErr w:type="spellStart"/>
      <w:r w:rsidRPr="00CE759C">
        <w:t>préc</w:t>
      </w:r>
      <w:proofErr w:type="spellEnd"/>
      <w:r w:rsidRPr="00CE759C">
        <w:t xml:space="preserve">., </w:t>
      </w:r>
      <w:r w:rsidR="00CE759C" w:rsidRPr="00CE759C">
        <w:t xml:space="preserve">note 156, </w:t>
      </w:r>
      <w:r w:rsidRPr="00CE759C">
        <w:t>p. 33.</w:t>
      </w:r>
    </w:p>
  </w:footnote>
  <w:footnote w:id="175">
    <w:p w14:paraId="7E3C6039" w14:textId="7209A955"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7645D5" w:rsidRPr="00126E04">
        <w:rPr>
          <w:smallCaps/>
        </w:rPr>
        <w:t>Gouvernement du Québec</w:t>
      </w:r>
      <w:r w:rsidR="007645D5" w:rsidRPr="00126E04">
        <w:t xml:space="preserve">, </w:t>
      </w:r>
      <w:r w:rsidR="007645D5" w:rsidRPr="006C097C">
        <w:rPr>
          <w:i/>
          <w:iCs/>
        </w:rPr>
        <w:t>Ensemble pour les prochaines générations</w:t>
      </w:r>
      <w:r w:rsidR="00E26F20" w:rsidRPr="006C097C">
        <w:rPr>
          <w:i/>
          <w:iCs/>
        </w:rPr>
        <w:t xml:space="preserve"> - </w:t>
      </w:r>
      <w:r w:rsidR="007645D5" w:rsidRPr="006C097C">
        <w:rPr>
          <w:i/>
          <w:iCs/>
        </w:rPr>
        <w:t>Plan d’action gouvernemental pour le mieux-être social et culturel des Premières Nations et des Inuit 2022-2027</w:t>
      </w:r>
      <w:r w:rsidR="007645D5" w:rsidRPr="00126E04">
        <w:t xml:space="preserve">, 2022, </w:t>
      </w:r>
      <w:r w:rsidRPr="00126E04">
        <w:t>Mesure 3.9.</w:t>
      </w:r>
      <w:r w:rsidR="007645D5" w:rsidRPr="00126E04">
        <w:t>, p. 33.</w:t>
      </w:r>
    </w:p>
  </w:footnote>
  <w:footnote w:id="176">
    <w:p w14:paraId="6D445BD9" w14:textId="40447AD9"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r>
      <w:r w:rsidR="00712FB0" w:rsidRPr="00376F46">
        <w:rPr>
          <w:smallCaps/>
        </w:rPr>
        <w:t>Commission des droits de la personne et des droits de la jeunesse</w:t>
      </w:r>
      <w:r w:rsidR="00712FB0" w:rsidRPr="00126E04">
        <w:t xml:space="preserve">, </w:t>
      </w:r>
      <w:proofErr w:type="spellStart"/>
      <w:r w:rsidR="00CB7B05" w:rsidRPr="00126E04">
        <w:t>préc</w:t>
      </w:r>
      <w:proofErr w:type="spellEnd"/>
      <w:r w:rsidR="00CB7B05" w:rsidRPr="00126E04">
        <w:t xml:space="preserve">., note </w:t>
      </w:r>
      <w:r w:rsidR="002F5284">
        <w:fldChar w:fldCharType="begin"/>
      </w:r>
      <w:r w:rsidR="002F5284">
        <w:instrText xml:space="preserve"> NOTEREF _Ref145056358 \h </w:instrText>
      </w:r>
      <w:r w:rsidR="002F5284">
        <w:fldChar w:fldCharType="separate"/>
      </w:r>
      <w:r w:rsidR="008A75EF">
        <w:t>161</w:t>
      </w:r>
      <w:r w:rsidR="002F5284">
        <w:fldChar w:fldCharType="end"/>
      </w:r>
      <w:r w:rsidR="00CB7B05" w:rsidRPr="00126E04">
        <w:fldChar w:fldCharType="begin"/>
      </w:r>
      <w:r w:rsidR="00CB7B05" w:rsidRPr="00126E04">
        <w:instrText xml:space="preserve"> NOTEREF _Ref145056358 \h </w:instrText>
      </w:r>
      <w:r w:rsidR="00AD6FFC" w:rsidRPr="00126E04">
        <w:instrText xml:space="preserve"> \* MERGEFORMAT </w:instrText>
      </w:r>
      <w:r w:rsidR="00CB7B05" w:rsidRPr="00126E04">
        <w:fldChar w:fldCharType="separate"/>
      </w:r>
      <w:r w:rsidR="008A75EF">
        <w:t>161</w:t>
      </w:r>
      <w:r w:rsidR="00CB7B05" w:rsidRPr="00126E04">
        <w:fldChar w:fldCharType="end"/>
      </w:r>
      <w:r w:rsidR="00712FB0" w:rsidRPr="00126E04">
        <w:t>, p. 1.</w:t>
      </w:r>
    </w:p>
  </w:footnote>
  <w:footnote w:id="177">
    <w:p w14:paraId="72847875" w14:textId="412EFF5D" w:rsidR="00807B62" w:rsidRPr="00126E04" w:rsidRDefault="00807B62" w:rsidP="00202CC7">
      <w:pPr>
        <w:pStyle w:val="notebasde"/>
        <w:tabs>
          <w:tab w:val="left" w:pos="709"/>
        </w:tabs>
        <w:ind w:left="709" w:hanging="709"/>
        <w:jc w:val="left"/>
      </w:pPr>
      <w:r w:rsidRPr="00126E04">
        <w:rPr>
          <w:rStyle w:val="Appelnotedebasdep"/>
        </w:rPr>
        <w:footnoteRef/>
      </w:r>
      <w:r w:rsidRPr="00126E04">
        <w:t xml:space="preserve"> </w:t>
      </w:r>
      <w:r w:rsidRPr="00126E04">
        <w:tab/>
        <w:t>Voir les explications à ce sujet dans les mémoires suivants</w:t>
      </w:r>
      <w:r w:rsidR="00F254A2" w:rsidRPr="00126E04">
        <w:t> </w:t>
      </w:r>
      <w:r w:rsidRPr="00126E04">
        <w:t xml:space="preserve">: </w:t>
      </w:r>
      <w:r w:rsidR="00E1395D" w:rsidRPr="00126E04">
        <w:rPr>
          <w:smallCaps/>
        </w:rPr>
        <w:t>Commission des droits de la personne et des droits de la jeunesse</w:t>
      </w:r>
      <w:r w:rsidRPr="00126E04">
        <w:t xml:space="preserve">, </w:t>
      </w:r>
      <w:r w:rsidRPr="00126E04">
        <w:rPr>
          <w:i/>
          <w:iCs/>
        </w:rPr>
        <w:t>Mémoire à la Commission des affaires sociales de l’Assemblée nationale – Projet de loi n° 125, Loi modifiant la Loi sur la protection de la jeunesse et d’autres dispositions législatives</w:t>
      </w:r>
      <w:r w:rsidRPr="00126E04">
        <w:t>, décembre 2005</w:t>
      </w:r>
      <w:r w:rsidR="00EA0139" w:rsidRPr="00126E04">
        <w:t xml:space="preserve"> et </w:t>
      </w:r>
      <w:r w:rsidR="00EA0139" w:rsidRPr="00126E04">
        <w:rPr>
          <w:smallCaps/>
        </w:rPr>
        <w:t>Commission des droits de la personne et des droits de la jeunesse</w:t>
      </w:r>
      <w:r w:rsidR="00EA0139" w:rsidRPr="00126E04">
        <w:t xml:space="preserve">, </w:t>
      </w:r>
      <w:proofErr w:type="spellStart"/>
      <w:r w:rsidR="00EA0139" w:rsidRPr="00126E04">
        <w:t>préc</w:t>
      </w:r>
      <w:proofErr w:type="spellEnd"/>
      <w:r w:rsidR="00EA0139" w:rsidRPr="00126E04">
        <w:t xml:space="preserve">. </w:t>
      </w:r>
      <w:proofErr w:type="gramStart"/>
      <w:r w:rsidR="00EA0139" w:rsidRPr="00126E04">
        <w:t>note</w:t>
      </w:r>
      <w:proofErr w:type="gramEnd"/>
      <w:r w:rsidR="00EA0139" w:rsidRPr="00126E04">
        <w:fldChar w:fldCharType="begin"/>
      </w:r>
      <w:r w:rsidR="00EA0139" w:rsidRPr="00126E04">
        <w:instrText xml:space="preserve"> NOTEREF _Ref144811450 \h </w:instrText>
      </w:r>
      <w:r w:rsidR="00AD6FFC" w:rsidRPr="00126E04">
        <w:instrText xml:space="preserve"> \* MERGEFORMAT </w:instrText>
      </w:r>
      <w:r w:rsidR="00EA0139" w:rsidRPr="00126E04">
        <w:fldChar w:fldCharType="separate"/>
      </w:r>
      <w:r w:rsidR="008A75EF">
        <w:t>175</w:t>
      </w:r>
      <w:r w:rsidR="00EA0139" w:rsidRPr="00126E04">
        <w:fldChar w:fldCharType="end"/>
      </w:r>
      <w:r w:rsidR="00EA0139" w:rsidRPr="00126E04">
        <w:t xml:space="preserve">. </w:t>
      </w:r>
    </w:p>
  </w:footnote>
  <w:footnote w:id="178">
    <w:p w14:paraId="4BE958F6" w14:textId="4B431503" w:rsidR="001A5D43" w:rsidRPr="00351D5C" w:rsidRDefault="001A5D43" w:rsidP="006C097C">
      <w:pPr>
        <w:pStyle w:val="Notedebasdepage"/>
        <w:spacing w:after="120" w:line="240" w:lineRule="auto"/>
        <w:ind w:left="709" w:hanging="709"/>
        <w:jc w:val="left"/>
        <w:rPr>
          <w:sz w:val="18"/>
          <w:szCs w:val="18"/>
          <w:lang w:val="fr-FR"/>
        </w:rPr>
      </w:pPr>
      <w:r w:rsidRPr="004D2054">
        <w:rPr>
          <w:rStyle w:val="Appelnotedebasdep"/>
          <w:sz w:val="18"/>
          <w:szCs w:val="18"/>
        </w:rPr>
        <w:footnoteRef/>
      </w:r>
      <w:r w:rsidRPr="004D2054">
        <w:rPr>
          <w:sz w:val="18"/>
          <w:szCs w:val="18"/>
        </w:rPr>
        <w:t xml:space="preserve"> </w:t>
      </w:r>
      <w:r w:rsidRPr="004B1A29">
        <w:rPr>
          <w:sz w:val="18"/>
          <w:szCs w:val="18"/>
        </w:rPr>
        <w:tab/>
        <w:t>Voir, à cet effet, les travaux de la Commission Castonguay-</w:t>
      </w:r>
      <w:proofErr w:type="spellStart"/>
      <w:r w:rsidRPr="004B1A29">
        <w:rPr>
          <w:sz w:val="18"/>
          <w:szCs w:val="18"/>
        </w:rPr>
        <w:t>Nepveu</w:t>
      </w:r>
      <w:proofErr w:type="spellEnd"/>
      <w:r w:rsidRPr="004B1A29">
        <w:rPr>
          <w:sz w:val="18"/>
          <w:szCs w:val="18"/>
        </w:rPr>
        <w:t>. Soulignons que les travaux de cette Commission étaient au départ</w:t>
      </w:r>
      <w:r w:rsidR="00DB0C67">
        <w:rPr>
          <w:sz w:val="18"/>
          <w:szCs w:val="18"/>
        </w:rPr>
        <w:t>,</w:t>
      </w:r>
      <w:r w:rsidRPr="004B1A29">
        <w:rPr>
          <w:sz w:val="18"/>
          <w:szCs w:val="18"/>
        </w:rPr>
        <w:t xml:space="preserve"> orientés vers l’encadrement des professions du domaine de la santé, avant d’être étendus à tous les ordres professionnels : </w:t>
      </w:r>
      <w:r w:rsidRPr="004B1A29">
        <w:rPr>
          <w:smallCaps/>
          <w:sz w:val="18"/>
          <w:szCs w:val="18"/>
        </w:rPr>
        <w:t>Commission d’enquête sur la santé et le bien-être social</w:t>
      </w:r>
      <w:r w:rsidRPr="004B1A29">
        <w:rPr>
          <w:sz w:val="18"/>
          <w:szCs w:val="18"/>
        </w:rPr>
        <w:t xml:space="preserve">, </w:t>
      </w:r>
      <w:r w:rsidRPr="004B1A29">
        <w:rPr>
          <w:i/>
          <w:iCs/>
          <w:sz w:val="18"/>
          <w:szCs w:val="18"/>
        </w:rPr>
        <w:t>Rapport de la Commission</w:t>
      </w:r>
      <w:r w:rsidRPr="004B1A29">
        <w:rPr>
          <w:sz w:val="18"/>
          <w:szCs w:val="18"/>
        </w:rPr>
        <w:t xml:space="preserve">, Vol. VII, Tome I, p. 10, [En ligne.] </w:t>
      </w:r>
      <w:hyperlink r:id="rId6" w:history="1">
        <w:r w:rsidRPr="004B1A29">
          <w:rPr>
            <w:rStyle w:val="Lienhypertexte"/>
            <w:sz w:val="18"/>
            <w:szCs w:val="18"/>
          </w:rPr>
          <w:t>https://www.opq.gouv.qc.ca/fileadmin/documents/Systeme_professionnel/Historique/Commission_Castonguay/1_Tome_1LesProfessionsEtlaSociete.pdf</w:t>
        </w:r>
      </w:hyperlink>
      <w:r w:rsidRPr="004B1A29">
        <w:rPr>
          <w:sz w:val="18"/>
          <w:szCs w:val="18"/>
        </w:rPr>
        <w:t xml:space="preserve"> . </w:t>
      </w:r>
      <w:r w:rsidRPr="004B1A29">
        <w:rPr>
          <w:sz w:val="18"/>
          <w:szCs w:val="18"/>
        </w:rPr>
        <w:br/>
        <w:t xml:space="preserve">Le principe de protection du public est désormais consacré au </w:t>
      </w:r>
      <w:r w:rsidR="00C1321F" w:rsidRPr="00C1321F">
        <w:rPr>
          <w:sz w:val="18"/>
          <w:szCs w:val="18"/>
        </w:rPr>
        <w:t>C. prof.</w:t>
      </w:r>
      <w:r w:rsidR="00C1321F">
        <w:rPr>
          <w:sz w:val="18"/>
          <w:szCs w:val="18"/>
        </w:rPr>
        <w:t xml:space="preserve"> </w:t>
      </w:r>
      <w:r w:rsidRPr="004B1A29">
        <w:rPr>
          <w:sz w:val="18"/>
          <w:szCs w:val="18"/>
        </w:rPr>
        <w:t xml:space="preserve">notamment à son art. 12. </w:t>
      </w:r>
    </w:p>
  </w:footnote>
  <w:footnote w:id="179">
    <w:p w14:paraId="6BF5E651" w14:textId="63C499E0" w:rsidR="009B41B9" w:rsidRDefault="009B41B9" w:rsidP="00CA7873">
      <w:pPr>
        <w:pStyle w:val="notebasde"/>
      </w:pPr>
      <w:r w:rsidRPr="004B1A29">
        <w:rPr>
          <w:rStyle w:val="Appelnotedebasdep"/>
          <w:szCs w:val="20"/>
        </w:rPr>
        <w:footnoteRef/>
      </w:r>
      <w:r w:rsidRPr="004B1A29">
        <w:t xml:space="preserve"> </w:t>
      </w:r>
      <w:r w:rsidRPr="004B1A29">
        <w:tab/>
      </w:r>
      <w:r>
        <w:t>Voir à ce sujet </w:t>
      </w:r>
      <w:r w:rsidR="00384F3D">
        <w:t>le Comité sur l’application du PL</w:t>
      </w:r>
      <w:r w:rsidR="001D0B61" w:rsidRPr="001D0B61">
        <w:rPr>
          <w:smallCaps/>
        </w:rPr>
        <w:t xml:space="preserve"> 21</w:t>
      </w:r>
      <w:r w:rsidR="00384F3D">
        <w:t xml:space="preserve"> dans</w:t>
      </w:r>
      <w:r>
        <w:t xml:space="preserve"> </w:t>
      </w:r>
      <w:r w:rsidR="00384F3D" w:rsidRPr="00126E04">
        <w:rPr>
          <w:smallCaps/>
        </w:rPr>
        <w:t>L’Office des professions du Québec</w:t>
      </w:r>
      <w:r w:rsidR="00384F3D">
        <w:t xml:space="preserve"> </w:t>
      </w:r>
      <w:proofErr w:type="spellStart"/>
      <w:r>
        <w:t>préc</w:t>
      </w:r>
      <w:proofErr w:type="spellEnd"/>
      <w:r>
        <w:t>., note</w:t>
      </w:r>
      <w:r w:rsidR="009C02C9">
        <w:t xml:space="preserve"> </w:t>
      </w:r>
      <w:r w:rsidR="00384F3D">
        <w:fldChar w:fldCharType="begin"/>
      </w:r>
      <w:r w:rsidR="00384F3D">
        <w:instrText xml:space="preserve"> NOTEREF _Ref144810369 \h </w:instrText>
      </w:r>
      <w:r w:rsidR="00384F3D">
        <w:fldChar w:fldCharType="separate"/>
      </w:r>
      <w:r w:rsidR="008A75EF">
        <w:t>156</w:t>
      </w:r>
      <w:r w:rsidR="00384F3D">
        <w:fldChar w:fldCharType="end"/>
      </w:r>
      <w:r w:rsidR="00384F3D">
        <w:t>.</w:t>
      </w:r>
      <w:r>
        <w:t xml:space="preserve"> </w:t>
      </w:r>
      <w:r>
        <w:fldChar w:fldCharType="begin"/>
      </w:r>
      <w:r>
        <w:instrText xml:space="preserve"> NOTEREF _Ref144810369 \h </w:instrText>
      </w:r>
      <w:r>
        <w:fldChar w:fldCharType="separate"/>
      </w:r>
      <w:r w:rsidR="008A75EF">
        <w:t>156</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BCA9" w14:textId="7E9623C8" w:rsidR="00631A1F" w:rsidRPr="00C86E79" w:rsidRDefault="001039F7" w:rsidP="004D5B7B">
    <w:pPr>
      <w:pBdr>
        <w:bottom w:val="single" w:sz="4" w:space="1" w:color="auto"/>
      </w:pBdr>
      <w:spacing w:line="240" w:lineRule="auto"/>
      <w:jc w:val="left"/>
      <w:rPr>
        <w:b/>
        <w:i/>
        <w:iCs/>
        <w:sz w:val="14"/>
        <w:szCs w:val="14"/>
      </w:rPr>
    </w:pPr>
    <w:r>
      <w:rPr>
        <w:rFonts w:cs="Arial"/>
        <w:b/>
        <w:i/>
        <w:iCs/>
        <w:sz w:val="14"/>
        <w:szCs w:val="14"/>
      </w:rPr>
      <w:t>Table des matières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0A8D" w14:textId="77777777" w:rsidR="00B070C3" w:rsidRPr="00B070C3" w:rsidRDefault="00B070C3" w:rsidP="00B070C3">
    <w:pPr>
      <w:pBdr>
        <w:bottom w:val="single" w:sz="2" w:space="1" w:color="A6A6A6" w:themeColor="background1" w:themeShade="A6"/>
      </w:pBdr>
      <w:tabs>
        <w:tab w:val="center" w:pos="4320"/>
        <w:tab w:val="right" w:pos="8640"/>
      </w:tabs>
      <w:spacing w:line="240" w:lineRule="auto"/>
      <w:jc w:val="right"/>
      <w:rPr>
        <w:b/>
        <w:iCs/>
        <w:sz w:val="14"/>
        <w:szCs w:val="14"/>
      </w:rPr>
    </w:pPr>
    <w:r w:rsidRPr="00B070C3">
      <w:rPr>
        <w:b/>
        <w:iCs/>
        <w:sz w:val="14"/>
        <w:szCs w:val="14"/>
      </w:rPr>
      <w:t xml:space="preserve">Mémoire à la Commission des institutions de l’Assemblée nationale — Projet de loi n° 32, </w:t>
    </w:r>
  </w:p>
  <w:p w14:paraId="52E0A5FA" w14:textId="77777777" w:rsidR="00B070C3" w:rsidRPr="00B070C3" w:rsidRDefault="00B070C3" w:rsidP="00B070C3">
    <w:pPr>
      <w:pBdr>
        <w:bottom w:val="single" w:sz="2" w:space="1" w:color="A6A6A6" w:themeColor="background1" w:themeShade="A6"/>
      </w:pBdr>
      <w:tabs>
        <w:tab w:val="center" w:pos="4320"/>
        <w:tab w:val="right" w:pos="8640"/>
      </w:tabs>
      <w:spacing w:line="240" w:lineRule="auto"/>
      <w:jc w:val="right"/>
      <w:rPr>
        <w:i/>
      </w:rPr>
    </w:pPr>
    <w:r w:rsidRPr="00B070C3">
      <w:rPr>
        <w:b/>
        <w:i/>
        <w:sz w:val="14"/>
        <w:szCs w:val="14"/>
      </w:rPr>
      <w:t>Loi instaurant l’approche de sécurisation culturelle au sein du réseau de la santé et des services sociaux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DC97" w14:textId="1196EF1D" w:rsidR="00631A1F" w:rsidRDefault="00631A1F">
    <w:pPr>
      <w:pStyle w:val="En-tte"/>
    </w:pPr>
    <w:r w:rsidRPr="00602744">
      <w:rPr>
        <w:noProof/>
      </w:rPr>
      <w:drawing>
        <wp:anchor distT="0" distB="0" distL="114300" distR="114300" simplePos="0" relativeHeight="251659264" behindDoc="0" locked="0" layoutInCell="1" allowOverlap="1" wp14:anchorId="665FDC50" wp14:editId="0693CC6C">
          <wp:simplePos x="0" y="0"/>
          <wp:positionH relativeFrom="column">
            <wp:posOffset>0</wp:posOffset>
          </wp:positionH>
          <wp:positionV relativeFrom="paragraph">
            <wp:posOffset>0</wp:posOffset>
          </wp:positionV>
          <wp:extent cx="2286000" cy="523875"/>
          <wp:effectExtent l="0" t="0" r="0" b="9525"/>
          <wp:wrapNone/>
          <wp:docPr id="1664984499" name="Image 1664984499" descr="Description : LOGO%20CDPDJ%20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20CDPDJ%20OFFICI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F59" w14:textId="24752F89" w:rsidR="00631A1F" w:rsidRDefault="00631A1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8F51" w14:textId="77777777" w:rsidR="00B070C3" w:rsidRDefault="00B070C3" w:rsidP="00B070C3">
    <w:pPr>
      <w:pStyle w:val="En-tte"/>
      <w:pBdr>
        <w:bottom w:val="single" w:sz="2" w:space="1" w:color="A6A6A6" w:themeColor="background1" w:themeShade="A6"/>
      </w:pBdr>
      <w:spacing w:line="240" w:lineRule="auto"/>
      <w:rPr>
        <w:b/>
        <w:iCs/>
        <w:sz w:val="14"/>
        <w:szCs w:val="14"/>
      </w:rPr>
    </w:pPr>
    <w:bookmarkStart w:id="68" w:name="_Hlk142466547"/>
    <w:bookmarkStart w:id="69" w:name="_Hlk142466548"/>
    <w:r w:rsidRPr="00B070C3">
      <w:rPr>
        <w:b/>
        <w:iCs/>
        <w:sz w:val="14"/>
        <w:szCs w:val="14"/>
      </w:rPr>
      <w:t xml:space="preserve">Mémoire à la Commission des institutions de l’Assemblée nationale — Projet de loi n° 32, </w:t>
    </w:r>
  </w:p>
  <w:p w14:paraId="42D446CF" w14:textId="7EC6B534" w:rsidR="000A2630" w:rsidRPr="00B070C3" w:rsidRDefault="00B070C3" w:rsidP="00B070C3">
    <w:pPr>
      <w:pStyle w:val="En-tte"/>
      <w:pBdr>
        <w:bottom w:val="single" w:sz="2" w:space="1" w:color="A6A6A6" w:themeColor="background1" w:themeShade="A6"/>
      </w:pBdr>
      <w:spacing w:line="240" w:lineRule="auto"/>
      <w:rPr>
        <w:i/>
      </w:rPr>
    </w:pPr>
    <w:r w:rsidRPr="00B070C3">
      <w:rPr>
        <w:b/>
        <w:i/>
        <w:sz w:val="14"/>
        <w:szCs w:val="14"/>
      </w:rPr>
      <w:t>Loi instaurant l’approche de sécurisation culturelle au sein du réseau de la santé et des services sociaux</w:t>
    </w:r>
    <w:bookmarkEnd w:id="68"/>
    <w:bookmarkEnd w:id="6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DE524E"/>
    <w:lvl w:ilvl="0">
      <w:start w:val="1"/>
      <w:numFmt w:val="bullet"/>
      <w:pStyle w:val="Listepuces"/>
      <w:lvlText w:val=""/>
      <w:lvlJc w:val="left"/>
      <w:pPr>
        <w:ind w:left="360" w:hanging="360"/>
      </w:pPr>
      <w:rPr>
        <w:rFonts w:ascii="Wingdings" w:hAnsi="Wingdings" w:hint="default"/>
      </w:rPr>
    </w:lvl>
  </w:abstractNum>
  <w:abstractNum w:abstractNumId="1" w15:restartNumberingAfterBreak="0">
    <w:nsid w:val="0B6959FE"/>
    <w:multiLevelType w:val="hybridMultilevel"/>
    <w:tmpl w:val="DD20C148"/>
    <w:lvl w:ilvl="0" w:tplc="72C0CC5C">
      <w:start w:val="1"/>
      <w:numFmt w:val="bullet"/>
      <w:pStyle w:val="Paragraphedeliste"/>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984EEB"/>
    <w:multiLevelType w:val="hybridMultilevel"/>
    <w:tmpl w:val="0EB6C0AA"/>
    <w:lvl w:ilvl="0" w:tplc="0C0C0001">
      <w:start w:val="1"/>
      <w:numFmt w:val="bullet"/>
      <w:lvlText w:val=""/>
      <w:lvlJc w:val="left"/>
      <w:pPr>
        <w:ind w:left="1066" w:hanging="360"/>
      </w:pPr>
      <w:rPr>
        <w:rFonts w:ascii="Symbol" w:hAnsi="Symbol" w:hint="default"/>
      </w:rPr>
    </w:lvl>
    <w:lvl w:ilvl="1" w:tplc="FFFFFFFF" w:tentative="1">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3" w15:restartNumberingAfterBreak="0">
    <w:nsid w:val="0D1D4539"/>
    <w:multiLevelType w:val="hybridMultilevel"/>
    <w:tmpl w:val="BD2AA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4A50E1"/>
    <w:multiLevelType w:val="hybridMultilevel"/>
    <w:tmpl w:val="3774E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05B49"/>
    <w:multiLevelType w:val="hybridMultilevel"/>
    <w:tmpl w:val="76C03572"/>
    <w:lvl w:ilvl="0" w:tplc="8E40CA5C">
      <w:start w:val="1"/>
      <w:numFmt w:val="decimal"/>
      <w:lvlText w:val="%1)"/>
      <w:lvlJc w:val="left"/>
      <w:pPr>
        <w:ind w:left="1426" w:hanging="360"/>
      </w:pPr>
      <w:rPr>
        <w:rFonts w:hint="default"/>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6" w15:restartNumberingAfterBreak="0">
    <w:nsid w:val="28870B44"/>
    <w:multiLevelType w:val="hybridMultilevel"/>
    <w:tmpl w:val="D478BEC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A681030"/>
    <w:multiLevelType w:val="multilevel"/>
    <w:tmpl w:val="0AAA9608"/>
    <w:lvl w:ilvl="0">
      <w:start w:val="1"/>
      <w:numFmt w:val="decimal"/>
      <w:pStyle w:val="Titre1"/>
      <w:lvlText w:val="%1"/>
      <w:lvlJc w:val="left"/>
      <w:pPr>
        <w:tabs>
          <w:tab w:val="num" w:pos="720"/>
        </w:tabs>
        <w:ind w:left="720" w:hanging="720"/>
      </w:pPr>
      <w:rPr>
        <w:color w:val="auto"/>
      </w:rPr>
    </w:lvl>
    <w:lvl w:ilvl="1">
      <w:start w:val="1"/>
      <w:numFmt w:val="decimal"/>
      <w:lvlText w:val="%1.%2"/>
      <w:lvlJc w:val="left"/>
      <w:pPr>
        <w:tabs>
          <w:tab w:val="num" w:pos="3630"/>
        </w:tabs>
        <w:ind w:left="3630" w:hanging="93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440" w:hanging="1440"/>
      </w:pPr>
      <w:rPr>
        <w:rFonts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38543E48"/>
    <w:multiLevelType w:val="hybridMultilevel"/>
    <w:tmpl w:val="12C69A50"/>
    <w:lvl w:ilvl="0" w:tplc="E176F476">
      <w:start w:val="1"/>
      <w:numFmt w:val="decimal"/>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9" w15:restartNumberingAfterBreak="0">
    <w:nsid w:val="3D0B20D2"/>
    <w:multiLevelType w:val="hybridMultilevel"/>
    <w:tmpl w:val="91B41E78"/>
    <w:lvl w:ilvl="0" w:tplc="511AEB94">
      <w:start w:val="1"/>
      <w:numFmt w:val="decimal"/>
      <w:pStyle w:val="Puces"/>
      <w:lvlText w:val="1.%1"/>
      <w:lvlJc w:val="left"/>
      <w:pPr>
        <w:ind w:left="720" w:hanging="360"/>
      </w:pPr>
      <w:rPr>
        <w:rFonts w:hint="default"/>
        <w:b/>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EE1885"/>
    <w:multiLevelType w:val="hybridMultilevel"/>
    <w:tmpl w:val="62A4BD80"/>
    <w:lvl w:ilvl="0" w:tplc="6C1CF444">
      <w:start w:val="7"/>
      <w:numFmt w:val="bullet"/>
      <w:lvlText w:val="-"/>
      <w:lvlJc w:val="left"/>
      <w:pPr>
        <w:ind w:left="1066" w:hanging="360"/>
      </w:pPr>
      <w:rPr>
        <w:rFonts w:ascii="Cambria Math" w:eastAsia="Calibri" w:hAnsi="Cambria Math" w:cs="Cambria Math" w:hint="default"/>
      </w:rPr>
    </w:lvl>
    <w:lvl w:ilvl="1" w:tplc="0C0C0003" w:tentative="1">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1" w15:restartNumberingAfterBreak="0">
    <w:nsid w:val="4F8C69C0"/>
    <w:multiLevelType w:val="hybridMultilevel"/>
    <w:tmpl w:val="D7E03460"/>
    <w:lvl w:ilvl="0" w:tplc="3FE80832">
      <w:start w:val="1"/>
      <w:numFmt w:val="upperLetter"/>
      <w:pStyle w:val="Titre4"/>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A10585"/>
    <w:multiLevelType w:val="hybridMultilevel"/>
    <w:tmpl w:val="DA78B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062851"/>
    <w:multiLevelType w:val="hybridMultilevel"/>
    <w:tmpl w:val="E534B74A"/>
    <w:lvl w:ilvl="0" w:tplc="19A63CDC">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552A6D95"/>
    <w:multiLevelType w:val="hybridMultilevel"/>
    <w:tmpl w:val="7FE8647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84645F2"/>
    <w:multiLevelType w:val="hybridMultilevel"/>
    <w:tmpl w:val="17E86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DE220F8"/>
    <w:multiLevelType w:val="hybridMultilevel"/>
    <w:tmpl w:val="DF2C50A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213004752">
    <w:abstractNumId w:val="7"/>
  </w:num>
  <w:num w:numId="2" w16cid:durableId="1972789029">
    <w:abstractNumId w:val="7"/>
  </w:num>
  <w:num w:numId="3" w16cid:durableId="172190259">
    <w:abstractNumId w:val="7"/>
  </w:num>
  <w:num w:numId="4" w16cid:durableId="6519971">
    <w:abstractNumId w:val="7"/>
  </w:num>
  <w:num w:numId="5" w16cid:durableId="499656669">
    <w:abstractNumId w:val="7"/>
  </w:num>
  <w:num w:numId="6" w16cid:durableId="1391463650">
    <w:abstractNumId w:val="7"/>
  </w:num>
  <w:num w:numId="7" w16cid:durableId="1731923016">
    <w:abstractNumId w:val="7"/>
  </w:num>
  <w:num w:numId="8" w16cid:durableId="559629798">
    <w:abstractNumId w:val="11"/>
  </w:num>
  <w:num w:numId="9" w16cid:durableId="584071034">
    <w:abstractNumId w:val="0"/>
  </w:num>
  <w:num w:numId="10" w16cid:durableId="1621642116">
    <w:abstractNumId w:val="3"/>
  </w:num>
  <w:num w:numId="11" w16cid:durableId="753404661">
    <w:abstractNumId w:val="1"/>
  </w:num>
  <w:num w:numId="12" w16cid:durableId="337654459">
    <w:abstractNumId w:val="15"/>
  </w:num>
  <w:num w:numId="13" w16cid:durableId="2004157333">
    <w:abstractNumId w:val="9"/>
  </w:num>
  <w:num w:numId="14" w16cid:durableId="1996834801">
    <w:abstractNumId w:val="12"/>
  </w:num>
  <w:num w:numId="15" w16cid:durableId="748696093">
    <w:abstractNumId w:val="4"/>
  </w:num>
  <w:num w:numId="16" w16cid:durableId="1431510509">
    <w:abstractNumId w:val="10"/>
  </w:num>
  <w:num w:numId="17" w16cid:durableId="343673064">
    <w:abstractNumId w:val="13"/>
  </w:num>
  <w:num w:numId="18" w16cid:durableId="145360708">
    <w:abstractNumId w:val="8"/>
  </w:num>
  <w:num w:numId="19" w16cid:durableId="1870223284">
    <w:abstractNumId w:val="14"/>
  </w:num>
  <w:num w:numId="20" w16cid:durableId="1503231187">
    <w:abstractNumId w:val="16"/>
  </w:num>
  <w:num w:numId="21" w16cid:durableId="1379015728">
    <w:abstractNumId w:val="5"/>
  </w:num>
  <w:num w:numId="22" w16cid:durableId="194007229">
    <w:abstractNumId w:val="6"/>
  </w:num>
  <w:num w:numId="23" w16cid:durableId="14041393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BOFRSRDUGG8jm/8i8zlCQNgXZ6BoJEjtqyAF/OX2UzH1qZe0zWoccfjGWfIW76vyd4i23Vj1zmaHYZ3HozAg==" w:salt="ihPFaZ4Ddh9thV+TdgU5CA=="/>
  <w:defaultTabStop w:val="706"/>
  <w:hyphenationZone w:val="432"/>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88"/>
    <w:rsid w:val="000002BF"/>
    <w:rsid w:val="000003A3"/>
    <w:rsid w:val="000003C1"/>
    <w:rsid w:val="00000430"/>
    <w:rsid w:val="00000444"/>
    <w:rsid w:val="000006F0"/>
    <w:rsid w:val="00000A86"/>
    <w:rsid w:val="00000B68"/>
    <w:rsid w:val="00000BDC"/>
    <w:rsid w:val="000010E9"/>
    <w:rsid w:val="0000122C"/>
    <w:rsid w:val="000014F8"/>
    <w:rsid w:val="0000150A"/>
    <w:rsid w:val="00001585"/>
    <w:rsid w:val="00001655"/>
    <w:rsid w:val="00001710"/>
    <w:rsid w:val="00001A5E"/>
    <w:rsid w:val="00001C42"/>
    <w:rsid w:val="00001DA0"/>
    <w:rsid w:val="00001DC5"/>
    <w:rsid w:val="00002028"/>
    <w:rsid w:val="000021C6"/>
    <w:rsid w:val="0000231C"/>
    <w:rsid w:val="000025B5"/>
    <w:rsid w:val="0000271C"/>
    <w:rsid w:val="0000296F"/>
    <w:rsid w:val="00002B1D"/>
    <w:rsid w:val="00002F8D"/>
    <w:rsid w:val="00003020"/>
    <w:rsid w:val="00003210"/>
    <w:rsid w:val="00003476"/>
    <w:rsid w:val="00003677"/>
    <w:rsid w:val="000036E9"/>
    <w:rsid w:val="0000388D"/>
    <w:rsid w:val="000038D1"/>
    <w:rsid w:val="00003ADE"/>
    <w:rsid w:val="00003B3B"/>
    <w:rsid w:val="00003C4E"/>
    <w:rsid w:val="00003D71"/>
    <w:rsid w:val="00003E06"/>
    <w:rsid w:val="00003EBD"/>
    <w:rsid w:val="00003F88"/>
    <w:rsid w:val="00003FD9"/>
    <w:rsid w:val="000043CA"/>
    <w:rsid w:val="00004452"/>
    <w:rsid w:val="00004599"/>
    <w:rsid w:val="000047CC"/>
    <w:rsid w:val="00004B46"/>
    <w:rsid w:val="0000507C"/>
    <w:rsid w:val="000051BD"/>
    <w:rsid w:val="000051DF"/>
    <w:rsid w:val="00005205"/>
    <w:rsid w:val="00005257"/>
    <w:rsid w:val="000052AA"/>
    <w:rsid w:val="00005546"/>
    <w:rsid w:val="00005CE2"/>
    <w:rsid w:val="00006009"/>
    <w:rsid w:val="000065F5"/>
    <w:rsid w:val="0000665E"/>
    <w:rsid w:val="00006711"/>
    <w:rsid w:val="0000674E"/>
    <w:rsid w:val="00006773"/>
    <w:rsid w:val="0000681A"/>
    <w:rsid w:val="00006845"/>
    <w:rsid w:val="00006A17"/>
    <w:rsid w:val="00006C2D"/>
    <w:rsid w:val="00006E5E"/>
    <w:rsid w:val="00006E8C"/>
    <w:rsid w:val="00007300"/>
    <w:rsid w:val="000073E2"/>
    <w:rsid w:val="00007431"/>
    <w:rsid w:val="00007468"/>
    <w:rsid w:val="0000751A"/>
    <w:rsid w:val="0000752F"/>
    <w:rsid w:val="00007A1C"/>
    <w:rsid w:val="00007E8E"/>
    <w:rsid w:val="00007EFA"/>
    <w:rsid w:val="00007FA4"/>
    <w:rsid w:val="000100E1"/>
    <w:rsid w:val="0001033B"/>
    <w:rsid w:val="00010956"/>
    <w:rsid w:val="00010A79"/>
    <w:rsid w:val="00010CDF"/>
    <w:rsid w:val="00010E2C"/>
    <w:rsid w:val="00011143"/>
    <w:rsid w:val="00011498"/>
    <w:rsid w:val="0001168D"/>
    <w:rsid w:val="00011A45"/>
    <w:rsid w:val="00011B57"/>
    <w:rsid w:val="00011C79"/>
    <w:rsid w:val="00011D65"/>
    <w:rsid w:val="00011FDA"/>
    <w:rsid w:val="000120EF"/>
    <w:rsid w:val="000121E3"/>
    <w:rsid w:val="0001238A"/>
    <w:rsid w:val="0001242C"/>
    <w:rsid w:val="00012442"/>
    <w:rsid w:val="00012647"/>
    <w:rsid w:val="00012683"/>
    <w:rsid w:val="00012821"/>
    <w:rsid w:val="000129CA"/>
    <w:rsid w:val="000129CD"/>
    <w:rsid w:val="00012C23"/>
    <w:rsid w:val="00012F62"/>
    <w:rsid w:val="0001326D"/>
    <w:rsid w:val="000135F1"/>
    <w:rsid w:val="000136F3"/>
    <w:rsid w:val="00013731"/>
    <w:rsid w:val="00013CAC"/>
    <w:rsid w:val="00013EEF"/>
    <w:rsid w:val="00013F1B"/>
    <w:rsid w:val="00014447"/>
    <w:rsid w:val="00014576"/>
    <w:rsid w:val="000147AF"/>
    <w:rsid w:val="0001486E"/>
    <w:rsid w:val="0001495D"/>
    <w:rsid w:val="00014BF2"/>
    <w:rsid w:val="0001506B"/>
    <w:rsid w:val="00015566"/>
    <w:rsid w:val="00015A26"/>
    <w:rsid w:val="00015AE2"/>
    <w:rsid w:val="00015C05"/>
    <w:rsid w:val="00015C9E"/>
    <w:rsid w:val="00016369"/>
    <w:rsid w:val="000165F8"/>
    <w:rsid w:val="0001664A"/>
    <w:rsid w:val="00016675"/>
    <w:rsid w:val="00016738"/>
    <w:rsid w:val="0001673F"/>
    <w:rsid w:val="00016748"/>
    <w:rsid w:val="00016852"/>
    <w:rsid w:val="00016DAD"/>
    <w:rsid w:val="00016F58"/>
    <w:rsid w:val="00016F88"/>
    <w:rsid w:val="00017012"/>
    <w:rsid w:val="0001759D"/>
    <w:rsid w:val="000176AB"/>
    <w:rsid w:val="000178E8"/>
    <w:rsid w:val="00017C85"/>
    <w:rsid w:val="00017D95"/>
    <w:rsid w:val="00017E37"/>
    <w:rsid w:val="00020201"/>
    <w:rsid w:val="00020436"/>
    <w:rsid w:val="000204D5"/>
    <w:rsid w:val="000205A0"/>
    <w:rsid w:val="0002074B"/>
    <w:rsid w:val="00020830"/>
    <w:rsid w:val="00020CF5"/>
    <w:rsid w:val="00020E4E"/>
    <w:rsid w:val="000211EB"/>
    <w:rsid w:val="00021357"/>
    <w:rsid w:val="0002140B"/>
    <w:rsid w:val="00021410"/>
    <w:rsid w:val="00021490"/>
    <w:rsid w:val="000214FF"/>
    <w:rsid w:val="000215FC"/>
    <w:rsid w:val="0002186F"/>
    <w:rsid w:val="000218CE"/>
    <w:rsid w:val="00021922"/>
    <w:rsid w:val="00021B1F"/>
    <w:rsid w:val="00021B44"/>
    <w:rsid w:val="00021C64"/>
    <w:rsid w:val="00021E75"/>
    <w:rsid w:val="00021F55"/>
    <w:rsid w:val="00021FDA"/>
    <w:rsid w:val="0002205A"/>
    <w:rsid w:val="00022072"/>
    <w:rsid w:val="00022301"/>
    <w:rsid w:val="0002234C"/>
    <w:rsid w:val="00022444"/>
    <w:rsid w:val="0002246C"/>
    <w:rsid w:val="00022763"/>
    <w:rsid w:val="000228E5"/>
    <w:rsid w:val="00022921"/>
    <w:rsid w:val="0002298B"/>
    <w:rsid w:val="00022A02"/>
    <w:rsid w:val="00022ACB"/>
    <w:rsid w:val="00022BD3"/>
    <w:rsid w:val="00022D17"/>
    <w:rsid w:val="000231A6"/>
    <w:rsid w:val="000231E5"/>
    <w:rsid w:val="00023345"/>
    <w:rsid w:val="000236C0"/>
    <w:rsid w:val="000237AA"/>
    <w:rsid w:val="000237DC"/>
    <w:rsid w:val="00023827"/>
    <w:rsid w:val="00023A3F"/>
    <w:rsid w:val="00023A6F"/>
    <w:rsid w:val="00023C1A"/>
    <w:rsid w:val="00023C88"/>
    <w:rsid w:val="00023D37"/>
    <w:rsid w:val="00023D39"/>
    <w:rsid w:val="000240F6"/>
    <w:rsid w:val="00024201"/>
    <w:rsid w:val="0002425F"/>
    <w:rsid w:val="000246B1"/>
    <w:rsid w:val="00024AC0"/>
    <w:rsid w:val="00024BC4"/>
    <w:rsid w:val="00024D2D"/>
    <w:rsid w:val="00024D5E"/>
    <w:rsid w:val="00024E22"/>
    <w:rsid w:val="0002531F"/>
    <w:rsid w:val="0002558D"/>
    <w:rsid w:val="00025776"/>
    <w:rsid w:val="000257B4"/>
    <w:rsid w:val="000257E2"/>
    <w:rsid w:val="0002585E"/>
    <w:rsid w:val="00025931"/>
    <w:rsid w:val="00025958"/>
    <w:rsid w:val="00025AB2"/>
    <w:rsid w:val="00025BFC"/>
    <w:rsid w:val="00025C79"/>
    <w:rsid w:val="00025E66"/>
    <w:rsid w:val="00025EAB"/>
    <w:rsid w:val="00025ECE"/>
    <w:rsid w:val="00026242"/>
    <w:rsid w:val="00026363"/>
    <w:rsid w:val="000265D9"/>
    <w:rsid w:val="000267F7"/>
    <w:rsid w:val="000267F9"/>
    <w:rsid w:val="00026BBB"/>
    <w:rsid w:val="00026E2A"/>
    <w:rsid w:val="00027240"/>
    <w:rsid w:val="0002734A"/>
    <w:rsid w:val="00027361"/>
    <w:rsid w:val="00027690"/>
    <w:rsid w:val="00027738"/>
    <w:rsid w:val="00027767"/>
    <w:rsid w:val="0002794B"/>
    <w:rsid w:val="000279D0"/>
    <w:rsid w:val="00027A1E"/>
    <w:rsid w:val="00027DF9"/>
    <w:rsid w:val="0003007B"/>
    <w:rsid w:val="0003028B"/>
    <w:rsid w:val="0003036A"/>
    <w:rsid w:val="000303A4"/>
    <w:rsid w:val="00030448"/>
    <w:rsid w:val="000305DD"/>
    <w:rsid w:val="00030684"/>
    <w:rsid w:val="0003083F"/>
    <w:rsid w:val="0003087A"/>
    <w:rsid w:val="00030957"/>
    <w:rsid w:val="00030982"/>
    <w:rsid w:val="00030CF1"/>
    <w:rsid w:val="00030DEB"/>
    <w:rsid w:val="000310DC"/>
    <w:rsid w:val="00031173"/>
    <w:rsid w:val="0003142D"/>
    <w:rsid w:val="00031540"/>
    <w:rsid w:val="0003182F"/>
    <w:rsid w:val="00031AF1"/>
    <w:rsid w:val="00031C81"/>
    <w:rsid w:val="00031D32"/>
    <w:rsid w:val="00031D85"/>
    <w:rsid w:val="00032056"/>
    <w:rsid w:val="000321C3"/>
    <w:rsid w:val="000324F4"/>
    <w:rsid w:val="00032539"/>
    <w:rsid w:val="000326F8"/>
    <w:rsid w:val="0003277D"/>
    <w:rsid w:val="000327B7"/>
    <w:rsid w:val="000327DF"/>
    <w:rsid w:val="00032A13"/>
    <w:rsid w:val="00032A87"/>
    <w:rsid w:val="00032AA3"/>
    <w:rsid w:val="00032B31"/>
    <w:rsid w:val="00033374"/>
    <w:rsid w:val="000333CC"/>
    <w:rsid w:val="00033454"/>
    <w:rsid w:val="00033B7E"/>
    <w:rsid w:val="00033C47"/>
    <w:rsid w:val="0003411C"/>
    <w:rsid w:val="00034121"/>
    <w:rsid w:val="0003415D"/>
    <w:rsid w:val="0003447A"/>
    <w:rsid w:val="000344A3"/>
    <w:rsid w:val="00034645"/>
    <w:rsid w:val="000348DB"/>
    <w:rsid w:val="000349C5"/>
    <w:rsid w:val="00034E2F"/>
    <w:rsid w:val="00034E55"/>
    <w:rsid w:val="000351A3"/>
    <w:rsid w:val="00035615"/>
    <w:rsid w:val="00035792"/>
    <w:rsid w:val="00036390"/>
    <w:rsid w:val="0003645D"/>
    <w:rsid w:val="0003648F"/>
    <w:rsid w:val="000364C9"/>
    <w:rsid w:val="00036638"/>
    <w:rsid w:val="000366A5"/>
    <w:rsid w:val="000367DE"/>
    <w:rsid w:val="000369FD"/>
    <w:rsid w:val="00036D3A"/>
    <w:rsid w:val="00037177"/>
    <w:rsid w:val="00037328"/>
    <w:rsid w:val="00037347"/>
    <w:rsid w:val="0003738E"/>
    <w:rsid w:val="000374D4"/>
    <w:rsid w:val="000376CC"/>
    <w:rsid w:val="00037864"/>
    <w:rsid w:val="00037A3B"/>
    <w:rsid w:val="00037BB3"/>
    <w:rsid w:val="00037E91"/>
    <w:rsid w:val="00040202"/>
    <w:rsid w:val="0004026F"/>
    <w:rsid w:val="00040543"/>
    <w:rsid w:val="00040A70"/>
    <w:rsid w:val="00040ACF"/>
    <w:rsid w:val="00040C17"/>
    <w:rsid w:val="000410DB"/>
    <w:rsid w:val="00041258"/>
    <w:rsid w:val="000412B9"/>
    <w:rsid w:val="000412C7"/>
    <w:rsid w:val="000414CA"/>
    <w:rsid w:val="000415E5"/>
    <w:rsid w:val="000416DA"/>
    <w:rsid w:val="000416DB"/>
    <w:rsid w:val="00041E4E"/>
    <w:rsid w:val="000420C5"/>
    <w:rsid w:val="00042242"/>
    <w:rsid w:val="0004225A"/>
    <w:rsid w:val="0004235B"/>
    <w:rsid w:val="000423B2"/>
    <w:rsid w:val="000428FC"/>
    <w:rsid w:val="00042982"/>
    <w:rsid w:val="00042B23"/>
    <w:rsid w:val="00042D1A"/>
    <w:rsid w:val="00042D4C"/>
    <w:rsid w:val="00042DF6"/>
    <w:rsid w:val="0004304A"/>
    <w:rsid w:val="00043151"/>
    <w:rsid w:val="000432CE"/>
    <w:rsid w:val="000433D2"/>
    <w:rsid w:val="00043402"/>
    <w:rsid w:val="000434FD"/>
    <w:rsid w:val="0004352D"/>
    <w:rsid w:val="0004354C"/>
    <w:rsid w:val="000435A9"/>
    <w:rsid w:val="00043695"/>
    <w:rsid w:val="00043791"/>
    <w:rsid w:val="00043A9D"/>
    <w:rsid w:val="00043CE2"/>
    <w:rsid w:val="00043D99"/>
    <w:rsid w:val="00043E32"/>
    <w:rsid w:val="00043E63"/>
    <w:rsid w:val="00043EDA"/>
    <w:rsid w:val="00043FEB"/>
    <w:rsid w:val="0004413B"/>
    <w:rsid w:val="00044ADA"/>
    <w:rsid w:val="00044B9F"/>
    <w:rsid w:val="00044BC6"/>
    <w:rsid w:val="00044C4A"/>
    <w:rsid w:val="00044E6D"/>
    <w:rsid w:val="000450D0"/>
    <w:rsid w:val="000450D9"/>
    <w:rsid w:val="00045307"/>
    <w:rsid w:val="000453EA"/>
    <w:rsid w:val="00045559"/>
    <w:rsid w:val="000457D8"/>
    <w:rsid w:val="000457F7"/>
    <w:rsid w:val="00045835"/>
    <w:rsid w:val="0004598F"/>
    <w:rsid w:val="00045A39"/>
    <w:rsid w:val="00045C93"/>
    <w:rsid w:val="00045D47"/>
    <w:rsid w:val="00045EEF"/>
    <w:rsid w:val="00046211"/>
    <w:rsid w:val="0004625A"/>
    <w:rsid w:val="000463E2"/>
    <w:rsid w:val="0004640C"/>
    <w:rsid w:val="00046538"/>
    <w:rsid w:val="0004662A"/>
    <w:rsid w:val="000466A1"/>
    <w:rsid w:val="00046767"/>
    <w:rsid w:val="000468A6"/>
    <w:rsid w:val="00046A5E"/>
    <w:rsid w:val="00046C96"/>
    <w:rsid w:val="00046D1B"/>
    <w:rsid w:val="00046E55"/>
    <w:rsid w:val="00046ECB"/>
    <w:rsid w:val="00046FB0"/>
    <w:rsid w:val="00046FF9"/>
    <w:rsid w:val="00047206"/>
    <w:rsid w:val="00047711"/>
    <w:rsid w:val="000477AF"/>
    <w:rsid w:val="000479B3"/>
    <w:rsid w:val="000479E2"/>
    <w:rsid w:val="00047B50"/>
    <w:rsid w:val="00047C78"/>
    <w:rsid w:val="00047CCE"/>
    <w:rsid w:val="00047CEE"/>
    <w:rsid w:val="00047D22"/>
    <w:rsid w:val="00047D31"/>
    <w:rsid w:val="00047E1F"/>
    <w:rsid w:val="00047EA5"/>
    <w:rsid w:val="00047F1C"/>
    <w:rsid w:val="00050048"/>
    <w:rsid w:val="00050072"/>
    <w:rsid w:val="000502DB"/>
    <w:rsid w:val="00050745"/>
    <w:rsid w:val="00050B05"/>
    <w:rsid w:val="00050C38"/>
    <w:rsid w:val="00050E41"/>
    <w:rsid w:val="00050EEF"/>
    <w:rsid w:val="00050F0E"/>
    <w:rsid w:val="00050F4E"/>
    <w:rsid w:val="00050FDF"/>
    <w:rsid w:val="0005148C"/>
    <w:rsid w:val="000515C4"/>
    <w:rsid w:val="000517FF"/>
    <w:rsid w:val="00051944"/>
    <w:rsid w:val="00051B9C"/>
    <w:rsid w:val="00051D93"/>
    <w:rsid w:val="00051DA8"/>
    <w:rsid w:val="0005211A"/>
    <w:rsid w:val="0005218B"/>
    <w:rsid w:val="000526C6"/>
    <w:rsid w:val="00052EB2"/>
    <w:rsid w:val="00053079"/>
    <w:rsid w:val="000535C9"/>
    <w:rsid w:val="00053A27"/>
    <w:rsid w:val="00054522"/>
    <w:rsid w:val="00054544"/>
    <w:rsid w:val="0005492D"/>
    <w:rsid w:val="00054933"/>
    <w:rsid w:val="000549A4"/>
    <w:rsid w:val="000549E5"/>
    <w:rsid w:val="00054A95"/>
    <w:rsid w:val="00054BC4"/>
    <w:rsid w:val="000551A7"/>
    <w:rsid w:val="000553B5"/>
    <w:rsid w:val="000553DF"/>
    <w:rsid w:val="000554C4"/>
    <w:rsid w:val="000555AE"/>
    <w:rsid w:val="00055610"/>
    <w:rsid w:val="00055622"/>
    <w:rsid w:val="00055624"/>
    <w:rsid w:val="0005567D"/>
    <w:rsid w:val="000556EB"/>
    <w:rsid w:val="00055C79"/>
    <w:rsid w:val="00055F22"/>
    <w:rsid w:val="00055FC8"/>
    <w:rsid w:val="0005605C"/>
    <w:rsid w:val="000560E1"/>
    <w:rsid w:val="000561EE"/>
    <w:rsid w:val="0005658B"/>
    <w:rsid w:val="0005662B"/>
    <w:rsid w:val="00056722"/>
    <w:rsid w:val="0005694A"/>
    <w:rsid w:val="00056AD8"/>
    <w:rsid w:val="00056B9B"/>
    <w:rsid w:val="00056D71"/>
    <w:rsid w:val="000570C6"/>
    <w:rsid w:val="00057376"/>
    <w:rsid w:val="0005780D"/>
    <w:rsid w:val="00057877"/>
    <w:rsid w:val="00057B86"/>
    <w:rsid w:val="00057BFC"/>
    <w:rsid w:val="00057C70"/>
    <w:rsid w:val="00060308"/>
    <w:rsid w:val="000603F8"/>
    <w:rsid w:val="000604A1"/>
    <w:rsid w:val="000604B5"/>
    <w:rsid w:val="0006057A"/>
    <w:rsid w:val="000606BB"/>
    <w:rsid w:val="000607C2"/>
    <w:rsid w:val="0006081D"/>
    <w:rsid w:val="00060A07"/>
    <w:rsid w:val="00060CD6"/>
    <w:rsid w:val="00060DDA"/>
    <w:rsid w:val="00060E30"/>
    <w:rsid w:val="00060E7A"/>
    <w:rsid w:val="00061041"/>
    <w:rsid w:val="00061234"/>
    <w:rsid w:val="0006139F"/>
    <w:rsid w:val="000613F7"/>
    <w:rsid w:val="00061450"/>
    <w:rsid w:val="00061586"/>
    <w:rsid w:val="0006179F"/>
    <w:rsid w:val="000617DA"/>
    <w:rsid w:val="000617E5"/>
    <w:rsid w:val="00061845"/>
    <w:rsid w:val="000619C5"/>
    <w:rsid w:val="00061B35"/>
    <w:rsid w:val="00061C51"/>
    <w:rsid w:val="00061DC3"/>
    <w:rsid w:val="000621AF"/>
    <w:rsid w:val="0006266C"/>
    <w:rsid w:val="00062680"/>
    <w:rsid w:val="00062844"/>
    <w:rsid w:val="000632C9"/>
    <w:rsid w:val="00063389"/>
    <w:rsid w:val="000634C8"/>
    <w:rsid w:val="000634C9"/>
    <w:rsid w:val="00063ACE"/>
    <w:rsid w:val="00063CBD"/>
    <w:rsid w:val="00063D6A"/>
    <w:rsid w:val="00063DB0"/>
    <w:rsid w:val="00063DFF"/>
    <w:rsid w:val="00063F8B"/>
    <w:rsid w:val="00063FF7"/>
    <w:rsid w:val="000640C1"/>
    <w:rsid w:val="0006416A"/>
    <w:rsid w:val="00064316"/>
    <w:rsid w:val="000643B7"/>
    <w:rsid w:val="0006444A"/>
    <w:rsid w:val="0006475A"/>
    <w:rsid w:val="00064886"/>
    <w:rsid w:val="000648EF"/>
    <w:rsid w:val="0006495F"/>
    <w:rsid w:val="00064B76"/>
    <w:rsid w:val="00064ED5"/>
    <w:rsid w:val="00064FED"/>
    <w:rsid w:val="0006501E"/>
    <w:rsid w:val="000650A1"/>
    <w:rsid w:val="000652A8"/>
    <w:rsid w:val="00065526"/>
    <w:rsid w:val="00065582"/>
    <w:rsid w:val="000656BF"/>
    <w:rsid w:val="000657F5"/>
    <w:rsid w:val="00065800"/>
    <w:rsid w:val="0006589D"/>
    <w:rsid w:val="000659A7"/>
    <w:rsid w:val="000659BE"/>
    <w:rsid w:val="000659D9"/>
    <w:rsid w:val="00065A35"/>
    <w:rsid w:val="00065DC6"/>
    <w:rsid w:val="000662FA"/>
    <w:rsid w:val="000663C3"/>
    <w:rsid w:val="00066542"/>
    <w:rsid w:val="00066545"/>
    <w:rsid w:val="000667F4"/>
    <w:rsid w:val="00066852"/>
    <w:rsid w:val="000669CB"/>
    <w:rsid w:val="000669D8"/>
    <w:rsid w:val="00066A6A"/>
    <w:rsid w:val="00066A80"/>
    <w:rsid w:val="00066E2A"/>
    <w:rsid w:val="00066EBA"/>
    <w:rsid w:val="00066FEF"/>
    <w:rsid w:val="0006704F"/>
    <w:rsid w:val="000671F0"/>
    <w:rsid w:val="00067202"/>
    <w:rsid w:val="000674D2"/>
    <w:rsid w:val="0006785E"/>
    <w:rsid w:val="00067906"/>
    <w:rsid w:val="00067B00"/>
    <w:rsid w:val="00067BB7"/>
    <w:rsid w:val="0007006A"/>
    <w:rsid w:val="000700A6"/>
    <w:rsid w:val="000702AC"/>
    <w:rsid w:val="000702FC"/>
    <w:rsid w:val="0007035B"/>
    <w:rsid w:val="00070363"/>
    <w:rsid w:val="000705B6"/>
    <w:rsid w:val="000707E5"/>
    <w:rsid w:val="00070812"/>
    <w:rsid w:val="00070862"/>
    <w:rsid w:val="000708B8"/>
    <w:rsid w:val="00070AD0"/>
    <w:rsid w:val="00070D73"/>
    <w:rsid w:val="00070EE2"/>
    <w:rsid w:val="00071054"/>
    <w:rsid w:val="000710C2"/>
    <w:rsid w:val="00071339"/>
    <w:rsid w:val="00071647"/>
    <w:rsid w:val="0007172D"/>
    <w:rsid w:val="00071A01"/>
    <w:rsid w:val="00071A36"/>
    <w:rsid w:val="00071E52"/>
    <w:rsid w:val="00072229"/>
    <w:rsid w:val="00072323"/>
    <w:rsid w:val="000723F0"/>
    <w:rsid w:val="00072454"/>
    <w:rsid w:val="000724F4"/>
    <w:rsid w:val="00072582"/>
    <w:rsid w:val="0007262D"/>
    <w:rsid w:val="00072684"/>
    <w:rsid w:val="000728DD"/>
    <w:rsid w:val="00072C97"/>
    <w:rsid w:val="00072D19"/>
    <w:rsid w:val="00073068"/>
    <w:rsid w:val="00073261"/>
    <w:rsid w:val="000732E3"/>
    <w:rsid w:val="000733A5"/>
    <w:rsid w:val="000736D5"/>
    <w:rsid w:val="000737B0"/>
    <w:rsid w:val="00073909"/>
    <w:rsid w:val="00073DAE"/>
    <w:rsid w:val="00074142"/>
    <w:rsid w:val="00074504"/>
    <w:rsid w:val="00074839"/>
    <w:rsid w:val="000749B3"/>
    <w:rsid w:val="00074B28"/>
    <w:rsid w:val="00074B9B"/>
    <w:rsid w:val="00074BC8"/>
    <w:rsid w:val="00074C81"/>
    <w:rsid w:val="00074E06"/>
    <w:rsid w:val="000750F3"/>
    <w:rsid w:val="00075162"/>
    <w:rsid w:val="00075171"/>
    <w:rsid w:val="0007518A"/>
    <w:rsid w:val="0007527C"/>
    <w:rsid w:val="00075729"/>
    <w:rsid w:val="00075B3E"/>
    <w:rsid w:val="00075E95"/>
    <w:rsid w:val="00076026"/>
    <w:rsid w:val="000760D9"/>
    <w:rsid w:val="00076135"/>
    <w:rsid w:val="000762E6"/>
    <w:rsid w:val="000765D9"/>
    <w:rsid w:val="000766A4"/>
    <w:rsid w:val="00076735"/>
    <w:rsid w:val="00076B57"/>
    <w:rsid w:val="00076CA1"/>
    <w:rsid w:val="0007737F"/>
    <w:rsid w:val="00077482"/>
    <w:rsid w:val="00077676"/>
    <w:rsid w:val="00077B73"/>
    <w:rsid w:val="00077F7B"/>
    <w:rsid w:val="00080058"/>
    <w:rsid w:val="000800A6"/>
    <w:rsid w:val="0008033D"/>
    <w:rsid w:val="00080614"/>
    <w:rsid w:val="000806D4"/>
    <w:rsid w:val="00080712"/>
    <w:rsid w:val="0008083D"/>
    <w:rsid w:val="00080942"/>
    <w:rsid w:val="00080963"/>
    <w:rsid w:val="000809AC"/>
    <w:rsid w:val="000809B4"/>
    <w:rsid w:val="00080B88"/>
    <w:rsid w:val="00080BBA"/>
    <w:rsid w:val="00080EA9"/>
    <w:rsid w:val="000810C7"/>
    <w:rsid w:val="0008122F"/>
    <w:rsid w:val="0008128B"/>
    <w:rsid w:val="000812AC"/>
    <w:rsid w:val="00081390"/>
    <w:rsid w:val="000817CE"/>
    <w:rsid w:val="00081A59"/>
    <w:rsid w:val="00081DF5"/>
    <w:rsid w:val="00081E65"/>
    <w:rsid w:val="00082241"/>
    <w:rsid w:val="000823E1"/>
    <w:rsid w:val="000826EE"/>
    <w:rsid w:val="0008272B"/>
    <w:rsid w:val="00082738"/>
    <w:rsid w:val="000827CC"/>
    <w:rsid w:val="0008288F"/>
    <w:rsid w:val="00082904"/>
    <w:rsid w:val="000829A5"/>
    <w:rsid w:val="00082ACB"/>
    <w:rsid w:val="00082C3A"/>
    <w:rsid w:val="00082D49"/>
    <w:rsid w:val="00082DE8"/>
    <w:rsid w:val="00082E28"/>
    <w:rsid w:val="000832D1"/>
    <w:rsid w:val="00083345"/>
    <w:rsid w:val="00083404"/>
    <w:rsid w:val="00083694"/>
    <w:rsid w:val="0008383D"/>
    <w:rsid w:val="000839B0"/>
    <w:rsid w:val="000839CB"/>
    <w:rsid w:val="00083FDE"/>
    <w:rsid w:val="000840A9"/>
    <w:rsid w:val="000845AB"/>
    <w:rsid w:val="000845C0"/>
    <w:rsid w:val="000846A5"/>
    <w:rsid w:val="00084A0C"/>
    <w:rsid w:val="00084AA5"/>
    <w:rsid w:val="00084C98"/>
    <w:rsid w:val="00085040"/>
    <w:rsid w:val="000850C4"/>
    <w:rsid w:val="00085C74"/>
    <w:rsid w:val="00085D49"/>
    <w:rsid w:val="00085DC8"/>
    <w:rsid w:val="00085EEB"/>
    <w:rsid w:val="0008607E"/>
    <w:rsid w:val="000865A2"/>
    <w:rsid w:val="00086652"/>
    <w:rsid w:val="000867F6"/>
    <w:rsid w:val="00086831"/>
    <w:rsid w:val="00086B6B"/>
    <w:rsid w:val="00086B8C"/>
    <w:rsid w:val="00086E97"/>
    <w:rsid w:val="0008764F"/>
    <w:rsid w:val="000876A9"/>
    <w:rsid w:val="00087A5A"/>
    <w:rsid w:val="00087B73"/>
    <w:rsid w:val="00087BAF"/>
    <w:rsid w:val="00087E15"/>
    <w:rsid w:val="0009000B"/>
    <w:rsid w:val="0009019B"/>
    <w:rsid w:val="000901B8"/>
    <w:rsid w:val="0009027F"/>
    <w:rsid w:val="000904F3"/>
    <w:rsid w:val="00090AF7"/>
    <w:rsid w:val="00090BC9"/>
    <w:rsid w:val="00090D06"/>
    <w:rsid w:val="00090D2C"/>
    <w:rsid w:val="0009148F"/>
    <w:rsid w:val="00091699"/>
    <w:rsid w:val="0009184C"/>
    <w:rsid w:val="000919DD"/>
    <w:rsid w:val="00091BD7"/>
    <w:rsid w:val="00091D0E"/>
    <w:rsid w:val="00091DC9"/>
    <w:rsid w:val="00091E0A"/>
    <w:rsid w:val="00091E5B"/>
    <w:rsid w:val="00091FE7"/>
    <w:rsid w:val="0009205D"/>
    <w:rsid w:val="00092121"/>
    <w:rsid w:val="00092592"/>
    <w:rsid w:val="00092643"/>
    <w:rsid w:val="0009264E"/>
    <w:rsid w:val="00092818"/>
    <w:rsid w:val="00092823"/>
    <w:rsid w:val="00092B62"/>
    <w:rsid w:val="00092C79"/>
    <w:rsid w:val="00092C93"/>
    <w:rsid w:val="00092E38"/>
    <w:rsid w:val="00092FC1"/>
    <w:rsid w:val="0009310B"/>
    <w:rsid w:val="00093145"/>
    <w:rsid w:val="0009317D"/>
    <w:rsid w:val="000933F9"/>
    <w:rsid w:val="00093496"/>
    <w:rsid w:val="0009360A"/>
    <w:rsid w:val="000936D7"/>
    <w:rsid w:val="000937F7"/>
    <w:rsid w:val="0009392B"/>
    <w:rsid w:val="00093973"/>
    <w:rsid w:val="00093BB7"/>
    <w:rsid w:val="00093BD4"/>
    <w:rsid w:val="00093CBB"/>
    <w:rsid w:val="00093E0B"/>
    <w:rsid w:val="00093E66"/>
    <w:rsid w:val="00093FEF"/>
    <w:rsid w:val="00094019"/>
    <w:rsid w:val="000940EF"/>
    <w:rsid w:val="000941AC"/>
    <w:rsid w:val="00094413"/>
    <w:rsid w:val="00094414"/>
    <w:rsid w:val="0009454D"/>
    <w:rsid w:val="00094587"/>
    <w:rsid w:val="00094868"/>
    <w:rsid w:val="000949F9"/>
    <w:rsid w:val="00094A27"/>
    <w:rsid w:val="00094AE8"/>
    <w:rsid w:val="00094C55"/>
    <w:rsid w:val="00094C5F"/>
    <w:rsid w:val="00094D13"/>
    <w:rsid w:val="00094FA6"/>
    <w:rsid w:val="00095081"/>
    <w:rsid w:val="000950ED"/>
    <w:rsid w:val="0009514F"/>
    <w:rsid w:val="00095150"/>
    <w:rsid w:val="000951FF"/>
    <w:rsid w:val="000953B2"/>
    <w:rsid w:val="00095400"/>
    <w:rsid w:val="0009547B"/>
    <w:rsid w:val="00095BD5"/>
    <w:rsid w:val="00095D91"/>
    <w:rsid w:val="00095F86"/>
    <w:rsid w:val="000960CE"/>
    <w:rsid w:val="00096716"/>
    <w:rsid w:val="00096AE0"/>
    <w:rsid w:val="00096B5B"/>
    <w:rsid w:val="00096B93"/>
    <w:rsid w:val="00096BED"/>
    <w:rsid w:val="00096E3A"/>
    <w:rsid w:val="00096E67"/>
    <w:rsid w:val="00096E88"/>
    <w:rsid w:val="00097266"/>
    <w:rsid w:val="0009742F"/>
    <w:rsid w:val="00097949"/>
    <w:rsid w:val="00097C27"/>
    <w:rsid w:val="00097ED4"/>
    <w:rsid w:val="000A0006"/>
    <w:rsid w:val="000A00C0"/>
    <w:rsid w:val="000A0177"/>
    <w:rsid w:val="000A0315"/>
    <w:rsid w:val="000A0377"/>
    <w:rsid w:val="000A04B2"/>
    <w:rsid w:val="000A063C"/>
    <w:rsid w:val="000A063E"/>
    <w:rsid w:val="000A085B"/>
    <w:rsid w:val="000A089F"/>
    <w:rsid w:val="000A0A3C"/>
    <w:rsid w:val="000A0BF8"/>
    <w:rsid w:val="000A0F52"/>
    <w:rsid w:val="000A10D7"/>
    <w:rsid w:val="000A125F"/>
    <w:rsid w:val="000A13B2"/>
    <w:rsid w:val="000A176F"/>
    <w:rsid w:val="000A17F8"/>
    <w:rsid w:val="000A1C67"/>
    <w:rsid w:val="000A1E7E"/>
    <w:rsid w:val="000A200F"/>
    <w:rsid w:val="000A221F"/>
    <w:rsid w:val="000A2324"/>
    <w:rsid w:val="000A239E"/>
    <w:rsid w:val="000A245C"/>
    <w:rsid w:val="000A2630"/>
    <w:rsid w:val="000A26AC"/>
    <w:rsid w:val="000A26D1"/>
    <w:rsid w:val="000A282D"/>
    <w:rsid w:val="000A286E"/>
    <w:rsid w:val="000A29F1"/>
    <w:rsid w:val="000A2A68"/>
    <w:rsid w:val="000A2B8D"/>
    <w:rsid w:val="000A2BDF"/>
    <w:rsid w:val="000A2C67"/>
    <w:rsid w:val="000A2C9A"/>
    <w:rsid w:val="000A2CA8"/>
    <w:rsid w:val="000A317A"/>
    <w:rsid w:val="000A3206"/>
    <w:rsid w:val="000A341D"/>
    <w:rsid w:val="000A35C5"/>
    <w:rsid w:val="000A3A65"/>
    <w:rsid w:val="000A3DCF"/>
    <w:rsid w:val="000A3E2E"/>
    <w:rsid w:val="000A3FDF"/>
    <w:rsid w:val="000A3FFF"/>
    <w:rsid w:val="000A4029"/>
    <w:rsid w:val="000A403C"/>
    <w:rsid w:val="000A42BE"/>
    <w:rsid w:val="000A44E5"/>
    <w:rsid w:val="000A4963"/>
    <w:rsid w:val="000A4B91"/>
    <w:rsid w:val="000A4C7E"/>
    <w:rsid w:val="000A5836"/>
    <w:rsid w:val="000A5E87"/>
    <w:rsid w:val="000A62B6"/>
    <w:rsid w:val="000A6396"/>
    <w:rsid w:val="000A63FA"/>
    <w:rsid w:val="000A656C"/>
    <w:rsid w:val="000A673C"/>
    <w:rsid w:val="000A6792"/>
    <w:rsid w:val="000A679A"/>
    <w:rsid w:val="000A6844"/>
    <w:rsid w:val="000A6AA7"/>
    <w:rsid w:val="000A6CA7"/>
    <w:rsid w:val="000A6E6B"/>
    <w:rsid w:val="000A6FE3"/>
    <w:rsid w:val="000A71A6"/>
    <w:rsid w:val="000A72B3"/>
    <w:rsid w:val="000A738B"/>
    <w:rsid w:val="000A740F"/>
    <w:rsid w:val="000A7529"/>
    <w:rsid w:val="000A7626"/>
    <w:rsid w:val="000A77DE"/>
    <w:rsid w:val="000A795E"/>
    <w:rsid w:val="000A7A3B"/>
    <w:rsid w:val="000A7BF8"/>
    <w:rsid w:val="000A7CC1"/>
    <w:rsid w:val="000A7CE3"/>
    <w:rsid w:val="000B0047"/>
    <w:rsid w:val="000B00CE"/>
    <w:rsid w:val="000B0172"/>
    <w:rsid w:val="000B072D"/>
    <w:rsid w:val="000B0767"/>
    <w:rsid w:val="000B0C4C"/>
    <w:rsid w:val="000B0D82"/>
    <w:rsid w:val="000B0EA3"/>
    <w:rsid w:val="000B0EC7"/>
    <w:rsid w:val="000B0FD8"/>
    <w:rsid w:val="000B113C"/>
    <w:rsid w:val="000B1260"/>
    <w:rsid w:val="000B1336"/>
    <w:rsid w:val="000B1577"/>
    <w:rsid w:val="000B1598"/>
    <w:rsid w:val="000B1858"/>
    <w:rsid w:val="000B18BC"/>
    <w:rsid w:val="000B1B54"/>
    <w:rsid w:val="000B1D79"/>
    <w:rsid w:val="000B2177"/>
    <w:rsid w:val="000B2211"/>
    <w:rsid w:val="000B22EA"/>
    <w:rsid w:val="000B230A"/>
    <w:rsid w:val="000B2615"/>
    <w:rsid w:val="000B2701"/>
    <w:rsid w:val="000B2813"/>
    <w:rsid w:val="000B2818"/>
    <w:rsid w:val="000B2988"/>
    <w:rsid w:val="000B29B7"/>
    <w:rsid w:val="000B2AE2"/>
    <w:rsid w:val="000B2D3D"/>
    <w:rsid w:val="000B2DB4"/>
    <w:rsid w:val="000B2E2C"/>
    <w:rsid w:val="000B307D"/>
    <w:rsid w:val="000B30AD"/>
    <w:rsid w:val="000B31B5"/>
    <w:rsid w:val="000B32DE"/>
    <w:rsid w:val="000B35A1"/>
    <w:rsid w:val="000B38EA"/>
    <w:rsid w:val="000B395C"/>
    <w:rsid w:val="000B3C75"/>
    <w:rsid w:val="000B3CF0"/>
    <w:rsid w:val="000B4026"/>
    <w:rsid w:val="000B4066"/>
    <w:rsid w:val="000B4099"/>
    <w:rsid w:val="000B41D5"/>
    <w:rsid w:val="000B430A"/>
    <w:rsid w:val="000B441B"/>
    <w:rsid w:val="000B450E"/>
    <w:rsid w:val="000B47D8"/>
    <w:rsid w:val="000B4DCC"/>
    <w:rsid w:val="000B5190"/>
    <w:rsid w:val="000B5224"/>
    <w:rsid w:val="000B53EE"/>
    <w:rsid w:val="000B57A6"/>
    <w:rsid w:val="000B57D6"/>
    <w:rsid w:val="000B593B"/>
    <w:rsid w:val="000B5BAC"/>
    <w:rsid w:val="000B66D8"/>
    <w:rsid w:val="000B6847"/>
    <w:rsid w:val="000B69A7"/>
    <w:rsid w:val="000B6A90"/>
    <w:rsid w:val="000B6D2D"/>
    <w:rsid w:val="000B712E"/>
    <w:rsid w:val="000B7187"/>
    <w:rsid w:val="000B7297"/>
    <w:rsid w:val="000B7407"/>
    <w:rsid w:val="000B7519"/>
    <w:rsid w:val="000B7676"/>
    <w:rsid w:val="000B7A15"/>
    <w:rsid w:val="000B7A5A"/>
    <w:rsid w:val="000B7AE1"/>
    <w:rsid w:val="000B7C13"/>
    <w:rsid w:val="000B7CA2"/>
    <w:rsid w:val="000B7D71"/>
    <w:rsid w:val="000B7F19"/>
    <w:rsid w:val="000C00D6"/>
    <w:rsid w:val="000C0770"/>
    <w:rsid w:val="000C08F1"/>
    <w:rsid w:val="000C0A83"/>
    <w:rsid w:val="000C0B93"/>
    <w:rsid w:val="000C0B9A"/>
    <w:rsid w:val="000C0F85"/>
    <w:rsid w:val="000C1052"/>
    <w:rsid w:val="000C119A"/>
    <w:rsid w:val="000C1369"/>
    <w:rsid w:val="000C172C"/>
    <w:rsid w:val="000C17FB"/>
    <w:rsid w:val="000C1850"/>
    <w:rsid w:val="000C1A1E"/>
    <w:rsid w:val="000C1B99"/>
    <w:rsid w:val="000C1C34"/>
    <w:rsid w:val="000C1DD2"/>
    <w:rsid w:val="000C1E44"/>
    <w:rsid w:val="000C1F2C"/>
    <w:rsid w:val="000C23C5"/>
    <w:rsid w:val="000C2480"/>
    <w:rsid w:val="000C26E5"/>
    <w:rsid w:val="000C270B"/>
    <w:rsid w:val="000C2756"/>
    <w:rsid w:val="000C276A"/>
    <w:rsid w:val="000C27B2"/>
    <w:rsid w:val="000C2926"/>
    <w:rsid w:val="000C2973"/>
    <w:rsid w:val="000C298F"/>
    <w:rsid w:val="000C2B0F"/>
    <w:rsid w:val="000C2BE5"/>
    <w:rsid w:val="000C2D24"/>
    <w:rsid w:val="000C2E87"/>
    <w:rsid w:val="000C322A"/>
    <w:rsid w:val="000C37FA"/>
    <w:rsid w:val="000C394A"/>
    <w:rsid w:val="000C3A58"/>
    <w:rsid w:val="000C3D12"/>
    <w:rsid w:val="000C3D5D"/>
    <w:rsid w:val="000C3F0B"/>
    <w:rsid w:val="000C3F68"/>
    <w:rsid w:val="000C3F80"/>
    <w:rsid w:val="000C40E9"/>
    <w:rsid w:val="000C42B1"/>
    <w:rsid w:val="000C446F"/>
    <w:rsid w:val="000C45BC"/>
    <w:rsid w:val="000C468C"/>
    <w:rsid w:val="000C46AB"/>
    <w:rsid w:val="000C4C20"/>
    <w:rsid w:val="000C5332"/>
    <w:rsid w:val="000C5432"/>
    <w:rsid w:val="000C5499"/>
    <w:rsid w:val="000C5538"/>
    <w:rsid w:val="000C5BD4"/>
    <w:rsid w:val="000C5F95"/>
    <w:rsid w:val="000C5FD8"/>
    <w:rsid w:val="000C6190"/>
    <w:rsid w:val="000C6255"/>
    <w:rsid w:val="000C637E"/>
    <w:rsid w:val="000C64B3"/>
    <w:rsid w:val="000C6801"/>
    <w:rsid w:val="000C6AA1"/>
    <w:rsid w:val="000C6B65"/>
    <w:rsid w:val="000C6C72"/>
    <w:rsid w:val="000C6CC3"/>
    <w:rsid w:val="000C6FF1"/>
    <w:rsid w:val="000C718A"/>
    <w:rsid w:val="000C7426"/>
    <w:rsid w:val="000C76BE"/>
    <w:rsid w:val="000C76FD"/>
    <w:rsid w:val="000C776E"/>
    <w:rsid w:val="000C788A"/>
    <w:rsid w:val="000C7C9B"/>
    <w:rsid w:val="000C7D1F"/>
    <w:rsid w:val="000D07F7"/>
    <w:rsid w:val="000D0954"/>
    <w:rsid w:val="000D0A8F"/>
    <w:rsid w:val="000D0EA5"/>
    <w:rsid w:val="000D0F37"/>
    <w:rsid w:val="000D0FF3"/>
    <w:rsid w:val="000D122B"/>
    <w:rsid w:val="000D12AE"/>
    <w:rsid w:val="000D14D7"/>
    <w:rsid w:val="000D16AF"/>
    <w:rsid w:val="000D1B03"/>
    <w:rsid w:val="000D1E51"/>
    <w:rsid w:val="000D1FBA"/>
    <w:rsid w:val="000D23B3"/>
    <w:rsid w:val="000D23E3"/>
    <w:rsid w:val="000D2582"/>
    <w:rsid w:val="000D25BF"/>
    <w:rsid w:val="000D273B"/>
    <w:rsid w:val="000D287F"/>
    <w:rsid w:val="000D2928"/>
    <w:rsid w:val="000D2A10"/>
    <w:rsid w:val="000D2A76"/>
    <w:rsid w:val="000D3227"/>
    <w:rsid w:val="000D32A1"/>
    <w:rsid w:val="000D3511"/>
    <w:rsid w:val="000D3597"/>
    <w:rsid w:val="000D37C5"/>
    <w:rsid w:val="000D385D"/>
    <w:rsid w:val="000D3A23"/>
    <w:rsid w:val="000D3B98"/>
    <w:rsid w:val="000D3D69"/>
    <w:rsid w:val="000D3FA8"/>
    <w:rsid w:val="000D40E0"/>
    <w:rsid w:val="000D42C1"/>
    <w:rsid w:val="000D445B"/>
    <w:rsid w:val="000D475F"/>
    <w:rsid w:val="000D4BA8"/>
    <w:rsid w:val="000D4E3E"/>
    <w:rsid w:val="000D4ECB"/>
    <w:rsid w:val="000D4F8F"/>
    <w:rsid w:val="000D4FAD"/>
    <w:rsid w:val="000D5016"/>
    <w:rsid w:val="000D5265"/>
    <w:rsid w:val="000D543E"/>
    <w:rsid w:val="000D54A8"/>
    <w:rsid w:val="000D559F"/>
    <w:rsid w:val="000D57E7"/>
    <w:rsid w:val="000D58AB"/>
    <w:rsid w:val="000D5943"/>
    <w:rsid w:val="000D5A14"/>
    <w:rsid w:val="000D5CCC"/>
    <w:rsid w:val="000D6032"/>
    <w:rsid w:val="000D654F"/>
    <w:rsid w:val="000D66D8"/>
    <w:rsid w:val="000D67EB"/>
    <w:rsid w:val="000D686A"/>
    <w:rsid w:val="000D6B36"/>
    <w:rsid w:val="000D6D58"/>
    <w:rsid w:val="000D6E3C"/>
    <w:rsid w:val="000D6F4E"/>
    <w:rsid w:val="000D7024"/>
    <w:rsid w:val="000D7078"/>
    <w:rsid w:val="000D70C6"/>
    <w:rsid w:val="000D736C"/>
    <w:rsid w:val="000D75A7"/>
    <w:rsid w:val="000D789F"/>
    <w:rsid w:val="000D798A"/>
    <w:rsid w:val="000D7995"/>
    <w:rsid w:val="000D79F3"/>
    <w:rsid w:val="000D79FD"/>
    <w:rsid w:val="000D7AC5"/>
    <w:rsid w:val="000D7B74"/>
    <w:rsid w:val="000D7E67"/>
    <w:rsid w:val="000E092C"/>
    <w:rsid w:val="000E0A76"/>
    <w:rsid w:val="000E16B7"/>
    <w:rsid w:val="000E18CC"/>
    <w:rsid w:val="000E1B71"/>
    <w:rsid w:val="000E1BBC"/>
    <w:rsid w:val="000E1BD2"/>
    <w:rsid w:val="000E1BDB"/>
    <w:rsid w:val="000E1EE4"/>
    <w:rsid w:val="000E1F37"/>
    <w:rsid w:val="000E1F6C"/>
    <w:rsid w:val="000E20FA"/>
    <w:rsid w:val="000E210B"/>
    <w:rsid w:val="000E2376"/>
    <w:rsid w:val="000E2442"/>
    <w:rsid w:val="000E247F"/>
    <w:rsid w:val="000E2602"/>
    <w:rsid w:val="000E2CB7"/>
    <w:rsid w:val="000E3011"/>
    <w:rsid w:val="000E3465"/>
    <w:rsid w:val="000E361D"/>
    <w:rsid w:val="000E36E7"/>
    <w:rsid w:val="000E38D9"/>
    <w:rsid w:val="000E3C8D"/>
    <w:rsid w:val="000E3F76"/>
    <w:rsid w:val="000E4101"/>
    <w:rsid w:val="000E42B2"/>
    <w:rsid w:val="000E475E"/>
    <w:rsid w:val="000E4897"/>
    <w:rsid w:val="000E4964"/>
    <w:rsid w:val="000E5335"/>
    <w:rsid w:val="000E55AB"/>
    <w:rsid w:val="000E5613"/>
    <w:rsid w:val="000E57DB"/>
    <w:rsid w:val="000E5807"/>
    <w:rsid w:val="000E58CB"/>
    <w:rsid w:val="000E5B62"/>
    <w:rsid w:val="000E5B84"/>
    <w:rsid w:val="000E5C20"/>
    <w:rsid w:val="000E5CB6"/>
    <w:rsid w:val="000E5D25"/>
    <w:rsid w:val="000E5FC1"/>
    <w:rsid w:val="000E6098"/>
    <w:rsid w:val="000E61BB"/>
    <w:rsid w:val="000E6314"/>
    <w:rsid w:val="000E639F"/>
    <w:rsid w:val="000E69F6"/>
    <w:rsid w:val="000E6B2B"/>
    <w:rsid w:val="000E6CAE"/>
    <w:rsid w:val="000E6D8A"/>
    <w:rsid w:val="000E6DF1"/>
    <w:rsid w:val="000E70F2"/>
    <w:rsid w:val="000E7310"/>
    <w:rsid w:val="000E73B1"/>
    <w:rsid w:val="000E78A9"/>
    <w:rsid w:val="000E79CC"/>
    <w:rsid w:val="000E7B50"/>
    <w:rsid w:val="000E7BF4"/>
    <w:rsid w:val="000E7CEB"/>
    <w:rsid w:val="000F013C"/>
    <w:rsid w:val="000F0336"/>
    <w:rsid w:val="000F0346"/>
    <w:rsid w:val="000F0820"/>
    <w:rsid w:val="000F08F7"/>
    <w:rsid w:val="000F0971"/>
    <w:rsid w:val="000F0B30"/>
    <w:rsid w:val="000F0CAA"/>
    <w:rsid w:val="000F0EA0"/>
    <w:rsid w:val="000F0F2E"/>
    <w:rsid w:val="000F12E1"/>
    <w:rsid w:val="000F1451"/>
    <w:rsid w:val="000F1594"/>
    <w:rsid w:val="000F180A"/>
    <w:rsid w:val="000F1A17"/>
    <w:rsid w:val="000F1A88"/>
    <w:rsid w:val="000F1AD7"/>
    <w:rsid w:val="000F226A"/>
    <w:rsid w:val="000F239F"/>
    <w:rsid w:val="000F24B3"/>
    <w:rsid w:val="000F2955"/>
    <w:rsid w:val="000F2CC9"/>
    <w:rsid w:val="000F2D8F"/>
    <w:rsid w:val="000F2DF1"/>
    <w:rsid w:val="000F2F4A"/>
    <w:rsid w:val="000F2FC2"/>
    <w:rsid w:val="000F30A6"/>
    <w:rsid w:val="000F30EE"/>
    <w:rsid w:val="000F3117"/>
    <w:rsid w:val="000F348F"/>
    <w:rsid w:val="000F34A9"/>
    <w:rsid w:val="000F3501"/>
    <w:rsid w:val="000F37D2"/>
    <w:rsid w:val="000F37DC"/>
    <w:rsid w:val="000F3994"/>
    <w:rsid w:val="000F3B23"/>
    <w:rsid w:val="000F3CD5"/>
    <w:rsid w:val="000F4559"/>
    <w:rsid w:val="000F4563"/>
    <w:rsid w:val="000F4713"/>
    <w:rsid w:val="000F482E"/>
    <w:rsid w:val="000F4A6E"/>
    <w:rsid w:val="000F4E78"/>
    <w:rsid w:val="000F4EBF"/>
    <w:rsid w:val="000F5011"/>
    <w:rsid w:val="000F5070"/>
    <w:rsid w:val="000F5309"/>
    <w:rsid w:val="000F5551"/>
    <w:rsid w:val="000F56C1"/>
    <w:rsid w:val="000F5853"/>
    <w:rsid w:val="000F59CD"/>
    <w:rsid w:val="000F5BBD"/>
    <w:rsid w:val="000F5C33"/>
    <w:rsid w:val="000F5E99"/>
    <w:rsid w:val="000F5EA2"/>
    <w:rsid w:val="000F5FC3"/>
    <w:rsid w:val="000F6131"/>
    <w:rsid w:val="000F621D"/>
    <w:rsid w:val="000F68EB"/>
    <w:rsid w:val="000F69A3"/>
    <w:rsid w:val="000F69F0"/>
    <w:rsid w:val="000F6D59"/>
    <w:rsid w:val="000F731B"/>
    <w:rsid w:val="000F777C"/>
    <w:rsid w:val="000F7AD7"/>
    <w:rsid w:val="000F7C00"/>
    <w:rsid w:val="00100278"/>
    <w:rsid w:val="001006CA"/>
    <w:rsid w:val="001007A7"/>
    <w:rsid w:val="001007D9"/>
    <w:rsid w:val="00100DA3"/>
    <w:rsid w:val="0010165A"/>
    <w:rsid w:val="00101833"/>
    <w:rsid w:val="001018B7"/>
    <w:rsid w:val="001018CE"/>
    <w:rsid w:val="00101C80"/>
    <w:rsid w:val="00101DDF"/>
    <w:rsid w:val="00101E22"/>
    <w:rsid w:val="00102537"/>
    <w:rsid w:val="00102568"/>
    <w:rsid w:val="001027E6"/>
    <w:rsid w:val="00102C0E"/>
    <w:rsid w:val="00102DF9"/>
    <w:rsid w:val="00103197"/>
    <w:rsid w:val="001032F5"/>
    <w:rsid w:val="00103404"/>
    <w:rsid w:val="0010341B"/>
    <w:rsid w:val="00103612"/>
    <w:rsid w:val="00103672"/>
    <w:rsid w:val="0010374A"/>
    <w:rsid w:val="001037CF"/>
    <w:rsid w:val="001039F7"/>
    <w:rsid w:val="00103C47"/>
    <w:rsid w:val="00103DD2"/>
    <w:rsid w:val="00103F5B"/>
    <w:rsid w:val="00103F99"/>
    <w:rsid w:val="0010401A"/>
    <w:rsid w:val="0010402A"/>
    <w:rsid w:val="00104162"/>
    <w:rsid w:val="00104808"/>
    <w:rsid w:val="00104A3D"/>
    <w:rsid w:val="00104A4E"/>
    <w:rsid w:val="00104C57"/>
    <w:rsid w:val="00104CC6"/>
    <w:rsid w:val="00104D6B"/>
    <w:rsid w:val="001050F4"/>
    <w:rsid w:val="00105152"/>
    <w:rsid w:val="00105251"/>
    <w:rsid w:val="00105366"/>
    <w:rsid w:val="00105843"/>
    <w:rsid w:val="001058AD"/>
    <w:rsid w:val="001058B0"/>
    <w:rsid w:val="00105C3F"/>
    <w:rsid w:val="00105D82"/>
    <w:rsid w:val="00105DB3"/>
    <w:rsid w:val="00105F6D"/>
    <w:rsid w:val="00105FE2"/>
    <w:rsid w:val="001063E3"/>
    <w:rsid w:val="0010670B"/>
    <w:rsid w:val="0010674E"/>
    <w:rsid w:val="001068CF"/>
    <w:rsid w:val="00106A12"/>
    <w:rsid w:val="00106F76"/>
    <w:rsid w:val="0010703F"/>
    <w:rsid w:val="001070B9"/>
    <w:rsid w:val="001070F0"/>
    <w:rsid w:val="0010730E"/>
    <w:rsid w:val="0010734D"/>
    <w:rsid w:val="00107588"/>
    <w:rsid w:val="0010762E"/>
    <w:rsid w:val="001079FE"/>
    <w:rsid w:val="00107B9D"/>
    <w:rsid w:val="00107E6A"/>
    <w:rsid w:val="00107EDC"/>
    <w:rsid w:val="00107F97"/>
    <w:rsid w:val="00107F9A"/>
    <w:rsid w:val="001102A2"/>
    <w:rsid w:val="001102AD"/>
    <w:rsid w:val="00110320"/>
    <w:rsid w:val="001103F7"/>
    <w:rsid w:val="001104BD"/>
    <w:rsid w:val="00110601"/>
    <w:rsid w:val="00110724"/>
    <w:rsid w:val="0011076B"/>
    <w:rsid w:val="001107D1"/>
    <w:rsid w:val="001108FA"/>
    <w:rsid w:val="00110A50"/>
    <w:rsid w:val="00110B86"/>
    <w:rsid w:val="00110B91"/>
    <w:rsid w:val="00110C02"/>
    <w:rsid w:val="00110CBB"/>
    <w:rsid w:val="00110E65"/>
    <w:rsid w:val="00110ED2"/>
    <w:rsid w:val="00110F2B"/>
    <w:rsid w:val="00110F8F"/>
    <w:rsid w:val="00111046"/>
    <w:rsid w:val="001110E0"/>
    <w:rsid w:val="00111343"/>
    <w:rsid w:val="00111532"/>
    <w:rsid w:val="00111620"/>
    <w:rsid w:val="001116E5"/>
    <w:rsid w:val="00111747"/>
    <w:rsid w:val="00111759"/>
    <w:rsid w:val="001118F2"/>
    <w:rsid w:val="0011258F"/>
    <w:rsid w:val="001125DA"/>
    <w:rsid w:val="0011264E"/>
    <w:rsid w:val="00112687"/>
    <w:rsid w:val="001127A7"/>
    <w:rsid w:val="001128B2"/>
    <w:rsid w:val="00112B5B"/>
    <w:rsid w:val="00112DDC"/>
    <w:rsid w:val="00112E82"/>
    <w:rsid w:val="0011314F"/>
    <w:rsid w:val="00113551"/>
    <w:rsid w:val="001135F4"/>
    <w:rsid w:val="00113610"/>
    <w:rsid w:val="00113727"/>
    <w:rsid w:val="00113A18"/>
    <w:rsid w:val="00113B77"/>
    <w:rsid w:val="00113E0F"/>
    <w:rsid w:val="00113ECD"/>
    <w:rsid w:val="0011404F"/>
    <w:rsid w:val="001140EC"/>
    <w:rsid w:val="00114370"/>
    <w:rsid w:val="001144A1"/>
    <w:rsid w:val="0011465C"/>
    <w:rsid w:val="00114738"/>
    <w:rsid w:val="001148C8"/>
    <w:rsid w:val="00114A3E"/>
    <w:rsid w:val="00114C57"/>
    <w:rsid w:val="00114CF3"/>
    <w:rsid w:val="00114D86"/>
    <w:rsid w:val="00114DFB"/>
    <w:rsid w:val="00114EF2"/>
    <w:rsid w:val="00114FD9"/>
    <w:rsid w:val="0011500F"/>
    <w:rsid w:val="001151A3"/>
    <w:rsid w:val="0011520B"/>
    <w:rsid w:val="001153C4"/>
    <w:rsid w:val="001153E7"/>
    <w:rsid w:val="00115660"/>
    <w:rsid w:val="001158F8"/>
    <w:rsid w:val="001159D0"/>
    <w:rsid w:val="00115B17"/>
    <w:rsid w:val="00115B40"/>
    <w:rsid w:val="00115B43"/>
    <w:rsid w:val="00115BDD"/>
    <w:rsid w:val="00115C70"/>
    <w:rsid w:val="00115CD0"/>
    <w:rsid w:val="00115CD4"/>
    <w:rsid w:val="00115EC2"/>
    <w:rsid w:val="001160E2"/>
    <w:rsid w:val="00116245"/>
    <w:rsid w:val="00116292"/>
    <w:rsid w:val="001164DE"/>
    <w:rsid w:val="00116550"/>
    <w:rsid w:val="001167A2"/>
    <w:rsid w:val="00116A96"/>
    <w:rsid w:val="00116B90"/>
    <w:rsid w:val="00116EFA"/>
    <w:rsid w:val="00116F44"/>
    <w:rsid w:val="00117078"/>
    <w:rsid w:val="00117110"/>
    <w:rsid w:val="00117200"/>
    <w:rsid w:val="00117351"/>
    <w:rsid w:val="00117671"/>
    <w:rsid w:val="00117694"/>
    <w:rsid w:val="001176F9"/>
    <w:rsid w:val="001178E1"/>
    <w:rsid w:val="00117C83"/>
    <w:rsid w:val="001201A1"/>
    <w:rsid w:val="001201C3"/>
    <w:rsid w:val="001206FA"/>
    <w:rsid w:val="00120818"/>
    <w:rsid w:val="00120BA2"/>
    <w:rsid w:val="00120C9C"/>
    <w:rsid w:val="00120D41"/>
    <w:rsid w:val="00120EA5"/>
    <w:rsid w:val="00121017"/>
    <w:rsid w:val="00121024"/>
    <w:rsid w:val="001211E1"/>
    <w:rsid w:val="001212C7"/>
    <w:rsid w:val="00121436"/>
    <w:rsid w:val="001214A4"/>
    <w:rsid w:val="00121607"/>
    <w:rsid w:val="001216BE"/>
    <w:rsid w:val="001216E0"/>
    <w:rsid w:val="001219EB"/>
    <w:rsid w:val="0012204A"/>
    <w:rsid w:val="001220C5"/>
    <w:rsid w:val="0012253C"/>
    <w:rsid w:val="001225D2"/>
    <w:rsid w:val="00122608"/>
    <w:rsid w:val="00122C03"/>
    <w:rsid w:val="00122CA3"/>
    <w:rsid w:val="0012313D"/>
    <w:rsid w:val="001233AC"/>
    <w:rsid w:val="001234A5"/>
    <w:rsid w:val="001234FE"/>
    <w:rsid w:val="00123A95"/>
    <w:rsid w:val="00123ABF"/>
    <w:rsid w:val="00123B88"/>
    <w:rsid w:val="00123C21"/>
    <w:rsid w:val="00123D5D"/>
    <w:rsid w:val="00123E27"/>
    <w:rsid w:val="00123ECE"/>
    <w:rsid w:val="00124656"/>
    <w:rsid w:val="001246A4"/>
    <w:rsid w:val="00124B21"/>
    <w:rsid w:val="00124D0B"/>
    <w:rsid w:val="00124E81"/>
    <w:rsid w:val="00124F70"/>
    <w:rsid w:val="001254D6"/>
    <w:rsid w:val="0012566F"/>
    <w:rsid w:val="00125A7D"/>
    <w:rsid w:val="00125AC3"/>
    <w:rsid w:val="00125D0E"/>
    <w:rsid w:val="0012604F"/>
    <w:rsid w:val="00126096"/>
    <w:rsid w:val="001262F2"/>
    <w:rsid w:val="001266CA"/>
    <w:rsid w:val="001267A4"/>
    <w:rsid w:val="0012681A"/>
    <w:rsid w:val="00126825"/>
    <w:rsid w:val="00126A39"/>
    <w:rsid w:val="00126D4B"/>
    <w:rsid w:val="00126E04"/>
    <w:rsid w:val="00126E75"/>
    <w:rsid w:val="00126EC4"/>
    <w:rsid w:val="00126ED1"/>
    <w:rsid w:val="00126F04"/>
    <w:rsid w:val="00126F2F"/>
    <w:rsid w:val="0012702A"/>
    <w:rsid w:val="00127095"/>
    <w:rsid w:val="001270D1"/>
    <w:rsid w:val="001273B7"/>
    <w:rsid w:val="00127423"/>
    <w:rsid w:val="0012765B"/>
    <w:rsid w:val="001276D2"/>
    <w:rsid w:val="00127741"/>
    <w:rsid w:val="00127850"/>
    <w:rsid w:val="001278E8"/>
    <w:rsid w:val="0012796E"/>
    <w:rsid w:val="00127ACC"/>
    <w:rsid w:val="00127C03"/>
    <w:rsid w:val="00127CCA"/>
    <w:rsid w:val="0013003A"/>
    <w:rsid w:val="00130090"/>
    <w:rsid w:val="001303FC"/>
    <w:rsid w:val="0013047D"/>
    <w:rsid w:val="0013055E"/>
    <w:rsid w:val="001306A4"/>
    <w:rsid w:val="001306F2"/>
    <w:rsid w:val="00130703"/>
    <w:rsid w:val="00130711"/>
    <w:rsid w:val="001308D8"/>
    <w:rsid w:val="00130B3D"/>
    <w:rsid w:val="00130D37"/>
    <w:rsid w:val="001311AE"/>
    <w:rsid w:val="001313C8"/>
    <w:rsid w:val="001315F0"/>
    <w:rsid w:val="0013166B"/>
    <w:rsid w:val="001316D8"/>
    <w:rsid w:val="001317D2"/>
    <w:rsid w:val="00131835"/>
    <w:rsid w:val="00131A3C"/>
    <w:rsid w:val="00131C39"/>
    <w:rsid w:val="00131E73"/>
    <w:rsid w:val="00131F5F"/>
    <w:rsid w:val="00132236"/>
    <w:rsid w:val="00132243"/>
    <w:rsid w:val="00132263"/>
    <w:rsid w:val="001323F8"/>
    <w:rsid w:val="001323FE"/>
    <w:rsid w:val="00132536"/>
    <w:rsid w:val="0013267F"/>
    <w:rsid w:val="00132700"/>
    <w:rsid w:val="001329F2"/>
    <w:rsid w:val="00132EF6"/>
    <w:rsid w:val="0013316C"/>
    <w:rsid w:val="00133524"/>
    <w:rsid w:val="00133600"/>
    <w:rsid w:val="0013393A"/>
    <w:rsid w:val="0013395F"/>
    <w:rsid w:val="00133AF4"/>
    <w:rsid w:val="00133BE5"/>
    <w:rsid w:val="00133BF9"/>
    <w:rsid w:val="00133F97"/>
    <w:rsid w:val="0013419A"/>
    <w:rsid w:val="00134243"/>
    <w:rsid w:val="001346CA"/>
    <w:rsid w:val="00134B55"/>
    <w:rsid w:val="00134C71"/>
    <w:rsid w:val="00134C82"/>
    <w:rsid w:val="00134D99"/>
    <w:rsid w:val="00134D9B"/>
    <w:rsid w:val="0013524B"/>
    <w:rsid w:val="001352C0"/>
    <w:rsid w:val="0013574B"/>
    <w:rsid w:val="00135777"/>
    <w:rsid w:val="00135E41"/>
    <w:rsid w:val="001361E7"/>
    <w:rsid w:val="0013644E"/>
    <w:rsid w:val="00136961"/>
    <w:rsid w:val="00136B94"/>
    <w:rsid w:val="00136C6B"/>
    <w:rsid w:val="00136DDA"/>
    <w:rsid w:val="00136F94"/>
    <w:rsid w:val="00137063"/>
    <w:rsid w:val="0013709B"/>
    <w:rsid w:val="001370C1"/>
    <w:rsid w:val="00137282"/>
    <w:rsid w:val="0013748F"/>
    <w:rsid w:val="00137930"/>
    <w:rsid w:val="00137943"/>
    <w:rsid w:val="00137C4D"/>
    <w:rsid w:val="00137CC0"/>
    <w:rsid w:val="00137D38"/>
    <w:rsid w:val="00137DAA"/>
    <w:rsid w:val="00137F36"/>
    <w:rsid w:val="0014003B"/>
    <w:rsid w:val="00140233"/>
    <w:rsid w:val="001405AD"/>
    <w:rsid w:val="0014078E"/>
    <w:rsid w:val="00140953"/>
    <w:rsid w:val="00140B16"/>
    <w:rsid w:val="00140BA8"/>
    <w:rsid w:val="00140BBD"/>
    <w:rsid w:val="00140CC3"/>
    <w:rsid w:val="00140F17"/>
    <w:rsid w:val="001410D5"/>
    <w:rsid w:val="001410E1"/>
    <w:rsid w:val="001411EC"/>
    <w:rsid w:val="00141315"/>
    <w:rsid w:val="001414D9"/>
    <w:rsid w:val="00141503"/>
    <w:rsid w:val="00141600"/>
    <w:rsid w:val="001418CE"/>
    <w:rsid w:val="00141913"/>
    <w:rsid w:val="0014197F"/>
    <w:rsid w:val="0014199E"/>
    <w:rsid w:val="00141C72"/>
    <w:rsid w:val="00141D20"/>
    <w:rsid w:val="0014209E"/>
    <w:rsid w:val="001426C0"/>
    <w:rsid w:val="001427E0"/>
    <w:rsid w:val="00142B78"/>
    <w:rsid w:val="00142E70"/>
    <w:rsid w:val="00142EBA"/>
    <w:rsid w:val="00142F23"/>
    <w:rsid w:val="00142F6A"/>
    <w:rsid w:val="00143003"/>
    <w:rsid w:val="00143021"/>
    <w:rsid w:val="00143043"/>
    <w:rsid w:val="0014304D"/>
    <w:rsid w:val="0014308A"/>
    <w:rsid w:val="00143116"/>
    <w:rsid w:val="0014331F"/>
    <w:rsid w:val="00143453"/>
    <w:rsid w:val="001439E9"/>
    <w:rsid w:val="00143C80"/>
    <w:rsid w:val="00143DD8"/>
    <w:rsid w:val="0014415E"/>
    <w:rsid w:val="00144359"/>
    <w:rsid w:val="00144377"/>
    <w:rsid w:val="00144452"/>
    <w:rsid w:val="00144610"/>
    <w:rsid w:val="0014475A"/>
    <w:rsid w:val="00144A88"/>
    <w:rsid w:val="00144ECD"/>
    <w:rsid w:val="00145139"/>
    <w:rsid w:val="00145270"/>
    <w:rsid w:val="001452F6"/>
    <w:rsid w:val="00145390"/>
    <w:rsid w:val="001453BA"/>
    <w:rsid w:val="0014546D"/>
    <w:rsid w:val="001454E8"/>
    <w:rsid w:val="0014550E"/>
    <w:rsid w:val="00145584"/>
    <w:rsid w:val="0014576F"/>
    <w:rsid w:val="0014589A"/>
    <w:rsid w:val="00145DD8"/>
    <w:rsid w:val="00145E3B"/>
    <w:rsid w:val="0014637D"/>
    <w:rsid w:val="0014639E"/>
    <w:rsid w:val="001465D0"/>
    <w:rsid w:val="001467C2"/>
    <w:rsid w:val="00146871"/>
    <w:rsid w:val="001468EA"/>
    <w:rsid w:val="00146E6B"/>
    <w:rsid w:val="001470BC"/>
    <w:rsid w:val="0014711A"/>
    <w:rsid w:val="001471AF"/>
    <w:rsid w:val="001472EA"/>
    <w:rsid w:val="001473B7"/>
    <w:rsid w:val="001474AE"/>
    <w:rsid w:val="001474E7"/>
    <w:rsid w:val="00147638"/>
    <w:rsid w:val="0014764B"/>
    <w:rsid w:val="001478A0"/>
    <w:rsid w:val="00147C2A"/>
    <w:rsid w:val="00147D4F"/>
    <w:rsid w:val="00147E8E"/>
    <w:rsid w:val="00147E92"/>
    <w:rsid w:val="0015009B"/>
    <w:rsid w:val="0015013B"/>
    <w:rsid w:val="00150271"/>
    <w:rsid w:val="00150404"/>
    <w:rsid w:val="0015041B"/>
    <w:rsid w:val="001505A6"/>
    <w:rsid w:val="001506C4"/>
    <w:rsid w:val="001506E2"/>
    <w:rsid w:val="001506F4"/>
    <w:rsid w:val="00150928"/>
    <w:rsid w:val="00150C06"/>
    <w:rsid w:val="00150CDB"/>
    <w:rsid w:val="00150D56"/>
    <w:rsid w:val="0015109F"/>
    <w:rsid w:val="001511D6"/>
    <w:rsid w:val="001511F3"/>
    <w:rsid w:val="0015125F"/>
    <w:rsid w:val="001512DD"/>
    <w:rsid w:val="00151337"/>
    <w:rsid w:val="00151A0F"/>
    <w:rsid w:val="00151B16"/>
    <w:rsid w:val="00151B69"/>
    <w:rsid w:val="00151DB4"/>
    <w:rsid w:val="00151F9B"/>
    <w:rsid w:val="001520F8"/>
    <w:rsid w:val="0015234A"/>
    <w:rsid w:val="00152413"/>
    <w:rsid w:val="001525B4"/>
    <w:rsid w:val="00152730"/>
    <w:rsid w:val="001527E3"/>
    <w:rsid w:val="0015297A"/>
    <w:rsid w:val="001529B3"/>
    <w:rsid w:val="00152E8C"/>
    <w:rsid w:val="00152E9F"/>
    <w:rsid w:val="001531C6"/>
    <w:rsid w:val="00153498"/>
    <w:rsid w:val="001534D0"/>
    <w:rsid w:val="0015377E"/>
    <w:rsid w:val="0015382A"/>
    <w:rsid w:val="00153978"/>
    <w:rsid w:val="00153ABC"/>
    <w:rsid w:val="00153C30"/>
    <w:rsid w:val="00153D4C"/>
    <w:rsid w:val="001541F2"/>
    <w:rsid w:val="0015433C"/>
    <w:rsid w:val="001543D3"/>
    <w:rsid w:val="001546D5"/>
    <w:rsid w:val="0015475F"/>
    <w:rsid w:val="001547A3"/>
    <w:rsid w:val="00154DD2"/>
    <w:rsid w:val="00154F17"/>
    <w:rsid w:val="00155076"/>
    <w:rsid w:val="00155B0D"/>
    <w:rsid w:val="00155BCA"/>
    <w:rsid w:val="00155E45"/>
    <w:rsid w:val="00156005"/>
    <w:rsid w:val="00156018"/>
    <w:rsid w:val="00156123"/>
    <w:rsid w:val="00156184"/>
    <w:rsid w:val="001561AA"/>
    <w:rsid w:val="001563DF"/>
    <w:rsid w:val="0015683C"/>
    <w:rsid w:val="00156ACA"/>
    <w:rsid w:val="00156B72"/>
    <w:rsid w:val="00156C68"/>
    <w:rsid w:val="00156CB8"/>
    <w:rsid w:val="00156CDB"/>
    <w:rsid w:val="00156D8F"/>
    <w:rsid w:val="00156E0B"/>
    <w:rsid w:val="0015739C"/>
    <w:rsid w:val="0015761A"/>
    <w:rsid w:val="001576CC"/>
    <w:rsid w:val="001578CF"/>
    <w:rsid w:val="00157A62"/>
    <w:rsid w:val="00157A73"/>
    <w:rsid w:val="00157D12"/>
    <w:rsid w:val="00157D4F"/>
    <w:rsid w:val="00157D6C"/>
    <w:rsid w:val="00157FCA"/>
    <w:rsid w:val="00160020"/>
    <w:rsid w:val="001600B3"/>
    <w:rsid w:val="001600B5"/>
    <w:rsid w:val="00160174"/>
    <w:rsid w:val="00160268"/>
    <w:rsid w:val="00160370"/>
    <w:rsid w:val="001603F3"/>
    <w:rsid w:val="001605D0"/>
    <w:rsid w:val="0016061B"/>
    <w:rsid w:val="0016071E"/>
    <w:rsid w:val="0016087F"/>
    <w:rsid w:val="00160938"/>
    <w:rsid w:val="001609E1"/>
    <w:rsid w:val="00160D17"/>
    <w:rsid w:val="00160DEB"/>
    <w:rsid w:val="00160E05"/>
    <w:rsid w:val="00160EF3"/>
    <w:rsid w:val="00161043"/>
    <w:rsid w:val="0016127B"/>
    <w:rsid w:val="00161760"/>
    <w:rsid w:val="0016191A"/>
    <w:rsid w:val="001619AA"/>
    <w:rsid w:val="00161A0A"/>
    <w:rsid w:val="00161C21"/>
    <w:rsid w:val="00162380"/>
    <w:rsid w:val="0016264A"/>
    <w:rsid w:val="0016299F"/>
    <w:rsid w:val="001629C7"/>
    <w:rsid w:val="00162D29"/>
    <w:rsid w:val="00162D62"/>
    <w:rsid w:val="00162E4D"/>
    <w:rsid w:val="00162EC3"/>
    <w:rsid w:val="00163250"/>
    <w:rsid w:val="0016345B"/>
    <w:rsid w:val="001634E0"/>
    <w:rsid w:val="00163619"/>
    <w:rsid w:val="00163731"/>
    <w:rsid w:val="00163C49"/>
    <w:rsid w:val="00163D7D"/>
    <w:rsid w:val="00163E29"/>
    <w:rsid w:val="00163EAE"/>
    <w:rsid w:val="00163F5E"/>
    <w:rsid w:val="00163F92"/>
    <w:rsid w:val="00164071"/>
    <w:rsid w:val="00164184"/>
    <w:rsid w:val="001641A3"/>
    <w:rsid w:val="00164345"/>
    <w:rsid w:val="00164C74"/>
    <w:rsid w:val="00165061"/>
    <w:rsid w:val="00165138"/>
    <w:rsid w:val="00165224"/>
    <w:rsid w:val="00165297"/>
    <w:rsid w:val="0016537D"/>
    <w:rsid w:val="00165857"/>
    <w:rsid w:val="00165A14"/>
    <w:rsid w:val="00165BD7"/>
    <w:rsid w:val="00165D07"/>
    <w:rsid w:val="00165E34"/>
    <w:rsid w:val="00165EC7"/>
    <w:rsid w:val="00165F0E"/>
    <w:rsid w:val="00165FB8"/>
    <w:rsid w:val="00165FD2"/>
    <w:rsid w:val="00165FFF"/>
    <w:rsid w:val="001662AB"/>
    <w:rsid w:val="00166351"/>
    <w:rsid w:val="001666A5"/>
    <w:rsid w:val="0016690D"/>
    <w:rsid w:val="0016696D"/>
    <w:rsid w:val="0016699A"/>
    <w:rsid w:val="001669B8"/>
    <w:rsid w:val="00166A78"/>
    <w:rsid w:val="00166B9B"/>
    <w:rsid w:val="00166C99"/>
    <w:rsid w:val="00166CB9"/>
    <w:rsid w:val="00166DCF"/>
    <w:rsid w:val="00167159"/>
    <w:rsid w:val="0016772C"/>
    <w:rsid w:val="0016792A"/>
    <w:rsid w:val="00167C98"/>
    <w:rsid w:val="00167D5A"/>
    <w:rsid w:val="00167F5F"/>
    <w:rsid w:val="0017026D"/>
    <w:rsid w:val="001702BA"/>
    <w:rsid w:val="001704E7"/>
    <w:rsid w:val="001708D8"/>
    <w:rsid w:val="00170A85"/>
    <w:rsid w:val="00170B07"/>
    <w:rsid w:val="00170B60"/>
    <w:rsid w:val="00170BA6"/>
    <w:rsid w:val="00170C6A"/>
    <w:rsid w:val="00170C9F"/>
    <w:rsid w:val="00170D51"/>
    <w:rsid w:val="0017104A"/>
    <w:rsid w:val="001716AC"/>
    <w:rsid w:val="001717D5"/>
    <w:rsid w:val="00171872"/>
    <w:rsid w:val="001718ED"/>
    <w:rsid w:val="001719C1"/>
    <w:rsid w:val="00171CCE"/>
    <w:rsid w:val="00171DC8"/>
    <w:rsid w:val="00171E30"/>
    <w:rsid w:val="001720FC"/>
    <w:rsid w:val="001722E3"/>
    <w:rsid w:val="00172524"/>
    <w:rsid w:val="00172649"/>
    <w:rsid w:val="00172799"/>
    <w:rsid w:val="001729F4"/>
    <w:rsid w:val="00172A82"/>
    <w:rsid w:val="00172EE4"/>
    <w:rsid w:val="00172F74"/>
    <w:rsid w:val="0017311B"/>
    <w:rsid w:val="0017350D"/>
    <w:rsid w:val="00173588"/>
    <w:rsid w:val="00173686"/>
    <w:rsid w:val="00173750"/>
    <w:rsid w:val="0017379C"/>
    <w:rsid w:val="00173CFD"/>
    <w:rsid w:val="00173D8C"/>
    <w:rsid w:val="00173E6F"/>
    <w:rsid w:val="00174061"/>
    <w:rsid w:val="0017427C"/>
    <w:rsid w:val="001742E1"/>
    <w:rsid w:val="00174380"/>
    <w:rsid w:val="0017464C"/>
    <w:rsid w:val="0017492C"/>
    <w:rsid w:val="00174A7A"/>
    <w:rsid w:val="00174B67"/>
    <w:rsid w:val="00174C02"/>
    <w:rsid w:val="00174CB4"/>
    <w:rsid w:val="00174DF4"/>
    <w:rsid w:val="00174FE4"/>
    <w:rsid w:val="0017533B"/>
    <w:rsid w:val="0017551A"/>
    <w:rsid w:val="001756D4"/>
    <w:rsid w:val="001757A3"/>
    <w:rsid w:val="001757A5"/>
    <w:rsid w:val="001759D8"/>
    <w:rsid w:val="00175A49"/>
    <w:rsid w:val="00175AC7"/>
    <w:rsid w:val="00175B5C"/>
    <w:rsid w:val="00175CD3"/>
    <w:rsid w:val="00176065"/>
    <w:rsid w:val="001760DA"/>
    <w:rsid w:val="001762D1"/>
    <w:rsid w:val="001767BB"/>
    <w:rsid w:val="0017680A"/>
    <w:rsid w:val="0017694A"/>
    <w:rsid w:val="00176B18"/>
    <w:rsid w:val="00176BBF"/>
    <w:rsid w:val="00176EBB"/>
    <w:rsid w:val="00176F7C"/>
    <w:rsid w:val="0017708D"/>
    <w:rsid w:val="001771A2"/>
    <w:rsid w:val="0017737F"/>
    <w:rsid w:val="001774BD"/>
    <w:rsid w:val="001774EA"/>
    <w:rsid w:val="001776AD"/>
    <w:rsid w:val="0017794F"/>
    <w:rsid w:val="00177987"/>
    <w:rsid w:val="00177A8C"/>
    <w:rsid w:val="00177D23"/>
    <w:rsid w:val="00177EE2"/>
    <w:rsid w:val="00177FC6"/>
    <w:rsid w:val="00177FEA"/>
    <w:rsid w:val="0018007C"/>
    <w:rsid w:val="001802D5"/>
    <w:rsid w:val="0018070D"/>
    <w:rsid w:val="00180DAC"/>
    <w:rsid w:val="00180E64"/>
    <w:rsid w:val="0018102D"/>
    <w:rsid w:val="0018106E"/>
    <w:rsid w:val="00181317"/>
    <w:rsid w:val="001814AE"/>
    <w:rsid w:val="001815E4"/>
    <w:rsid w:val="001818DD"/>
    <w:rsid w:val="00181CFF"/>
    <w:rsid w:val="00181EAF"/>
    <w:rsid w:val="001820B1"/>
    <w:rsid w:val="001820DA"/>
    <w:rsid w:val="00182216"/>
    <w:rsid w:val="001822F1"/>
    <w:rsid w:val="001823F3"/>
    <w:rsid w:val="00182401"/>
    <w:rsid w:val="001824B0"/>
    <w:rsid w:val="001824CD"/>
    <w:rsid w:val="001825DF"/>
    <w:rsid w:val="00182650"/>
    <w:rsid w:val="00182903"/>
    <w:rsid w:val="00182DF7"/>
    <w:rsid w:val="00182EBF"/>
    <w:rsid w:val="00183049"/>
    <w:rsid w:val="00183299"/>
    <w:rsid w:val="001832E0"/>
    <w:rsid w:val="00183424"/>
    <w:rsid w:val="00183861"/>
    <w:rsid w:val="00183985"/>
    <w:rsid w:val="0018399A"/>
    <w:rsid w:val="00183A07"/>
    <w:rsid w:val="00183D2E"/>
    <w:rsid w:val="00183F5E"/>
    <w:rsid w:val="00184134"/>
    <w:rsid w:val="001841CA"/>
    <w:rsid w:val="0018437E"/>
    <w:rsid w:val="001843AE"/>
    <w:rsid w:val="00184680"/>
    <w:rsid w:val="001846CD"/>
    <w:rsid w:val="00184BC4"/>
    <w:rsid w:val="00184C92"/>
    <w:rsid w:val="00184E41"/>
    <w:rsid w:val="001850C5"/>
    <w:rsid w:val="0018514E"/>
    <w:rsid w:val="0018519D"/>
    <w:rsid w:val="001852F4"/>
    <w:rsid w:val="001854EC"/>
    <w:rsid w:val="0018579F"/>
    <w:rsid w:val="001858E8"/>
    <w:rsid w:val="001859F5"/>
    <w:rsid w:val="00185D16"/>
    <w:rsid w:val="00185E68"/>
    <w:rsid w:val="00185EF8"/>
    <w:rsid w:val="00186075"/>
    <w:rsid w:val="00186086"/>
    <w:rsid w:val="0018625A"/>
    <w:rsid w:val="001862AF"/>
    <w:rsid w:val="0018639F"/>
    <w:rsid w:val="0018657C"/>
    <w:rsid w:val="001865F4"/>
    <w:rsid w:val="001867C9"/>
    <w:rsid w:val="0018696B"/>
    <w:rsid w:val="0018696C"/>
    <w:rsid w:val="00186A95"/>
    <w:rsid w:val="00186BFB"/>
    <w:rsid w:val="00186C5A"/>
    <w:rsid w:val="00186FCA"/>
    <w:rsid w:val="001870EE"/>
    <w:rsid w:val="001871ED"/>
    <w:rsid w:val="00187202"/>
    <w:rsid w:val="0018726D"/>
    <w:rsid w:val="001873B0"/>
    <w:rsid w:val="00187449"/>
    <w:rsid w:val="00187552"/>
    <w:rsid w:val="001875F9"/>
    <w:rsid w:val="00187703"/>
    <w:rsid w:val="00187705"/>
    <w:rsid w:val="00187A40"/>
    <w:rsid w:val="00187C40"/>
    <w:rsid w:val="00187D4D"/>
    <w:rsid w:val="00187E96"/>
    <w:rsid w:val="00187FA4"/>
    <w:rsid w:val="001901F2"/>
    <w:rsid w:val="001902B9"/>
    <w:rsid w:val="001904CA"/>
    <w:rsid w:val="001907DE"/>
    <w:rsid w:val="00190BA1"/>
    <w:rsid w:val="00190D1B"/>
    <w:rsid w:val="00190DD8"/>
    <w:rsid w:val="00190F4F"/>
    <w:rsid w:val="00190F9A"/>
    <w:rsid w:val="00191120"/>
    <w:rsid w:val="00191127"/>
    <w:rsid w:val="001912DE"/>
    <w:rsid w:val="00191323"/>
    <w:rsid w:val="00191423"/>
    <w:rsid w:val="00191535"/>
    <w:rsid w:val="0019154D"/>
    <w:rsid w:val="00191618"/>
    <w:rsid w:val="00191889"/>
    <w:rsid w:val="00191A2C"/>
    <w:rsid w:val="00191A96"/>
    <w:rsid w:val="00191CC2"/>
    <w:rsid w:val="00192164"/>
    <w:rsid w:val="001922BE"/>
    <w:rsid w:val="001926DF"/>
    <w:rsid w:val="00192811"/>
    <w:rsid w:val="00192883"/>
    <w:rsid w:val="00192892"/>
    <w:rsid w:val="00192B83"/>
    <w:rsid w:val="00192D90"/>
    <w:rsid w:val="00193074"/>
    <w:rsid w:val="001934FB"/>
    <w:rsid w:val="0019355E"/>
    <w:rsid w:val="001935D8"/>
    <w:rsid w:val="001936C7"/>
    <w:rsid w:val="00193712"/>
    <w:rsid w:val="001939BD"/>
    <w:rsid w:val="00193D24"/>
    <w:rsid w:val="00193E1E"/>
    <w:rsid w:val="00193F09"/>
    <w:rsid w:val="00194150"/>
    <w:rsid w:val="00194893"/>
    <w:rsid w:val="001949D2"/>
    <w:rsid w:val="00194B4F"/>
    <w:rsid w:val="00194F5E"/>
    <w:rsid w:val="00194F97"/>
    <w:rsid w:val="00194FBC"/>
    <w:rsid w:val="00194FD5"/>
    <w:rsid w:val="0019595A"/>
    <w:rsid w:val="00195A0E"/>
    <w:rsid w:val="00195A4B"/>
    <w:rsid w:val="00195A56"/>
    <w:rsid w:val="00195BAB"/>
    <w:rsid w:val="00195D71"/>
    <w:rsid w:val="00196240"/>
    <w:rsid w:val="0019634B"/>
    <w:rsid w:val="00196357"/>
    <w:rsid w:val="001964BB"/>
    <w:rsid w:val="001965CA"/>
    <w:rsid w:val="00196618"/>
    <w:rsid w:val="00196BDA"/>
    <w:rsid w:val="00196D70"/>
    <w:rsid w:val="00196DBB"/>
    <w:rsid w:val="00196F30"/>
    <w:rsid w:val="00196FD8"/>
    <w:rsid w:val="0019708A"/>
    <w:rsid w:val="0019767B"/>
    <w:rsid w:val="0019767D"/>
    <w:rsid w:val="0019778D"/>
    <w:rsid w:val="00197A33"/>
    <w:rsid w:val="00197BD0"/>
    <w:rsid w:val="001A023A"/>
    <w:rsid w:val="001A0627"/>
    <w:rsid w:val="001A07AB"/>
    <w:rsid w:val="001A0DE1"/>
    <w:rsid w:val="001A0ED2"/>
    <w:rsid w:val="001A0FC1"/>
    <w:rsid w:val="001A1024"/>
    <w:rsid w:val="001A1226"/>
    <w:rsid w:val="001A15EA"/>
    <w:rsid w:val="001A1703"/>
    <w:rsid w:val="001A1780"/>
    <w:rsid w:val="001A1BD1"/>
    <w:rsid w:val="001A1D5B"/>
    <w:rsid w:val="001A1E00"/>
    <w:rsid w:val="001A1E22"/>
    <w:rsid w:val="001A2100"/>
    <w:rsid w:val="001A2298"/>
    <w:rsid w:val="001A2305"/>
    <w:rsid w:val="001A234D"/>
    <w:rsid w:val="001A2392"/>
    <w:rsid w:val="001A24DC"/>
    <w:rsid w:val="001A2C9C"/>
    <w:rsid w:val="001A302B"/>
    <w:rsid w:val="001A31DF"/>
    <w:rsid w:val="001A344F"/>
    <w:rsid w:val="001A3C1A"/>
    <w:rsid w:val="001A3C62"/>
    <w:rsid w:val="001A3E24"/>
    <w:rsid w:val="001A4141"/>
    <w:rsid w:val="001A41A3"/>
    <w:rsid w:val="001A46C9"/>
    <w:rsid w:val="001A4784"/>
    <w:rsid w:val="001A4A19"/>
    <w:rsid w:val="001A4A5B"/>
    <w:rsid w:val="001A4ABA"/>
    <w:rsid w:val="001A4BBA"/>
    <w:rsid w:val="001A5230"/>
    <w:rsid w:val="001A5507"/>
    <w:rsid w:val="001A56FA"/>
    <w:rsid w:val="001A5780"/>
    <w:rsid w:val="001A58E7"/>
    <w:rsid w:val="001A5A27"/>
    <w:rsid w:val="001A5C37"/>
    <w:rsid w:val="001A5D43"/>
    <w:rsid w:val="001A5F11"/>
    <w:rsid w:val="001A62DC"/>
    <w:rsid w:val="001A6391"/>
    <w:rsid w:val="001A6492"/>
    <w:rsid w:val="001A6716"/>
    <w:rsid w:val="001A678A"/>
    <w:rsid w:val="001A6811"/>
    <w:rsid w:val="001A6A17"/>
    <w:rsid w:val="001A6D75"/>
    <w:rsid w:val="001A6DF2"/>
    <w:rsid w:val="001A6F73"/>
    <w:rsid w:val="001A6FEA"/>
    <w:rsid w:val="001A71F6"/>
    <w:rsid w:val="001A720D"/>
    <w:rsid w:val="001A7249"/>
    <w:rsid w:val="001A72EB"/>
    <w:rsid w:val="001A7479"/>
    <w:rsid w:val="001A74D9"/>
    <w:rsid w:val="001A754E"/>
    <w:rsid w:val="001A76D4"/>
    <w:rsid w:val="001A7C00"/>
    <w:rsid w:val="001A7E80"/>
    <w:rsid w:val="001B037A"/>
    <w:rsid w:val="001B0491"/>
    <w:rsid w:val="001B051D"/>
    <w:rsid w:val="001B0652"/>
    <w:rsid w:val="001B0662"/>
    <w:rsid w:val="001B07EB"/>
    <w:rsid w:val="001B0AD0"/>
    <w:rsid w:val="001B0C9C"/>
    <w:rsid w:val="001B0D1C"/>
    <w:rsid w:val="001B0EAD"/>
    <w:rsid w:val="001B102B"/>
    <w:rsid w:val="001B1197"/>
    <w:rsid w:val="001B1795"/>
    <w:rsid w:val="001B1BBF"/>
    <w:rsid w:val="001B1C44"/>
    <w:rsid w:val="001B1CFF"/>
    <w:rsid w:val="001B1FD6"/>
    <w:rsid w:val="001B22D2"/>
    <w:rsid w:val="001B242E"/>
    <w:rsid w:val="001B24A6"/>
    <w:rsid w:val="001B251C"/>
    <w:rsid w:val="001B2888"/>
    <w:rsid w:val="001B28EA"/>
    <w:rsid w:val="001B2D91"/>
    <w:rsid w:val="001B2FF3"/>
    <w:rsid w:val="001B31D0"/>
    <w:rsid w:val="001B33E9"/>
    <w:rsid w:val="001B39B6"/>
    <w:rsid w:val="001B3DF1"/>
    <w:rsid w:val="001B3E02"/>
    <w:rsid w:val="001B40AD"/>
    <w:rsid w:val="001B43AA"/>
    <w:rsid w:val="001B456A"/>
    <w:rsid w:val="001B4809"/>
    <w:rsid w:val="001B4930"/>
    <w:rsid w:val="001B4D0C"/>
    <w:rsid w:val="001B4E96"/>
    <w:rsid w:val="001B553B"/>
    <w:rsid w:val="001B55EE"/>
    <w:rsid w:val="001B5812"/>
    <w:rsid w:val="001B59A7"/>
    <w:rsid w:val="001B5A70"/>
    <w:rsid w:val="001B5ACA"/>
    <w:rsid w:val="001B5B42"/>
    <w:rsid w:val="001B5CF5"/>
    <w:rsid w:val="001B60AD"/>
    <w:rsid w:val="001B64D0"/>
    <w:rsid w:val="001B6585"/>
    <w:rsid w:val="001B69D0"/>
    <w:rsid w:val="001B6BF6"/>
    <w:rsid w:val="001B6DFF"/>
    <w:rsid w:val="001B6FD5"/>
    <w:rsid w:val="001B6FFE"/>
    <w:rsid w:val="001B71AD"/>
    <w:rsid w:val="001B73C8"/>
    <w:rsid w:val="001B762C"/>
    <w:rsid w:val="001B780E"/>
    <w:rsid w:val="001B7CC4"/>
    <w:rsid w:val="001B7DBF"/>
    <w:rsid w:val="001B7EEA"/>
    <w:rsid w:val="001B7FF5"/>
    <w:rsid w:val="001C000D"/>
    <w:rsid w:val="001C00BB"/>
    <w:rsid w:val="001C0304"/>
    <w:rsid w:val="001C0495"/>
    <w:rsid w:val="001C04E6"/>
    <w:rsid w:val="001C06C7"/>
    <w:rsid w:val="001C0788"/>
    <w:rsid w:val="001C0AF5"/>
    <w:rsid w:val="001C0E02"/>
    <w:rsid w:val="001C11B7"/>
    <w:rsid w:val="001C1536"/>
    <w:rsid w:val="001C1622"/>
    <w:rsid w:val="001C16B4"/>
    <w:rsid w:val="001C180B"/>
    <w:rsid w:val="001C1A93"/>
    <w:rsid w:val="001C1BA5"/>
    <w:rsid w:val="001C1D78"/>
    <w:rsid w:val="001C2038"/>
    <w:rsid w:val="001C235D"/>
    <w:rsid w:val="001C244E"/>
    <w:rsid w:val="001C274A"/>
    <w:rsid w:val="001C2853"/>
    <w:rsid w:val="001C2908"/>
    <w:rsid w:val="001C2C06"/>
    <w:rsid w:val="001C2D24"/>
    <w:rsid w:val="001C3679"/>
    <w:rsid w:val="001C36A7"/>
    <w:rsid w:val="001C37EA"/>
    <w:rsid w:val="001C38CD"/>
    <w:rsid w:val="001C3BE9"/>
    <w:rsid w:val="001C3C10"/>
    <w:rsid w:val="001C3C7A"/>
    <w:rsid w:val="001C3CD5"/>
    <w:rsid w:val="001C3FB3"/>
    <w:rsid w:val="001C3FBA"/>
    <w:rsid w:val="001C3FEF"/>
    <w:rsid w:val="001C4025"/>
    <w:rsid w:val="001C4421"/>
    <w:rsid w:val="001C4837"/>
    <w:rsid w:val="001C4D16"/>
    <w:rsid w:val="001C4E1C"/>
    <w:rsid w:val="001C4FCE"/>
    <w:rsid w:val="001C4FDA"/>
    <w:rsid w:val="001C5001"/>
    <w:rsid w:val="001C50C4"/>
    <w:rsid w:val="001C5156"/>
    <w:rsid w:val="001C515F"/>
    <w:rsid w:val="001C53E0"/>
    <w:rsid w:val="001C550C"/>
    <w:rsid w:val="001C5804"/>
    <w:rsid w:val="001C5952"/>
    <w:rsid w:val="001C5AB0"/>
    <w:rsid w:val="001C5B8D"/>
    <w:rsid w:val="001C5CCA"/>
    <w:rsid w:val="001C6067"/>
    <w:rsid w:val="001C62BB"/>
    <w:rsid w:val="001C6428"/>
    <w:rsid w:val="001C6729"/>
    <w:rsid w:val="001C672A"/>
    <w:rsid w:val="001C6B78"/>
    <w:rsid w:val="001C6BEF"/>
    <w:rsid w:val="001C6C5C"/>
    <w:rsid w:val="001C6C63"/>
    <w:rsid w:val="001C6D0D"/>
    <w:rsid w:val="001C6DDF"/>
    <w:rsid w:val="001C6FFC"/>
    <w:rsid w:val="001C725D"/>
    <w:rsid w:val="001C72A9"/>
    <w:rsid w:val="001C735B"/>
    <w:rsid w:val="001C7868"/>
    <w:rsid w:val="001C7C28"/>
    <w:rsid w:val="001D0234"/>
    <w:rsid w:val="001D042C"/>
    <w:rsid w:val="001D0672"/>
    <w:rsid w:val="001D0B1C"/>
    <w:rsid w:val="001D0B61"/>
    <w:rsid w:val="001D0C58"/>
    <w:rsid w:val="001D0C72"/>
    <w:rsid w:val="001D0D10"/>
    <w:rsid w:val="001D0D98"/>
    <w:rsid w:val="001D0F9B"/>
    <w:rsid w:val="001D10F7"/>
    <w:rsid w:val="001D1244"/>
    <w:rsid w:val="001D17F8"/>
    <w:rsid w:val="001D1808"/>
    <w:rsid w:val="001D1894"/>
    <w:rsid w:val="001D19FF"/>
    <w:rsid w:val="001D1A3E"/>
    <w:rsid w:val="001D1B07"/>
    <w:rsid w:val="001D1D3E"/>
    <w:rsid w:val="001D202B"/>
    <w:rsid w:val="001D23D9"/>
    <w:rsid w:val="001D2AF1"/>
    <w:rsid w:val="001D31E3"/>
    <w:rsid w:val="001D35CA"/>
    <w:rsid w:val="001D3874"/>
    <w:rsid w:val="001D3893"/>
    <w:rsid w:val="001D3BCE"/>
    <w:rsid w:val="001D3C03"/>
    <w:rsid w:val="001D3C1B"/>
    <w:rsid w:val="001D3C80"/>
    <w:rsid w:val="001D3C93"/>
    <w:rsid w:val="001D3D83"/>
    <w:rsid w:val="001D3DBE"/>
    <w:rsid w:val="001D3DFF"/>
    <w:rsid w:val="001D4141"/>
    <w:rsid w:val="001D42AE"/>
    <w:rsid w:val="001D4387"/>
    <w:rsid w:val="001D4403"/>
    <w:rsid w:val="001D4437"/>
    <w:rsid w:val="001D453E"/>
    <w:rsid w:val="001D454F"/>
    <w:rsid w:val="001D4597"/>
    <w:rsid w:val="001D45CF"/>
    <w:rsid w:val="001D4B1E"/>
    <w:rsid w:val="001D4BA0"/>
    <w:rsid w:val="001D4D77"/>
    <w:rsid w:val="001D4EA5"/>
    <w:rsid w:val="001D4EB8"/>
    <w:rsid w:val="001D50AC"/>
    <w:rsid w:val="001D5113"/>
    <w:rsid w:val="001D515C"/>
    <w:rsid w:val="001D53A9"/>
    <w:rsid w:val="001D57C1"/>
    <w:rsid w:val="001D584D"/>
    <w:rsid w:val="001D595B"/>
    <w:rsid w:val="001D5A12"/>
    <w:rsid w:val="001D5B5B"/>
    <w:rsid w:val="001D5BBA"/>
    <w:rsid w:val="001D5C53"/>
    <w:rsid w:val="001D5D3A"/>
    <w:rsid w:val="001D5E5A"/>
    <w:rsid w:val="001D5F4D"/>
    <w:rsid w:val="001D5F65"/>
    <w:rsid w:val="001D5F8C"/>
    <w:rsid w:val="001D6222"/>
    <w:rsid w:val="001D660B"/>
    <w:rsid w:val="001D66F9"/>
    <w:rsid w:val="001D68E5"/>
    <w:rsid w:val="001D6958"/>
    <w:rsid w:val="001D6971"/>
    <w:rsid w:val="001D69CA"/>
    <w:rsid w:val="001D6B89"/>
    <w:rsid w:val="001D6FF7"/>
    <w:rsid w:val="001D6FFF"/>
    <w:rsid w:val="001D7282"/>
    <w:rsid w:val="001D7352"/>
    <w:rsid w:val="001D7362"/>
    <w:rsid w:val="001D74C0"/>
    <w:rsid w:val="001D7913"/>
    <w:rsid w:val="001D7BEA"/>
    <w:rsid w:val="001D7D54"/>
    <w:rsid w:val="001D7D6F"/>
    <w:rsid w:val="001D7FB9"/>
    <w:rsid w:val="001E0335"/>
    <w:rsid w:val="001E05F5"/>
    <w:rsid w:val="001E08D0"/>
    <w:rsid w:val="001E0964"/>
    <w:rsid w:val="001E0C2E"/>
    <w:rsid w:val="001E0E49"/>
    <w:rsid w:val="001E0EA4"/>
    <w:rsid w:val="001E1587"/>
    <w:rsid w:val="001E15C0"/>
    <w:rsid w:val="001E176C"/>
    <w:rsid w:val="001E1782"/>
    <w:rsid w:val="001E1A6F"/>
    <w:rsid w:val="001E1B24"/>
    <w:rsid w:val="001E1D5F"/>
    <w:rsid w:val="001E1FD9"/>
    <w:rsid w:val="001E216D"/>
    <w:rsid w:val="001E22E7"/>
    <w:rsid w:val="001E240E"/>
    <w:rsid w:val="001E2677"/>
    <w:rsid w:val="001E27DD"/>
    <w:rsid w:val="001E2860"/>
    <w:rsid w:val="001E2CBD"/>
    <w:rsid w:val="001E2E69"/>
    <w:rsid w:val="001E30E8"/>
    <w:rsid w:val="001E33B1"/>
    <w:rsid w:val="001E3560"/>
    <w:rsid w:val="001E35E3"/>
    <w:rsid w:val="001E36E2"/>
    <w:rsid w:val="001E375E"/>
    <w:rsid w:val="001E3B0D"/>
    <w:rsid w:val="001E3B43"/>
    <w:rsid w:val="001E3C23"/>
    <w:rsid w:val="001E3DB6"/>
    <w:rsid w:val="001E3FA7"/>
    <w:rsid w:val="001E4214"/>
    <w:rsid w:val="001E42ED"/>
    <w:rsid w:val="001E4413"/>
    <w:rsid w:val="001E485A"/>
    <w:rsid w:val="001E498F"/>
    <w:rsid w:val="001E4A31"/>
    <w:rsid w:val="001E4A83"/>
    <w:rsid w:val="001E4BDF"/>
    <w:rsid w:val="001E4BFC"/>
    <w:rsid w:val="001E5189"/>
    <w:rsid w:val="001E5769"/>
    <w:rsid w:val="001E5EF9"/>
    <w:rsid w:val="001E5F0E"/>
    <w:rsid w:val="001E6087"/>
    <w:rsid w:val="001E60F9"/>
    <w:rsid w:val="001E6130"/>
    <w:rsid w:val="001E637F"/>
    <w:rsid w:val="001E65EE"/>
    <w:rsid w:val="001E65EF"/>
    <w:rsid w:val="001E672E"/>
    <w:rsid w:val="001E684D"/>
    <w:rsid w:val="001E6998"/>
    <w:rsid w:val="001E6CAA"/>
    <w:rsid w:val="001E6CB1"/>
    <w:rsid w:val="001E6F5D"/>
    <w:rsid w:val="001E716B"/>
    <w:rsid w:val="001E7317"/>
    <w:rsid w:val="001E7330"/>
    <w:rsid w:val="001E75B4"/>
    <w:rsid w:val="001E773D"/>
    <w:rsid w:val="001E7767"/>
    <w:rsid w:val="001E780E"/>
    <w:rsid w:val="001E7B32"/>
    <w:rsid w:val="001E7B76"/>
    <w:rsid w:val="001E7CAB"/>
    <w:rsid w:val="001E7CAD"/>
    <w:rsid w:val="001E7CDD"/>
    <w:rsid w:val="001F01BA"/>
    <w:rsid w:val="001F098C"/>
    <w:rsid w:val="001F0A0D"/>
    <w:rsid w:val="001F0A64"/>
    <w:rsid w:val="001F0D7D"/>
    <w:rsid w:val="001F0DDF"/>
    <w:rsid w:val="001F0F61"/>
    <w:rsid w:val="001F0F99"/>
    <w:rsid w:val="001F11FE"/>
    <w:rsid w:val="001F13E4"/>
    <w:rsid w:val="001F1494"/>
    <w:rsid w:val="001F14A0"/>
    <w:rsid w:val="001F16AE"/>
    <w:rsid w:val="001F18A8"/>
    <w:rsid w:val="001F1B30"/>
    <w:rsid w:val="001F1C49"/>
    <w:rsid w:val="001F1CA8"/>
    <w:rsid w:val="001F1D4D"/>
    <w:rsid w:val="001F1D86"/>
    <w:rsid w:val="001F1E6B"/>
    <w:rsid w:val="001F1EA2"/>
    <w:rsid w:val="001F1F42"/>
    <w:rsid w:val="001F2077"/>
    <w:rsid w:val="001F2285"/>
    <w:rsid w:val="001F240D"/>
    <w:rsid w:val="001F2884"/>
    <w:rsid w:val="001F28A4"/>
    <w:rsid w:val="001F2964"/>
    <w:rsid w:val="001F2970"/>
    <w:rsid w:val="001F2985"/>
    <w:rsid w:val="001F2ED3"/>
    <w:rsid w:val="001F2F58"/>
    <w:rsid w:val="001F3042"/>
    <w:rsid w:val="001F30AE"/>
    <w:rsid w:val="001F313E"/>
    <w:rsid w:val="001F33A2"/>
    <w:rsid w:val="001F37F0"/>
    <w:rsid w:val="001F39BE"/>
    <w:rsid w:val="001F3CDD"/>
    <w:rsid w:val="001F3FA4"/>
    <w:rsid w:val="001F3FB7"/>
    <w:rsid w:val="001F3FFC"/>
    <w:rsid w:val="001F4110"/>
    <w:rsid w:val="001F43CB"/>
    <w:rsid w:val="001F43FD"/>
    <w:rsid w:val="001F4651"/>
    <w:rsid w:val="001F48F9"/>
    <w:rsid w:val="001F4BB5"/>
    <w:rsid w:val="001F4C5C"/>
    <w:rsid w:val="001F4D8B"/>
    <w:rsid w:val="001F4E8E"/>
    <w:rsid w:val="001F51CE"/>
    <w:rsid w:val="001F5A1E"/>
    <w:rsid w:val="001F5ED9"/>
    <w:rsid w:val="001F60A2"/>
    <w:rsid w:val="001F61D3"/>
    <w:rsid w:val="001F63A9"/>
    <w:rsid w:val="001F6468"/>
    <w:rsid w:val="001F6500"/>
    <w:rsid w:val="001F6A6D"/>
    <w:rsid w:val="001F6AF1"/>
    <w:rsid w:val="001F6B32"/>
    <w:rsid w:val="001F6BA0"/>
    <w:rsid w:val="001F6D5C"/>
    <w:rsid w:val="001F6E3A"/>
    <w:rsid w:val="001F6F00"/>
    <w:rsid w:val="001F71C7"/>
    <w:rsid w:val="001F741E"/>
    <w:rsid w:val="001F74A3"/>
    <w:rsid w:val="001F77D8"/>
    <w:rsid w:val="001F79B1"/>
    <w:rsid w:val="001F7BF4"/>
    <w:rsid w:val="001F7D4E"/>
    <w:rsid w:val="001F7DE1"/>
    <w:rsid w:val="001F7DFA"/>
    <w:rsid w:val="001F7E76"/>
    <w:rsid w:val="001F7ECA"/>
    <w:rsid w:val="001F7F7D"/>
    <w:rsid w:val="001F7F9C"/>
    <w:rsid w:val="00200212"/>
    <w:rsid w:val="00200287"/>
    <w:rsid w:val="002003CB"/>
    <w:rsid w:val="002004DD"/>
    <w:rsid w:val="0020077D"/>
    <w:rsid w:val="002007B4"/>
    <w:rsid w:val="002007C8"/>
    <w:rsid w:val="002008CF"/>
    <w:rsid w:val="00200A8C"/>
    <w:rsid w:val="00200B19"/>
    <w:rsid w:val="00200B82"/>
    <w:rsid w:val="002011C9"/>
    <w:rsid w:val="002012EA"/>
    <w:rsid w:val="002013E0"/>
    <w:rsid w:val="00201562"/>
    <w:rsid w:val="00201816"/>
    <w:rsid w:val="00201869"/>
    <w:rsid w:val="002018BE"/>
    <w:rsid w:val="0020248E"/>
    <w:rsid w:val="00202508"/>
    <w:rsid w:val="0020265F"/>
    <w:rsid w:val="00202662"/>
    <w:rsid w:val="002027F4"/>
    <w:rsid w:val="0020283F"/>
    <w:rsid w:val="00202A3C"/>
    <w:rsid w:val="00202B97"/>
    <w:rsid w:val="00202BC7"/>
    <w:rsid w:val="00202C2F"/>
    <w:rsid w:val="00202CC7"/>
    <w:rsid w:val="00202F0A"/>
    <w:rsid w:val="00203100"/>
    <w:rsid w:val="0020358B"/>
    <w:rsid w:val="0020376B"/>
    <w:rsid w:val="00203889"/>
    <w:rsid w:val="00203AE9"/>
    <w:rsid w:val="00203C13"/>
    <w:rsid w:val="00203CCB"/>
    <w:rsid w:val="00203D58"/>
    <w:rsid w:val="00203ECE"/>
    <w:rsid w:val="00203F23"/>
    <w:rsid w:val="0020429E"/>
    <w:rsid w:val="0020439E"/>
    <w:rsid w:val="002044BC"/>
    <w:rsid w:val="00204655"/>
    <w:rsid w:val="0020471E"/>
    <w:rsid w:val="00204999"/>
    <w:rsid w:val="002049B0"/>
    <w:rsid w:val="002057F0"/>
    <w:rsid w:val="0020589B"/>
    <w:rsid w:val="002058FB"/>
    <w:rsid w:val="00205A52"/>
    <w:rsid w:val="00205B72"/>
    <w:rsid w:val="00205E46"/>
    <w:rsid w:val="00205E75"/>
    <w:rsid w:val="00205F56"/>
    <w:rsid w:val="00205FCC"/>
    <w:rsid w:val="002060B4"/>
    <w:rsid w:val="002063B6"/>
    <w:rsid w:val="002065AB"/>
    <w:rsid w:val="0020694C"/>
    <w:rsid w:val="00206C0F"/>
    <w:rsid w:val="00207308"/>
    <w:rsid w:val="00207395"/>
    <w:rsid w:val="002074A2"/>
    <w:rsid w:val="00207628"/>
    <w:rsid w:val="002076FF"/>
    <w:rsid w:val="00207D95"/>
    <w:rsid w:val="00207E1B"/>
    <w:rsid w:val="00207FED"/>
    <w:rsid w:val="00210124"/>
    <w:rsid w:val="0021018E"/>
    <w:rsid w:val="002101EA"/>
    <w:rsid w:val="00210297"/>
    <w:rsid w:val="0021039B"/>
    <w:rsid w:val="0021070A"/>
    <w:rsid w:val="002107D1"/>
    <w:rsid w:val="0021086B"/>
    <w:rsid w:val="00210B46"/>
    <w:rsid w:val="00210E6E"/>
    <w:rsid w:val="00210F81"/>
    <w:rsid w:val="00211007"/>
    <w:rsid w:val="00211329"/>
    <w:rsid w:val="002114E1"/>
    <w:rsid w:val="00211551"/>
    <w:rsid w:val="0021178F"/>
    <w:rsid w:val="00211815"/>
    <w:rsid w:val="0021194A"/>
    <w:rsid w:val="00211994"/>
    <w:rsid w:val="002119B0"/>
    <w:rsid w:val="00211AD6"/>
    <w:rsid w:val="00211D77"/>
    <w:rsid w:val="00211E6A"/>
    <w:rsid w:val="002122E7"/>
    <w:rsid w:val="00212379"/>
    <w:rsid w:val="002123B0"/>
    <w:rsid w:val="002125CC"/>
    <w:rsid w:val="00212687"/>
    <w:rsid w:val="00212819"/>
    <w:rsid w:val="00212895"/>
    <w:rsid w:val="00212961"/>
    <w:rsid w:val="00212A00"/>
    <w:rsid w:val="00212AA7"/>
    <w:rsid w:val="00212D92"/>
    <w:rsid w:val="0021337F"/>
    <w:rsid w:val="0021338A"/>
    <w:rsid w:val="002133E2"/>
    <w:rsid w:val="002134C2"/>
    <w:rsid w:val="0021355B"/>
    <w:rsid w:val="0021364D"/>
    <w:rsid w:val="00213A95"/>
    <w:rsid w:val="00213ACA"/>
    <w:rsid w:val="00213AF4"/>
    <w:rsid w:val="00213D51"/>
    <w:rsid w:val="002140B4"/>
    <w:rsid w:val="0021470C"/>
    <w:rsid w:val="0021478B"/>
    <w:rsid w:val="00214846"/>
    <w:rsid w:val="00214931"/>
    <w:rsid w:val="00214CC8"/>
    <w:rsid w:val="00214D73"/>
    <w:rsid w:val="0021505C"/>
    <w:rsid w:val="002150A1"/>
    <w:rsid w:val="002151BE"/>
    <w:rsid w:val="00215229"/>
    <w:rsid w:val="002152A8"/>
    <w:rsid w:val="00215328"/>
    <w:rsid w:val="002155FE"/>
    <w:rsid w:val="0021569F"/>
    <w:rsid w:val="002156A8"/>
    <w:rsid w:val="002158DA"/>
    <w:rsid w:val="00215BE4"/>
    <w:rsid w:val="00215BEF"/>
    <w:rsid w:val="00215E18"/>
    <w:rsid w:val="00216268"/>
    <w:rsid w:val="00216432"/>
    <w:rsid w:val="002164A4"/>
    <w:rsid w:val="002166A3"/>
    <w:rsid w:val="00216B2E"/>
    <w:rsid w:val="00216D1B"/>
    <w:rsid w:val="00216FC4"/>
    <w:rsid w:val="00217442"/>
    <w:rsid w:val="002176A2"/>
    <w:rsid w:val="00217882"/>
    <w:rsid w:val="00217958"/>
    <w:rsid w:val="002179BA"/>
    <w:rsid w:val="00217ADB"/>
    <w:rsid w:val="00217CF8"/>
    <w:rsid w:val="00217E49"/>
    <w:rsid w:val="0022007B"/>
    <w:rsid w:val="00220212"/>
    <w:rsid w:val="00220590"/>
    <w:rsid w:val="00220715"/>
    <w:rsid w:val="002209A8"/>
    <w:rsid w:val="00220A52"/>
    <w:rsid w:val="00220AAC"/>
    <w:rsid w:val="00220D49"/>
    <w:rsid w:val="00220D54"/>
    <w:rsid w:val="00220DC8"/>
    <w:rsid w:val="00220E23"/>
    <w:rsid w:val="00220E4E"/>
    <w:rsid w:val="0022100A"/>
    <w:rsid w:val="0022106F"/>
    <w:rsid w:val="0022113F"/>
    <w:rsid w:val="0022118D"/>
    <w:rsid w:val="0022136E"/>
    <w:rsid w:val="002213CF"/>
    <w:rsid w:val="0022157C"/>
    <w:rsid w:val="00221581"/>
    <w:rsid w:val="002216B1"/>
    <w:rsid w:val="00221937"/>
    <w:rsid w:val="002219C7"/>
    <w:rsid w:val="00221D38"/>
    <w:rsid w:val="00221DB7"/>
    <w:rsid w:val="00222066"/>
    <w:rsid w:val="0022217C"/>
    <w:rsid w:val="002223AE"/>
    <w:rsid w:val="002223FB"/>
    <w:rsid w:val="002225D7"/>
    <w:rsid w:val="002228F3"/>
    <w:rsid w:val="00222B64"/>
    <w:rsid w:val="00222B83"/>
    <w:rsid w:val="00222BAF"/>
    <w:rsid w:val="00222C0E"/>
    <w:rsid w:val="00223145"/>
    <w:rsid w:val="002231C1"/>
    <w:rsid w:val="00223221"/>
    <w:rsid w:val="002233B7"/>
    <w:rsid w:val="002234CC"/>
    <w:rsid w:val="0022353E"/>
    <w:rsid w:val="00223831"/>
    <w:rsid w:val="00223866"/>
    <w:rsid w:val="002238C1"/>
    <w:rsid w:val="00223ABB"/>
    <w:rsid w:val="00223D87"/>
    <w:rsid w:val="00223D9F"/>
    <w:rsid w:val="00223EDA"/>
    <w:rsid w:val="00224161"/>
    <w:rsid w:val="00224207"/>
    <w:rsid w:val="00224226"/>
    <w:rsid w:val="002242EC"/>
    <w:rsid w:val="002242FA"/>
    <w:rsid w:val="00224CB4"/>
    <w:rsid w:val="00224EFF"/>
    <w:rsid w:val="00224FF7"/>
    <w:rsid w:val="0022511C"/>
    <w:rsid w:val="00225167"/>
    <w:rsid w:val="00225191"/>
    <w:rsid w:val="002252A2"/>
    <w:rsid w:val="002252C4"/>
    <w:rsid w:val="0022533D"/>
    <w:rsid w:val="0022561F"/>
    <w:rsid w:val="0022563E"/>
    <w:rsid w:val="002256FA"/>
    <w:rsid w:val="002259F3"/>
    <w:rsid w:val="00225A12"/>
    <w:rsid w:val="00225B40"/>
    <w:rsid w:val="00225C8F"/>
    <w:rsid w:val="00225DAA"/>
    <w:rsid w:val="00225E82"/>
    <w:rsid w:val="00225EA1"/>
    <w:rsid w:val="002260FF"/>
    <w:rsid w:val="00226164"/>
    <w:rsid w:val="0022650A"/>
    <w:rsid w:val="00226565"/>
    <w:rsid w:val="0022663B"/>
    <w:rsid w:val="0022665C"/>
    <w:rsid w:val="0022670E"/>
    <w:rsid w:val="002267EE"/>
    <w:rsid w:val="002268D1"/>
    <w:rsid w:val="00226DD9"/>
    <w:rsid w:val="0022700C"/>
    <w:rsid w:val="002272CF"/>
    <w:rsid w:val="0022767A"/>
    <w:rsid w:val="002276B0"/>
    <w:rsid w:val="00227A1B"/>
    <w:rsid w:val="00227E05"/>
    <w:rsid w:val="00227E30"/>
    <w:rsid w:val="00227FB8"/>
    <w:rsid w:val="002300E8"/>
    <w:rsid w:val="00230234"/>
    <w:rsid w:val="00230290"/>
    <w:rsid w:val="002304E1"/>
    <w:rsid w:val="002307D0"/>
    <w:rsid w:val="00230965"/>
    <w:rsid w:val="00230BA7"/>
    <w:rsid w:val="00230C33"/>
    <w:rsid w:val="00230D02"/>
    <w:rsid w:val="00230D90"/>
    <w:rsid w:val="002314AF"/>
    <w:rsid w:val="002314D9"/>
    <w:rsid w:val="002315B6"/>
    <w:rsid w:val="00231841"/>
    <w:rsid w:val="002319CC"/>
    <w:rsid w:val="00231B24"/>
    <w:rsid w:val="00231FF6"/>
    <w:rsid w:val="00232102"/>
    <w:rsid w:val="0023216B"/>
    <w:rsid w:val="00232238"/>
    <w:rsid w:val="0023226B"/>
    <w:rsid w:val="00232515"/>
    <w:rsid w:val="002325FA"/>
    <w:rsid w:val="0023273F"/>
    <w:rsid w:val="00232812"/>
    <w:rsid w:val="002328A4"/>
    <w:rsid w:val="002328F2"/>
    <w:rsid w:val="00232AF0"/>
    <w:rsid w:val="00233371"/>
    <w:rsid w:val="0023341F"/>
    <w:rsid w:val="0023348E"/>
    <w:rsid w:val="002334E7"/>
    <w:rsid w:val="00233546"/>
    <w:rsid w:val="002335F3"/>
    <w:rsid w:val="00233750"/>
    <w:rsid w:val="0023379E"/>
    <w:rsid w:val="0023392E"/>
    <w:rsid w:val="00233AF1"/>
    <w:rsid w:val="00233B4E"/>
    <w:rsid w:val="00233C6E"/>
    <w:rsid w:val="00234001"/>
    <w:rsid w:val="0023413A"/>
    <w:rsid w:val="002342A3"/>
    <w:rsid w:val="00234AAE"/>
    <w:rsid w:val="00234C33"/>
    <w:rsid w:val="00234C50"/>
    <w:rsid w:val="00234DD3"/>
    <w:rsid w:val="00234E44"/>
    <w:rsid w:val="0023510D"/>
    <w:rsid w:val="00235112"/>
    <w:rsid w:val="002351D6"/>
    <w:rsid w:val="00235299"/>
    <w:rsid w:val="002352C4"/>
    <w:rsid w:val="00235356"/>
    <w:rsid w:val="002356AC"/>
    <w:rsid w:val="00235706"/>
    <w:rsid w:val="002359DA"/>
    <w:rsid w:val="00235A96"/>
    <w:rsid w:val="00235C41"/>
    <w:rsid w:val="00235C95"/>
    <w:rsid w:val="0023609C"/>
    <w:rsid w:val="0023635E"/>
    <w:rsid w:val="0023643E"/>
    <w:rsid w:val="002368B9"/>
    <w:rsid w:val="00236B4A"/>
    <w:rsid w:val="00236D38"/>
    <w:rsid w:val="002370A5"/>
    <w:rsid w:val="0023721D"/>
    <w:rsid w:val="00237236"/>
    <w:rsid w:val="002372FD"/>
    <w:rsid w:val="002374E9"/>
    <w:rsid w:val="0023783F"/>
    <w:rsid w:val="00237A0F"/>
    <w:rsid w:val="00237A1C"/>
    <w:rsid w:val="00237B1C"/>
    <w:rsid w:val="00237CEE"/>
    <w:rsid w:val="00237D93"/>
    <w:rsid w:val="00237E24"/>
    <w:rsid w:val="00237E60"/>
    <w:rsid w:val="00237F13"/>
    <w:rsid w:val="002400CE"/>
    <w:rsid w:val="00240184"/>
    <w:rsid w:val="0024038F"/>
    <w:rsid w:val="002404B2"/>
    <w:rsid w:val="002407EF"/>
    <w:rsid w:val="00240C85"/>
    <w:rsid w:val="00240DBF"/>
    <w:rsid w:val="002412C5"/>
    <w:rsid w:val="002413C1"/>
    <w:rsid w:val="00241415"/>
    <w:rsid w:val="0024153B"/>
    <w:rsid w:val="0024184F"/>
    <w:rsid w:val="00241A95"/>
    <w:rsid w:val="00241A99"/>
    <w:rsid w:val="00241ACE"/>
    <w:rsid w:val="00241E71"/>
    <w:rsid w:val="00242313"/>
    <w:rsid w:val="0024243E"/>
    <w:rsid w:val="0024247A"/>
    <w:rsid w:val="0024263D"/>
    <w:rsid w:val="00242733"/>
    <w:rsid w:val="002427F3"/>
    <w:rsid w:val="002429FC"/>
    <w:rsid w:val="00242E74"/>
    <w:rsid w:val="00242FE5"/>
    <w:rsid w:val="0024353E"/>
    <w:rsid w:val="00243556"/>
    <w:rsid w:val="00243607"/>
    <w:rsid w:val="00243881"/>
    <w:rsid w:val="00243A88"/>
    <w:rsid w:val="00243B19"/>
    <w:rsid w:val="00243D89"/>
    <w:rsid w:val="00243EE1"/>
    <w:rsid w:val="002441AE"/>
    <w:rsid w:val="002442AE"/>
    <w:rsid w:val="002442E7"/>
    <w:rsid w:val="0024439F"/>
    <w:rsid w:val="00244430"/>
    <w:rsid w:val="00244690"/>
    <w:rsid w:val="00244A2F"/>
    <w:rsid w:val="00244A58"/>
    <w:rsid w:val="00244B75"/>
    <w:rsid w:val="002450FA"/>
    <w:rsid w:val="002451AB"/>
    <w:rsid w:val="00245370"/>
    <w:rsid w:val="00245460"/>
    <w:rsid w:val="002457FD"/>
    <w:rsid w:val="00245A52"/>
    <w:rsid w:val="00245C6E"/>
    <w:rsid w:val="00245F3E"/>
    <w:rsid w:val="002462B0"/>
    <w:rsid w:val="00246374"/>
    <w:rsid w:val="00246518"/>
    <w:rsid w:val="00246610"/>
    <w:rsid w:val="00246B7B"/>
    <w:rsid w:val="00246E7C"/>
    <w:rsid w:val="00247111"/>
    <w:rsid w:val="0024719F"/>
    <w:rsid w:val="0024757E"/>
    <w:rsid w:val="00247653"/>
    <w:rsid w:val="002477C6"/>
    <w:rsid w:val="00247AC5"/>
    <w:rsid w:val="00247BE5"/>
    <w:rsid w:val="00247E11"/>
    <w:rsid w:val="00247F15"/>
    <w:rsid w:val="0025016F"/>
    <w:rsid w:val="0025036A"/>
    <w:rsid w:val="00250412"/>
    <w:rsid w:val="002504F5"/>
    <w:rsid w:val="0025096F"/>
    <w:rsid w:val="00250ABF"/>
    <w:rsid w:val="00250C54"/>
    <w:rsid w:val="00250CC5"/>
    <w:rsid w:val="00250CF0"/>
    <w:rsid w:val="0025134E"/>
    <w:rsid w:val="00251485"/>
    <w:rsid w:val="0025165B"/>
    <w:rsid w:val="0025179C"/>
    <w:rsid w:val="0025197A"/>
    <w:rsid w:val="00251BB6"/>
    <w:rsid w:val="00251DEC"/>
    <w:rsid w:val="00251F62"/>
    <w:rsid w:val="002521A5"/>
    <w:rsid w:val="00252342"/>
    <w:rsid w:val="0025236A"/>
    <w:rsid w:val="00252611"/>
    <w:rsid w:val="00252B14"/>
    <w:rsid w:val="002530D0"/>
    <w:rsid w:val="00253207"/>
    <w:rsid w:val="0025327A"/>
    <w:rsid w:val="00253443"/>
    <w:rsid w:val="00253462"/>
    <w:rsid w:val="00253646"/>
    <w:rsid w:val="002537CD"/>
    <w:rsid w:val="002537E7"/>
    <w:rsid w:val="00253BA1"/>
    <w:rsid w:val="00253C09"/>
    <w:rsid w:val="00253C3D"/>
    <w:rsid w:val="00253C78"/>
    <w:rsid w:val="00253C97"/>
    <w:rsid w:val="00253D2E"/>
    <w:rsid w:val="00253E40"/>
    <w:rsid w:val="00253FA1"/>
    <w:rsid w:val="002543D2"/>
    <w:rsid w:val="002543DD"/>
    <w:rsid w:val="0025456D"/>
    <w:rsid w:val="00254575"/>
    <w:rsid w:val="00254730"/>
    <w:rsid w:val="00254AC4"/>
    <w:rsid w:val="00254AE8"/>
    <w:rsid w:val="00254B8B"/>
    <w:rsid w:val="00254E66"/>
    <w:rsid w:val="00255083"/>
    <w:rsid w:val="00255573"/>
    <w:rsid w:val="00255631"/>
    <w:rsid w:val="00255B3F"/>
    <w:rsid w:val="00255C3F"/>
    <w:rsid w:val="00256078"/>
    <w:rsid w:val="0025624E"/>
    <w:rsid w:val="00256268"/>
    <w:rsid w:val="0025628C"/>
    <w:rsid w:val="0025671A"/>
    <w:rsid w:val="00256822"/>
    <w:rsid w:val="00256CDD"/>
    <w:rsid w:val="00256CEC"/>
    <w:rsid w:val="00256DCB"/>
    <w:rsid w:val="00256E8A"/>
    <w:rsid w:val="00256E9B"/>
    <w:rsid w:val="00256F07"/>
    <w:rsid w:val="00256F22"/>
    <w:rsid w:val="00257049"/>
    <w:rsid w:val="00257277"/>
    <w:rsid w:val="00257691"/>
    <w:rsid w:val="00257A6C"/>
    <w:rsid w:val="00257ECC"/>
    <w:rsid w:val="0026042C"/>
    <w:rsid w:val="002605AD"/>
    <w:rsid w:val="0026090D"/>
    <w:rsid w:val="00260A01"/>
    <w:rsid w:val="00260D2E"/>
    <w:rsid w:val="00260F94"/>
    <w:rsid w:val="002611D0"/>
    <w:rsid w:val="002612AB"/>
    <w:rsid w:val="002612DE"/>
    <w:rsid w:val="002617D5"/>
    <w:rsid w:val="00261917"/>
    <w:rsid w:val="00261D37"/>
    <w:rsid w:val="00262131"/>
    <w:rsid w:val="00262156"/>
    <w:rsid w:val="002623A7"/>
    <w:rsid w:val="00262595"/>
    <w:rsid w:val="002625E4"/>
    <w:rsid w:val="00262730"/>
    <w:rsid w:val="00262A12"/>
    <w:rsid w:val="00262EB0"/>
    <w:rsid w:val="00263006"/>
    <w:rsid w:val="00263046"/>
    <w:rsid w:val="00263070"/>
    <w:rsid w:val="0026332A"/>
    <w:rsid w:val="0026336D"/>
    <w:rsid w:val="00263570"/>
    <w:rsid w:val="00263683"/>
    <w:rsid w:val="00263687"/>
    <w:rsid w:val="002637AA"/>
    <w:rsid w:val="00263960"/>
    <w:rsid w:val="00263B65"/>
    <w:rsid w:val="00263DC1"/>
    <w:rsid w:val="00263E2E"/>
    <w:rsid w:val="0026400A"/>
    <w:rsid w:val="002640BA"/>
    <w:rsid w:val="002642F8"/>
    <w:rsid w:val="0026455E"/>
    <w:rsid w:val="00264858"/>
    <w:rsid w:val="00264D47"/>
    <w:rsid w:val="00264E00"/>
    <w:rsid w:val="00264E26"/>
    <w:rsid w:val="0026507E"/>
    <w:rsid w:val="002650B1"/>
    <w:rsid w:val="0026511F"/>
    <w:rsid w:val="002651AB"/>
    <w:rsid w:val="002651E9"/>
    <w:rsid w:val="002652ED"/>
    <w:rsid w:val="00265311"/>
    <w:rsid w:val="0026551F"/>
    <w:rsid w:val="00265733"/>
    <w:rsid w:val="002657B4"/>
    <w:rsid w:val="002658DD"/>
    <w:rsid w:val="00265A1D"/>
    <w:rsid w:val="00265B32"/>
    <w:rsid w:val="00265E2A"/>
    <w:rsid w:val="00265FAF"/>
    <w:rsid w:val="0026605D"/>
    <w:rsid w:val="002661FC"/>
    <w:rsid w:val="0026630A"/>
    <w:rsid w:val="00266312"/>
    <w:rsid w:val="002663AD"/>
    <w:rsid w:val="00266491"/>
    <w:rsid w:val="002664B9"/>
    <w:rsid w:val="00266515"/>
    <w:rsid w:val="002665C9"/>
    <w:rsid w:val="00266688"/>
    <w:rsid w:val="0026672A"/>
    <w:rsid w:val="00266913"/>
    <w:rsid w:val="00266E43"/>
    <w:rsid w:val="00266FFE"/>
    <w:rsid w:val="00267088"/>
    <w:rsid w:val="002670F4"/>
    <w:rsid w:val="002672B4"/>
    <w:rsid w:val="002675E2"/>
    <w:rsid w:val="00267667"/>
    <w:rsid w:val="00267679"/>
    <w:rsid w:val="00267704"/>
    <w:rsid w:val="00267B7F"/>
    <w:rsid w:val="00267D74"/>
    <w:rsid w:val="00267DDE"/>
    <w:rsid w:val="00270136"/>
    <w:rsid w:val="00270187"/>
    <w:rsid w:val="002701E9"/>
    <w:rsid w:val="0027026E"/>
    <w:rsid w:val="00270350"/>
    <w:rsid w:val="00270465"/>
    <w:rsid w:val="00270687"/>
    <w:rsid w:val="002707ED"/>
    <w:rsid w:val="002708E4"/>
    <w:rsid w:val="00270A37"/>
    <w:rsid w:val="00270D0E"/>
    <w:rsid w:val="00270F2F"/>
    <w:rsid w:val="002710FA"/>
    <w:rsid w:val="0027142B"/>
    <w:rsid w:val="002714CF"/>
    <w:rsid w:val="0027152F"/>
    <w:rsid w:val="00271BF4"/>
    <w:rsid w:val="00271CD7"/>
    <w:rsid w:val="00271D31"/>
    <w:rsid w:val="00271DFC"/>
    <w:rsid w:val="00271E24"/>
    <w:rsid w:val="00271FD0"/>
    <w:rsid w:val="00271FE2"/>
    <w:rsid w:val="00272285"/>
    <w:rsid w:val="0027231D"/>
    <w:rsid w:val="002723BB"/>
    <w:rsid w:val="00272482"/>
    <w:rsid w:val="002725CE"/>
    <w:rsid w:val="002729E5"/>
    <w:rsid w:val="00272A96"/>
    <w:rsid w:val="00272CE1"/>
    <w:rsid w:val="00272D5A"/>
    <w:rsid w:val="002730B4"/>
    <w:rsid w:val="00273197"/>
    <w:rsid w:val="002737DD"/>
    <w:rsid w:val="00273976"/>
    <w:rsid w:val="00273A5D"/>
    <w:rsid w:val="00273AE5"/>
    <w:rsid w:val="00273B66"/>
    <w:rsid w:val="00274115"/>
    <w:rsid w:val="00274127"/>
    <w:rsid w:val="002744A0"/>
    <w:rsid w:val="002749A7"/>
    <w:rsid w:val="00274DCA"/>
    <w:rsid w:val="002750C2"/>
    <w:rsid w:val="00275136"/>
    <w:rsid w:val="0027516F"/>
    <w:rsid w:val="00275187"/>
    <w:rsid w:val="002751B6"/>
    <w:rsid w:val="00275339"/>
    <w:rsid w:val="002754D4"/>
    <w:rsid w:val="00275653"/>
    <w:rsid w:val="002758B8"/>
    <w:rsid w:val="00275D6C"/>
    <w:rsid w:val="00275E1A"/>
    <w:rsid w:val="00275E79"/>
    <w:rsid w:val="00275E93"/>
    <w:rsid w:val="00276233"/>
    <w:rsid w:val="00276576"/>
    <w:rsid w:val="002765E5"/>
    <w:rsid w:val="00276702"/>
    <w:rsid w:val="0027670A"/>
    <w:rsid w:val="00276719"/>
    <w:rsid w:val="00276979"/>
    <w:rsid w:val="002769EA"/>
    <w:rsid w:val="00276B4D"/>
    <w:rsid w:val="00276DBA"/>
    <w:rsid w:val="00276E34"/>
    <w:rsid w:val="00276ED4"/>
    <w:rsid w:val="00277065"/>
    <w:rsid w:val="00277120"/>
    <w:rsid w:val="00277198"/>
    <w:rsid w:val="00277240"/>
    <w:rsid w:val="00277343"/>
    <w:rsid w:val="00277393"/>
    <w:rsid w:val="002776C8"/>
    <w:rsid w:val="002776DB"/>
    <w:rsid w:val="002779ED"/>
    <w:rsid w:val="00277A4D"/>
    <w:rsid w:val="00277BFB"/>
    <w:rsid w:val="00277D9A"/>
    <w:rsid w:val="00277EC8"/>
    <w:rsid w:val="002801BC"/>
    <w:rsid w:val="00280218"/>
    <w:rsid w:val="00280344"/>
    <w:rsid w:val="002803BA"/>
    <w:rsid w:val="002806B0"/>
    <w:rsid w:val="002806C7"/>
    <w:rsid w:val="00280950"/>
    <w:rsid w:val="00280B30"/>
    <w:rsid w:val="00280BBF"/>
    <w:rsid w:val="00280C3C"/>
    <w:rsid w:val="00280EAE"/>
    <w:rsid w:val="00281246"/>
    <w:rsid w:val="002813DA"/>
    <w:rsid w:val="002814D4"/>
    <w:rsid w:val="002815BD"/>
    <w:rsid w:val="0028184A"/>
    <w:rsid w:val="00281876"/>
    <w:rsid w:val="002818E0"/>
    <w:rsid w:val="00281B7B"/>
    <w:rsid w:val="00281CB9"/>
    <w:rsid w:val="00281E9A"/>
    <w:rsid w:val="00281F74"/>
    <w:rsid w:val="002821DB"/>
    <w:rsid w:val="002823D2"/>
    <w:rsid w:val="002825E3"/>
    <w:rsid w:val="002827C2"/>
    <w:rsid w:val="00282946"/>
    <w:rsid w:val="00282A47"/>
    <w:rsid w:val="00282B8C"/>
    <w:rsid w:val="002830B3"/>
    <w:rsid w:val="0028331E"/>
    <w:rsid w:val="002833F4"/>
    <w:rsid w:val="002834CE"/>
    <w:rsid w:val="002834CF"/>
    <w:rsid w:val="002834F7"/>
    <w:rsid w:val="002835F7"/>
    <w:rsid w:val="00283701"/>
    <w:rsid w:val="00283734"/>
    <w:rsid w:val="00283A29"/>
    <w:rsid w:val="00283CC2"/>
    <w:rsid w:val="00283F06"/>
    <w:rsid w:val="00284007"/>
    <w:rsid w:val="00284262"/>
    <w:rsid w:val="0028445A"/>
    <w:rsid w:val="0028472A"/>
    <w:rsid w:val="0028483E"/>
    <w:rsid w:val="00284870"/>
    <w:rsid w:val="002848C8"/>
    <w:rsid w:val="00284BFD"/>
    <w:rsid w:val="00284E48"/>
    <w:rsid w:val="002852B9"/>
    <w:rsid w:val="0028534E"/>
    <w:rsid w:val="002855DC"/>
    <w:rsid w:val="0028573F"/>
    <w:rsid w:val="002857BC"/>
    <w:rsid w:val="00285E5F"/>
    <w:rsid w:val="00285FB2"/>
    <w:rsid w:val="00285FD7"/>
    <w:rsid w:val="00286122"/>
    <w:rsid w:val="00286298"/>
    <w:rsid w:val="00286310"/>
    <w:rsid w:val="002864BC"/>
    <w:rsid w:val="0028660B"/>
    <w:rsid w:val="00286801"/>
    <w:rsid w:val="00286914"/>
    <w:rsid w:val="0028698E"/>
    <w:rsid w:val="00286DBC"/>
    <w:rsid w:val="0028704F"/>
    <w:rsid w:val="0028705C"/>
    <w:rsid w:val="002871DD"/>
    <w:rsid w:val="002872A5"/>
    <w:rsid w:val="0028736E"/>
    <w:rsid w:val="002874F5"/>
    <w:rsid w:val="0028750D"/>
    <w:rsid w:val="00287613"/>
    <w:rsid w:val="00287646"/>
    <w:rsid w:val="00287C19"/>
    <w:rsid w:val="00287C4C"/>
    <w:rsid w:val="002901C5"/>
    <w:rsid w:val="002902BC"/>
    <w:rsid w:val="002903B0"/>
    <w:rsid w:val="002904DE"/>
    <w:rsid w:val="00290733"/>
    <w:rsid w:val="00290776"/>
    <w:rsid w:val="002908F5"/>
    <w:rsid w:val="00290AAB"/>
    <w:rsid w:val="00290BFF"/>
    <w:rsid w:val="00290D61"/>
    <w:rsid w:val="00290E28"/>
    <w:rsid w:val="00290F9C"/>
    <w:rsid w:val="00291092"/>
    <w:rsid w:val="00291182"/>
    <w:rsid w:val="0029134A"/>
    <w:rsid w:val="002915CC"/>
    <w:rsid w:val="00291634"/>
    <w:rsid w:val="0029175F"/>
    <w:rsid w:val="00291931"/>
    <w:rsid w:val="00291E85"/>
    <w:rsid w:val="0029200B"/>
    <w:rsid w:val="00292108"/>
    <w:rsid w:val="0029215A"/>
    <w:rsid w:val="00292429"/>
    <w:rsid w:val="00292462"/>
    <w:rsid w:val="002924A7"/>
    <w:rsid w:val="0029257B"/>
    <w:rsid w:val="0029273E"/>
    <w:rsid w:val="00292A14"/>
    <w:rsid w:val="00292B24"/>
    <w:rsid w:val="00292CAA"/>
    <w:rsid w:val="00292CB2"/>
    <w:rsid w:val="00292DC7"/>
    <w:rsid w:val="00292E0F"/>
    <w:rsid w:val="00292F3F"/>
    <w:rsid w:val="00292FE9"/>
    <w:rsid w:val="002931C3"/>
    <w:rsid w:val="00293284"/>
    <w:rsid w:val="00293330"/>
    <w:rsid w:val="002937F0"/>
    <w:rsid w:val="00293A35"/>
    <w:rsid w:val="00293A36"/>
    <w:rsid w:val="00293D96"/>
    <w:rsid w:val="00293E64"/>
    <w:rsid w:val="002941E8"/>
    <w:rsid w:val="002943C0"/>
    <w:rsid w:val="002944F2"/>
    <w:rsid w:val="002945BC"/>
    <w:rsid w:val="00294901"/>
    <w:rsid w:val="00294A92"/>
    <w:rsid w:val="00294C91"/>
    <w:rsid w:val="00294D99"/>
    <w:rsid w:val="0029506E"/>
    <w:rsid w:val="002952C7"/>
    <w:rsid w:val="002958F0"/>
    <w:rsid w:val="00295D4E"/>
    <w:rsid w:val="00295ECF"/>
    <w:rsid w:val="00295EE7"/>
    <w:rsid w:val="002960E6"/>
    <w:rsid w:val="00296411"/>
    <w:rsid w:val="00296569"/>
    <w:rsid w:val="00296BBA"/>
    <w:rsid w:val="00297006"/>
    <w:rsid w:val="002970FF"/>
    <w:rsid w:val="0029722E"/>
    <w:rsid w:val="0029755A"/>
    <w:rsid w:val="002975BD"/>
    <w:rsid w:val="00297635"/>
    <w:rsid w:val="0029778E"/>
    <w:rsid w:val="00297C59"/>
    <w:rsid w:val="00297C96"/>
    <w:rsid w:val="00297D38"/>
    <w:rsid w:val="00297EB6"/>
    <w:rsid w:val="002A0026"/>
    <w:rsid w:val="002A00DF"/>
    <w:rsid w:val="002A014C"/>
    <w:rsid w:val="002A0839"/>
    <w:rsid w:val="002A0D43"/>
    <w:rsid w:val="002A0EDF"/>
    <w:rsid w:val="002A108A"/>
    <w:rsid w:val="002A1146"/>
    <w:rsid w:val="002A11D3"/>
    <w:rsid w:val="002A1256"/>
    <w:rsid w:val="002A1336"/>
    <w:rsid w:val="002A13BE"/>
    <w:rsid w:val="002A154F"/>
    <w:rsid w:val="002A1990"/>
    <w:rsid w:val="002A19E4"/>
    <w:rsid w:val="002A1A12"/>
    <w:rsid w:val="002A1BC4"/>
    <w:rsid w:val="002A1EBE"/>
    <w:rsid w:val="002A2153"/>
    <w:rsid w:val="002A236A"/>
    <w:rsid w:val="002A2376"/>
    <w:rsid w:val="002A24C0"/>
    <w:rsid w:val="002A2507"/>
    <w:rsid w:val="002A2729"/>
    <w:rsid w:val="002A2B33"/>
    <w:rsid w:val="002A2B43"/>
    <w:rsid w:val="002A2B50"/>
    <w:rsid w:val="002A2D3F"/>
    <w:rsid w:val="002A3063"/>
    <w:rsid w:val="002A3079"/>
    <w:rsid w:val="002A3457"/>
    <w:rsid w:val="002A3470"/>
    <w:rsid w:val="002A37D3"/>
    <w:rsid w:val="002A394D"/>
    <w:rsid w:val="002A3AE0"/>
    <w:rsid w:val="002A3BB0"/>
    <w:rsid w:val="002A3DBC"/>
    <w:rsid w:val="002A3ED1"/>
    <w:rsid w:val="002A3F07"/>
    <w:rsid w:val="002A4351"/>
    <w:rsid w:val="002A4505"/>
    <w:rsid w:val="002A4575"/>
    <w:rsid w:val="002A45A7"/>
    <w:rsid w:val="002A4827"/>
    <w:rsid w:val="002A4851"/>
    <w:rsid w:val="002A48C5"/>
    <w:rsid w:val="002A4A22"/>
    <w:rsid w:val="002A4BBC"/>
    <w:rsid w:val="002A4BC1"/>
    <w:rsid w:val="002A4FDC"/>
    <w:rsid w:val="002A55F5"/>
    <w:rsid w:val="002A56A9"/>
    <w:rsid w:val="002A56ED"/>
    <w:rsid w:val="002A5757"/>
    <w:rsid w:val="002A5838"/>
    <w:rsid w:val="002A58E5"/>
    <w:rsid w:val="002A596B"/>
    <w:rsid w:val="002A59DF"/>
    <w:rsid w:val="002A5B45"/>
    <w:rsid w:val="002A5C5A"/>
    <w:rsid w:val="002A5D85"/>
    <w:rsid w:val="002A5ED8"/>
    <w:rsid w:val="002A5F2D"/>
    <w:rsid w:val="002A5F72"/>
    <w:rsid w:val="002A674F"/>
    <w:rsid w:val="002A6770"/>
    <w:rsid w:val="002A6A26"/>
    <w:rsid w:val="002A6C88"/>
    <w:rsid w:val="002A6DFD"/>
    <w:rsid w:val="002A6E4F"/>
    <w:rsid w:val="002A7000"/>
    <w:rsid w:val="002A70E7"/>
    <w:rsid w:val="002A7172"/>
    <w:rsid w:val="002A71B8"/>
    <w:rsid w:val="002A7597"/>
    <w:rsid w:val="002A7AA2"/>
    <w:rsid w:val="002A7F38"/>
    <w:rsid w:val="002B03C5"/>
    <w:rsid w:val="002B0517"/>
    <w:rsid w:val="002B0609"/>
    <w:rsid w:val="002B0B23"/>
    <w:rsid w:val="002B0B2C"/>
    <w:rsid w:val="002B0CD6"/>
    <w:rsid w:val="002B0D52"/>
    <w:rsid w:val="002B0D5E"/>
    <w:rsid w:val="002B0E18"/>
    <w:rsid w:val="002B101B"/>
    <w:rsid w:val="002B1377"/>
    <w:rsid w:val="002B14D5"/>
    <w:rsid w:val="002B153F"/>
    <w:rsid w:val="002B19DB"/>
    <w:rsid w:val="002B1B32"/>
    <w:rsid w:val="002B2226"/>
    <w:rsid w:val="002B297A"/>
    <w:rsid w:val="002B2980"/>
    <w:rsid w:val="002B2B4F"/>
    <w:rsid w:val="002B2B56"/>
    <w:rsid w:val="002B2C46"/>
    <w:rsid w:val="002B303E"/>
    <w:rsid w:val="002B30BD"/>
    <w:rsid w:val="002B3131"/>
    <w:rsid w:val="002B3232"/>
    <w:rsid w:val="002B330A"/>
    <w:rsid w:val="002B3383"/>
    <w:rsid w:val="002B35B0"/>
    <w:rsid w:val="002B394A"/>
    <w:rsid w:val="002B3A00"/>
    <w:rsid w:val="002B3C65"/>
    <w:rsid w:val="002B3C9F"/>
    <w:rsid w:val="002B3E93"/>
    <w:rsid w:val="002B3EEF"/>
    <w:rsid w:val="002B4095"/>
    <w:rsid w:val="002B42D9"/>
    <w:rsid w:val="002B446C"/>
    <w:rsid w:val="002B4485"/>
    <w:rsid w:val="002B473D"/>
    <w:rsid w:val="002B4B33"/>
    <w:rsid w:val="002B4CA7"/>
    <w:rsid w:val="002B4EA5"/>
    <w:rsid w:val="002B4F9B"/>
    <w:rsid w:val="002B4FAA"/>
    <w:rsid w:val="002B505A"/>
    <w:rsid w:val="002B50A8"/>
    <w:rsid w:val="002B528D"/>
    <w:rsid w:val="002B533A"/>
    <w:rsid w:val="002B58AD"/>
    <w:rsid w:val="002B599D"/>
    <w:rsid w:val="002B59A7"/>
    <w:rsid w:val="002B59CE"/>
    <w:rsid w:val="002B5AF0"/>
    <w:rsid w:val="002B5C03"/>
    <w:rsid w:val="002B5C1D"/>
    <w:rsid w:val="002B5D3B"/>
    <w:rsid w:val="002B5DB3"/>
    <w:rsid w:val="002B5F67"/>
    <w:rsid w:val="002B6190"/>
    <w:rsid w:val="002B6357"/>
    <w:rsid w:val="002B63C9"/>
    <w:rsid w:val="002B645D"/>
    <w:rsid w:val="002B69D7"/>
    <w:rsid w:val="002B6A50"/>
    <w:rsid w:val="002B6BA7"/>
    <w:rsid w:val="002B6CEE"/>
    <w:rsid w:val="002B6D50"/>
    <w:rsid w:val="002B6D6B"/>
    <w:rsid w:val="002B6DB2"/>
    <w:rsid w:val="002B6FDE"/>
    <w:rsid w:val="002B7262"/>
    <w:rsid w:val="002B73A5"/>
    <w:rsid w:val="002B73D5"/>
    <w:rsid w:val="002B7718"/>
    <w:rsid w:val="002B78CB"/>
    <w:rsid w:val="002B78DB"/>
    <w:rsid w:val="002B7A58"/>
    <w:rsid w:val="002B7C84"/>
    <w:rsid w:val="002C004C"/>
    <w:rsid w:val="002C01C8"/>
    <w:rsid w:val="002C0863"/>
    <w:rsid w:val="002C08EB"/>
    <w:rsid w:val="002C0925"/>
    <w:rsid w:val="002C09B9"/>
    <w:rsid w:val="002C0ED3"/>
    <w:rsid w:val="002C0F54"/>
    <w:rsid w:val="002C12DE"/>
    <w:rsid w:val="002C12F2"/>
    <w:rsid w:val="002C14A5"/>
    <w:rsid w:val="002C14CD"/>
    <w:rsid w:val="002C1674"/>
    <w:rsid w:val="002C1ECC"/>
    <w:rsid w:val="002C1EFA"/>
    <w:rsid w:val="002C222A"/>
    <w:rsid w:val="002C239B"/>
    <w:rsid w:val="002C246B"/>
    <w:rsid w:val="002C24A6"/>
    <w:rsid w:val="002C24CB"/>
    <w:rsid w:val="002C2A58"/>
    <w:rsid w:val="002C2BD3"/>
    <w:rsid w:val="002C2BE9"/>
    <w:rsid w:val="002C2C23"/>
    <w:rsid w:val="002C2ED0"/>
    <w:rsid w:val="002C2FA3"/>
    <w:rsid w:val="002C307F"/>
    <w:rsid w:val="002C30F0"/>
    <w:rsid w:val="002C3570"/>
    <w:rsid w:val="002C3690"/>
    <w:rsid w:val="002C3715"/>
    <w:rsid w:val="002C3737"/>
    <w:rsid w:val="002C37AA"/>
    <w:rsid w:val="002C3B71"/>
    <w:rsid w:val="002C3CA5"/>
    <w:rsid w:val="002C3CD8"/>
    <w:rsid w:val="002C3D56"/>
    <w:rsid w:val="002C3D6A"/>
    <w:rsid w:val="002C3DC4"/>
    <w:rsid w:val="002C3E37"/>
    <w:rsid w:val="002C3EE1"/>
    <w:rsid w:val="002C3FB3"/>
    <w:rsid w:val="002C402C"/>
    <w:rsid w:val="002C40EF"/>
    <w:rsid w:val="002C42D0"/>
    <w:rsid w:val="002C4343"/>
    <w:rsid w:val="002C45F7"/>
    <w:rsid w:val="002C48BE"/>
    <w:rsid w:val="002C4A49"/>
    <w:rsid w:val="002C4D56"/>
    <w:rsid w:val="002C4D8D"/>
    <w:rsid w:val="002C4DCF"/>
    <w:rsid w:val="002C4ECB"/>
    <w:rsid w:val="002C4ECD"/>
    <w:rsid w:val="002C4ECE"/>
    <w:rsid w:val="002C4F15"/>
    <w:rsid w:val="002C50E5"/>
    <w:rsid w:val="002C51B0"/>
    <w:rsid w:val="002C52C0"/>
    <w:rsid w:val="002C5326"/>
    <w:rsid w:val="002C53D7"/>
    <w:rsid w:val="002C55B4"/>
    <w:rsid w:val="002C5618"/>
    <w:rsid w:val="002C580B"/>
    <w:rsid w:val="002C5C19"/>
    <w:rsid w:val="002C5C2A"/>
    <w:rsid w:val="002C5D43"/>
    <w:rsid w:val="002C5DA0"/>
    <w:rsid w:val="002C6083"/>
    <w:rsid w:val="002C656C"/>
    <w:rsid w:val="002C6B7C"/>
    <w:rsid w:val="002C6B7F"/>
    <w:rsid w:val="002C6DA5"/>
    <w:rsid w:val="002C7221"/>
    <w:rsid w:val="002C735F"/>
    <w:rsid w:val="002C7440"/>
    <w:rsid w:val="002C74BF"/>
    <w:rsid w:val="002C7578"/>
    <w:rsid w:val="002C76F8"/>
    <w:rsid w:val="002C79B7"/>
    <w:rsid w:val="002C7B3D"/>
    <w:rsid w:val="002C7BE8"/>
    <w:rsid w:val="002C7CBE"/>
    <w:rsid w:val="002C7DF8"/>
    <w:rsid w:val="002C7E24"/>
    <w:rsid w:val="002D0029"/>
    <w:rsid w:val="002D0270"/>
    <w:rsid w:val="002D0342"/>
    <w:rsid w:val="002D0665"/>
    <w:rsid w:val="002D079B"/>
    <w:rsid w:val="002D096A"/>
    <w:rsid w:val="002D0EC9"/>
    <w:rsid w:val="002D1048"/>
    <w:rsid w:val="002D10ED"/>
    <w:rsid w:val="002D110C"/>
    <w:rsid w:val="002D127C"/>
    <w:rsid w:val="002D1652"/>
    <w:rsid w:val="002D190A"/>
    <w:rsid w:val="002D1B76"/>
    <w:rsid w:val="002D1B7E"/>
    <w:rsid w:val="002D1C7F"/>
    <w:rsid w:val="002D1EA5"/>
    <w:rsid w:val="002D1EC5"/>
    <w:rsid w:val="002D22F9"/>
    <w:rsid w:val="002D233E"/>
    <w:rsid w:val="002D23A4"/>
    <w:rsid w:val="002D2504"/>
    <w:rsid w:val="002D25D1"/>
    <w:rsid w:val="002D2605"/>
    <w:rsid w:val="002D269F"/>
    <w:rsid w:val="002D26F0"/>
    <w:rsid w:val="002D2824"/>
    <w:rsid w:val="002D29EE"/>
    <w:rsid w:val="002D2EFE"/>
    <w:rsid w:val="002D30B1"/>
    <w:rsid w:val="002D30B7"/>
    <w:rsid w:val="002D33AB"/>
    <w:rsid w:val="002D3A4E"/>
    <w:rsid w:val="002D3FEC"/>
    <w:rsid w:val="002D4328"/>
    <w:rsid w:val="002D436A"/>
    <w:rsid w:val="002D4378"/>
    <w:rsid w:val="002D4659"/>
    <w:rsid w:val="002D465E"/>
    <w:rsid w:val="002D4688"/>
    <w:rsid w:val="002D470F"/>
    <w:rsid w:val="002D4B31"/>
    <w:rsid w:val="002D4C77"/>
    <w:rsid w:val="002D4DC8"/>
    <w:rsid w:val="002D502C"/>
    <w:rsid w:val="002D5068"/>
    <w:rsid w:val="002D53E1"/>
    <w:rsid w:val="002D5450"/>
    <w:rsid w:val="002D54BC"/>
    <w:rsid w:val="002D59ED"/>
    <w:rsid w:val="002D5D5B"/>
    <w:rsid w:val="002D5DC3"/>
    <w:rsid w:val="002D5FAF"/>
    <w:rsid w:val="002D6016"/>
    <w:rsid w:val="002D6861"/>
    <w:rsid w:val="002D6EE7"/>
    <w:rsid w:val="002D6FEF"/>
    <w:rsid w:val="002D7087"/>
    <w:rsid w:val="002D7318"/>
    <w:rsid w:val="002D737D"/>
    <w:rsid w:val="002D7520"/>
    <w:rsid w:val="002D7743"/>
    <w:rsid w:val="002D783F"/>
    <w:rsid w:val="002D7BFF"/>
    <w:rsid w:val="002E0007"/>
    <w:rsid w:val="002E0046"/>
    <w:rsid w:val="002E01BC"/>
    <w:rsid w:val="002E03CD"/>
    <w:rsid w:val="002E0405"/>
    <w:rsid w:val="002E04F0"/>
    <w:rsid w:val="002E0544"/>
    <w:rsid w:val="002E0A6E"/>
    <w:rsid w:val="002E0A7A"/>
    <w:rsid w:val="002E0B4E"/>
    <w:rsid w:val="002E0B5F"/>
    <w:rsid w:val="002E0D1B"/>
    <w:rsid w:val="002E0FDE"/>
    <w:rsid w:val="002E112A"/>
    <w:rsid w:val="002E13D5"/>
    <w:rsid w:val="002E16AC"/>
    <w:rsid w:val="002E17BE"/>
    <w:rsid w:val="002E18AF"/>
    <w:rsid w:val="002E196F"/>
    <w:rsid w:val="002E1B1B"/>
    <w:rsid w:val="002E1C32"/>
    <w:rsid w:val="002E1DBE"/>
    <w:rsid w:val="002E1DFA"/>
    <w:rsid w:val="002E1FBD"/>
    <w:rsid w:val="002E204E"/>
    <w:rsid w:val="002E21C4"/>
    <w:rsid w:val="002E27CD"/>
    <w:rsid w:val="002E28DC"/>
    <w:rsid w:val="002E2CF7"/>
    <w:rsid w:val="002E2F10"/>
    <w:rsid w:val="002E3313"/>
    <w:rsid w:val="002E3361"/>
    <w:rsid w:val="002E340D"/>
    <w:rsid w:val="002E3587"/>
    <w:rsid w:val="002E35A1"/>
    <w:rsid w:val="002E35EA"/>
    <w:rsid w:val="002E36DD"/>
    <w:rsid w:val="002E3CA5"/>
    <w:rsid w:val="002E3F5C"/>
    <w:rsid w:val="002E409F"/>
    <w:rsid w:val="002E4246"/>
    <w:rsid w:val="002E4277"/>
    <w:rsid w:val="002E42DE"/>
    <w:rsid w:val="002E435D"/>
    <w:rsid w:val="002E44B7"/>
    <w:rsid w:val="002E45AD"/>
    <w:rsid w:val="002E4765"/>
    <w:rsid w:val="002E48D8"/>
    <w:rsid w:val="002E4BCE"/>
    <w:rsid w:val="002E4C88"/>
    <w:rsid w:val="002E4DD8"/>
    <w:rsid w:val="002E4E52"/>
    <w:rsid w:val="002E51AB"/>
    <w:rsid w:val="002E522C"/>
    <w:rsid w:val="002E5245"/>
    <w:rsid w:val="002E559E"/>
    <w:rsid w:val="002E5673"/>
    <w:rsid w:val="002E574D"/>
    <w:rsid w:val="002E57AF"/>
    <w:rsid w:val="002E5986"/>
    <w:rsid w:val="002E5A7C"/>
    <w:rsid w:val="002E5AFE"/>
    <w:rsid w:val="002E5C6F"/>
    <w:rsid w:val="002E5DCB"/>
    <w:rsid w:val="002E614C"/>
    <w:rsid w:val="002E62BE"/>
    <w:rsid w:val="002E6309"/>
    <w:rsid w:val="002E630A"/>
    <w:rsid w:val="002E63A8"/>
    <w:rsid w:val="002E6537"/>
    <w:rsid w:val="002E66B2"/>
    <w:rsid w:val="002E6797"/>
    <w:rsid w:val="002E6933"/>
    <w:rsid w:val="002E6DE3"/>
    <w:rsid w:val="002E6EEB"/>
    <w:rsid w:val="002E6EEF"/>
    <w:rsid w:val="002E6FCE"/>
    <w:rsid w:val="002E721C"/>
    <w:rsid w:val="002E740B"/>
    <w:rsid w:val="002E752E"/>
    <w:rsid w:val="002E76C7"/>
    <w:rsid w:val="002E76D8"/>
    <w:rsid w:val="002E7851"/>
    <w:rsid w:val="002E7A28"/>
    <w:rsid w:val="002E7D91"/>
    <w:rsid w:val="002E7E71"/>
    <w:rsid w:val="002F0052"/>
    <w:rsid w:val="002F00BF"/>
    <w:rsid w:val="002F0140"/>
    <w:rsid w:val="002F0468"/>
    <w:rsid w:val="002F0497"/>
    <w:rsid w:val="002F057C"/>
    <w:rsid w:val="002F0586"/>
    <w:rsid w:val="002F05A3"/>
    <w:rsid w:val="002F05B8"/>
    <w:rsid w:val="002F05C3"/>
    <w:rsid w:val="002F0641"/>
    <w:rsid w:val="002F06D8"/>
    <w:rsid w:val="002F0A64"/>
    <w:rsid w:val="002F0C54"/>
    <w:rsid w:val="002F0CBD"/>
    <w:rsid w:val="002F0D6D"/>
    <w:rsid w:val="002F0F3D"/>
    <w:rsid w:val="002F0FC8"/>
    <w:rsid w:val="002F1055"/>
    <w:rsid w:val="002F10FC"/>
    <w:rsid w:val="002F1106"/>
    <w:rsid w:val="002F18CB"/>
    <w:rsid w:val="002F1E4D"/>
    <w:rsid w:val="002F1E60"/>
    <w:rsid w:val="002F2509"/>
    <w:rsid w:val="002F25ED"/>
    <w:rsid w:val="002F2652"/>
    <w:rsid w:val="002F2691"/>
    <w:rsid w:val="002F285D"/>
    <w:rsid w:val="002F2A15"/>
    <w:rsid w:val="002F2A98"/>
    <w:rsid w:val="002F2AB9"/>
    <w:rsid w:val="002F2FEA"/>
    <w:rsid w:val="002F320E"/>
    <w:rsid w:val="002F32B3"/>
    <w:rsid w:val="002F3583"/>
    <w:rsid w:val="002F3655"/>
    <w:rsid w:val="002F3C09"/>
    <w:rsid w:val="002F3DB1"/>
    <w:rsid w:val="002F3E2C"/>
    <w:rsid w:val="002F3EEF"/>
    <w:rsid w:val="002F4121"/>
    <w:rsid w:val="002F413E"/>
    <w:rsid w:val="002F43F2"/>
    <w:rsid w:val="002F46D2"/>
    <w:rsid w:val="002F474E"/>
    <w:rsid w:val="002F4C25"/>
    <w:rsid w:val="002F4DD8"/>
    <w:rsid w:val="002F4FDF"/>
    <w:rsid w:val="002F51E4"/>
    <w:rsid w:val="002F5248"/>
    <w:rsid w:val="002F5284"/>
    <w:rsid w:val="002F54BC"/>
    <w:rsid w:val="002F5697"/>
    <w:rsid w:val="002F59F5"/>
    <w:rsid w:val="002F5AFC"/>
    <w:rsid w:val="002F5CAA"/>
    <w:rsid w:val="002F5D4B"/>
    <w:rsid w:val="002F5D4E"/>
    <w:rsid w:val="002F5D7B"/>
    <w:rsid w:val="002F5DE3"/>
    <w:rsid w:val="002F5F28"/>
    <w:rsid w:val="002F5FE5"/>
    <w:rsid w:val="002F6053"/>
    <w:rsid w:val="002F62A5"/>
    <w:rsid w:val="002F62DB"/>
    <w:rsid w:val="002F6363"/>
    <w:rsid w:val="002F6431"/>
    <w:rsid w:val="002F6583"/>
    <w:rsid w:val="002F659E"/>
    <w:rsid w:val="002F65CB"/>
    <w:rsid w:val="002F65E4"/>
    <w:rsid w:val="002F6651"/>
    <w:rsid w:val="002F6784"/>
    <w:rsid w:val="002F6979"/>
    <w:rsid w:val="002F6AC4"/>
    <w:rsid w:val="002F6E6B"/>
    <w:rsid w:val="002F6EDE"/>
    <w:rsid w:val="002F74AF"/>
    <w:rsid w:val="002F78AA"/>
    <w:rsid w:val="002F79D9"/>
    <w:rsid w:val="002F7A25"/>
    <w:rsid w:val="002F7A87"/>
    <w:rsid w:val="002F7BD9"/>
    <w:rsid w:val="002F7C00"/>
    <w:rsid w:val="002F7E14"/>
    <w:rsid w:val="002F7E44"/>
    <w:rsid w:val="002F7F96"/>
    <w:rsid w:val="00300047"/>
    <w:rsid w:val="00300159"/>
    <w:rsid w:val="00300498"/>
    <w:rsid w:val="0030062D"/>
    <w:rsid w:val="00300974"/>
    <w:rsid w:val="00300CE2"/>
    <w:rsid w:val="00300E39"/>
    <w:rsid w:val="00300E67"/>
    <w:rsid w:val="00300EFC"/>
    <w:rsid w:val="00300FD5"/>
    <w:rsid w:val="00301411"/>
    <w:rsid w:val="003015AD"/>
    <w:rsid w:val="003016AC"/>
    <w:rsid w:val="00301789"/>
    <w:rsid w:val="00301A10"/>
    <w:rsid w:val="00301A1A"/>
    <w:rsid w:val="00301BA6"/>
    <w:rsid w:val="00301F31"/>
    <w:rsid w:val="003020C1"/>
    <w:rsid w:val="00302187"/>
    <w:rsid w:val="003021C0"/>
    <w:rsid w:val="0030224E"/>
    <w:rsid w:val="0030235C"/>
    <w:rsid w:val="0030238C"/>
    <w:rsid w:val="00302407"/>
    <w:rsid w:val="0030246F"/>
    <w:rsid w:val="003024B1"/>
    <w:rsid w:val="003025CD"/>
    <w:rsid w:val="003027FB"/>
    <w:rsid w:val="00302834"/>
    <w:rsid w:val="0030285B"/>
    <w:rsid w:val="00302877"/>
    <w:rsid w:val="0030287E"/>
    <w:rsid w:val="003028CC"/>
    <w:rsid w:val="00302907"/>
    <w:rsid w:val="00302A03"/>
    <w:rsid w:val="00302B29"/>
    <w:rsid w:val="00302C00"/>
    <w:rsid w:val="00302C01"/>
    <w:rsid w:val="00302D48"/>
    <w:rsid w:val="003032C8"/>
    <w:rsid w:val="00303372"/>
    <w:rsid w:val="00303568"/>
    <w:rsid w:val="00303734"/>
    <w:rsid w:val="0030376E"/>
    <w:rsid w:val="00303C01"/>
    <w:rsid w:val="00303DA4"/>
    <w:rsid w:val="00303ECD"/>
    <w:rsid w:val="00303ECF"/>
    <w:rsid w:val="00303F18"/>
    <w:rsid w:val="00303FD6"/>
    <w:rsid w:val="00304173"/>
    <w:rsid w:val="003041C6"/>
    <w:rsid w:val="003042BF"/>
    <w:rsid w:val="003042C2"/>
    <w:rsid w:val="003042D4"/>
    <w:rsid w:val="003043A2"/>
    <w:rsid w:val="003043F9"/>
    <w:rsid w:val="00304763"/>
    <w:rsid w:val="0030477F"/>
    <w:rsid w:val="0030486C"/>
    <w:rsid w:val="003048C7"/>
    <w:rsid w:val="00304C03"/>
    <w:rsid w:val="00304D34"/>
    <w:rsid w:val="003052EE"/>
    <w:rsid w:val="00305746"/>
    <w:rsid w:val="0030574C"/>
    <w:rsid w:val="00305921"/>
    <w:rsid w:val="003059C6"/>
    <w:rsid w:val="00305BE5"/>
    <w:rsid w:val="00305EAA"/>
    <w:rsid w:val="003060CD"/>
    <w:rsid w:val="0030615C"/>
    <w:rsid w:val="00306218"/>
    <w:rsid w:val="00306273"/>
    <w:rsid w:val="00306337"/>
    <w:rsid w:val="0030641C"/>
    <w:rsid w:val="00306582"/>
    <w:rsid w:val="00306619"/>
    <w:rsid w:val="00306685"/>
    <w:rsid w:val="003067A9"/>
    <w:rsid w:val="003069DE"/>
    <w:rsid w:val="00306C27"/>
    <w:rsid w:val="00306C5F"/>
    <w:rsid w:val="00306E4D"/>
    <w:rsid w:val="003071CE"/>
    <w:rsid w:val="00307464"/>
    <w:rsid w:val="0030761F"/>
    <w:rsid w:val="00307709"/>
    <w:rsid w:val="003079A4"/>
    <w:rsid w:val="003079CD"/>
    <w:rsid w:val="003079EC"/>
    <w:rsid w:val="00307ADD"/>
    <w:rsid w:val="00307B38"/>
    <w:rsid w:val="00307B7D"/>
    <w:rsid w:val="00307F6B"/>
    <w:rsid w:val="00310236"/>
    <w:rsid w:val="0031023D"/>
    <w:rsid w:val="0031080F"/>
    <w:rsid w:val="00310A4B"/>
    <w:rsid w:val="00310AF6"/>
    <w:rsid w:val="00310D16"/>
    <w:rsid w:val="00310EF1"/>
    <w:rsid w:val="00311249"/>
    <w:rsid w:val="003112E6"/>
    <w:rsid w:val="003116F9"/>
    <w:rsid w:val="003119B0"/>
    <w:rsid w:val="00311A8A"/>
    <w:rsid w:val="00311B97"/>
    <w:rsid w:val="00311C30"/>
    <w:rsid w:val="00311D0D"/>
    <w:rsid w:val="00311D8B"/>
    <w:rsid w:val="00311DAE"/>
    <w:rsid w:val="00311DFF"/>
    <w:rsid w:val="00311F96"/>
    <w:rsid w:val="00312261"/>
    <w:rsid w:val="003123F6"/>
    <w:rsid w:val="00312520"/>
    <w:rsid w:val="00312558"/>
    <w:rsid w:val="00312767"/>
    <w:rsid w:val="003129D7"/>
    <w:rsid w:val="00312AF6"/>
    <w:rsid w:val="003131C2"/>
    <w:rsid w:val="00313446"/>
    <w:rsid w:val="0031360E"/>
    <w:rsid w:val="0031366A"/>
    <w:rsid w:val="003137BF"/>
    <w:rsid w:val="00313903"/>
    <w:rsid w:val="003139AE"/>
    <w:rsid w:val="00313AD5"/>
    <w:rsid w:val="00313C24"/>
    <w:rsid w:val="00313D45"/>
    <w:rsid w:val="00313FCF"/>
    <w:rsid w:val="003142A8"/>
    <w:rsid w:val="00314305"/>
    <w:rsid w:val="00314349"/>
    <w:rsid w:val="00314407"/>
    <w:rsid w:val="00314511"/>
    <w:rsid w:val="0031453B"/>
    <w:rsid w:val="00314587"/>
    <w:rsid w:val="00314931"/>
    <w:rsid w:val="003149B4"/>
    <w:rsid w:val="00314AB3"/>
    <w:rsid w:val="00314B6B"/>
    <w:rsid w:val="00314BE3"/>
    <w:rsid w:val="00314C48"/>
    <w:rsid w:val="00314E02"/>
    <w:rsid w:val="00314E99"/>
    <w:rsid w:val="0031515E"/>
    <w:rsid w:val="00315276"/>
    <w:rsid w:val="0031533A"/>
    <w:rsid w:val="003153E2"/>
    <w:rsid w:val="00315403"/>
    <w:rsid w:val="003155A0"/>
    <w:rsid w:val="003155F2"/>
    <w:rsid w:val="00315610"/>
    <w:rsid w:val="00315768"/>
    <w:rsid w:val="00315811"/>
    <w:rsid w:val="003158A2"/>
    <w:rsid w:val="00315913"/>
    <w:rsid w:val="00315C51"/>
    <w:rsid w:val="00315E31"/>
    <w:rsid w:val="00315EA0"/>
    <w:rsid w:val="00315F08"/>
    <w:rsid w:val="00316195"/>
    <w:rsid w:val="003161FE"/>
    <w:rsid w:val="003162DB"/>
    <w:rsid w:val="003164E7"/>
    <w:rsid w:val="00316526"/>
    <w:rsid w:val="00316575"/>
    <w:rsid w:val="0031698C"/>
    <w:rsid w:val="00316C22"/>
    <w:rsid w:val="00316C27"/>
    <w:rsid w:val="00316EEA"/>
    <w:rsid w:val="003172AF"/>
    <w:rsid w:val="003178A5"/>
    <w:rsid w:val="00317B22"/>
    <w:rsid w:val="00317D1B"/>
    <w:rsid w:val="00320093"/>
    <w:rsid w:val="003200C2"/>
    <w:rsid w:val="0032018E"/>
    <w:rsid w:val="003205BD"/>
    <w:rsid w:val="00320655"/>
    <w:rsid w:val="00320665"/>
    <w:rsid w:val="003207EB"/>
    <w:rsid w:val="00320A69"/>
    <w:rsid w:val="00320E4B"/>
    <w:rsid w:val="00320F83"/>
    <w:rsid w:val="0032107B"/>
    <w:rsid w:val="0032110E"/>
    <w:rsid w:val="003213A0"/>
    <w:rsid w:val="003219D8"/>
    <w:rsid w:val="00321AB0"/>
    <w:rsid w:val="00321C56"/>
    <w:rsid w:val="00321D97"/>
    <w:rsid w:val="003226A4"/>
    <w:rsid w:val="00322895"/>
    <w:rsid w:val="003229F5"/>
    <w:rsid w:val="00322B22"/>
    <w:rsid w:val="00322B98"/>
    <w:rsid w:val="00322D3F"/>
    <w:rsid w:val="00322E7F"/>
    <w:rsid w:val="00322E8F"/>
    <w:rsid w:val="00322F55"/>
    <w:rsid w:val="00323089"/>
    <w:rsid w:val="00323427"/>
    <w:rsid w:val="003235FB"/>
    <w:rsid w:val="0032375B"/>
    <w:rsid w:val="003239B3"/>
    <w:rsid w:val="00323D1B"/>
    <w:rsid w:val="00323F42"/>
    <w:rsid w:val="00324002"/>
    <w:rsid w:val="00324125"/>
    <w:rsid w:val="0032461C"/>
    <w:rsid w:val="00324703"/>
    <w:rsid w:val="0032484B"/>
    <w:rsid w:val="00324A0F"/>
    <w:rsid w:val="00324C25"/>
    <w:rsid w:val="00324E21"/>
    <w:rsid w:val="0032559F"/>
    <w:rsid w:val="00325767"/>
    <w:rsid w:val="00325B2B"/>
    <w:rsid w:val="00325B70"/>
    <w:rsid w:val="00325C0F"/>
    <w:rsid w:val="00325C66"/>
    <w:rsid w:val="00325E1C"/>
    <w:rsid w:val="00325E7D"/>
    <w:rsid w:val="0032614B"/>
    <w:rsid w:val="003262E2"/>
    <w:rsid w:val="003263DD"/>
    <w:rsid w:val="0032660F"/>
    <w:rsid w:val="00326634"/>
    <w:rsid w:val="003267A6"/>
    <w:rsid w:val="003269E2"/>
    <w:rsid w:val="00326C5A"/>
    <w:rsid w:val="00326D4D"/>
    <w:rsid w:val="00326E60"/>
    <w:rsid w:val="00326EA3"/>
    <w:rsid w:val="00326F8D"/>
    <w:rsid w:val="0032700E"/>
    <w:rsid w:val="003273E5"/>
    <w:rsid w:val="0032742A"/>
    <w:rsid w:val="003276E0"/>
    <w:rsid w:val="003276E6"/>
    <w:rsid w:val="00327835"/>
    <w:rsid w:val="003278B3"/>
    <w:rsid w:val="00327CBD"/>
    <w:rsid w:val="00330228"/>
    <w:rsid w:val="0033058A"/>
    <w:rsid w:val="003306C7"/>
    <w:rsid w:val="00330B81"/>
    <w:rsid w:val="00330D84"/>
    <w:rsid w:val="00330E34"/>
    <w:rsid w:val="00331308"/>
    <w:rsid w:val="00331314"/>
    <w:rsid w:val="00331DBB"/>
    <w:rsid w:val="00331DC1"/>
    <w:rsid w:val="00331DCF"/>
    <w:rsid w:val="00331E77"/>
    <w:rsid w:val="00331FD1"/>
    <w:rsid w:val="00332052"/>
    <w:rsid w:val="00332109"/>
    <w:rsid w:val="0033211D"/>
    <w:rsid w:val="003323D5"/>
    <w:rsid w:val="00332567"/>
    <w:rsid w:val="00332735"/>
    <w:rsid w:val="003327BB"/>
    <w:rsid w:val="0033282E"/>
    <w:rsid w:val="003328B6"/>
    <w:rsid w:val="00332A82"/>
    <w:rsid w:val="00332CD2"/>
    <w:rsid w:val="00332E48"/>
    <w:rsid w:val="00332EFC"/>
    <w:rsid w:val="003333D5"/>
    <w:rsid w:val="00333731"/>
    <w:rsid w:val="0033374F"/>
    <w:rsid w:val="00333789"/>
    <w:rsid w:val="0033388E"/>
    <w:rsid w:val="003339F8"/>
    <w:rsid w:val="00333BF2"/>
    <w:rsid w:val="00333E07"/>
    <w:rsid w:val="00333EB0"/>
    <w:rsid w:val="00333EBB"/>
    <w:rsid w:val="0033427C"/>
    <w:rsid w:val="0033430D"/>
    <w:rsid w:val="00334423"/>
    <w:rsid w:val="0033442B"/>
    <w:rsid w:val="003344F8"/>
    <w:rsid w:val="003344FE"/>
    <w:rsid w:val="00334BA5"/>
    <w:rsid w:val="0033512A"/>
    <w:rsid w:val="003353C4"/>
    <w:rsid w:val="00335AD9"/>
    <w:rsid w:val="00335CAE"/>
    <w:rsid w:val="00335EEF"/>
    <w:rsid w:val="00335FBB"/>
    <w:rsid w:val="00336042"/>
    <w:rsid w:val="00336147"/>
    <w:rsid w:val="00336177"/>
    <w:rsid w:val="003361A7"/>
    <w:rsid w:val="003365D8"/>
    <w:rsid w:val="00336672"/>
    <w:rsid w:val="00336746"/>
    <w:rsid w:val="003368A7"/>
    <w:rsid w:val="00336A69"/>
    <w:rsid w:val="00336E0C"/>
    <w:rsid w:val="00336E5E"/>
    <w:rsid w:val="00336F76"/>
    <w:rsid w:val="00336FB0"/>
    <w:rsid w:val="00337151"/>
    <w:rsid w:val="003378F9"/>
    <w:rsid w:val="00337953"/>
    <w:rsid w:val="00337B6E"/>
    <w:rsid w:val="00337C28"/>
    <w:rsid w:val="00337EC8"/>
    <w:rsid w:val="00340071"/>
    <w:rsid w:val="00340254"/>
    <w:rsid w:val="00340260"/>
    <w:rsid w:val="00340394"/>
    <w:rsid w:val="00340519"/>
    <w:rsid w:val="00340558"/>
    <w:rsid w:val="0034092E"/>
    <w:rsid w:val="00340E19"/>
    <w:rsid w:val="00341054"/>
    <w:rsid w:val="00341066"/>
    <w:rsid w:val="0034126A"/>
    <w:rsid w:val="003412C6"/>
    <w:rsid w:val="00341443"/>
    <w:rsid w:val="003414D8"/>
    <w:rsid w:val="003415D6"/>
    <w:rsid w:val="00341804"/>
    <w:rsid w:val="00341C56"/>
    <w:rsid w:val="00341D0A"/>
    <w:rsid w:val="00341E1A"/>
    <w:rsid w:val="0034202D"/>
    <w:rsid w:val="003420ED"/>
    <w:rsid w:val="003424E6"/>
    <w:rsid w:val="00342763"/>
    <w:rsid w:val="00342AC2"/>
    <w:rsid w:val="00342D00"/>
    <w:rsid w:val="00342DA4"/>
    <w:rsid w:val="003432B3"/>
    <w:rsid w:val="00343360"/>
    <w:rsid w:val="003433CB"/>
    <w:rsid w:val="003438F2"/>
    <w:rsid w:val="00343964"/>
    <w:rsid w:val="00343C31"/>
    <w:rsid w:val="0034423C"/>
    <w:rsid w:val="00344731"/>
    <w:rsid w:val="00344A15"/>
    <w:rsid w:val="00344D56"/>
    <w:rsid w:val="00344EDC"/>
    <w:rsid w:val="00344FF9"/>
    <w:rsid w:val="00345015"/>
    <w:rsid w:val="003451BA"/>
    <w:rsid w:val="0034520E"/>
    <w:rsid w:val="0034552D"/>
    <w:rsid w:val="003457C8"/>
    <w:rsid w:val="00345A32"/>
    <w:rsid w:val="00345AEC"/>
    <w:rsid w:val="00345D0F"/>
    <w:rsid w:val="00345D28"/>
    <w:rsid w:val="00345D80"/>
    <w:rsid w:val="00345E87"/>
    <w:rsid w:val="00346025"/>
    <w:rsid w:val="003461A2"/>
    <w:rsid w:val="0034633D"/>
    <w:rsid w:val="003464A9"/>
    <w:rsid w:val="003465EF"/>
    <w:rsid w:val="003467E7"/>
    <w:rsid w:val="003469BA"/>
    <w:rsid w:val="00346A60"/>
    <w:rsid w:val="00346AEE"/>
    <w:rsid w:val="00346C7F"/>
    <w:rsid w:val="00346C9D"/>
    <w:rsid w:val="00346D6B"/>
    <w:rsid w:val="00346E92"/>
    <w:rsid w:val="00347000"/>
    <w:rsid w:val="003470C0"/>
    <w:rsid w:val="00347104"/>
    <w:rsid w:val="0034718E"/>
    <w:rsid w:val="00347362"/>
    <w:rsid w:val="003474DC"/>
    <w:rsid w:val="003478BD"/>
    <w:rsid w:val="00347931"/>
    <w:rsid w:val="003479B7"/>
    <w:rsid w:val="00347B8E"/>
    <w:rsid w:val="00347CD1"/>
    <w:rsid w:val="00347D0E"/>
    <w:rsid w:val="00347D80"/>
    <w:rsid w:val="00347DA5"/>
    <w:rsid w:val="003500C7"/>
    <w:rsid w:val="003500FC"/>
    <w:rsid w:val="003501C4"/>
    <w:rsid w:val="0035055D"/>
    <w:rsid w:val="0035061D"/>
    <w:rsid w:val="00350670"/>
    <w:rsid w:val="00350887"/>
    <w:rsid w:val="00350948"/>
    <w:rsid w:val="00350A3F"/>
    <w:rsid w:val="00350BF6"/>
    <w:rsid w:val="00350C41"/>
    <w:rsid w:val="00350D92"/>
    <w:rsid w:val="00351090"/>
    <w:rsid w:val="003510B5"/>
    <w:rsid w:val="00351120"/>
    <w:rsid w:val="00351349"/>
    <w:rsid w:val="00351389"/>
    <w:rsid w:val="003515E5"/>
    <w:rsid w:val="0035172E"/>
    <w:rsid w:val="003517A0"/>
    <w:rsid w:val="0035192E"/>
    <w:rsid w:val="00351C89"/>
    <w:rsid w:val="00351CAD"/>
    <w:rsid w:val="00351DB5"/>
    <w:rsid w:val="00351E25"/>
    <w:rsid w:val="00351E40"/>
    <w:rsid w:val="00351F10"/>
    <w:rsid w:val="00351FD3"/>
    <w:rsid w:val="003524CC"/>
    <w:rsid w:val="003524F3"/>
    <w:rsid w:val="00352945"/>
    <w:rsid w:val="00352EAC"/>
    <w:rsid w:val="003530E8"/>
    <w:rsid w:val="0035336A"/>
    <w:rsid w:val="00353391"/>
    <w:rsid w:val="0035361C"/>
    <w:rsid w:val="003537A5"/>
    <w:rsid w:val="003538E6"/>
    <w:rsid w:val="00353A8A"/>
    <w:rsid w:val="00353C7C"/>
    <w:rsid w:val="00353CA6"/>
    <w:rsid w:val="00353EBF"/>
    <w:rsid w:val="003541CA"/>
    <w:rsid w:val="0035478B"/>
    <w:rsid w:val="0035494E"/>
    <w:rsid w:val="0035498B"/>
    <w:rsid w:val="00354B81"/>
    <w:rsid w:val="00354C9B"/>
    <w:rsid w:val="00354CA1"/>
    <w:rsid w:val="00354CD1"/>
    <w:rsid w:val="003550E7"/>
    <w:rsid w:val="00355125"/>
    <w:rsid w:val="003551EA"/>
    <w:rsid w:val="0035527D"/>
    <w:rsid w:val="00355320"/>
    <w:rsid w:val="00355349"/>
    <w:rsid w:val="0035541F"/>
    <w:rsid w:val="003557EE"/>
    <w:rsid w:val="0035596C"/>
    <w:rsid w:val="0035597D"/>
    <w:rsid w:val="00355DA0"/>
    <w:rsid w:val="00355F6F"/>
    <w:rsid w:val="003561BA"/>
    <w:rsid w:val="003561FD"/>
    <w:rsid w:val="003562E2"/>
    <w:rsid w:val="00356333"/>
    <w:rsid w:val="00356495"/>
    <w:rsid w:val="00356795"/>
    <w:rsid w:val="003568A1"/>
    <w:rsid w:val="00356924"/>
    <w:rsid w:val="00356A50"/>
    <w:rsid w:val="00356BB7"/>
    <w:rsid w:val="00356CA7"/>
    <w:rsid w:val="00356D83"/>
    <w:rsid w:val="00356EC4"/>
    <w:rsid w:val="0035724D"/>
    <w:rsid w:val="0035745A"/>
    <w:rsid w:val="00357812"/>
    <w:rsid w:val="0035786E"/>
    <w:rsid w:val="00357C09"/>
    <w:rsid w:val="00357DEC"/>
    <w:rsid w:val="00357E00"/>
    <w:rsid w:val="00357FAB"/>
    <w:rsid w:val="003601F0"/>
    <w:rsid w:val="003601F4"/>
    <w:rsid w:val="0036031F"/>
    <w:rsid w:val="003603D2"/>
    <w:rsid w:val="00360627"/>
    <w:rsid w:val="00360740"/>
    <w:rsid w:val="00360751"/>
    <w:rsid w:val="003607CE"/>
    <w:rsid w:val="00360970"/>
    <w:rsid w:val="00360A3A"/>
    <w:rsid w:val="00360C57"/>
    <w:rsid w:val="00360F86"/>
    <w:rsid w:val="003611C5"/>
    <w:rsid w:val="00361240"/>
    <w:rsid w:val="00361448"/>
    <w:rsid w:val="003614A5"/>
    <w:rsid w:val="003614E8"/>
    <w:rsid w:val="0036156C"/>
    <w:rsid w:val="00361A20"/>
    <w:rsid w:val="00361BBD"/>
    <w:rsid w:val="00361C12"/>
    <w:rsid w:val="00362027"/>
    <w:rsid w:val="00362209"/>
    <w:rsid w:val="0036222D"/>
    <w:rsid w:val="003622AA"/>
    <w:rsid w:val="00362424"/>
    <w:rsid w:val="003626FD"/>
    <w:rsid w:val="0036274E"/>
    <w:rsid w:val="003627CE"/>
    <w:rsid w:val="00362801"/>
    <w:rsid w:val="0036298E"/>
    <w:rsid w:val="003629F9"/>
    <w:rsid w:val="00362C4A"/>
    <w:rsid w:val="00362C64"/>
    <w:rsid w:val="00362E58"/>
    <w:rsid w:val="00362EE8"/>
    <w:rsid w:val="003632C9"/>
    <w:rsid w:val="00363427"/>
    <w:rsid w:val="003635C5"/>
    <w:rsid w:val="0036363A"/>
    <w:rsid w:val="00363678"/>
    <w:rsid w:val="00363698"/>
    <w:rsid w:val="0036375A"/>
    <w:rsid w:val="0036394D"/>
    <w:rsid w:val="00363B26"/>
    <w:rsid w:val="00363DBD"/>
    <w:rsid w:val="00363E64"/>
    <w:rsid w:val="00364040"/>
    <w:rsid w:val="0036417E"/>
    <w:rsid w:val="00364378"/>
    <w:rsid w:val="0036446A"/>
    <w:rsid w:val="0036448B"/>
    <w:rsid w:val="0036452B"/>
    <w:rsid w:val="0036469E"/>
    <w:rsid w:val="00364821"/>
    <w:rsid w:val="00364891"/>
    <w:rsid w:val="00364998"/>
    <w:rsid w:val="00364C3A"/>
    <w:rsid w:val="00364EA3"/>
    <w:rsid w:val="0036520D"/>
    <w:rsid w:val="003652D9"/>
    <w:rsid w:val="0036541E"/>
    <w:rsid w:val="003654B5"/>
    <w:rsid w:val="003654C4"/>
    <w:rsid w:val="00365519"/>
    <w:rsid w:val="00365586"/>
    <w:rsid w:val="00365730"/>
    <w:rsid w:val="00365778"/>
    <w:rsid w:val="003658A4"/>
    <w:rsid w:val="00365945"/>
    <w:rsid w:val="003660F9"/>
    <w:rsid w:val="00366464"/>
    <w:rsid w:val="003664AA"/>
    <w:rsid w:val="00366B1B"/>
    <w:rsid w:val="00366B86"/>
    <w:rsid w:val="00366BA1"/>
    <w:rsid w:val="00366E4B"/>
    <w:rsid w:val="00367022"/>
    <w:rsid w:val="003671D8"/>
    <w:rsid w:val="003677E2"/>
    <w:rsid w:val="00367A92"/>
    <w:rsid w:val="00367BFE"/>
    <w:rsid w:val="00367D04"/>
    <w:rsid w:val="00367D08"/>
    <w:rsid w:val="0037011D"/>
    <w:rsid w:val="003701EC"/>
    <w:rsid w:val="0037021E"/>
    <w:rsid w:val="00370400"/>
    <w:rsid w:val="00370483"/>
    <w:rsid w:val="00370523"/>
    <w:rsid w:val="00370539"/>
    <w:rsid w:val="00370541"/>
    <w:rsid w:val="00370B7B"/>
    <w:rsid w:val="00370C93"/>
    <w:rsid w:val="00370CE4"/>
    <w:rsid w:val="0037113C"/>
    <w:rsid w:val="003712E9"/>
    <w:rsid w:val="0037155B"/>
    <w:rsid w:val="00371576"/>
    <w:rsid w:val="0037162D"/>
    <w:rsid w:val="00371BAE"/>
    <w:rsid w:val="00371C6A"/>
    <w:rsid w:val="00371D2A"/>
    <w:rsid w:val="003720C4"/>
    <w:rsid w:val="003721BB"/>
    <w:rsid w:val="003722C6"/>
    <w:rsid w:val="003722F2"/>
    <w:rsid w:val="00372613"/>
    <w:rsid w:val="00372802"/>
    <w:rsid w:val="0037283F"/>
    <w:rsid w:val="003731E1"/>
    <w:rsid w:val="0037330D"/>
    <w:rsid w:val="0037344A"/>
    <w:rsid w:val="0037361A"/>
    <w:rsid w:val="0037368B"/>
    <w:rsid w:val="0037373F"/>
    <w:rsid w:val="003738B1"/>
    <w:rsid w:val="003739E8"/>
    <w:rsid w:val="00373B50"/>
    <w:rsid w:val="00373C41"/>
    <w:rsid w:val="00373D12"/>
    <w:rsid w:val="00373E14"/>
    <w:rsid w:val="00373E97"/>
    <w:rsid w:val="00373F87"/>
    <w:rsid w:val="00374520"/>
    <w:rsid w:val="00374650"/>
    <w:rsid w:val="00374908"/>
    <w:rsid w:val="00374D1A"/>
    <w:rsid w:val="00374F67"/>
    <w:rsid w:val="00375003"/>
    <w:rsid w:val="003750B3"/>
    <w:rsid w:val="00375175"/>
    <w:rsid w:val="00375664"/>
    <w:rsid w:val="0037568C"/>
    <w:rsid w:val="003756A2"/>
    <w:rsid w:val="00375920"/>
    <w:rsid w:val="00375CFF"/>
    <w:rsid w:val="00375E16"/>
    <w:rsid w:val="00375E72"/>
    <w:rsid w:val="00375F84"/>
    <w:rsid w:val="003760C7"/>
    <w:rsid w:val="00376231"/>
    <w:rsid w:val="0037631A"/>
    <w:rsid w:val="00376433"/>
    <w:rsid w:val="0037652A"/>
    <w:rsid w:val="0037677D"/>
    <w:rsid w:val="00376BD1"/>
    <w:rsid w:val="00376E73"/>
    <w:rsid w:val="00376EFF"/>
    <w:rsid w:val="00376F46"/>
    <w:rsid w:val="00376F90"/>
    <w:rsid w:val="00376FF7"/>
    <w:rsid w:val="0037731C"/>
    <w:rsid w:val="00377357"/>
    <w:rsid w:val="00377653"/>
    <w:rsid w:val="00377748"/>
    <w:rsid w:val="00377759"/>
    <w:rsid w:val="003777C8"/>
    <w:rsid w:val="0037785B"/>
    <w:rsid w:val="003778ED"/>
    <w:rsid w:val="00377933"/>
    <w:rsid w:val="00377969"/>
    <w:rsid w:val="00377C20"/>
    <w:rsid w:val="00377C3B"/>
    <w:rsid w:val="00377E3B"/>
    <w:rsid w:val="00377FF4"/>
    <w:rsid w:val="003803C4"/>
    <w:rsid w:val="0038043D"/>
    <w:rsid w:val="00380500"/>
    <w:rsid w:val="0038078A"/>
    <w:rsid w:val="003807EF"/>
    <w:rsid w:val="0038095B"/>
    <w:rsid w:val="00380B70"/>
    <w:rsid w:val="00380CA4"/>
    <w:rsid w:val="00380D42"/>
    <w:rsid w:val="00380DB3"/>
    <w:rsid w:val="00380DBA"/>
    <w:rsid w:val="003812D5"/>
    <w:rsid w:val="003815FB"/>
    <w:rsid w:val="0038171E"/>
    <w:rsid w:val="003817D3"/>
    <w:rsid w:val="00381BDA"/>
    <w:rsid w:val="00381E7F"/>
    <w:rsid w:val="00382086"/>
    <w:rsid w:val="003821F4"/>
    <w:rsid w:val="003822E8"/>
    <w:rsid w:val="003822FC"/>
    <w:rsid w:val="00382593"/>
    <w:rsid w:val="0038291C"/>
    <w:rsid w:val="00382A3D"/>
    <w:rsid w:val="00382B35"/>
    <w:rsid w:val="00383093"/>
    <w:rsid w:val="003832DC"/>
    <w:rsid w:val="003835D1"/>
    <w:rsid w:val="003838CD"/>
    <w:rsid w:val="003838D7"/>
    <w:rsid w:val="00383A2D"/>
    <w:rsid w:val="00383C90"/>
    <w:rsid w:val="00383E29"/>
    <w:rsid w:val="00383F37"/>
    <w:rsid w:val="00384042"/>
    <w:rsid w:val="0038404F"/>
    <w:rsid w:val="0038415D"/>
    <w:rsid w:val="003844BF"/>
    <w:rsid w:val="00384541"/>
    <w:rsid w:val="0038462B"/>
    <w:rsid w:val="0038468C"/>
    <w:rsid w:val="003846BA"/>
    <w:rsid w:val="0038475B"/>
    <w:rsid w:val="003847ED"/>
    <w:rsid w:val="00384C59"/>
    <w:rsid w:val="00384C8C"/>
    <w:rsid w:val="00384CDD"/>
    <w:rsid w:val="00384D1A"/>
    <w:rsid w:val="00384EA3"/>
    <w:rsid w:val="00384F3D"/>
    <w:rsid w:val="0038517B"/>
    <w:rsid w:val="00385329"/>
    <w:rsid w:val="00385971"/>
    <w:rsid w:val="00385CB4"/>
    <w:rsid w:val="0038614C"/>
    <w:rsid w:val="0038614F"/>
    <w:rsid w:val="00386310"/>
    <w:rsid w:val="00386787"/>
    <w:rsid w:val="00386790"/>
    <w:rsid w:val="00386809"/>
    <w:rsid w:val="00386812"/>
    <w:rsid w:val="0038682B"/>
    <w:rsid w:val="00386847"/>
    <w:rsid w:val="0038694D"/>
    <w:rsid w:val="00386C1F"/>
    <w:rsid w:val="00386C3B"/>
    <w:rsid w:val="00386D46"/>
    <w:rsid w:val="00386DAA"/>
    <w:rsid w:val="00386F55"/>
    <w:rsid w:val="00386FE1"/>
    <w:rsid w:val="00387137"/>
    <w:rsid w:val="00387159"/>
    <w:rsid w:val="003871E8"/>
    <w:rsid w:val="0038734B"/>
    <w:rsid w:val="0038769E"/>
    <w:rsid w:val="00387901"/>
    <w:rsid w:val="00387A11"/>
    <w:rsid w:val="00387C13"/>
    <w:rsid w:val="00387CFD"/>
    <w:rsid w:val="00387DBA"/>
    <w:rsid w:val="00387E9B"/>
    <w:rsid w:val="00387FE5"/>
    <w:rsid w:val="00390072"/>
    <w:rsid w:val="0039017B"/>
    <w:rsid w:val="003901BD"/>
    <w:rsid w:val="003906BA"/>
    <w:rsid w:val="003906C1"/>
    <w:rsid w:val="00390BBD"/>
    <w:rsid w:val="00390DB3"/>
    <w:rsid w:val="003913FB"/>
    <w:rsid w:val="00391539"/>
    <w:rsid w:val="00391622"/>
    <w:rsid w:val="0039164A"/>
    <w:rsid w:val="00391668"/>
    <w:rsid w:val="00391813"/>
    <w:rsid w:val="00391861"/>
    <w:rsid w:val="00391AE8"/>
    <w:rsid w:val="00391B55"/>
    <w:rsid w:val="00391F71"/>
    <w:rsid w:val="003921F2"/>
    <w:rsid w:val="003922CA"/>
    <w:rsid w:val="0039235F"/>
    <w:rsid w:val="0039270B"/>
    <w:rsid w:val="00392921"/>
    <w:rsid w:val="00392AD3"/>
    <w:rsid w:val="00392D4C"/>
    <w:rsid w:val="00392F07"/>
    <w:rsid w:val="0039336B"/>
    <w:rsid w:val="00393845"/>
    <w:rsid w:val="00393A9D"/>
    <w:rsid w:val="00393AEF"/>
    <w:rsid w:val="00393DA3"/>
    <w:rsid w:val="00393F9E"/>
    <w:rsid w:val="003941F3"/>
    <w:rsid w:val="0039441E"/>
    <w:rsid w:val="003947AB"/>
    <w:rsid w:val="00394811"/>
    <w:rsid w:val="00394878"/>
    <w:rsid w:val="00394AE8"/>
    <w:rsid w:val="00394DBB"/>
    <w:rsid w:val="00395062"/>
    <w:rsid w:val="00395596"/>
    <w:rsid w:val="003955D0"/>
    <w:rsid w:val="0039583B"/>
    <w:rsid w:val="00395855"/>
    <w:rsid w:val="00395975"/>
    <w:rsid w:val="00395A3C"/>
    <w:rsid w:val="00395C2C"/>
    <w:rsid w:val="00395FDE"/>
    <w:rsid w:val="003961A9"/>
    <w:rsid w:val="003963BD"/>
    <w:rsid w:val="00396831"/>
    <w:rsid w:val="00396892"/>
    <w:rsid w:val="003969DD"/>
    <w:rsid w:val="00396B1D"/>
    <w:rsid w:val="00396C36"/>
    <w:rsid w:val="00396CCC"/>
    <w:rsid w:val="00396F30"/>
    <w:rsid w:val="00397098"/>
    <w:rsid w:val="0039712C"/>
    <w:rsid w:val="00397201"/>
    <w:rsid w:val="0039729B"/>
    <w:rsid w:val="0039732C"/>
    <w:rsid w:val="003973D8"/>
    <w:rsid w:val="00397441"/>
    <w:rsid w:val="0039744B"/>
    <w:rsid w:val="0039744C"/>
    <w:rsid w:val="00397650"/>
    <w:rsid w:val="0039779D"/>
    <w:rsid w:val="00397A3C"/>
    <w:rsid w:val="00397BAF"/>
    <w:rsid w:val="00397BCC"/>
    <w:rsid w:val="00397C6D"/>
    <w:rsid w:val="003A0090"/>
    <w:rsid w:val="003A032B"/>
    <w:rsid w:val="003A06D8"/>
    <w:rsid w:val="003A0CE1"/>
    <w:rsid w:val="003A0E92"/>
    <w:rsid w:val="003A0EEC"/>
    <w:rsid w:val="003A0F42"/>
    <w:rsid w:val="003A0FB8"/>
    <w:rsid w:val="003A10BB"/>
    <w:rsid w:val="003A1147"/>
    <w:rsid w:val="003A11BF"/>
    <w:rsid w:val="003A129F"/>
    <w:rsid w:val="003A131F"/>
    <w:rsid w:val="003A160B"/>
    <w:rsid w:val="003A1AA2"/>
    <w:rsid w:val="003A1C42"/>
    <w:rsid w:val="003A1D99"/>
    <w:rsid w:val="003A1DC3"/>
    <w:rsid w:val="003A1E90"/>
    <w:rsid w:val="003A1F95"/>
    <w:rsid w:val="003A21FD"/>
    <w:rsid w:val="003A2903"/>
    <w:rsid w:val="003A2B86"/>
    <w:rsid w:val="003A2BD8"/>
    <w:rsid w:val="003A2C74"/>
    <w:rsid w:val="003A2CAF"/>
    <w:rsid w:val="003A2E61"/>
    <w:rsid w:val="003A2E7D"/>
    <w:rsid w:val="003A3403"/>
    <w:rsid w:val="003A37F3"/>
    <w:rsid w:val="003A3D30"/>
    <w:rsid w:val="003A40D8"/>
    <w:rsid w:val="003A4305"/>
    <w:rsid w:val="003A4310"/>
    <w:rsid w:val="003A43B5"/>
    <w:rsid w:val="003A4618"/>
    <w:rsid w:val="003A4735"/>
    <w:rsid w:val="003A47E2"/>
    <w:rsid w:val="003A4AAF"/>
    <w:rsid w:val="003A4B6A"/>
    <w:rsid w:val="003A4B7A"/>
    <w:rsid w:val="003A4D0B"/>
    <w:rsid w:val="003A50A1"/>
    <w:rsid w:val="003A50A7"/>
    <w:rsid w:val="003A51A8"/>
    <w:rsid w:val="003A52A6"/>
    <w:rsid w:val="003A5349"/>
    <w:rsid w:val="003A5374"/>
    <w:rsid w:val="003A55A4"/>
    <w:rsid w:val="003A561A"/>
    <w:rsid w:val="003A58F1"/>
    <w:rsid w:val="003A5B6B"/>
    <w:rsid w:val="003A5CA2"/>
    <w:rsid w:val="003A5F0A"/>
    <w:rsid w:val="003A5F54"/>
    <w:rsid w:val="003A608B"/>
    <w:rsid w:val="003A60A3"/>
    <w:rsid w:val="003A62DD"/>
    <w:rsid w:val="003A63AD"/>
    <w:rsid w:val="003A6543"/>
    <w:rsid w:val="003A65FA"/>
    <w:rsid w:val="003A6798"/>
    <w:rsid w:val="003A6900"/>
    <w:rsid w:val="003A6B06"/>
    <w:rsid w:val="003A6C16"/>
    <w:rsid w:val="003A73EA"/>
    <w:rsid w:val="003A74B7"/>
    <w:rsid w:val="003A7690"/>
    <w:rsid w:val="003A793C"/>
    <w:rsid w:val="003A7A2B"/>
    <w:rsid w:val="003A7A9D"/>
    <w:rsid w:val="003A7C7C"/>
    <w:rsid w:val="003A7DCC"/>
    <w:rsid w:val="003A7FFB"/>
    <w:rsid w:val="003B010A"/>
    <w:rsid w:val="003B0525"/>
    <w:rsid w:val="003B0648"/>
    <w:rsid w:val="003B0A65"/>
    <w:rsid w:val="003B124E"/>
    <w:rsid w:val="003B133D"/>
    <w:rsid w:val="003B16E9"/>
    <w:rsid w:val="003B1933"/>
    <w:rsid w:val="003B1F1B"/>
    <w:rsid w:val="003B2025"/>
    <w:rsid w:val="003B2042"/>
    <w:rsid w:val="003B2213"/>
    <w:rsid w:val="003B241E"/>
    <w:rsid w:val="003B25F8"/>
    <w:rsid w:val="003B2CE7"/>
    <w:rsid w:val="003B2E96"/>
    <w:rsid w:val="003B3068"/>
    <w:rsid w:val="003B3320"/>
    <w:rsid w:val="003B3606"/>
    <w:rsid w:val="003B37FE"/>
    <w:rsid w:val="003B3956"/>
    <w:rsid w:val="003B3E3B"/>
    <w:rsid w:val="003B3E66"/>
    <w:rsid w:val="003B43D3"/>
    <w:rsid w:val="003B4538"/>
    <w:rsid w:val="003B45B1"/>
    <w:rsid w:val="003B4765"/>
    <w:rsid w:val="003B4835"/>
    <w:rsid w:val="003B4C53"/>
    <w:rsid w:val="003B4C6E"/>
    <w:rsid w:val="003B4CC6"/>
    <w:rsid w:val="003B4EDA"/>
    <w:rsid w:val="003B4F79"/>
    <w:rsid w:val="003B50A3"/>
    <w:rsid w:val="003B53A3"/>
    <w:rsid w:val="003B5527"/>
    <w:rsid w:val="003B55BF"/>
    <w:rsid w:val="003B5676"/>
    <w:rsid w:val="003B5736"/>
    <w:rsid w:val="003B58B1"/>
    <w:rsid w:val="003B59A1"/>
    <w:rsid w:val="003B5A8D"/>
    <w:rsid w:val="003B5A98"/>
    <w:rsid w:val="003B5D0F"/>
    <w:rsid w:val="003B5D51"/>
    <w:rsid w:val="003B5DB3"/>
    <w:rsid w:val="003B5DFE"/>
    <w:rsid w:val="003B5F1C"/>
    <w:rsid w:val="003B61D3"/>
    <w:rsid w:val="003B6339"/>
    <w:rsid w:val="003B6529"/>
    <w:rsid w:val="003B654E"/>
    <w:rsid w:val="003B6729"/>
    <w:rsid w:val="003B67AB"/>
    <w:rsid w:val="003B6848"/>
    <w:rsid w:val="003B684F"/>
    <w:rsid w:val="003B6970"/>
    <w:rsid w:val="003B6988"/>
    <w:rsid w:val="003B6A60"/>
    <w:rsid w:val="003B6CE4"/>
    <w:rsid w:val="003B6CE7"/>
    <w:rsid w:val="003B6D36"/>
    <w:rsid w:val="003B6DC6"/>
    <w:rsid w:val="003B6DCD"/>
    <w:rsid w:val="003B6F96"/>
    <w:rsid w:val="003B7007"/>
    <w:rsid w:val="003B712D"/>
    <w:rsid w:val="003B714C"/>
    <w:rsid w:val="003B73C9"/>
    <w:rsid w:val="003B73F0"/>
    <w:rsid w:val="003B742D"/>
    <w:rsid w:val="003B762F"/>
    <w:rsid w:val="003B76BC"/>
    <w:rsid w:val="003B7A7C"/>
    <w:rsid w:val="003B7CBC"/>
    <w:rsid w:val="003C00CD"/>
    <w:rsid w:val="003C0204"/>
    <w:rsid w:val="003C0335"/>
    <w:rsid w:val="003C035E"/>
    <w:rsid w:val="003C053C"/>
    <w:rsid w:val="003C05DF"/>
    <w:rsid w:val="003C06B4"/>
    <w:rsid w:val="003C0ACB"/>
    <w:rsid w:val="003C0F79"/>
    <w:rsid w:val="003C1088"/>
    <w:rsid w:val="003C1093"/>
    <w:rsid w:val="003C10A2"/>
    <w:rsid w:val="003C13D8"/>
    <w:rsid w:val="003C1400"/>
    <w:rsid w:val="003C14C3"/>
    <w:rsid w:val="003C164A"/>
    <w:rsid w:val="003C175C"/>
    <w:rsid w:val="003C1943"/>
    <w:rsid w:val="003C19F5"/>
    <w:rsid w:val="003C1AE5"/>
    <w:rsid w:val="003C200F"/>
    <w:rsid w:val="003C22CA"/>
    <w:rsid w:val="003C2328"/>
    <w:rsid w:val="003C25A4"/>
    <w:rsid w:val="003C2618"/>
    <w:rsid w:val="003C26F1"/>
    <w:rsid w:val="003C27DA"/>
    <w:rsid w:val="003C2905"/>
    <w:rsid w:val="003C2927"/>
    <w:rsid w:val="003C2945"/>
    <w:rsid w:val="003C2AD6"/>
    <w:rsid w:val="003C2AEC"/>
    <w:rsid w:val="003C2AFF"/>
    <w:rsid w:val="003C2D9E"/>
    <w:rsid w:val="003C2F96"/>
    <w:rsid w:val="003C309A"/>
    <w:rsid w:val="003C31EB"/>
    <w:rsid w:val="003C338E"/>
    <w:rsid w:val="003C3407"/>
    <w:rsid w:val="003C378F"/>
    <w:rsid w:val="003C3A61"/>
    <w:rsid w:val="003C3A94"/>
    <w:rsid w:val="003C3FA3"/>
    <w:rsid w:val="003C3FDE"/>
    <w:rsid w:val="003C3FED"/>
    <w:rsid w:val="003C40D2"/>
    <w:rsid w:val="003C43E6"/>
    <w:rsid w:val="003C4470"/>
    <w:rsid w:val="003C46A4"/>
    <w:rsid w:val="003C4836"/>
    <w:rsid w:val="003C49AB"/>
    <w:rsid w:val="003C4C9A"/>
    <w:rsid w:val="003C4D28"/>
    <w:rsid w:val="003C4E97"/>
    <w:rsid w:val="003C4E99"/>
    <w:rsid w:val="003C4FE2"/>
    <w:rsid w:val="003C52F5"/>
    <w:rsid w:val="003C536C"/>
    <w:rsid w:val="003C55C0"/>
    <w:rsid w:val="003C55EE"/>
    <w:rsid w:val="003C568A"/>
    <w:rsid w:val="003C5A8D"/>
    <w:rsid w:val="003C635A"/>
    <w:rsid w:val="003C65E7"/>
    <w:rsid w:val="003C6673"/>
    <w:rsid w:val="003C6864"/>
    <w:rsid w:val="003C6D2A"/>
    <w:rsid w:val="003C6E24"/>
    <w:rsid w:val="003C70E2"/>
    <w:rsid w:val="003C761A"/>
    <w:rsid w:val="003C766F"/>
    <w:rsid w:val="003C77DB"/>
    <w:rsid w:val="003C788E"/>
    <w:rsid w:val="003C78A2"/>
    <w:rsid w:val="003C78C3"/>
    <w:rsid w:val="003C7AF7"/>
    <w:rsid w:val="003D04D8"/>
    <w:rsid w:val="003D065F"/>
    <w:rsid w:val="003D06E8"/>
    <w:rsid w:val="003D0795"/>
    <w:rsid w:val="003D07D9"/>
    <w:rsid w:val="003D09B6"/>
    <w:rsid w:val="003D0A38"/>
    <w:rsid w:val="003D1165"/>
    <w:rsid w:val="003D12B1"/>
    <w:rsid w:val="003D150A"/>
    <w:rsid w:val="003D15C4"/>
    <w:rsid w:val="003D1789"/>
    <w:rsid w:val="003D1D2F"/>
    <w:rsid w:val="003D1E0A"/>
    <w:rsid w:val="003D1FD0"/>
    <w:rsid w:val="003D2782"/>
    <w:rsid w:val="003D2BDA"/>
    <w:rsid w:val="003D2DDA"/>
    <w:rsid w:val="003D2E33"/>
    <w:rsid w:val="003D2EAF"/>
    <w:rsid w:val="003D3556"/>
    <w:rsid w:val="003D3AA5"/>
    <w:rsid w:val="003D3AE8"/>
    <w:rsid w:val="003D3CCD"/>
    <w:rsid w:val="003D3D01"/>
    <w:rsid w:val="003D3D56"/>
    <w:rsid w:val="003D3E43"/>
    <w:rsid w:val="003D3E4D"/>
    <w:rsid w:val="003D4265"/>
    <w:rsid w:val="003D4338"/>
    <w:rsid w:val="003D4634"/>
    <w:rsid w:val="003D46E8"/>
    <w:rsid w:val="003D4818"/>
    <w:rsid w:val="003D4B81"/>
    <w:rsid w:val="003D4CE1"/>
    <w:rsid w:val="003D4DAE"/>
    <w:rsid w:val="003D4E2D"/>
    <w:rsid w:val="003D50E6"/>
    <w:rsid w:val="003D54CB"/>
    <w:rsid w:val="003D57B8"/>
    <w:rsid w:val="003D5971"/>
    <w:rsid w:val="003D5A2F"/>
    <w:rsid w:val="003D5F43"/>
    <w:rsid w:val="003D609E"/>
    <w:rsid w:val="003D6163"/>
    <w:rsid w:val="003D61F3"/>
    <w:rsid w:val="003D62FC"/>
    <w:rsid w:val="003D64F2"/>
    <w:rsid w:val="003D65B2"/>
    <w:rsid w:val="003D65BC"/>
    <w:rsid w:val="003D66BD"/>
    <w:rsid w:val="003D6B60"/>
    <w:rsid w:val="003D6D25"/>
    <w:rsid w:val="003D6D41"/>
    <w:rsid w:val="003D7093"/>
    <w:rsid w:val="003D72EB"/>
    <w:rsid w:val="003D7324"/>
    <w:rsid w:val="003D736F"/>
    <w:rsid w:val="003D78A9"/>
    <w:rsid w:val="003D7BC1"/>
    <w:rsid w:val="003D7C2A"/>
    <w:rsid w:val="003D7D8E"/>
    <w:rsid w:val="003D7ED7"/>
    <w:rsid w:val="003D7EFD"/>
    <w:rsid w:val="003E0158"/>
    <w:rsid w:val="003E0249"/>
    <w:rsid w:val="003E03B8"/>
    <w:rsid w:val="003E03D1"/>
    <w:rsid w:val="003E040E"/>
    <w:rsid w:val="003E07DE"/>
    <w:rsid w:val="003E091D"/>
    <w:rsid w:val="003E0ACC"/>
    <w:rsid w:val="003E0FC5"/>
    <w:rsid w:val="003E0FD1"/>
    <w:rsid w:val="003E1338"/>
    <w:rsid w:val="003E1425"/>
    <w:rsid w:val="003E17AF"/>
    <w:rsid w:val="003E1903"/>
    <w:rsid w:val="003E1913"/>
    <w:rsid w:val="003E1920"/>
    <w:rsid w:val="003E19D1"/>
    <w:rsid w:val="003E1E56"/>
    <w:rsid w:val="003E2637"/>
    <w:rsid w:val="003E2656"/>
    <w:rsid w:val="003E2772"/>
    <w:rsid w:val="003E2B42"/>
    <w:rsid w:val="003E2D70"/>
    <w:rsid w:val="003E2F62"/>
    <w:rsid w:val="003E3085"/>
    <w:rsid w:val="003E3174"/>
    <w:rsid w:val="003E32C0"/>
    <w:rsid w:val="003E3662"/>
    <w:rsid w:val="003E379A"/>
    <w:rsid w:val="003E3806"/>
    <w:rsid w:val="003E3875"/>
    <w:rsid w:val="003E3D10"/>
    <w:rsid w:val="003E3D9A"/>
    <w:rsid w:val="003E3EDF"/>
    <w:rsid w:val="003E3EF1"/>
    <w:rsid w:val="003E3F16"/>
    <w:rsid w:val="003E3FB2"/>
    <w:rsid w:val="003E403C"/>
    <w:rsid w:val="003E4093"/>
    <w:rsid w:val="003E4166"/>
    <w:rsid w:val="003E452F"/>
    <w:rsid w:val="003E459D"/>
    <w:rsid w:val="003E4919"/>
    <w:rsid w:val="003E4AED"/>
    <w:rsid w:val="003E4B8B"/>
    <w:rsid w:val="003E4E5F"/>
    <w:rsid w:val="003E4E92"/>
    <w:rsid w:val="003E4ED8"/>
    <w:rsid w:val="003E5224"/>
    <w:rsid w:val="003E53DE"/>
    <w:rsid w:val="003E540C"/>
    <w:rsid w:val="003E5593"/>
    <w:rsid w:val="003E55CC"/>
    <w:rsid w:val="003E55D2"/>
    <w:rsid w:val="003E55F7"/>
    <w:rsid w:val="003E564A"/>
    <w:rsid w:val="003E56DA"/>
    <w:rsid w:val="003E59F9"/>
    <w:rsid w:val="003E5F48"/>
    <w:rsid w:val="003E5F6B"/>
    <w:rsid w:val="003E5F84"/>
    <w:rsid w:val="003E5FB9"/>
    <w:rsid w:val="003E6723"/>
    <w:rsid w:val="003E672D"/>
    <w:rsid w:val="003E6891"/>
    <w:rsid w:val="003E6940"/>
    <w:rsid w:val="003E7161"/>
    <w:rsid w:val="003E71EE"/>
    <w:rsid w:val="003E73A1"/>
    <w:rsid w:val="003E7823"/>
    <w:rsid w:val="003E783A"/>
    <w:rsid w:val="003E7993"/>
    <w:rsid w:val="003E7A78"/>
    <w:rsid w:val="003E7C43"/>
    <w:rsid w:val="003E7C5B"/>
    <w:rsid w:val="003E7E3C"/>
    <w:rsid w:val="003F015A"/>
    <w:rsid w:val="003F030C"/>
    <w:rsid w:val="003F03AF"/>
    <w:rsid w:val="003F0405"/>
    <w:rsid w:val="003F048F"/>
    <w:rsid w:val="003F07D3"/>
    <w:rsid w:val="003F0E78"/>
    <w:rsid w:val="003F1052"/>
    <w:rsid w:val="003F117D"/>
    <w:rsid w:val="003F11D8"/>
    <w:rsid w:val="003F1214"/>
    <w:rsid w:val="003F15E4"/>
    <w:rsid w:val="003F1664"/>
    <w:rsid w:val="003F17A0"/>
    <w:rsid w:val="003F18F2"/>
    <w:rsid w:val="003F1C32"/>
    <w:rsid w:val="003F1E37"/>
    <w:rsid w:val="003F1E6B"/>
    <w:rsid w:val="003F29C5"/>
    <w:rsid w:val="003F2B8E"/>
    <w:rsid w:val="003F3012"/>
    <w:rsid w:val="003F3087"/>
    <w:rsid w:val="003F3370"/>
    <w:rsid w:val="003F37E5"/>
    <w:rsid w:val="003F39DE"/>
    <w:rsid w:val="003F3E39"/>
    <w:rsid w:val="003F3EA5"/>
    <w:rsid w:val="003F40E2"/>
    <w:rsid w:val="003F41A8"/>
    <w:rsid w:val="003F4256"/>
    <w:rsid w:val="003F43E8"/>
    <w:rsid w:val="003F4448"/>
    <w:rsid w:val="003F48AD"/>
    <w:rsid w:val="003F4963"/>
    <w:rsid w:val="003F4BF5"/>
    <w:rsid w:val="003F4C87"/>
    <w:rsid w:val="003F4E35"/>
    <w:rsid w:val="003F4E46"/>
    <w:rsid w:val="003F5531"/>
    <w:rsid w:val="003F55F8"/>
    <w:rsid w:val="003F577F"/>
    <w:rsid w:val="003F596E"/>
    <w:rsid w:val="003F5A2A"/>
    <w:rsid w:val="003F5A70"/>
    <w:rsid w:val="003F5D5E"/>
    <w:rsid w:val="003F5E19"/>
    <w:rsid w:val="003F5F6B"/>
    <w:rsid w:val="003F607E"/>
    <w:rsid w:val="003F6535"/>
    <w:rsid w:val="003F657E"/>
    <w:rsid w:val="003F6773"/>
    <w:rsid w:val="003F6803"/>
    <w:rsid w:val="003F6941"/>
    <w:rsid w:val="003F6A29"/>
    <w:rsid w:val="003F6AD7"/>
    <w:rsid w:val="003F6BEA"/>
    <w:rsid w:val="003F6CD2"/>
    <w:rsid w:val="003F6CEC"/>
    <w:rsid w:val="003F6D99"/>
    <w:rsid w:val="003F747A"/>
    <w:rsid w:val="003F756F"/>
    <w:rsid w:val="003F7695"/>
    <w:rsid w:val="003F7A7B"/>
    <w:rsid w:val="003F7C6E"/>
    <w:rsid w:val="003F7CEC"/>
    <w:rsid w:val="003F7E65"/>
    <w:rsid w:val="00400101"/>
    <w:rsid w:val="004002FA"/>
    <w:rsid w:val="0040031F"/>
    <w:rsid w:val="004005FF"/>
    <w:rsid w:val="00400854"/>
    <w:rsid w:val="00400867"/>
    <w:rsid w:val="0040099B"/>
    <w:rsid w:val="00400BAF"/>
    <w:rsid w:val="004013AD"/>
    <w:rsid w:val="004014DD"/>
    <w:rsid w:val="00401502"/>
    <w:rsid w:val="004016B8"/>
    <w:rsid w:val="00401721"/>
    <w:rsid w:val="0040188C"/>
    <w:rsid w:val="00401B41"/>
    <w:rsid w:val="00401B53"/>
    <w:rsid w:val="00401B89"/>
    <w:rsid w:val="00401BA0"/>
    <w:rsid w:val="00401DC3"/>
    <w:rsid w:val="00401DCC"/>
    <w:rsid w:val="00401E60"/>
    <w:rsid w:val="00401ED6"/>
    <w:rsid w:val="00402065"/>
    <w:rsid w:val="0040210C"/>
    <w:rsid w:val="004028AA"/>
    <w:rsid w:val="00402DD8"/>
    <w:rsid w:val="00402F6E"/>
    <w:rsid w:val="00403051"/>
    <w:rsid w:val="004030AF"/>
    <w:rsid w:val="0040338C"/>
    <w:rsid w:val="004033CE"/>
    <w:rsid w:val="0040368D"/>
    <w:rsid w:val="00403739"/>
    <w:rsid w:val="0040378C"/>
    <w:rsid w:val="0040396B"/>
    <w:rsid w:val="00403AAC"/>
    <w:rsid w:val="00403D2F"/>
    <w:rsid w:val="00403D66"/>
    <w:rsid w:val="00403DE4"/>
    <w:rsid w:val="00403F68"/>
    <w:rsid w:val="00403FB5"/>
    <w:rsid w:val="00403FDC"/>
    <w:rsid w:val="00404066"/>
    <w:rsid w:val="004040B8"/>
    <w:rsid w:val="004041B8"/>
    <w:rsid w:val="004044AD"/>
    <w:rsid w:val="00404562"/>
    <w:rsid w:val="00404914"/>
    <w:rsid w:val="004049B3"/>
    <w:rsid w:val="00404B07"/>
    <w:rsid w:val="00404C3D"/>
    <w:rsid w:val="00404DE1"/>
    <w:rsid w:val="00404E60"/>
    <w:rsid w:val="00404EAB"/>
    <w:rsid w:val="0040512D"/>
    <w:rsid w:val="00405138"/>
    <w:rsid w:val="0040581E"/>
    <w:rsid w:val="004058A5"/>
    <w:rsid w:val="00405B91"/>
    <w:rsid w:val="00405B9E"/>
    <w:rsid w:val="00405DA9"/>
    <w:rsid w:val="00405E23"/>
    <w:rsid w:val="00405E5D"/>
    <w:rsid w:val="004060C0"/>
    <w:rsid w:val="00406600"/>
    <w:rsid w:val="004067C1"/>
    <w:rsid w:val="00406A76"/>
    <w:rsid w:val="00406A9D"/>
    <w:rsid w:val="00406B60"/>
    <w:rsid w:val="00406D44"/>
    <w:rsid w:val="00406D61"/>
    <w:rsid w:val="00407D3B"/>
    <w:rsid w:val="00407DAC"/>
    <w:rsid w:val="00407EA8"/>
    <w:rsid w:val="00407FDD"/>
    <w:rsid w:val="00410116"/>
    <w:rsid w:val="004101D6"/>
    <w:rsid w:val="004102B7"/>
    <w:rsid w:val="00410330"/>
    <w:rsid w:val="00410579"/>
    <w:rsid w:val="0041078A"/>
    <w:rsid w:val="004109FB"/>
    <w:rsid w:val="00410D2F"/>
    <w:rsid w:val="00410E9D"/>
    <w:rsid w:val="00410F67"/>
    <w:rsid w:val="0041118C"/>
    <w:rsid w:val="00411359"/>
    <w:rsid w:val="00411391"/>
    <w:rsid w:val="004113F5"/>
    <w:rsid w:val="00411685"/>
    <w:rsid w:val="004117EE"/>
    <w:rsid w:val="00411A1B"/>
    <w:rsid w:val="00411D06"/>
    <w:rsid w:val="00411DBC"/>
    <w:rsid w:val="00411F35"/>
    <w:rsid w:val="00411F48"/>
    <w:rsid w:val="00411F51"/>
    <w:rsid w:val="004121ED"/>
    <w:rsid w:val="00412332"/>
    <w:rsid w:val="004127E1"/>
    <w:rsid w:val="00412B98"/>
    <w:rsid w:val="00412ED2"/>
    <w:rsid w:val="004130D3"/>
    <w:rsid w:val="00413220"/>
    <w:rsid w:val="00413315"/>
    <w:rsid w:val="0041345E"/>
    <w:rsid w:val="0041346C"/>
    <w:rsid w:val="00413554"/>
    <w:rsid w:val="0041366A"/>
    <w:rsid w:val="00413944"/>
    <w:rsid w:val="00413AE1"/>
    <w:rsid w:val="00413BF8"/>
    <w:rsid w:val="00413C8F"/>
    <w:rsid w:val="00414258"/>
    <w:rsid w:val="004142AC"/>
    <w:rsid w:val="0041439F"/>
    <w:rsid w:val="004144F1"/>
    <w:rsid w:val="00414517"/>
    <w:rsid w:val="0041456A"/>
    <w:rsid w:val="004148AB"/>
    <w:rsid w:val="0041490B"/>
    <w:rsid w:val="00414993"/>
    <w:rsid w:val="00414B1C"/>
    <w:rsid w:val="00414B53"/>
    <w:rsid w:val="00414BF2"/>
    <w:rsid w:val="00414FFC"/>
    <w:rsid w:val="0041501D"/>
    <w:rsid w:val="004150D8"/>
    <w:rsid w:val="00415352"/>
    <w:rsid w:val="0041550C"/>
    <w:rsid w:val="00415792"/>
    <w:rsid w:val="004157A3"/>
    <w:rsid w:val="00415818"/>
    <w:rsid w:val="00415A4D"/>
    <w:rsid w:val="00415AB6"/>
    <w:rsid w:val="00415B58"/>
    <w:rsid w:val="00415BF7"/>
    <w:rsid w:val="00415BFE"/>
    <w:rsid w:val="00415D7F"/>
    <w:rsid w:val="00416088"/>
    <w:rsid w:val="004160FA"/>
    <w:rsid w:val="004163E4"/>
    <w:rsid w:val="0041647C"/>
    <w:rsid w:val="00416520"/>
    <w:rsid w:val="00416762"/>
    <w:rsid w:val="004168C5"/>
    <w:rsid w:val="00416B6B"/>
    <w:rsid w:val="00416CF0"/>
    <w:rsid w:val="00416D4E"/>
    <w:rsid w:val="00416E0F"/>
    <w:rsid w:val="00416F3E"/>
    <w:rsid w:val="00416F98"/>
    <w:rsid w:val="00417081"/>
    <w:rsid w:val="004171F9"/>
    <w:rsid w:val="004173E8"/>
    <w:rsid w:val="00417577"/>
    <w:rsid w:val="004176B8"/>
    <w:rsid w:val="00417785"/>
    <w:rsid w:val="004177E5"/>
    <w:rsid w:val="00417952"/>
    <w:rsid w:val="00417B63"/>
    <w:rsid w:val="00417C37"/>
    <w:rsid w:val="00417C3D"/>
    <w:rsid w:val="00420088"/>
    <w:rsid w:val="0042026D"/>
    <w:rsid w:val="0042034A"/>
    <w:rsid w:val="00420576"/>
    <w:rsid w:val="004206B0"/>
    <w:rsid w:val="004207A5"/>
    <w:rsid w:val="00420880"/>
    <w:rsid w:val="0042093F"/>
    <w:rsid w:val="00420B10"/>
    <w:rsid w:val="0042106E"/>
    <w:rsid w:val="004210F5"/>
    <w:rsid w:val="004213DC"/>
    <w:rsid w:val="004216CC"/>
    <w:rsid w:val="0042176D"/>
    <w:rsid w:val="0042182E"/>
    <w:rsid w:val="004218FB"/>
    <w:rsid w:val="00421A1F"/>
    <w:rsid w:val="00422084"/>
    <w:rsid w:val="0042222C"/>
    <w:rsid w:val="0042226F"/>
    <w:rsid w:val="0042228E"/>
    <w:rsid w:val="00422323"/>
    <w:rsid w:val="004228A5"/>
    <w:rsid w:val="00422A2F"/>
    <w:rsid w:val="00422C8F"/>
    <w:rsid w:val="00422D1D"/>
    <w:rsid w:val="00422E4C"/>
    <w:rsid w:val="00422F8F"/>
    <w:rsid w:val="00423339"/>
    <w:rsid w:val="00423428"/>
    <w:rsid w:val="00423626"/>
    <w:rsid w:val="004237CB"/>
    <w:rsid w:val="00423BA7"/>
    <w:rsid w:val="00423BC3"/>
    <w:rsid w:val="00423CED"/>
    <w:rsid w:val="004241CD"/>
    <w:rsid w:val="00424296"/>
    <w:rsid w:val="004242A7"/>
    <w:rsid w:val="004242D2"/>
    <w:rsid w:val="0042437A"/>
    <w:rsid w:val="0042457C"/>
    <w:rsid w:val="004247C7"/>
    <w:rsid w:val="0042481C"/>
    <w:rsid w:val="004248FF"/>
    <w:rsid w:val="00424983"/>
    <w:rsid w:val="00424ADE"/>
    <w:rsid w:val="00424BEA"/>
    <w:rsid w:val="00424DCF"/>
    <w:rsid w:val="0042506D"/>
    <w:rsid w:val="00425181"/>
    <w:rsid w:val="00425288"/>
    <w:rsid w:val="00425677"/>
    <w:rsid w:val="004256E2"/>
    <w:rsid w:val="00425705"/>
    <w:rsid w:val="00425867"/>
    <w:rsid w:val="00425BF2"/>
    <w:rsid w:val="00425C83"/>
    <w:rsid w:val="00425CFE"/>
    <w:rsid w:val="00425DBA"/>
    <w:rsid w:val="004261F1"/>
    <w:rsid w:val="004265C8"/>
    <w:rsid w:val="004267CD"/>
    <w:rsid w:val="00426970"/>
    <w:rsid w:val="00426ADA"/>
    <w:rsid w:val="00426B08"/>
    <w:rsid w:val="004270AF"/>
    <w:rsid w:val="004270FC"/>
    <w:rsid w:val="0042711D"/>
    <w:rsid w:val="00427124"/>
    <w:rsid w:val="0042725C"/>
    <w:rsid w:val="00427262"/>
    <w:rsid w:val="00427287"/>
    <w:rsid w:val="00427559"/>
    <w:rsid w:val="004277B3"/>
    <w:rsid w:val="0042781D"/>
    <w:rsid w:val="004278D5"/>
    <w:rsid w:val="00427E90"/>
    <w:rsid w:val="00430063"/>
    <w:rsid w:val="0043006C"/>
    <w:rsid w:val="0043065F"/>
    <w:rsid w:val="0043066B"/>
    <w:rsid w:val="004307CD"/>
    <w:rsid w:val="00430DCA"/>
    <w:rsid w:val="00430E0A"/>
    <w:rsid w:val="00430E96"/>
    <w:rsid w:val="00430F4E"/>
    <w:rsid w:val="004311C1"/>
    <w:rsid w:val="0043120E"/>
    <w:rsid w:val="004312E1"/>
    <w:rsid w:val="004316A9"/>
    <w:rsid w:val="00431803"/>
    <w:rsid w:val="00431821"/>
    <w:rsid w:val="0043195E"/>
    <w:rsid w:val="00431A90"/>
    <w:rsid w:val="00431BD1"/>
    <w:rsid w:val="00431CFD"/>
    <w:rsid w:val="00431D52"/>
    <w:rsid w:val="00431DF2"/>
    <w:rsid w:val="00431E82"/>
    <w:rsid w:val="0043211F"/>
    <w:rsid w:val="004324D5"/>
    <w:rsid w:val="00432807"/>
    <w:rsid w:val="00432935"/>
    <w:rsid w:val="00432986"/>
    <w:rsid w:val="004329F7"/>
    <w:rsid w:val="00432A38"/>
    <w:rsid w:val="00432B57"/>
    <w:rsid w:val="00432B7D"/>
    <w:rsid w:val="00432CA7"/>
    <w:rsid w:val="00432F6E"/>
    <w:rsid w:val="00433040"/>
    <w:rsid w:val="004330F4"/>
    <w:rsid w:val="00433584"/>
    <w:rsid w:val="004335C5"/>
    <w:rsid w:val="00433A53"/>
    <w:rsid w:val="00433C85"/>
    <w:rsid w:val="00433E00"/>
    <w:rsid w:val="00433E49"/>
    <w:rsid w:val="00434185"/>
    <w:rsid w:val="0043431B"/>
    <w:rsid w:val="00434827"/>
    <w:rsid w:val="004348D6"/>
    <w:rsid w:val="00434FDC"/>
    <w:rsid w:val="0043517D"/>
    <w:rsid w:val="0043533D"/>
    <w:rsid w:val="004353AE"/>
    <w:rsid w:val="004353DE"/>
    <w:rsid w:val="004353FB"/>
    <w:rsid w:val="00435481"/>
    <w:rsid w:val="00435615"/>
    <w:rsid w:val="004357A1"/>
    <w:rsid w:val="00435885"/>
    <w:rsid w:val="0043592E"/>
    <w:rsid w:val="00435ABD"/>
    <w:rsid w:val="00435BD0"/>
    <w:rsid w:val="00435CA2"/>
    <w:rsid w:val="00436047"/>
    <w:rsid w:val="004360CD"/>
    <w:rsid w:val="004367A0"/>
    <w:rsid w:val="004368C5"/>
    <w:rsid w:val="00436987"/>
    <w:rsid w:val="00436ABD"/>
    <w:rsid w:val="00436DBF"/>
    <w:rsid w:val="00436E69"/>
    <w:rsid w:val="00436F16"/>
    <w:rsid w:val="00437180"/>
    <w:rsid w:val="004373CF"/>
    <w:rsid w:val="0043746C"/>
    <w:rsid w:val="004374B2"/>
    <w:rsid w:val="004375DC"/>
    <w:rsid w:val="004377E5"/>
    <w:rsid w:val="004377F5"/>
    <w:rsid w:val="00437D68"/>
    <w:rsid w:val="00437EF6"/>
    <w:rsid w:val="004400DB"/>
    <w:rsid w:val="0044021A"/>
    <w:rsid w:val="004402E7"/>
    <w:rsid w:val="0044045C"/>
    <w:rsid w:val="00440466"/>
    <w:rsid w:val="00440714"/>
    <w:rsid w:val="004407F8"/>
    <w:rsid w:val="0044082A"/>
    <w:rsid w:val="0044097B"/>
    <w:rsid w:val="00440997"/>
    <w:rsid w:val="004409C5"/>
    <w:rsid w:val="00440C86"/>
    <w:rsid w:val="00440EB6"/>
    <w:rsid w:val="00441238"/>
    <w:rsid w:val="004412B4"/>
    <w:rsid w:val="004414FB"/>
    <w:rsid w:val="00441535"/>
    <w:rsid w:val="004418C7"/>
    <w:rsid w:val="00441939"/>
    <w:rsid w:val="00441A3B"/>
    <w:rsid w:val="00441FD0"/>
    <w:rsid w:val="00442454"/>
    <w:rsid w:val="0044271C"/>
    <w:rsid w:val="00442890"/>
    <w:rsid w:val="004429E1"/>
    <w:rsid w:val="00442A00"/>
    <w:rsid w:val="00442A4B"/>
    <w:rsid w:val="00442A7E"/>
    <w:rsid w:val="00442AA2"/>
    <w:rsid w:val="00442C6F"/>
    <w:rsid w:val="00442C8A"/>
    <w:rsid w:val="00442CAE"/>
    <w:rsid w:val="00442CB1"/>
    <w:rsid w:val="00442DCB"/>
    <w:rsid w:val="00442FE5"/>
    <w:rsid w:val="00443077"/>
    <w:rsid w:val="0044321F"/>
    <w:rsid w:val="004432D1"/>
    <w:rsid w:val="0044339F"/>
    <w:rsid w:val="00443413"/>
    <w:rsid w:val="004438FF"/>
    <w:rsid w:val="00443AE5"/>
    <w:rsid w:val="00443EBE"/>
    <w:rsid w:val="00443EBF"/>
    <w:rsid w:val="00443EE6"/>
    <w:rsid w:val="004440CF"/>
    <w:rsid w:val="0044424C"/>
    <w:rsid w:val="00444535"/>
    <w:rsid w:val="00444627"/>
    <w:rsid w:val="0044463A"/>
    <w:rsid w:val="00444BF2"/>
    <w:rsid w:val="00444C1A"/>
    <w:rsid w:val="00444D47"/>
    <w:rsid w:val="00444FFB"/>
    <w:rsid w:val="004451F0"/>
    <w:rsid w:val="00445259"/>
    <w:rsid w:val="0044529D"/>
    <w:rsid w:val="00445376"/>
    <w:rsid w:val="004453DF"/>
    <w:rsid w:val="004458A1"/>
    <w:rsid w:val="00445A60"/>
    <w:rsid w:val="00445A66"/>
    <w:rsid w:val="00445C79"/>
    <w:rsid w:val="00445F3C"/>
    <w:rsid w:val="00446025"/>
    <w:rsid w:val="0044640F"/>
    <w:rsid w:val="0044655C"/>
    <w:rsid w:val="00446593"/>
    <w:rsid w:val="004468AC"/>
    <w:rsid w:val="00446D18"/>
    <w:rsid w:val="00446D6D"/>
    <w:rsid w:val="0044708A"/>
    <w:rsid w:val="004474AA"/>
    <w:rsid w:val="004474F0"/>
    <w:rsid w:val="00447742"/>
    <w:rsid w:val="004477EA"/>
    <w:rsid w:val="00447883"/>
    <w:rsid w:val="0044792D"/>
    <w:rsid w:val="00447DD6"/>
    <w:rsid w:val="004500FA"/>
    <w:rsid w:val="004501B1"/>
    <w:rsid w:val="004501B8"/>
    <w:rsid w:val="0045047A"/>
    <w:rsid w:val="0045084E"/>
    <w:rsid w:val="00450BA9"/>
    <w:rsid w:val="00450C37"/>
    <w:rsid w:val="00450C43"/>
    <w:rsid w:val="00450E20"/>
    <w:rsid w:val="0045105F"/>
    <w:rsid w:val="00451496"/>
    <w:rsid w:val="004514EB"/>
    <w:rsid w:val="00451582"/>
    <w:rsid w:val="00451668"/>
    <w:rsid w:val="004516C0"/>
    <w:rsid w:val="0045192C"/>
    <w:rsid w:val="0045199A"/>
    <w:rsid w:val="00451D23"/>
    <w:rsid w:val="00451F4E"/>
    <w:rsid w:val="004522A5"/>
    <w:rsid w:val="0045232C"/>
    <w:rsid w:val="0045254E"/>
    <w:rsid w:val="00452746"/>
    <w:rsid w:val="0045274E"/>
    <w:rsid w:val="0045279E"/>
    <w:rsid w:val="0045282A"/>
    <w:rsid w:val="00452A1C"/>
    <w:rsid w:val="00452DF9"/>
    <w:rsid w:val="00452F1C"/>
    <w:rsid w:val="0045319C"/>
    <w:rsid w:val="0045362F"/>
    <w:rsid w:val="00453852"/>
    <w:rsid w:val="004538FD"/>
    <w:rsid w:val="00453905"/>
    <w:rsid w:val="004539B4"/>
    <w:rsid w:val="00453A58"/>
    <w:rsid w:val="00453AEC"/>
    <w:rsid w:val="00453C25"/>
    <w:rsid w:val="00453D0E"/>
    <w:rsid w:val="00453DF6"/>
    <w:rsid w:val="00453EDD"/>
    <w:rsid w:val="00453EE6"/>
    <w:rsid w:val="00453F63"/>
    <w:rsid w:val="00453F67"/>
    <w:rsid w:val="00453FED"/>
    <w:rsid w:val="004543D2"/>
    <w:rsid w:val="004543FF"/>
    <w:rsid w:val="00454A94"/>
    <w:rsid w:val="00454CA6"/>
    <w:rsid w:val="00454E67"/>
    <w:rsid w:val="0045502D"/>
    <w:rsid w:val="0045507C"/>
    <w:rsid w:val="0045537A"/>
    <w:rsid w:val="0045538B"/>
    <w:rsid w:val="004555EB"/>
    <w:rsid w:val="004556F3"/>
    <w:rsid w:val="00455881"/>
    <w:rsid w:val="00455920"/>
    <w:rsid w:val="00455930"/>
    <w:rsid w:val="00455945"/>
    <w:rsid w:val="00455C0A"/>
    <w:rsid w:val="00455C12"/>
    <w:rsid w:val="00455C6D"/>
    <w:rsid w:val="00455D52"/>
    <w:rsid w:val="00455E30"/>
    <w:rsid w:val="00456442"/>
    <w:rsid w:val="00456A2E"/>
    <w:rsid w:val="00456A8A"/>
    <w:rsid w:val="00456AC5"/>
    <w:rsid w:val="00456B71"/>
    <w:rsid w:val="00456BA4"/>
    <w:rsid w:val="00457018"/>
    <w:rsid w:val="0045704B"/>
    <w:rsid w:val="00457190"/>
    <w:rsid w:val="00457364"/>
    <w:rsid w:val="00457506"/>
    <w:rsid w:val="0045794C"/>
    <w:rsid w:val="00457B2A"/>
    <w:rsid w:val="0046005A"/>
    <w:rsid w:val="00460065"/>
    <w:rsid w:val="00460191"/>
    <w:rsid w:val="00460505"/>
    <w:rsid w:val="00460661"/>
    <w:rsid w:val="00460665"/>
    <w:rsid w:val="00460711"/>
    <w:rsid w:val="00460AB3"/>
    <w:rsid w:val="00460CB6"/>
    <w:rsid w:val="00460D9D"/>
    <w:rsid w:val="004610A2"/>
    <w:rsid w:val="004610CD"/>
    <w:rsid w:val="00461321"/>
    <w:rsid w:val="004614C5"/>
    <w:rsid w:val="0046183C"/>
    <w:rsid w:val="004619D3"/>
    <w:rsid w:val="00461A2D"/>
    <w:rsid w:val="00461AA9"/>
    <w:rsid w:val="00461ACC"/>
    <w:rsid w:val="00461D36"/>
    <w:rsid w:val="0046202C"/>
    <w:rsid w:val="0046211E"/>
    <w:rsid w:val="0046211F"/>
    <w:rsid w:val="004625E9"/>
    <w:rsid w:val="00462789"/>
    <w:rsid w:val="0046289A"/>
    <w:rsid w:val="004628D6"/>
    <w:rsid w:val="004629BA"/>
    <w:rsid w:val="004629BD"/>
    <w:rsid w:val="00462A93"/>
    <w:rsid w:val="00462CB8"/>
    <w:rsid w:val="00463080"/>
    <w:rsid w:val="004638F8"/>
    <w:rsid w:val="00463A79"/>
    <w:rsid w:val="00463D32"/>
    <w:rsid w:val="00463D4D"/>
    <w:rsid w:val="00463F07"/>
    <w:rsid w:val="004645B5"/>
    <w:rsid w:val="0046474D"/>
    <w:rsid w:val="0046491A"/>
    <w:rsid w:val="00464987"/>
    <w:rsid w:val="00464B29"/>
    <w:rsid w:val="00464BA0"/>
    <w:rsid w:val="00464C71"/>
    <w:rsid w:val="00464CDE"/>
    <w:rsid w:val="00464F6D"/>
    <w:rsid w:val="00464FEB"/>
    <w:rsid w:val="0046537D"/>
    <w:rsid w:val="0046541D"/>
    <w:rsid w:val="00465494"/>
    <w:rsid w:val="004655B8"/>
    <w:rsid w:val="004656B5"/>
    <w:rsid w:val="00465BF7"/>
    <w:rsid w:val="00465E73"/>
    <w:rsid w:val="00466196"/>
    <w:rsid w:val="0046624B"/>
    <w:rsid w:val="00466366"/>
    <w:rsid w:val="004663C6"/>
    <w:rsid w:val="00466687"/>
    <w:rsid w:val="00466714"/>
    <w:rsid w:val="00466889"/>
    <w:rsid w:val="004669F0"/>
    <w:rsid w:val="00466CF5"/>
    <w:rsid w:val="00466D92"/>
    <w:rsid w:val="00466F34"/>
    <w:rsid w:val="004671FF"/>
    <w:rsid w:val="00467539"/>
    <w:rsid w:val="00467800"/>
    <w:rsid w:val="0046790D"/>
    <w:rsid w:val="00467BFA"/>
    <w:rsid w:val="00467E97"/>
    <w:rsid w:val="00470196"/>
    <w:rsid w:val="0047039E"/>
    <w:rsid w:val="004703DA"/>
    <w:rsid w:val="00470413"/>
    <w:rsid w:val="00470806"/>
    <w:rsid w:val="00470A20"/>
    <w:rsid w:val="00470C1C"/>
    <w:rsid w:val="00470CB7"/>
    <w:rsid w:val="00470D6E"/>
    <w:rsid w:val="00471229"/>
    <w:rsid w:val="0047123C"/>
    <w:rsid w:val="00471275"/>
    <w:rsid w:val="004712B8"/>
    <w:rsid w:val="00471316"/>
    <w:rsid w:val="00471383"/>
    <w:rsid w:val="004714BB"/>
    <w:rsid w:val="0047196D"/>
    <w:rsid w:val="00471C50"/>
    <w:rsid w:val="004723D1"/>
    <w:rsid w:val="0047248D"/>
    <w:rsid w:val="004725CA"/>
    <w:rsid w:val="004725EB"/>
    <w:rsid w:val="004725EC"/>
    <w:rsid w:val="004726C0"/>
    <w:rsid w:val="00472709"/>
    <w:rsid w:val="00472755"/>
    <w:rsid w:val="0047276A"/>
    <w:rsid w:val="0047285E"/>
    <w:rsid w:val="00472A5D"/>
    <w:rsid w:val="00472B35"/>
    <w:rsid w:val="00472CA3"/>
    <w:rsid w:val="00472D10"/>
    <w:rsid w:val="00472D79"/>
    <w:rsid w:val="00472F73"/>
    <w:rsid w:val="004733F8"/>
    <w:rsid w:val="00473460"/>
    <w:rsid w:val="004735EA"/>
    <w:rsid w:val="0047366C"/>
    <w:rsid w:val="00473AFA"/>
    <w:rsid w:val="00473B78"/>
    <w:rsid w:val="00473F74"/>
    <w:rsid w:val="00473FA2"/>
    <w:rsid w:val="00473FCD"/>
    <w:rsid w:val="0047435C"/>
    <w:rsid w:val="0047441F"/>
    <w:rsid w:val="004745B5"/>
    <w:rsid w:val="004746A1"/>
    <w:rsid w:val="00474756"/>
    <w:rsid w:val="00474820"/>
    <w:rsid w:val="0047492B"/>
    <w:rsid w:val="00474BFB"/>
    <w:rsid w:val="00474EB9"/>
    <w:rsid w:val="00474EE5"/>
    <w:rsid w:val="00475037"/>
    <w:rsid w:val="004750D2"/>
    <w:rsid w:val="0047533E"/>
    <w:rsid w:val="004757B1"/>
    <w:rsid w:val="004757D7"/>
    <w:rsid w:val="00475BF8"/>
    <w:rsid w:val="00475C71"/>
    <w:rsid w:val="00475D6C"/>
    <w:rsid w:val="0047606C"/>
    <w:rsid w:val="0047620E"/>
    <w:rsid w:val="0047647A"/>
    <w:rsid w:val="00476739"/>
    <w:rsid w:val="00476F26"/>
    <w:rsid w:val="00477063"/>
    <w:rsid w:val="0047722F"/>
    <w:rsid w:val="00477831"/>
    <w:rsid w:val="00477B7D"/>
    <w:rsid w:val="00477C7D"/>
    <w:rsid w:val="00477D25"/>
    <w:rsid w:val="00477F25"/>
    <w:rsid w:val="00477F5E"/>
    <w:rsid w:val="00477FD0"/>
    <w:rsid w:val="0048006A"/>
    <w:rsid w:val="004802C1"/>
    <w:rsid w:val="00480961"/>
    <w:rsid w:val="00480A43"/>
    <w:rsid w:val="00480D3C"/>
    <w:rsid w:val="00480DCF"/>
    <w:rsid w:val="00480F62"/>
    <w:rsid w:val="00480F91"/>
    <w:rsid w:val="004811D7"/>
    <w:rsid w:val="00481504"/>
    <w:rsid w:val="004816C4"/>
    <w:rsid w:val="004817E6"/>
    <w:rsid w:val="004817EF"/>
    <w:rsid w:val="00481827"/>
    <w:rsid w:val="004819C2"/>
    <w:rsid w:val="00481B3D"/>
    <w:rsid w:val="004821B5"/>
    <w:rsid w:val="004821E0"/>
    <w:rsid w:val="00482404"/>
    <w:rsid w:val="0048249B"/>
    <w:rsid w:val="004827CB"/>
    <w:rsid w:val="00482912"/>
    <w:rsid w:val="00482EC2"/>
    <w:rsid w:val="00482F00"/>
    <w:rsid w:val="00482FFC"/>
    <w:rsid w:val="004831B9"/>
    <w:rsid w:val="0048346B"/>
    <w:rsid w:val="004834DF"/>
    <w:rsid w:val="00483571"/>
    <w:rsid w:val="00483575"/>
    <w:rsid w:val="0048370F"/>
    <w:rsid w:val="004837E8"/>
    <w:rsid w:val="0048387F"/>
    <w:rsid w:val="00483B83"/>
    <w:rsid w:val="00483F55"/>
    <w:rsid w:val="00484004"/>
    <w:rsid w:val="004842F1"/>
    <w:rsid w:val="00484376"/>
    <w:rsid w:val="00484408"/>
    <w:rsid w:val="00484651"/>
    <w:rsid w:val="00484684"/>
    <w:rsid w:val="00484771"/>
    <w:rsid w:val="00484815"/>
    <w:rsid w:val="004849E7"/>
    <w:rsid w:val="00484CA8"/>
    <w:rsid w:val="00484D4F"/>
    <w:rsid w:val="00484D89"/>
    <w:rsid w:val="00484F94"/>
    <w:rsid w:val="004850C2"/>
    <w:rsid w:val="00485BBF"/>
    <w:rsid w:val="00485C52"/>
    <w:rsid w:val="00485C70"/>
    <w:rsid w:val="00485DC3"/>
    <w:rsid w:val="00485DF7"/>
    <w:rsid w:val="0048634D"/>
    <w:rsid w:val="00486695"/>
    <w:rsid w:val="00486A22"/>
    <w:rsid w:val="00486B38"/>
    <w:rsid w:val="00486EA9"/>
    <w:rsid w:val="00486F31"/>
    <w:rsid w:val="004870A1"/>
    <w:rsid w:val="004871E9"/>
    <w:rsid w:val="0048755E"/>
    <w:rsid w:val="00487567"/>
    <w:rsid w:val="0048790C"/>
    <w:rsid w:val="00487A38"/>
    <w:rsid w:val="00487EAF"/>
    <w:rsid w:val="0049004F"/>
    <w:rsid w:val="004900FB"/>
    <w:rsid w:val="004901D6"/>
    <w:rsid w:val="0049023B"/>
    <w:rsid w:val="0049046A"/>
    <w:rsid w:val="00490767"/>
    <w:rsid w:val="0049088A"/>
    <w:rsid w:val="004908B5"/>
    <w:rsid w:val="004909CD"/>
    <w:rsid w:val="00490D9D"/>
    <w:rsid w:val="004914BF"/>
    <w:rsid w:val="004919B9"/>
    <w:rsid w:val="00491BA0"/>
    <w:rsid w:val="00491BBF"/>
    <w:rsid w:val="00491FCA"/>
    <w:rsid w:val="0049208B"/>
    <w:rsid w:val="00492148"/>
    <w:rsid w:val="004922B7"/>
    <w:rsid w:val="00492308"/>
    <w:rsid w:val="004923B5"/>
    <w:rsid w:val="004928A5"/>
    <w:rsid w:val="004929E2"/>
    <w:rsid w:val="00492B2A"/>
    <w:rsid w:val="00492C2A"/>
    <w:rsid w:val="00492E2C"/>
    <w:rsid w:val="00492EC7"/>
    <w:rsid w:val="00493183"/>
    <w:rsid w:val="004932EB"/>
    <w:rsid w:val="00493483"/>
    <w:rsid w:val="004937CA"/>
    <w:rsid w:val="00493A35"/>
    <w:rsid w:val="00493B8F"/>
    <w:rsid w:val="00493E5C"/>
    <w:rsid w:val="00493F18"/>
    <w:rsid w:val="004942C8"/>
    <w:rsid w:val="004943B5"/>
    <w:rsid w:val="00494533"/>
    <w:rsid w:val="00494619"/>
    <w:rsid w:val="00494BD3"/>
    <w:rsid w:val="00494F7C"/>
    <w:rsid w:val="00495126"/>
    <w:rsid w:val="00495150"/>
    <w:rsid w:val="0049529D"/>
    <w:rsid w:val="00495458"/>
    <w:rsid w:val="0049573D"/>
    <w:rsid w:val="004957CD"/>
    <w:rsid w:val="00495B5D"/>
    <w:rsid w:val="00495B79"/>
    <w:rsid w:val="004960E2"/>
    <w:rsid w:val="0049629F"/>
    <w:rsid w:val="004964B7"/>
    <w:rsid w:val="0049676D"/>
    <w:rsid w:val="004968EC"/>
    <w:rsid w:val="004969C1"/>
    <w:rsid w:val="00496C92"/>
    <w:rsid w:val="00496FC6"/>
    <w:rsid w:val="00497043"/>
    <w:rsid w:val="004970C1"/>
    <w:rsid w:val="00497113"/>
    <w:rsid w:val="004975ED"/>
    <w:rsid w:val="00497709"/>
    <w:rsid w:val="0049775B"/>
    <w:rsid w:val="004979C3"/>
    <w:rsid w:val="00497B0C"/>
    <w:rsid w:val="00497B6D"/>
    <w:rsid w:val="00497E26"/>
    <w:rsid w:val="004A0246"/>
    <w:rsid w:val="004A0277"/>
    <w:rsid w:val="004A06D0"/>
    <w:rsid w:val="004A0932"/>
    <w:rsid w:val="004A0B8A"/>
    <w:rsid w:val="004A0C8A"/>
    <w:rsid w:val="004A0CA2"/>
    <w:rsid w:val="004A0E81"/>
    <w:rsid w:val="004A0ED4"/>
    <w:rsid w:val="004A1204"/>
    <w:rsid w:val="004A1224"/>
    <w:rsid w:val="004A12C8"/>
    <w:rsid w:val="004A13D0"/>
    <w:rsid w:val="004A14E7"/>
    <w:rsid w:val="004A1505"/>
    <w:rsid w:val="004A16B0"/>
    <w:rsid w:val="004A16FF"/>
    <w:rsid w:val="004A1A4C"/>
    <w:rsid w:val="004A1A6C"/>
    <w:rsid w:val="004A1B50"/>
    <w:rsid w:val="004A1D69"/>
    <w:rsid w:val="004A1DC9"/>
    <w:rsid w:val="004A1DE6"/>
    <w:rsid w:val="004A1FC3"/>
    <w:rsid w:val="004A201A"/>
    <w:rsid w:val="004A20D1"/>
    <w:rsid w:val="004A2150"/>
    <w:rsid w:val="004A21A8"/>
    <w:rsid w:val="004A23E0"/>
    <w:rsid w:val="004A2439"/>
    <w:rsid w:val="004A252B"/>
    <w:rsid w:val="004A28DF"/>
    <w:rsid w:val="004A29C1"/>
    <w:rsid w:val="004A3030"/>
    <w:rsid w:val="004A322F"/>
    <w:rsid w:val="004A395B"/>
    <w:rsid w:val="004A3DFA"/>
    <w:rsid w:val="004A3F26"/>
    <w:rsid w:val="004A3F9E"/>
    <w:rsid w:val="004A4138"/>
    <w:rsid w:val="004A4225"/>
    <w:rsid w:val="004A429A"/>
    <w:rsid w:val="004A437C"/>
    <w:rsid w:val="004A44AD"/>
    <w:rsid w:val="004A44F1"/>
    <w:rsid w:val="004A4562"/>
    <w:rsid w:val="004A4569"/>
    <w:rsid w:val="004A4616"/>
    <w:rsid w:val="004A4646"/>
    <w:rsid w:val="004A49FC"/>
    <w:rsid w:val="004A4B10"/>
    <w:rsid w:val="004A4CEB"/>
    <w:rsid w:val="004A4E3D"/>
    <w:rsid w:val="004A4EC8"/>
    <w:rsid w:val="004A4F44"/>
    <w:rsid w:val="004A50AC"/>
    <w:rsid w:val="004A5310"/>
    <w:rsid w:val="004A5429"/>
    <w:rsid w:val="004A5667"/>
    <w:rsid w:val="004A575F"/>
    <w:rsid w:val="004A57C7"/>
    <w:rsid w:val="004A582B"/>
    <w:rsid w:val="004A58DF"/>
    <w:rsid w:val="004A5A38"/>
    <w:rsid w:val="004A5D49"/>
    <w:rsid w:val="004A5F13"/>
    <w:rsid w:val="004A65D9"/>
    <w:rsid w:val="004A6742"/>
    <w:rsid w:val="004A6797"/>
    <w:rsid w:val="004A6972"/>
    <w:rsid w:val="004A6A28"/>
    <w:rsid w:val="004A6F96"/>
    <w:rsid w:val="004A7080"/>
    <w:rsid w:val="004A70BA"/>
    <w:rsid w:val="004A70C5"/>
    <w:rsid w:val="004A750B"/>
    <w:rsid w:val="004A750C"/>
    <w:rsid w:val="004A766E"/>
    <w:rsid w:val="004A7942"/>
    <w:rsid w:val="004A7A13"/>
    <w:rsid w:val="004A7BBA"/>
    <w:rsid w:val="004A7C75"/>
    <w:rsid w:val="004B006B"/>
    <w:rsid w:val="004B007B"/>
    <w:rsid w:val="004B013E"/>
    <w:rsid w:val="004B0320"/>
    <w:rsid w:val="004B03AD"/>
    <w:rsid w:val="004B05A4"/>
    <w:rsid w:val="004B06D2"/>
    <w:rsid w:val="004B08A9"/>
    <w:rsid w:val="004B0B9E"/>
    <w:rsid w:val="004B0DA7"/>
    <w:rsid w:val="004B0E5D"/>
    <w:rsid w:val="004B0EDA"/>
    <w:rsid w:val="004B0F4E"/>
    <w:rsid w:val="004B0F6A"/>
    <w:rsid w:val="004B125E"/>
    <w:rsid w:val="004B1275"/>
    <w:rsid w:val="004B13D1"/>
    <w:rsid w:val="004B1592"/>
    <w:rsid w:val="004B1A02"/>
    <w:rsid w:val="004B1AC2"/>
    <w:rsid w:val="004B1D09"/>
    <w:rsid w:val="004B1F06"/>
    <w:rsid w:val="004B227E"/>
    <w:rsid w:val="004B2377"/>
    <w:rsid w:val="004B2379"/>
    <w:rsid w:val="004B25EE"/>
    <w:rsid w:val="004B28A9"/>
    <w:rsid w:val="004B2B98"/>
    <w:rsid w:val="004B2E4E"/>
    <w:rsid w:val="004B2E9A"/>
    <w:rsid w:val="004B328B"/>
    <w:rsid w:val="004B32B8"/>
    <w:rsid w:val="004B3613"/>
    <w:rsid w:val="004B370B"/>
    <w:rsid w:val="004B37BE"/>
    <w:rsid w:val="004B3973"/>
    <w:rsid w:val="004B399E"/>
    <w:rsid w:val="004B3AC5"/>
    <w:rsid w:val="004B3B98"/>
    <w:rsid w:val="004B3C94"/>
    <w:rsid w:val="004B3DE2"/>
    <w:rsid w:val="004B42E4"/>
    <w:rsid w:val="004B44FE"/>
    <w:rsid w:val="004B4558"/>
    <w:rsid w:val="004B46FE"/>
    <w:rsid w:val="004B49B2"/>
    <w:rsid w:val="004B4B06"/>
    <w:rsid w:val="004B4B3E"/>
    <w:rsid w:val="004B4BEA"/>
    <w:rsid w:val="004B4EAD"/>
    <w:rsid w:val="004B4F39"/>
    <w:rsid w:val="004B50EE"/>
    <w:rsid w:val="004B5134"/>
    <w:rsid w:val="004B517C"/>
    <w:rsid w:val="004B53E8"/>
    <w:rsid w:val="004B53ED"/>
    <w:rsid w:val="004B55F2"/>
    <w:rsid w:val="004B5863"/>
    <w:rsid w:val="004B5931"/>
    <w:rsid w:val="004B5A04"/>
    <w:rsid w:val="004B5A7D"/>
    <w:rsid w:val="004B5B35"/>
    <w:rsid w:val="004B5B9F"/>
    <w:rsid w:val="004B5BE8"/>
    <w:rsid w:val="004B6012"/>
    <w:rsid w:val="004B6153"/>
    <w:rsid w:val="004B6320"/>
    <w:rsid w:val="004B639E"/>
    <w:rsid w:val="004B6517"/>
    <w:rsid w:val="004B6575"/>
    <w:rsid w:val="004B674C"/>
    <w:rsid w:val="004B68C2"/>
    <w:rsid w:val="004B718E"/>
    <w:rsid w:val="004B73E9"/>
    <w:rsid w:val="004B78A0"/>
    <w:rsid w:val="004B78B3"/>
    <w:rsid w:val="004B79F6"/>
    <w:rsid w:val="004B7C75"/>
    <w:rsid w:val="004B7C99"/>
    <w:rsid w:val="004B7CEC"/>
    <w:rsid w:val="004B7F40"/>
    <w:rsid w:val="004C0124"/>
    <w:rsid w:val="004C0125"/>
    <w:rsid w:val="004C0342"/>
    <w:rsid w:val="004C0379"/>
    <w:rsid w:val="004C052F"/>
    <w:rsid w:val="004C086E"/>
    <w:rsid w:val="004C1006"/>
    <w:rsid w:val="004C1180"/>
    <w:rsid w:val="004C1271"/>
    <w:rsid w:val="004C1490"/>
    <w:rsid w:val="004C150D"/>
    <w:rsid w:val="004C1680"/>
    <w:rsid w:val="004C17A4"/>
    <w:rsid w:val="004C17F8"/>
    <w:rsid w:val="004C1B31"/>
    <w:rsid w:val="004C1DD7"/>
    <w:rsid w:val="004C1E8A"/>
    <w:rsid w:val="004C1FCC"/>
    <w:rsid w:val="004C202A"/>
    <w:rsid w:val="004C2393"/>
    <w:rsid w:val="004C25CF"/>
    <w:rsid w:val="004C27CB"/>
    <w:rsid w:val="004C2929"/>
    <w:rsid w:val="004C294A"/>
    <w:rsid w:val="004C2982"/>
    <w:rsid w:val="004C2AD6"/>
    <w:rsid w:val="004C2E62"/>
    <w:rsid w:val="004C2FD9"/>
    <w:rsid w:val="004C300C"/>
    <w:rsid w:val="004C3128"/>
    <w:rsid w:val="004C38B5"/>
    <w:rsid w:val="004C3903"/>
    <w:rsid w:val="004C3BC5"/>
    <w:rsid w:val="004C3CDF"/>
    <w:rsid w:val="004C4089"/>
    <w:rsid w:val="004C4203"/>
    <w:rsid w:val="004C428B"/>
    <w:rsid w:val="004C42B1"/>
    <w:rsid w:val="004C443A"/>
    <w:rsid w:val="004C4717"/>
    <w:rsid w:val="004C4721"/>
    <w:rsid w:val="004C4BBD"/>
    <w:rsid w:val="004C4C6E"/>
    <w:rsid w:val="004C5123"/>
    <w:rsid w:val="004C5212"/>
    <w:rsid w:val="004C52AA"/>
    <w:rsid w:val="004C54EA"/>
    <w:rsid w:val="004C5644"/>
    <w:rsid w:val="004C5670"/>
    <w:rsid w:val="004C57D3"/>
    <w:rsid w:val="004C5ABF"/>
    <w:rsid w:val="004C5BA6"/>
    <w:rsid w:val="004C62FD"/>
    <w:rsid w:val="004C64DD"/>
    <w:rsid w:val="004C654E"/>
    <w:rsid w:val="004C6605"/>
    <w:rsid w:val="004C6668"/>
    <w:rsid w:val="004C66E0"/>
    <w:rsid w:val="004C6866"/>
    <w:rsid w:val="004C6D5F"/>
    <w:rsid w:val="004C6E78"/>
    <w:rsid w:val="004C6F77"/>
    <w:rsid w:val="004C7257"/>
    <w:rsid w:val="004C7313"/>
    <w:rsid w:val="004C7388"/>
    <w:rsid w:val="004C7414"/>
    <w:rsid w:val="004C741D"/>
    <w:rsid w:val="004C746E"/>
    <w:rsid w:val="004C773A"/>
    <w:rsid w:val="004C7A6D"/>
    <w:rsid w:val="004C7AF7"/>
    <w:rsid w:val="004C7CCD"/>
    <w:rsid w:val="004C7CE1"/>
    <w:rsid w:val="004C7DDB"/>
    <w:rsid w:val="004C7E11"/>
    <w:rsid w:val="004C7E1A"/>
    <w:rsid w:val="004D00AA"/>
    <w:rsid w:val="004D07B0"/>
    <w:rsid w:val="004D0945"/>
    <w:rsid w:val="004D0A97"/>
    <w:rsid w:val="004D0AA7"/>
    <w:rsid w:val="004D0C24"/>
    <w:rsid w:val="004D0D14"/>
    <w:rsid w:val="004D0ECE"/>
    <w:rsid w:val="004D0FD9"/>
    <w:rsid w:val="004D0FFA"/>
    <w:rsid w:val="004D13C9"/>
    <w:rsid w:val="004D1518"/>
    <w:rsid w:val="004D16D0"/>
    <w:rsid w:val="004D170B"/>
    <w:rsid w:val="004D17F3"/>
    <w:rsid w:val="004D1A57"/>
    <w:rsid w:val="004D1A58"/>
    <w:rsid w:val="004D1B55"/>
    <w:rsid w:val="004D1C1D"/>
    <w:rsid w:val="004D1D73"/>
    <w:rsid w:val="004D1E80"/>
    <w:rsid w:val="004D1EA6"/>
    <w:rsid w:val="004D1EE9"/>
    <w:rsid w:val="004D22B3"/>
    <w:rsid w:val="004D2322"/>
    <w:rsid w:val="004D254D"/>
    <w:rsid w:val="004D2592"/>
    <w:rsid w:val="004D2716"/>
    <w:rsid w:val="004D2768"/>
    <w:rsid w:val="004D2934"/>
    <w:rsid w:val="004D29AB"/>
    <w:rsid w:val="004D2A78"/>
    <w:rsid w:val="004D2C88"/>
    <w:rsid w:val="004D2EC3"/>
    <w:rsid w:val="004D31C7"/>
    <w:rsid w:val="004D337A"/>
    <w:rsid w:val="004D3390"/>
    <w:rsid w:val="004D3414"/>
    <w:rsid w:val="004D3509"/>
    <w:rsid w:val="004D36CC"/>
    <w:rsid w:val="004D3716"/>
    <w:rsid w:val="004D38B1"/>
    <w:rsid w:val="004D3AA6"/>
    <w:rsid w:val="004D3B4D"/>
    <w:rsid w:val="004D3B76"/>
    <w:rsid w:val="004D3C17"/>
    <w:rsid w:val="004D3CA5"/>
    <w:rsid w:val="004D3CBC"/>
    <w:rsid w:val="004D3DBD"/>
    <w:rsid w:val="004D3F80"/>
    <w:rsid w:val="004D4091"/>
    <w:rsid w:val="004D435E"/>
    <w:rsid w:val="004D4511"/>
    <w:rsid w:val="004D46EF"/>
    <w:rsid w:val="004D4768"/>
    <w:rsid w:val="004D47C2"/>
    <w:rsid w:val="004D4978"/>
    <w:rsid w:val="004D4A57"/>
    <w:rsid w:val="004D5036"/>
    <w:rsid w:val="004D50A5"/>
    <w:rsid w:val="004D5681"/>
    <w:rsid w:val="004D598A"/>
    <w:rsid w:val="004D5A38"/>
    <w:rsid w:val="004D5B7B"/>
    <w:rsid w:val="004D62BF"/>
    <w:rsid w:val="004D64F0"/>
    <w:rsid w:val="004D65CA"/>
    <w:rsid w:val="004D68EF"/>
    <w:rsid w:val="004D6CEF"/>
    <w:rsid w:val="004D6E41"/>
    <w:rsid w:val="004D6EAE"/>
    <w:rsid w:val="004D7240"/>
    <w:rsid w:val="004D73C4"/>
    <w:rsid w:val="004D73D5"/>
    <w:rsid w:val="004D7401"/>
    <w:rsid w:val="004D7491"/>
    <w:rsid w:val="004D7769"/>
    <w:rsid w:val="004D77B8"/>
    <w:rsid w:val="004D77CD"/>
    <w:rsid w:val="004D788C"/>
    <w:rsid w:val="004D7AD8"/>
    <w:rsid w:val="004D7B13"/>
    <w:rsid w:val="004D7C3F"/>
    <w:rsid w:val="004D7CC9"/>
    <w:rsid w:val="004D7D11"/>
    <w:rsid w:val="004D7DF3"/>
    <w:rsid w:val="004D7F0B"/>
    <w:rsid w:val="004E004F"/>
    <w:rsid w:val="004E00A1"/>
    <w:rsid w:val="004E017D"/>
    <w:rsid w:val="004E02CD"/>
    <w:rsid w:val="004E0502"/>
    <w:rsid w:val="004E0568"/>
    <w:rsid w:val="004E05A7"/>
    <w:rsid w:val="004E05BE"/>
    <w:rsid w:val="004E05F9"/>
    <w:rsid w:val="004E062E"/>
    <w:rsid w:val="004E0965"/>
    <w:rsid w:val="004E0977"/>
    <w:rsid w:val="004E098C"/>
    <w:rsid w:val="004E0C46"/>
    <w:rsid w:val="004E0CC5"/>
    <w:rsid w:val="004E15D4"/>
    <w:rsid w:val="004E1732"/>
    <w:rsid w:val="004E18DE"/>
    <w:rsid w:val="004E1A38"/>
    <w:rsid w:val="004E1A3F"/>
    <w:rsid w:val="004E1CF5"/>
    <w:rsid w:val="004E1E88"/>
    <w:rsid w:val="004E1F58"/>
    <w:rsid w:val="004E1FAA"/>
    <w:rsid w:val="004E228B"/>
    <w:rsid w:val="004E268E"/>
    <w:rsid w:val="004E27E5"/>
    <w:rsid w:val="004E28F4"/>
    <w:rsid w:val="004E291B"/>
    <w:rsid w:val="004E2A3A"/>
    <w:rsid w:val="004E2C62"/>
    <w:rsid w:val="004E2EB6"/>
    <w:rsid w:val="004E2EBB"/>
    <w:rsid w:val="004E3039"/>
    <w:rsid w:val="004E310D"/>
    <w:rsid w:val="004E3154"/>
    <w:rsid w:val="004E334F"/>
    <w:rsid w:val="004E38CF"/>
    <w:rsid w:val="004E3A0B"/>
    <w:rsid w:val="004E3C08"/>
    <w:rsid w:val="004E3C76"/>
    <w:rsid w:val="004E3DF8"/>
    <w:rsid w:val="004E43AC"/>
    <w:rsid w:val="004E43D0"/>
    <w:rsid w:val="004E4579"/>
    <w:rsid w:val="004E4685"/>
    <w:rsid w:val="004E47A1"/>
    <w:rsid w:val="004E4A9A"/>
    <w:rsid w:val="004E4C50"/>
    <w:rsid w:val="004E4C5F"/>
    <w:rsid w:val="004E4CD0"/>
    <w:rsid w:val="004E5375"/>
    <w:rsid w:val="004E5388"/>
    <w:rsid w:val="004E5394"/>
    <w:rsid w:val="004E53A6"/>
    <w:rsid w:val="004E5A73"/>
    <w:rsid w:val="004E5B54"/>
    <w:rsid w:val="004E6160"/>
    <w:rsid w:val="004E64C4"/>
    <w:rsid w:val="004E683D"/>
    <w:rsid w:val="004E68D1"/>
    <w:rsid w:val="004E6C04"/>
    <w:rsid w:val="004E6D38"/>
    <w:rsid w:val="004E6E2E"/>
    <w:rsid w:val="004E7027"/>
    <w:rsid w:val="004E70B8"/>
    <w:rsid w:val="004E73A8"/>
    <w:rsid w:val="004E7529"/>
    <w:rsid w:val="004E7BE9"/>
    <w:rsid w:val="004E7C09"/>
    <w:rsid w:val="004E7E0A"/>
    <w:rsid w:val="004E7EA3"/>
    <w:rsid w:val="004E7EEA"/>
    <w:rsid w:val="004E7F2F"/>
    <w:rsid w:val="004F018D"/>
    <w:rsid w:val="004F019C"/>
    <w:rsid w:val="004F04EE"/>
    <w:rsid w:val="004F058A"/>
    <w:rsid w:val="004F068D"/>
    <w:rsid w:val="004F09A6"/>
    <w:rsid w:val="004F0ABE"/>
    <w:rsid w:val="004F0B02"/>
    <w:rsid w:val="004F0BF3"/>
    <w:rsid w:val="004F0C9A"/>
    <w:rsid w:val="004F1140"/>
    <w:rsid w:val="004F115E"/>
    <w:rsid w:val="004F1291"/>
    <w:rsid w:val="004F14A9"/>
    <w:rsid w:val="004F153B"/>
    <w:rsid w:val="004F169E"/>
    <w:rsid w:val="004F1C6C"/>
    <w:rsid w:val="004F1EC2"/>
    <w:rsid w:val="004F1FC1"/>
    <w:rsid w:val="004F1FD0"/>
    <w:rsid w:val="004F21CB"/>
    <w:rsid w:val="004F23B4"/>
    <w:rsid w:val="004F23DD"/>
    <w:rsid w:val="004F254C"/>
    <w:rsid w:val="004F286E"/>
    <w:rsid w:val="004F2905"/>
    <w:rsid w:val="004F299A"/>
    <w:rsid w:val="004F29C0"/>
    <w:rsid w:val="004F2EE2"/>
    <w:rsid w:val="004F30EF"/>
    <w:rsid w:val="004F336D"/>
    <w:rsid w:val="004F3796"/>
    <w:rsid w:val="004F37FF"/>
    <w:rsid w:val="004F38B8"/>
    <w:rsid w:val="004F39D6"/>
    <w:rsid w:val="004F3A65"/>
    <w:rsid w:val="004F3D28"/>
    <w:rsid w:val="004F3ECC"/>
    <w:rsid w:val="004F407B"/>
    <w:rsid w:val="004F42FE"/>
    <w:rsid w:val="004F431D"/>
    <w:rsid w:val="004F44D0"/>
    <w:rsid w:val="004F479F"/>
    <w:rsid w:val="004F4A01"/>
    <w:rsid w:val="004F4A4E"/>
    <w:rsid w:val="004F4B58"/>
    <w:rsid w:val="004F4BB1"/>
    <w:rsid w:val="004F4BBF"/>
    <w:rsid w:val="004F4C03"/>
    <w:rsid w:val="004F4C36"/>
    <w:rsid w:val="004F4D0A"/>
    <w:rsid w:val="004F5131"/>
    <w:rsid w:val="004F552E"/>
    <w:rsid w:val="004F5746"/>
    <w:rsid w:val="004F6235"/>
    <w:rsid w:val="004F62C2"/>
    <w:rsid w:val="004F62ED"/>
    <w:rsid w:val="004F689D"/>
    <w:rsid w:val="004F69C0"/>
    <w:rsid w:val="004F6C9E"/>
    <w:rsid w:val="004F6F0F"/>
    <w:rsid w:val="004F7233"/>
    <w:rsid w:val="004F7245"/>
    <w:rsid w:val="004F72E0"/>
    <w:rsid w:val="004F75CC"/>
    <w:rsid w:val="004F7669"/>
    <w:rsid w:val="004F76E5"/>
    <w:rsid w:val="004F7B7E"/>
    <w:rsid w:val="004F7FC3"/>
    <w:rsid w:val="00500079"/>
    <w:rsid w:val="005001DD"/>
    <w:rsid w:val="005004C4"/>
    <w:rsid w:val="0050081B"/>
    <w:rsid w:val="00500A73"/>
    <w:rsid w:val="00500BD4"/>
    <w:rsid w:val="00500F1E"/>
    <w:rsid w:val="005010FE"/>
    <w:rsid w:val="00501209"/>
    <w:rsid w:val="00501331"/>
    <w:rsid w:val="00501353"/>
    <w:rsid w:val="0050138C"/>
    <w:rsid w:val="005013EB"/>
    <w:rsid w:val="00501415"/>
    <w:rsid w:val="0050147A"/>
    <w:rsid w:val="005015A0"/>
    <w:rsid w:val="005016E8"/>
    <w:rsid w:val="00501C60"/>
    <w:rsid w:val="00501D41"/>
    <w:rsid w:val="005020F6"/>
    <w:rsid w:val="00502118"/>
    <w:rsid w:val="00502283"/>
    <w:rsid w:val="00502412"/>
    <w:rsid w:val="00502417"/>
    <w:rsid w:val="00502458"/>
    <w:rsid w:val="00502515"/>
    <w:rsid w:val="005025F9"/>
    <w:rsid w:val="00502869"/>
    <w:rsid w:val="005028A9"/>
    <w:rsid w:val="00502A4E"/>
    <w:rsid w:val="00502A5F"/>
    <w:rsid w:val="00502A83"/>
    <w:rsid w:val="00502A90"/>
    <w:rsid w:val="00502CBD"/>
    <w:rsid w:val="00502DB5"/>
    <w:rsid w:val="00502EE7"/>
    <w:rsid w:val="00502F1F"/>
    <w:rsid w:val="00502F4E"/>
    <w:rsid w:val="00503018"/>
    <w:rsid w:val="005031FC"/>
    <w:rsid w:val="005033AC"/>
    <w:rsid w:val="00503536"/>
    <w:rsid w:val="00503763"/>
    <w:rsid w:val="005037AA"/>
    <w:rsid w:val="00503901"/>
    <w:rsid w:val="00504022"/>
    <w:rsid w:val="00504188"/>
    <w:rsid w:val="00504242"/>
    <w:rsid w:val="005045E4"/>
    <w:rsid w:val="005046E6"/>
    <w:rsid w:val="00504B5C"/>
    <w:rsid w:val="00504C40"/>
    <w:rsid w:val="00504E4E"/>
    <w:rsid w:val="00505392"/>
    <w:rsid w:val="005053E2"/>
    <w:rsid w:val="00505446"/>
    <w:rsid w:val="0050546C"/>
    <w:rsid w:val="00505690"/>
    <w:rsid w:val="0050585E"/>
    <w:rsid w:val="00505938"/>
    <w:rsid w:val="00505E3C"/>
    <w:rsid w:val="00505F41"/>
    <w:rsid w:val="005060EB"/>
    <w:rsid w:val="005060FC"/>
    <w:rsid w:val="00506465"/>
    <w:rsid w:val="0050662E"/>
    <w:rsid w:val="005066E6"/>
    <w:rsid w:val="00506A35"/>
    <w:rsid w:val="00506A4A"/>
    <w:rsid w:val="00506B9C"/>
    <w:rsid w:val="00506BB4"/>
    <w:rsid w:val="00506FAF"/>
    <w:rsid w:val="00506FE5"/>
    <w:rsid w:val="00506FFA"/>
    <w:rsid w:val="0050703F"/>
    <w:rsid w:val="0050734D"/>
    <w:rsid w:val="005074D9"/>
    <w:rsid w:val="0050764F"/>
    <w:rsid w:val="0050775E"/>
    <w:rsid w:val="00507BE7"/>
    <w:rsid w:val="00507D40"/>
    <w:rsid w:val="00507DC3"/>
    <w:rsid w:val="00507F30"/>
    <w:rsid w:val="00507F50"/>
    <w:rsid w:val="00510022"/>
    <w:rsid w:val="0051002D"/>
    <w:rsid w:val="00510318"/>
    <w:rsid w:val="005109F2"/>
    <w:rsid w:val="005109F3"/>
    <w:rsid w:val="00510A2F"/>
    <w:rsid w:val="00510BE2"/>
    <w:rsid w:val="00510E05"/>
    <w:rsid w:val="00510E7B"/>
    <w:rsid w:val="00510E98"/>
    <w:rsid w:val="00510EAE"/>
    <w:rsid w:val="005110C4"/>
    <w:rsid w:val="00511114"/>
    <w:rsid w:val="005111F6"/>
    <w:rsid w:val="00511251"/>
    <w:rsid w:val="0051154D"/>
    <w:rsid w:val="0051193F"/>
    <w:rsid w:val="005119AB"/>
    <w:rsid w:val="005119BB"/>
    <w:rsid w:val="00511AD7"/>
    <w:rsid w:val="00511CB3"/>
    <w:rsid w:val="00511F99"/>
    <w:rsid w:val="00512378"/>
    <w:rsid w:val="00512530"/>
    <w:rsid w:val="005125E4"/>
    <w:rsid w:val="00512873"/>
    <w:rsid w:val="00512C92"/>
    <w:rsid w:val="005130B7"/>
    <w:rsid w:val="0051315F"/>
    <w:rsid w:val="00513341"/>
    <w:rsid w:val="005134C6"/>
    <w:rsid w:val="0051369D"/>
    <w:rsid w:val="00513A79"/>
    <w:rsid w:val="00513AA9"/>
    <w:rsid w:val="00513ACF"/>
    <w:rsid w:val="00513EAD"/>
    <w:rsid w:val="00513F9A"/>
    <w:rsid w:val="0051417B"/>
    <w:rsid w:val="005142BA"/>
    <w:rsid w:val="005143B6"/>
    <w:rsid w:val="0051487E"/>
    <w:rsid w:val="00514956"/>
    <w:rsid w:val="00514A31"/>
    <w:rsid w:val="00514A7E"/>
    <w:rsid w:val="00514B2E"/>
    <w:rsid w:val="00514CDB"/>
    <w:rsid w:val="00514D57"/>
    <w:rsid w:val="00514E30"/>
    <w:rsid w:val="00514ED4"/>
    <w:rsid w:val="00514FBC"/>
    <w:rsid w:val="00515056"/>
    <w:rsid w:val="0051591F"/>
    <w:rsid w:val="00515DF6"/>
    <w:rsid w:val="00515F64"/>
    <w:rsid w:val="00515F76"/>
    <w:rsid w:val="0051603A"/>
    <w:rsid w:val="00516927"/>
    <w:rsid w:val="0051699B"/>
    <w:rsid w:val="00516B76"/>
    <w:rsid w:val="00516C9D"/>
    <w:rsid w:val="00516CBE"/>
    <w:rsid w:val="00516D12"/>
    <w:rsid w:val="005170CA"/>
    <w:rsid w:val="005172B5"/>
    <w:rsid w:val="005173C6"/>
    <w:rsid w:val="00517448"/>
    <w:rsid w:val="00517776"/>
    <w:rsid w:val="00517780"/>
    <w:rsid w:val="00517956"/>
    <w:rsid w:val="00517A10"/>
    <w:rsid w:val="00517BE9"/>
    <w:rsid w:val="00517D00"/>
    <w:rsid w:val="00517E17"/>
    <w:rsid w:val="00517E20"/>
    <w:rsid w:val="00517E90"/>
    <w:rsid w:val="00517F03"/>
    <w:rsid w:val="005201A2"/>
    <w:rsid w:val="0052032B"/>
    <w:rsid w:val="0052063C"/>
    <w:rsid w:val="00520867"/>
    <w:rsid w:val="005208F5"/>
    <w:rsid w:val="00520985"/>
    <w:rsid w:val="00520BAF"/>
    <w:rsid w:val="00520BB3"/>
    <w:rsid w:val="00520BBF"/>
    <w:rsid w:val="00520C7A"/>
    <w:rsid w:val="00520DA6"/>
    <w:rsid w:val="0052102D"/>
    <w:rsid w:val="00521563"/>
    <w:rsid w:val="0052160E"/>
    <w:rsid w:val="00521816"/>
    <w:rsid w:val="005218BA"/>
    <w:rsid w:val="0052195A"/>
    <w:rsid w:val="00521A04"/>
    <w:rsid w:val="00521A53"/>
    <w:rsid w:val="00521B59"/>
    <w:rsid w:val="00521BFF"/>
    <w:rsid w:val="00521E0A"/>
    <w:rsid w:val="00521E76"/>
    <w:rsid w:val="0052206F"/>
    <w:rsid w:val="005225C5"/>
    <w:rsid w:val="005226F5"/>
    <w:rsid w:val="00522837"/>
    <w:rsid w:val="005229E5"/>
    <w:rsid w:val="00522B56"/>
    <w:rsid w:val="00522DB7"/>
    <w:rsid w:val="00522F8A"/>
    <w:rsid w:val="00522FFD"/>
    <w:rsid w:val="00523023"/>
    <w:rsid w:val="005230B8"/>
    <w:rsid w:val="00523236"/>
    <w:rsid w:val="00523368"/>
    <w:rsid w:val="0052342A"/>
    <w:rsid w:val="0052343F"/>
    <w:rsid w:val="005234B0"/>
    <w:rsid w:val="005235D4"/>
    <w:rsid w:val="00523685"/>
    <w:rsid w:val="00523718"/>
    <w:rsid w:val="005238F3"/>
    <w:rsid w:val="00523978"/>
    <w:rsid w:val="00523B56"/>
    <w:rsid w:val="00523BCD"/>
    <w:rsid w:val="00523C51"/>
    <w:rsid w:val="00523D39"/>
    <w:rsid w:val="00523D9A"/>
    <w:rsid w:val="00523EE0"/>
    <w:rsid w:val="00523F41"/>
    <w:rsid w:val="00524067"/>
    <w:rsid w:val="0052414D"/>
    <w:rsid w:val="0052416C"/>
    <w:rsid w:val="005243F8"/>
    <w:rsid w:val="00524784"/>
    <w:rsid w:val="00524A8B"/>
    <w:rsid w:val="00524B6C"/>
    <w:rsid w:val="00524BD0"/>
    <w:rsid w:val="00524BF3"/>
    <w:rsid w:val="00524CEC"/>
    <w:rsid w:val="00524D8D"/>
    <w:rsid w:val="00524DD8"/>
    <w:rsid w:val="00524EF7"/>
    <w:rsid w:val="0052500B"/>
    <w:rsid w:val="005252EA"/>
    <w:rsid w:val="00525626"/>
    <w:rsid w:val="005257B0"/>
    <w:rsid w:val="00525B05"/>
    <w:rsid w:val="00525BB0"/>
    <w:rsid w:val="00525CCE"/>
    <w:rsid w:val="00526339"/>
    <w:rsid w:val="00526485"/>
    <w:rsid w:val="005264F1"/>
    <w:rsid w:val="005267AC"/>
    <w:rsid w:val="00526850"/>
    <w:rsid w:val="005269EB"/>
    <w:rsid w:val="00526BF4"/>
    <w:rsid w:val="00526C4B"/>
    <w:rsid w:val="00526C61"/>
    <w:rsid w:val="0052725E"/>
    <w:rsid w:val="00527406"/>
    <w:rsid w:val="00527469"/>
    <w:rsid w:val="005275E6"/>
    <w:rsid w:val="0052762B"/>
    <w:rsid w:val="005278FA"/>
    <w:rsid w:val="0052790F"/>
    <w:rsid w:val="00527ACD"/>
    <w:rsid w:val="00527C89"/>
    <w:rsid w:val="00527EA3"/>
    <w:rsid w:val="00527F90"/>
    <w:rsid w:val="0053041B"/>
    <w:rsid w:val="005305A9"/>
    <w:rsid w:val="0053066E"/>
    <w:rsid w:val="005306A4"/>
    <w:rsid w:val="00530BD7"/>
    <w:rsid w:val="00530D45"/>
    <w:rsid w:val="00530EB8"/>
    <w:rsid w:val="00530FDF"/>
    <w:rsid w:val="00531026"/>
    <w:rsid w:val="00531304"/>
    <w:rsid w:val="005318DE"/>
    <w:rsid w:val="00531B21"/>
    <w:rsid w:val="00531D6A"/>
    <w:rsid w:val="00531E4F"/>
    <w:rsid w:val="00531F63"/>
    <w:rsid w:val="005321EE"/>
    <w:rsid w:val="00532338"/>
    <w:rsid w:val="005325C5"/>
    <w:rsid w:val="005326C1"/>
    <w:rsid w:val="005326E0"/>
    <w:rsid w:val="00532A90"/>
    <w:rsid w:val="00532C47"/>
    <w:rsid w:val="00532FF3"/>
    <w:rsid w:val="005330F3"/>
    <w:rsid w:val="005331C2"/>
    <w:rsid w:val="00533508"/>
    <w:rsid w:val="00533654"/>
    <w:rsid w:val="00533658"/>
    <w:rsid w:val="005336E4"/>
    <w:rsid w:val="005339BE"/>
    <w:rsid w:val="00533B53"/>
    <w:rsid w:val="00533B95"/>
    <w:rsid w:val="00533C04"/>
    <w:rsid w:val="00533C0E"/>
    <w:rsid w:val="00533C72"/>
    <w:rsid w:val="00533CD9"/>
    <w:rsid w:val="00533D14"/>
    <w:rsid w:val="00533D43"/>
    <w:rsid w:val="005341AD"/>
    <w:rsid w:val="00534360"/>
    <w:rsid w:val="005343E4"/>
    <w:rsid w:val="0053454C"/>
    <w:rsid w:val="005345D9"/>
    <w:rsid w:val="00534619"/>
    <w:rsid w:val="005349AA"/>
    <w:rsid w:val="00534E81"/>
    <w:rsid w:val="00534EBF"/>
    <w:rsid w:val="00534FB9"/>
    <w:rsid w:val="00534FEB"/>
    <w:rsid w:val="005353BA"/>
    <w:rsid w:val="005353E5"/>
    <w:rsid w:val="005355FD"/>
    <w:rsid w:val="00535B44"/>
    <w:rsid w:val="00535F5F"/>
    <w:rsid w:val="0053635C"/>
    <w:rsid w:val="005364A1"/>
    <w:rsid w:val="0053694A"/>
    <w:rsid w:val="005369CD"/>
    <w:rsid w:val="00536AC0"/>
    <w:rsid w:val="00536ADC"/>
    <w:rsid w:val="00536F46"/>
    <w:rsid w:val="00537315"/>
    <w:rsid w:val="005373F3"/>
    <w:rsid w:val="0053768F"/>
    <w:rsid w:val="00537744"/>
    <w:rsid w:val="005379A8"/>
    <w:rsid w:val="00537A75"/>
    <w:rsid w:val="00537A8F"/>
    <w:rsid w:val="00537B1E"/>
    <w:rsid w:val="00537EE3"/>
    <w:rsid w:val="00537F8C"/>
    <w:rsid w:val="00537FD3"/>
    <w:rsid w:val="005400A6"/>
    <w:rsid w:val="00540128"/>
    <w:rsid w:val="00540302"/>
    <w:rsid w:val="00540529"/>
    <w:rsid w:val="0054091A"/>
    <w:rsid w:val="00540A6B"/>
    <w:rsid w:val="00540BDA"/>
    <w:rsid w:val="00540D2A"/>
    <w:rsid w:val="00540EEC"/>
    <w:rsid w:val="00540FDE"/>
    <w:rsid w:val="00541058"/>
    <w:rsid w:val="00541178"/>
    <w:rsid w:val="005411CB"/>
    <w:rsid w:val="005413A8"/>
    <w:rsid w:val="0054146A"/>
    <w:rsid w:val="00541728"/>
    <w:rsid w:val="005417DD"/>
    <w:rsid w:val="0054189D"/>
    <w:rsid w:val="0054203D"/>
    <w:rsid w:val="005421A3"/>
    <w:rsid w:val="0054229B"/>
    <w:rsid w:val="005422C3"/>
    <w:rsid w:val="00542488"/>
    <w:rsid w:val="00542544"/>
    <w:rsid w:val="005425EC"/>
    <w:rsid w:val="0054265F"/>
    <w:rsid w:val="00542AC1"/>
    <w:rsid w:val="00542B38"/>
    <w:rsid w:val="00542B46"/>
    <w:rsid w:val="00542C6A"/>
    <w:rsid w:val="00542CD9"/>
    <w:rsid w:val="00542D6D"/>
    <w:rsid w:val="00542E9B"/>
    <w:rsid w:val="00543001"/>
    <w:rsid w:val="00543037"/>
    <w:rsid w:val="005430F3"/>
    <w:rsid w:val="00543101"/>
    <w:rsid w:val="005432B4"/>
    <w:rsid w:val="00543AF7"/>
    <w:rsid w:val="00543B95"/>
    <w:rsid w:val="00543E8A"/>
    <w:rsid w:val="00543F54"/>
    <w:rsid w:val="00543F6A"/>
    <w:rsid w:val="0054416F"/>
    <w:rsid w:val="005441A7"/>
    <w:rsid w:val="005445A8"/>
    <w:rsid w:val="005446F3"/>
    <w:rsid w:val="005449C9"/>
    <w:rsid w:val="00544C25"/>
    <w:rsid w:val="00544CCE"/>
    <w:rsid w:val="0054510A"/>
    <w:rsid w:val="00545301"/>
    <w:rsid w:val="00545418"/>
    <w:rsid w:val="00545688"/>
    <w:rsid w:val="005457AD"/>
    <w:rsid w:val="00545AD8"/>
    <w:rsid w:val="00545B02"/>
    <w:rsid w:val="00545E7C"/>
    <w:rsid w:val="0054625A"/>
    <w:rsid w:val="005463B9"/>
    <w:rsid w:val="0054644F"/>
    <w:rsid w:val="0054647D"/>
    <w:rsid w:val="005467BB"/>
    <w:rsid w:val="00546942"/>
    <w:rsid w:val="0054701E"/>
    <w:rsid w:val="005472EA"/>
    <w:rsid w:val="00547321"/>
    <w:rsid w:val="0054757F"/>
    <w:rsid w:val="0054774A"/>
    <w:rsid w:val="0054789D"/>
    <w:rsid w:val="005478FA"/>
    <w:rsid w:val="005479CF"/>
    <w:rsid w:val="00547C0F"/>
    <w:rsid w:val="00550071"/>
    <w:rsid w:val="005501AC"/>
    <w:rsid w:val="00550310"/>
    <w:rsid w:val="00550577"/>
    <w:rsid w:val="0055063E"/>
    <w:rsid w:val="00550B0E"/>
    <w:rsid w:val="00550B64"/>
    <w:rsid w:val="00550C25"/>
    <w:rsid w:val="00550D01"/>
    <w:rsid w:val="00550D07"/>
    <w:rsid w:val="00550D36"/>
    <w:rsid w:val="00550E4B"/>
    <w:rsid w:val="00551032"/>
    <w:rsid w:val="005510B2"/>
    <w:rsid w:val="005512C1"/>
    <w:rsid w:val="00551364"/>
    <w:rsid w:val="0055136B"/>
    <w:rsid w:val="00551628"/>
    <w:rsid w:val="005518A4"/>
    <w:rsid w:val="005519B8"/>
    <w:rsid w:val="005519EB"/>
    <w:rsid w:val="00551B9D"/>
    <w:rsid w:val="00551BD4"/>
    <w:rsid w:val="00551D0F"/>
    <w:rsid w:val="00551DFF"/>
    <w:rsid w:val="00551E57"/>
    <w:rsid w:val="00551F87"/>
    <w:rsid w:val="00552123"/>
    <w:rsid w:val="0055224D"/>
    <w:rsid w:val="0055261F"/>
    <w:rsid w:val="005526FB"/>
    <w:rsid w:val="0055283A"/>
    <w:rsid w:val="005528D5"/>
    <w:rsid w:val="00552A59"/>
    <w:rsid w:val="00552BA6"/>
    <w:rsid w:val="00552DCD"/>
    <w:rsid w:val="005530CB"/>
    <w:rsid w:val="005534A4"/>
    <w:rsid w:val="005536AF"/>
    <w:rsid w:val="00553860"/>
    <w:rsid w:val="005538D8"/>
    <w:rsid w:val="005539DE"/>
    <w:rsid w:val="00554020"/>
    <w:rsid w:val="005540C9"/>
    <w:rsid w:val="00554279"/>
    <w:rsid w:val="005543FD"/>
    <w:rsid w:val="00554441"/>
    <w:rsid w:val="005544D6"/>
    <w:rsid w:val="005544F9"/>
    <w:rsid w:val="00554845"/>
    <w:rsid w:val="005548A6"/>
    <w:rsid w:val="00554915"/>
    <w:rsid w:val="00554B0B"/>
    <w:rsid w:val="00554B93"/>
    <w:rsid w:val="00554BE8"/>
    <w:rsid w:val="00554C4E"/>
    <w:rsid w:val="00554E6D"/>
    <w:rsid w:val="00554E91"/>
    <w:rsid w:val="00554FF4"/>
    <w:rsid w:val="0055534A"/>
    <w:rsid w:val="005555DA"/>
    <w:rsid w:val="0055590F"/>
    <w:rsid w:val="00555D23"/>
    <w:rsid w:val="00555D90"/>
    <w:rsid w:val="00555E63"/>
    <w:rsid w:val="00555F82"/>
    <w:rsid w:val="00555FFA"/>
    <w:rsid w:val="005561D4"/>
    <w:rsid w:val="005561F6"/>
    <w:rsid w:val="005566DD"/>
    <w:rsid w:val="00556ABC"/>
    <w:rsid w:val="00556EE5"/>
    <w:rsid w:val="00556F49"/>
    <w:rsid w:val="00556F98"/>
    <w:rsid w:val="00556F9C"/>
    <w:rsid w:val="00556FFA"/>
    <w:rsid w:val="00557074"/>
    <w:rsid w:val="005570C3"/>
    <w:rsid w:val="005571FC"/>
    <w:rsid w:val="005573D1"/>
    <w:rsid w:val="005574A8"/>
    <w:rsid w:val="005574B6"/>
    <w:rsid w:val="00557523"/>
    <w:rsid w:val="00557643"/>
    <w:rsid w:val="00557762"/>
    <w:rsid w:val="00557774"/>
    <w:rsid w:val="005577FD"/>
    <w:rsid w:val="00557915"/>
    <w:rsid w:val="00557950"/>
    <w:rsid w:val="00557FB2"/>
    <w:rsid w:val="0056002A"/>
    <w:rsid w:val="00560071"/>
    <w:rsid w:val="005602FF"/>
    <w:rsid w:val="00560369"/>
    <w:rsid w:val="00560562"/>
    <w:rsid w:val="005605DA"/>
    <w:rsid w:val="00560783"/>
    <w:rsid w:val="0056079C"/>
    <w:rsid w:val="00560813"/>
    <w:rsid w:val="00560838"/>
    <w:rsid w:val="005608FB"/>
    <w:rsid w:val="00560B91"/>
    <w:rsid w:val="0056134A"/>
    <w:rsid w:val="00561639"/>
    <w:rsid w:val="00561660"/>
    <w:rsid w:val="00561CFE"/>
    <w:rsid w:val="00561EE2"/>
    <w:rsid w:val="0056220F"/>
    <w:rsid w:val="005622EF"/>
    <w:rsid w:val="00562392"/>
    <w:rsid w:val="00562444"/>
    <w:rsid w:val="005624AF"/>
    <w:rsid w:val="0056266A"/>
    <w:rsid w:val="005628C4"/>
    <w:rsid w:val="00562F67"/>
    <w:rsid w:val="0056319E"/>
    <w:rsid w:val="005631AA"/>
    <w:rsid w:val="005631D9"/>
    <w:rsid w:val="00563207"/>
    <w:rsid w:val="00563315"/>
    <w:rsid w:val="0056341D"/>
    <w:rsid w:val="005635DC"/>
    <w:rsid w:val="005637A0"/>
    <w:rsid w:val="00563F25"/>
    <w:rsid w:val="0056421E"/>
    <w:rsid w:val="00564292"/>
    <w:rsid w:val="00564305"/>
    <w:rsid w:val="0056472B"/>
    <w:rsid w:val="0056472D"/>
    <w:rsid w:val="0056481D"/>
    <w:rsid w:val="005648CC"/>
    <w:rsid w:val="005649C6"/>
    <w:rsid w:val="00564D50"/>
    <w:rsid w:val="005651E8"/>
    <w:rsid w:val="0056553A"/>
    <w:rsid w:val="0056582B"/>
    <w:rsid w:val="0056587E"/>
    <w:rsid w:val="00565A9B"/>
    <w:rsid w:val="00565B7E"/>
    <w:rsid w:val="00565C1A"/>
    <w:rsid w:val="00566192"/>
    <w:rsid w:val="005661F2"/>
    <w:rsid w:val="005662C9"/>
    <w:rsid w:val="005663B1"/>
    <w:rsid w:val="0056643C"/>
    <w:rsid w:val="00566943"/>
    <w:rsid w:val="00566A22"/>
    <w:rsid w:val="00566B5F"/>
    <w:rsid w:val="00566FE3"/>
    <w:rsid w:val="00567631"/>
    <w:rsid w:val="00567670"/>
    <w:rsid w:val="00567968"/>
    <w:rsid w:val="0056799E"/>
    <w:rsid w:val="005679EF"/>
    <w:rsid w:val="00567D86"/>
    <w:rsid w:val="00570082"/>
    <w:rsid w:val="00570550"/>
    <w:rsid w:val="00570B1A"/>
    <w:rsid w:val="00570CA8"/>
    <w:rsid w:val="00570D31"/>
    <w:rsid w:val="00570E8B"/>
    <w:rsid w:val="00570F9E"/>
    <w:rsid w:val="005712B2"/>
    <w:rsid w:val="0057197B"/>
    <w:rsid w:val="00571A7C"/>
    <w:rsid w:val="00571BA9"/>
    <w:rsid w:val="00571C6B"/>
    <w:rsid w:val="00571EB3"/>
    <w:rsid w:val="00571FDF"/>
    <w:rsid w:val="00572071"/>
    <w:rsid w:val="00572113"/>
    <w:rsid w:val="005723F8"/>
    <w:rsid w:val="00572A61"/>
    <w:rsid w:val="00572A9A"/>
    <w:rsid w:val="00572C79"/>
    <w:rsid w:val="00572CC7"/>
    <w:rsid w:val="00572F07"/>
    <w:rsid w:val="005731BB"/>
    <w:rsid w:val="005732C9"/>
    <w:rsid w:val="005734A1"/>
    <w:rsid w:val="00573533"/>
    <w:rsid w:val="005735BC"/>
    <w:rsid w:val="00573642"/>
    <w:rsid w:val="00573833"/>
    <w:rsid w:val="00573875"/>
    <w:rsid w:val="00573945"/>
    <w:rsid w:val="00573B66"/>
    <w:rsid w:val="00573EA3"/>
    <w:rsid w:val="00573ED1"/>
    <w:rsid w:val="00573F18"/>
    <w:rsid w:val="00573FDC"/>
    <w:rsid w:val="00574068"/>
    <w:rsid w:val="00574129"/>
    <w:rsid w:val="00574343"/>
    <w:rsid w:val="005743A7"/>
    <w:rsid w:val="00574445"/>
    <w:rsid w:val="005745A2"/>
    <w:rsid w:val="005747B5"/>
    <w:rsid w:val="00574836"/>
    <w:rsid w:val="005748C2"/>
    <w:rsid w:val="00574935"/>
    <w:rsid w:val="00574B64"/>
    <w:rsid w:val="00574D35"/>
    <w:rsid w:val="00574E0E"/>
    <w:rsid w:val="00574EDB"/>
    <w:rsid w:val="00575206"/>
    <w:rsid w:val="0057555D"/>
    <w:rsid w:val="00575632"/>
    <w:rsid w:val="00575829"/>
    <w:rsid w:val="00575A58"/>
    <w:rsid w:val="00575A5A"/>
    <w:rsid w:val="00575C8E"/>
    <w:rsid w:val="00575CBE"/>
    <w:rsid w:val="00575D65"/>
    <w:rsid w:val="005760A3"/>
    <w:rsid w:val="0057618A"/>
    <w:rsid w:val="005761D8"/>
    <w:rsid w:val="00576290"/>
    <w:rsid w:val="0057634C"/>
    <w:rsid w:val="0057638F"/>
    <w:rsid w:val="00576509"/>
    <w:rsid w:val="005766BC"/>
    <w:rsid w:val="0057672E"/>
    <w:rsid w:val="0057677F"/>
    <w:rsid w:val="00576807"/>
    <w:rsid w:val="00576CAE"/>
    <w:rsid w:val="00576F5B"/>
    <w:rsid w:val="00577193"/>
    <w:rsid w:val="005771E9"/>
    <w:rsid w:val="00577212"/>
    <w:rsid w:val="00577237"/>
    <w:rsid w:val="00577410"/>
    <w:rsid w:val="0057763F"/>
    <w:rsid w:val="00577BBE"/>
    <w:rsid w:val="00577C44"/>
    <w:rsid w:val="00577CF6"/>
    <w:rsid w:val="00577D97"/>
    <w:rsid w:val="005802A8"/>
    <w:rsid w:val="005802B9"/>
    <w:rsid w:val="00580563"/>
    <w:rsid w:val="00580992"/>
    <w:rsid w:val="00580D7F"/>
    <w:rsid w:val="00580F50"/>
    <w:rsid w:val="005811EF"/>
    <w:rsid w:val="00581225"/>
    <w:rsid w:val="005812AC"/>
    <w:rsid w:val="0058139B"/>
    <w:rsid w:val="00581C5B"/>
    <w:rsid w:val="00581C72"/>
    <w:rsid w:val="00581FBB"/>
    <w:rsid w:val="005820DA"/>
    <w:rsid w:val="0058232A"/>
    <w:rsid w:val="005824D1"/>
    <w:rsid w:val="00582ADB"/>
    <w:rsid w:val="00582B22"/>
    <w:rsid w:val="00582CF2"/>
    <w:rsid w:val="00582D41"/>
    <w:rsid w:val="00582F0B"/>
    <w:rsid w:val="00582F88"/>
    <w:rsid w:val="00583239"/>
    <w:rsid w:val="00583259"/>
    <w:rsid w:val="0058340D"/>
    <w:rsid w:val="0058351E"/>
    <w:rsid w:val="00583569"/>
    <w:rsid w:val="00583674"/>
    <w:rsid w:val="005838AB"/>
    <w:rsid w:val="005839A3"/>
    <w:rsid w:val="00583B4A"/>
    <w:rsid w:val="00583B69"/>
    <w:rsid w:val="00583DFA"/>
    <w:rsid w:val="00583FA1"/>
    <w:rsid w:val="00583FC4"/>
    <w:rsid w:val="0058409B"/>
    <w:rsid w:val="005840B3"/>
    <w:rsid w:val="00584583"/>
    <w:rsid w:val="00584618"/>
    <w:rsid w:val="00584B03"/>
    <w:rsid w:val="00584BE4"/>
    <w:rsid w:val="00584CEE"/>
    <w:rsid w:val="00584D36"/>
    <w:rsid w:val="00584EA6"/>
    <w:rsid w:val="00585070"/>
    <w:rsid w:val="005850BD"/>
    <w:rsid w:val="005850D3"/>
    <w:rsid w:val="00585A3A"/>
    <w:rsid w:val="00585D3C"/>
    <w:rsid w:val="00585DDA"/>
    <w:rsid w:val="005861D0"/>
    <w:rsid w:val="0058630B"/>
    <w:rsid w:val="0058645A"/>
    <w:rsid w:val="00586598"/>
    <w:rsid w:val="00586778"/>
    <w:rsid w:val="005869D2"/>
    <w:rsid w:val="00586A66"/>
    <w:rsid w:val="00586AC4"/>
    <w:rsid w:val="00586B47"/>
    <w:rsid w:val="00586B5F"/>
    <w:rsid w:val="00586EA5"/>
    <w:rsid w:val="005870FE"/>
    <w:rsid w:val="0058718D"/>
    <w:rsid w:val="00587488"/>
    <w:rsid w:val="005877E8"/>
    <w:rsid w:val="00587A99"/>
    <w:rsid w:val="00587AFE"/>
    <w:rsid w:val="00587C4C"/>
    <w:rsid w:val="00587CF5"/>
    <w:rsid w:val="00587EE4"/>
    <w:rsid w:val="00587F83"/>
    <w:rsid w:val="005901FE"/>
    <w:rsid w:val="00590412"/>
    <w:rsid w:val="0059058E"/>
    <w:rsid w:val="00590661"/>
    <w:rsid w:val="00590C0B"/>
    <w:rsid w:val="00590FD1"/>
    <w:rsid w:val="005912EB"/>
    <w:rsid w:val="00591349"/>
    <w:rsid w:val="00591780"/>
    <w:rsid w:val="00591866"/>
    <w:rsid w:val="005919A6"/>
    <w:rsid w:val="00591DE2"/>
    <w:rsid w:val="00591EFF"/>
    <w:rsid w:val="00592092"/>
    <w:rsid w:val="00592245"/>
    <w:rsid w:val="005929F4"/>
    <w:rsid w:val="00592D1D"/>
    <w:rsid w:val="00592D90"/>
    <w:rsid w:val="00593193"/>
    <w:rsid w:val="00593226"/>
    <w:rsid w:val="005934CA"/>
    <w:rsid w:val="005937EA"/>
    <w:rsid w:val="00593831"/>
    <w:rsid w:val="00593C37"/>
    <w:rsid w:val="00593C58"/>
    <w:rsid w:val="00593E85"/>
    <w:rsid w:val="005942C7"/>
    <w:rsid w:val="0059461F"/>
    <w:rsid w:val="005946BB"/>
    <w:rsid w:val="005947BC"/>
    <w:rsid w:val="0059481D"/>
    <w:rsid w:val="00594891"/>
    <w:rsid w:val="00594B69"/>
    <w:rsid w:val="00595094"/>
    <w:rsid w:val="005950D5"/>
    <w:rsid w:val="00595145"/>
    <w:rsid w:val="005954D8"/>
    <w:rsid w:val="005954FA"/>
    <w:rsid w:val="005955BB"/>
    <w:rsid w:val="00595668"/>
    <w:rsid w:val="00595711"/>
    <w:rsid w:val="00595B75"/>
    <w:rsid w:val="00595B7F"/>
    <w:rsid w:val="00595BC4"/>
    <w:rsid w:val="00595C8C"/>
    <w:rsid w:val="00596097"/>
    <w:rsid w:val="0059618F"/>
    <w:rsid w:val="0059619B"/>
    <w:rsid w:val="0059625D"/>
    <w:rsid w:val="00596311"/>
    <w:rsid w:val="00596452"/>
    <w:rsid w:val="00596494"/>
    <w:rsid w:val="0059694C"/>
    <w:rsid w:val="00596962"/>
    <w:rsid w:val="0059696C"/>
    <w:rsid w:val="00596A54"/>
    <w:rsid w:val="00596B2F"/>
    <w:rsid w:val="00596B8C"/>
    <w:rsid w:val="00596CEF"/>
    <w:rsid w:val="00596D6B"/>
    <w:rsid w:val="0059707E"/>
    <w:rsid w:val="00597392"/>
    <w:rsid w:val="00597394"/>
    <w:rsid w:val="005974F1"/>
    <w:rsid w:val="005976D3"/>
    <w:rsid w:val="00597C9A"/>
    <w:rsid w:val="00597CDB"/>
    <w:rsid w:val="00597EE7"/>
    <w:rsid w:val="005A05CD"/>
    <w:rsid w:val="005A0C72"/>
    <w:rsid w:val="005A0DDE"/>
    <w:rsid w:val="005A0E3D"/>
    <w:rsid w:val="005A1008"/>
    <w:rsid w:val="005A1406"/>
    <w:rsid w:val="005A14BE"/>
    <w:rsid w:val="005A150F"/>
    <w:rsid w:val="005A16ED"/>
    <w:rsid w:val="005A17A6"/>
    <w:rsid w:val="005A1A1A"/>
    <w:rsid w:val="005A1ACF"/>
    <w:rsid w:val="005A1C78"/>
    <w:rsid w:val="005A1C8B"/>
    <w:rsid w:val="005A1D1B"/>
    <w:rsid w:val="005A253B"/>
    <w:rsid w:val="005A25D4"/>
    <w:rsid w:val="005A271A"/>
    <w:rsid w:val="005A2854"/>
    <w:rsid w:val="005A289C"/>
    <w:rsid w:val="005A28AF"/>
    <w:rsid w:val="005A2BB8"/>
    <w:rsid w:val="005A324D"/>
    <w:rsid w:val="005A3327"/>
    <w:rsid w:val="005A3760"/>
    <w:rsid w:val="005A3774"/>
    <w:rsid w:val="005A3786"/>
    <w:rsid w:val="005A3970"/>
    <w:rsid w:val="005A39B3"/>
    <w:rsid w:val="005A3AD2"/>
    <w:rsid w:val="005A3C35"/>
    <w:rsid w:val="005A3CBB"/>
    <w:rsid w:val="005A3D19"/>
    <w:rsid w:val="005A4182"/>
    <w:rsid w:val="005A42A5"/>
    <w:rsid w:val="005A443B"/>
    <w:rsid w:val="005A4A43"/>
    <w:rsid w:val="005A4B68"/>
    <w:rsid w:val="005A4B99"/>
    <w:rsid w:val="005A4BE1"/>
    <w:rsid w:val="005A4C45"/>
    <w:rsid w:val="005A4D26"/>
    <w:rsid w:val="005A4D4F"/>
    <w:rsid w:val="005A4D6E"/>
    <w:rsid w:val="005A4DB5"/>
    <w:rsid w:val="005A4FCB"/>
    <w:rsid w:val="005A5226"/>
    <w:rsid w:val="005A5412"/>
    <w:rsid w:val="005A56E5"/>
    <w:rsid w:val="005A5761"/>
    <w:rsid w:val="005A5F43"/>
    <w:rsid w:val="005A5F64"/>
    <w:rsid w:val="005A63C5"/>
    <w:rsid w:val="005A6607"/>
    <w:rsid w:val="005A667D"/>
    <w:rsid w:val="005A66F8"/>
    <w:rsid w:val="005A67A8"/>
    <w:rsid w:val="005A67F9"/>
    <w:rsid w:val="005A6B83"/>
    <w:rsid w:val="005A70EC"/>
    <w:rsid w:val="005A71DA"/>
    <w:rsid w:val="005A72CD"/>
    <w:rsid w:val="005A7620"/>
    <w:rsid w:val="005A7698"/>
    <w:rsid w:val="005A76DA"/>
    <w:rsid w:val="005A76E2"/>
    <w:rsid w:val="005A7A05"/>
    <w:rsid w:val="005A7BD7"/>
    <w:rsid w:val="005A7EA5"/>
    <w:rsid w:val="005B00F6"/>
    <w:rsid w:val="005B01F3"/>
    <w:rsid w:val="005B05BC"/>
    <w:rsid w:val="005B06E1"/>
    <w:rsid w:val="005B09C7"/>
    <w:rsid w:val="005B0C8D"/>
    <w:rsid w:val="005B0E6F"/>
    <w:rsid w:val="005B11B4"/>
    <w:rsid w:val="005B147D"/>
    <w:rsid w:val="005B1530"/>
    <w:rsid w:val="005B15AB"/>
    <w:rsid w:val="005B166A"/>
    <w:rsid w:val="005B17CD"/>
    <w:rsid w:val="005B17E7"/>
    <w:rsid w:val="005B18C2"/>
    <w:rsid w:val="005B1A2A"/>
    <w:rsid w:val="005B1CC7"/>
    <w:rsid w:val="005B1D08"/>
    <w:rsid w:val="005B1EEF"/>
    <w:rsid w:val="005B1F9E"/>
    <w:rsid w:val="005B29CE"/>
    <w:rsid w:val="005B2AAA"/>
    <w:rsid w:val="005B2C0B"/>
    <w:rsid w:val="005B2D54"/>
    <w:rsid w:val="005B2DEC"/>
    <w:rsid w:val="005B3039"/>
    <w:rsid w:val="005B3231"/>
    <w:rsid w:val="005B34E3"/>
    <w:rsid w:val="005B3539"/>
    <w:rsid w:val="005B3636"/>
    <w:rsid w:val="005B3992"/>
    <w:rsid w:val="005B3A0A"/>
    <w:rsid w:val="005B3B96"/>
    <w:rsid w:val="005B3C1B"/>
    <w:rsid w:val="005B3E9F"/>
    <w:rsid w:val="005B3ED6"/>
    <w:rsid w:val="005B3EE3"/>
    <w:rsid w:val="005B3FB3"/>
    <w:rsid w:val="005B4303"/>
    <w:rsid w:val="005B4548"/>
    <w:rsid w:val="005B490F"/>
    <w:rsid w:val="005B4C31"/>
    <w:rsid w:val="005B4D3D"/>
    <w:rsid w:val="005B54A7"/>
    <w:rsid w:val="005B54B5"/>
    <w:rsid w:val="005B55A0"/>
    <w:rsid w:val="005B563F"/>
    <w:rsid w:val="005B5B4F"/>
    <w:rsid w:val="005B5B90"/>
    <w:rsid w:val="005B5BBB"/>
    <w:rsid w:val="005B5EF1"/>
    <w:rsid w:val="005B5FDB"/>
    <w:rsid w:val="005B60FA"/>
    <w:rsid w:val="005B64AA"/>
    <w:rsid w:val="005B681E"/>
    <w:rsid w:val="005B69C5"/>
    <w:rsid w:val="005B6A25"/>
    <w:rsid w:val="005B6DEC"/>
    <w:rsid w:val="005B6F5D"/>
    <w:rsid w:val="005B6FDD"/>
    <w:rsid w:val="005B701D"/>
    <w:rsid w:val="005B70B7"/>
    <w:rsid w:val="005B72A9"/>
    <w:rsid w:val="005B752D"/>
    <w:rsid w:val="005B7663"/>
    <w:rsid w:val="005B791D"/>
    <w:rsid w:val="005B7AFF"/>
    <w:rsid w:val="005B7B09"/>
    <w:rsid w:val="005B7B98"/>
    <w:rsid w:val="005B7E9E"/>
    <w:rsid w:val="005B7F02"/>
    <w:rsid w:val="005C04E6"/>
    <w:rsid w:val="005C0702"/>
    <w:rsid w:val="005C0727"/>
    <w:rsid w:val="005C07DE"/>
    <w:rsid w:val="005C09AC"/>
    <w:rsid w:val="005C0CA3"/>
    <w:rsid w:val="005C0DBD"/>
    <w:rsid w:val="005C0EC8"/>
    <w:rsid w:val="005C1190"/>
    <w:rsid w:val="005C12A1"/>
    <w:rsid w:val="005C14BD"/>
    <w:rsid w:val="005C16F3"/>
    <w:rsid w:val="005C174B"/>
    <w:rsid w:val="005C17B1"/>
    <w:rsid w:val="005C17BE"/>
    <w:rsid w:val="005C17EA"/>
    <w:rsid w:val="005C19F1"/>
    <w:rsid w:val="005C1B71"/>
    <w:rsid w:val="005C1C20"/>
    <w:rsid w:val="005C1CE5"/>
    <w:rsid w:val="005C1DCA"/>
    <w:rsid w:val="005C1EDD"/>
    <w:rsid w:val="005C1F14"/>
    <w:rsid w:val="005C1F6C"/>
    <w:rsid w:val="005C22C1"/>
    <w:rsid w:val="005C2331"/>
    <w:rsid w:val="005C25D9"/>
    <w:rsid w:val="005C2648"/>
    <w:rsid w:val="005C2786"/>
    <w:rsid w:val="005C2D6D"/>
    <w:rsid w:val="005C2DB1"/>
    <w:rsid w:val="005C2E5A"/>
    <w:rsid w:val="005C2E66"/>
    <w:rsid w:val="005C30B9"/>
    <w:rsid w:val="005C30D2"/>
    <w:rsid w:val="005C30DA"/>
    <w:rsid w:val="005C391D"/>
    <w:rsid w:val="005C39B7"/>
    <w:rsid w:val="005C3AA9"/>
    <w:rsid w:val="005C3D0A"/>
    <w:rsid w:val="005C41B9"/>
    <w:rsid w:val="005C4496"/>
    <w:rsid w:val="005C45B2"/>
    <w:rsid w:val="005C45D1"/>
    <w:rsid w:val="005C485D"/>
    <w:rsid w:val="005C4A32"/>
    <w:rsid w:val="005C4C9B"/>
    <w:rsid w:val="005C4CFE"/>
    <w:rsid w:val="005C4E60"/>
    <w:rsid w:val="005C4F10"/>
    <w:rsid w:val="005C52D9"/>
    <w:rsid w:val="005C559E"/>
    <w:rsid w:val="005C55A8"/>
    <w:rsid w:val="005C5AD3"/>
    <w:rsid w:val="005C5B4D"/>
    <w:rsid w:val="005C5BDD"/>
    <w:rsid w:val="005C5EB6"/>
    <w:rsid w:val="005C60BA"/>
    <w:rsid w:val="005C6197"/>
    <w:rsid w:val="005C6797"/>
    <w:rsid w:val="005C683E"/>
    <w:rsid w:val="005C6925"/>
    <w:rsid w:val="005C6B8C"/>
    <w:rsid w:val="005C6C32"/>
    <w:rsid w:val="005C6DD7"/>
    <w:rsid w:val="005C6DEF"/>
    <w:rsid w:val="005C6E47"/>
    <w:rsid w:val="005C6F23"/>
    <w:rsid w:val="005C73F0"/>
    <w:rsid w:val="005C757C"/>
    <w:rsid w:val="005C77EE"/>
    <w:rsid w:val="005C7B5A"/>
    <w:rsid w:val="005D003A"/>
    <w:rsid w:val="005D00C7"/>
    <w:rsid w:val="005D0123"/>
    <w:rsid w:val="005D01F0"/>
    <w:rsid w:val="005D03A5"/>
    <w:rsid w:val="005D0496"/>
    <w:rsid w:val="005D055F"/>
    <w:rsid w:val="005D07F8"/>
    <w:rsid w:val="005D08A6"/>
    <w:rsid w:val="005D0FE3"/>
    <w:rsid w:val="005D1399"/>
    <w:rsid w:val="005D13BA"/>
    <w:rsid w:val="005D13CA"/>
    <w:rsid w:val="005D166F"/>
    <w:rsid w:val="005D1B46"/>
    <w:rsid w:val="005D1E75"/>
    <w:rsid w:val="005D1F9A"/>
    <w:rsid w:val="005D21A6"/>
    <w:rsid w:val="005D238B"/>
    <w:rsid w:val="005D2CCE"/>
    <w:rsid w:val="005D2DCD"/>
    <w:rsid w:val="005D36B2"/>
    <w:rsid w:val="005D3A50"/>
    <w:rsid w:val="005D3AC8"/>
    <w:rsid w:val="005D409D"/>
    <w:rsid w:val="005D41FA"/>
    <w:rsid w:val="005D4256"/>
    <w:rsid w:val="005D4432"/>
    <w:rsid w:val="005D482F"/>
    <w:rsid w:val="005D4D92"/>
    <w:rsid w:val="005D4DF6"/>
    <w:rsid w:val="005D4F4E"/>
    <w:rsid w:val="005D4F82"/>
    <w:rsid w:val="005D50B5"/>
    <w:rsid w:val="005D5407"/>
    <w:rsid w:val="005D5515"/>
    <w:rsid w:val="005D5568"/>
    <w:rsid w:val="005D55AD"/>
    <w:rsid w:val="005D565E"/>
    <w:rsid w:val="005D56DD"/>
    <w:rsid w:val="005D5EFE"/>
    <w:rsid w:val="005D5F9A"/>
    <w:rsid w:val="005D611A"/>
    <w:rsid w:val="005D633D"/>
    <w:rsid w:val="005D63BB"/>
    <w:rsid w:val="005D6B14"/>
    <w:rsid w:val="005D6B46"/>
    <w:rsid w:val="005D6B6C"/>
    <w:rsid w:val="005D6B91"/>
    <w:rsid w:val="005D6C0F"/>
    <w:rsid w:val="005D6D51"/>
    <w:rsid w:val="005D6E96"/>
    <w:rsid w:val="005D6EC8"/>
    <w:rsid w:val="005D6FBC"/>
    <w:rsid w:val="005D7EA1"/>
    <w:rsid w:val="005E0170"/>
    <w:rsid w:val="005E018F"/>
    <w:rsid w:val="005E0287"/>
    <w:rsid w:val="005E087F"/>
    <w:rsid w:val="005E0C52"/>
    <w:rsid w:val="005E0DFA"/>
    <w:rsid w:val="005E12BE"/>
    <w:rsid w:val="005E1417"/>
    <w:rsid w:val="005E16FC"/>
    <w:rsid w:val="005E1728"/>
    <w:rsid w:val="005E1E06"/>
    <w:rsid w:val="005E211C"/>
    <w:rsid w:val="005E22D2"/>
    <w:rsid w:val="005E24B3"/>
    <w:rsid w:val="005E2667"/>
    <w:rsid w:val="005E2E2D"/>
    <w:rsid w:val="005E32DB"/>
    <w:rsid w:val="005E34AD"/>
    <w:rsid w:val="005E34E2"/>
    <w:rsid w:val="005E38DD"/>
    <w:rsid w:val="005E3A7D"/>
    <w:rsid w:val="005E3FB0"/>
    <w:rsid w:val="005E40AB"/>
    <w:rsid w:val="005E4103"/>
    <w:rsid w:val="005E41B4"/>
    <w:rsid w:val="005E41E0"/>
    <w:rsid w:val="005E4259"/>
    <w:rsid w:val="005E44A5"/>
    <w:rsid w:val="005E471B"/>
    <w:rsid w:val="005E48C5"/>
    <w:rsid w:val="005E49D0"/>
    <w:rsid w:val="005E4A72"/>
    <w:rsid w:val="005E4F27"/>
    <w:rsid w:val="005E4F2F"/>
    <w:rsid w:val="005E501C"/>
    <w:rsid w:val="005E55E4"/>
    <w:rsid w:val="005E5781"/>
    <w:rsid w:val="005E59F5"/>
    <w:rsid w:val="005E5EB4"/>
    <w:rsid w:val="005E64F9"/>
    <w:rsid w:val="005E667B"/>
    <w:rsid w:val="005E6832"/>
    <w:rsid w:val="005E6B64"/>
    <w:rsid w:val="005E6C27"/>
    <w:rsid w:val="005E6C87"/>
    <w:rsid w:val="005E6CD4"/>
    <w:rsid w:val="005E6E18"/>
    <w:rsid w:val="005E7004"/>
    <w:rsid w:val="005E7030"/>
    <w:rsid w:val="005E72C0"/>
    <w:rsid w:val="005E77AE"/>
    <w:rsid w:val="005E77E8"/>
    <w:rsid w:val="005E7A3D"/>
    <w:rsid w:val="005E7B4A"/>
    <w:rsid w:val="005E7DD0"/>
    <w:rsid w:val="005E7DEF"/>
    <w:rsid w:val="005E7EAE"/>
    <w:rsid w:val="005E7FFB"/>
    <w:rsid w:val="005F00DF"/>
    <w:rsid w:val="005F0294"/>
    <w:rsid w:val="005F07D1"/>
    <w:rsid w:val="005F0BD9"/>
    <w:rsid w:val="005F0CEB"/>
    <w:rsid w:val="005F0EA4"/>
    <w:rsid w:val="005F1559"/>
    <w:rsid w:val="005F18FD"/>
    <w:rsid w:val="005F1907"/>
    <w:rsid w:val="005F1D62"/>
    <w:rsid w:val="005F1E53"/>
    <w:rsid w:val="005F1EB7"/>
    <w:rsid w:val="005F1FC0"/>
    <w:rsid w:val="005F2089"/>
    <w:rsid w:val="005F22E0"/>
    <w:rsid w:val="005F2558"/>
    <w:rsid w:val="005F25AA"/>
    <w:rsid w:val="005F2635"/>
    <w:rsid w:val="005F276F"/>
    <w:rsid w:val="005F297F"/>
    <w:rsid w:val="005F2B5C"/>
    <w:rsid w:val="005F2B61"/>
    <w:rsid w:val="005F2D1F"/>
    <w:rsid w:val="005F346D"/>
    <w:rsid w:val="005F3537"/>
    <w:rsid w:val="005F371D"/>
    <w:rsid w:val="005F376A"/>
    <w:rsid w:val="005F37DF"/>
    <w:rsid w:val="005F39DD"/>
    <w:rsid w:val="005F3A8B"/>
    <w:rsid w:val="005F3ADF"/>
    <w:rsid w:val="005F3D96"/>
    <w:rsid w:val="005F3DC9"/>
    <w:rsid w:val="005F448A"/>
    <w:rsid w:val="005F45D8"/>
    <w:rsid w:val="005F485B"/>
    <w:rsid w:val="005F4900"/>
    <w:rsid w:val="005F4BAC"/>
    <w:rsid w:val="005F4BCF"/>
    <w:rsid w:val="005F4E84"/>
    <w:rsid w:val="005F4EB2"/>
    <w:rsid w:val="005F5143"/>
    <w:rsid w:val="005F53C3"/>
    <w:rsid w:val="005F56D9"/>
    <w:rsid w:val="005F5761"/>
    <w:rsid w:val="005F590C"/>
    <w:rsid w:val="005F5A4A"/>
    <w:rsid w:val="005F5AB4"/>
    <w:rsid w:val="005F5B28"/>
    <w:rsid w:val="005F5B6C"/>
    <w:rsid w:val="005F5CC9"/>
    <w:rsid w:val="005F5EB2"/>
    <w:rsid w:val="005F5FEC"/>
    <w:rsid w:val="005F60B7"/>
    <w:rsid w:val="005F63F1"/>
    <w:rsid w:val="005F672A"/>
    <w:rsid w:val="005F68D0"/>
    <w:rsid w:val="005F695D"/>
    <w:rsid w:val="005F6975"/>
    <w:rsid w:val="005F69D8"/>
    <w:rsid w:val="005F69DC"/>
    <w:rsid w:val="005F6AE0"/>
    <w:rsid w:val="005F6CA9"/>
    <w:rsid w:val="005F6D60"/>
    <w:rsid w:val="005F6E73"/>
    <w:rsid w:val="005F6FBC"/>
    <w:rsid w:val="005F752D"/>
    <w:rsid w:val="005F7593"/>
    <w:rsid w:val="005F77C0"/>
    <w:rsid w:val="005F77FA"/>
    <w:rsid w:val="005F7877"/>
    <w:rsid w:val="005F7B95"/>
    <w:rsid w:val="005F7EA5"/>
    <w:rsid w:val="005F7F46"/>
    <w:rsid w:val="0060012B"/>
    <w:rsid w:val="00600165"/>
    <w:rsid w:val="00600229"/>
    <w:rsid w:val="0060032E"/>
    <w:rsid w:val="0060036F"/>
    <w:rsid w:val="006003C7"/>
    <w:rsid w:val="006003D6"/>
    <w:rsid w:val="00600472"/>
    <w:rsid w:val="00600774"/>
    <w:rsid w:val="0060084B"/>
    <w:rsid w:val="00600F29"/>
    <w:rsid w:val="00600F64"/>
    <w:rsid w:val="00600FC0"/>
    <w:rsid w:val="00600FE6"/>
    <w:rsid w:val="006013B0"/>
    <w:rsid w:val="0060148B"/>
    <w:rsid w:val="006016B6"/>
    <w:rsid w:val="0060171C"/>
    <w:rsid w:val="00601728"/>
    <w:rsid w:val="0060184C"/>
    <w:rsid w:val="00601917"/>
    <w:rsid w:val="006019CB"/>
    <w:rsid w:val="00601B0A"/>
    <w:rsid w:val="00601B95"/>
    <w:rsid w:val="00601CD3"/>
    <w:rsid w:val="0060202A"/>
    <w:rsid w:val="0060203E"/>
    <w:rsid w:val="00602744"/>
    <w:rsid w:val="006029C5"/>
    <w:rsid w:val="006031AE"/>
    <w:rsid w:val="006032E2"/>
    <w:rsid w:val="006032F0"/>
    <w:rsid w:val="00603391"/>
    <w:rsid w:val="006033E6"/>
    <w:rsid w:val="00603517"/>
    <w:rsid w:val="0060380A"/>
    <w:rsid w:val="0060397C"/>
    <w:rsid w:val="00603AB0"/>
    <w:rsid w:val="00603C1A"/>
    <w:rsid w:val="006040FD"/>
    <w:rsid w:val="00604269"/>
    <w:rsid w:val="006043C5"/>
    <w:rsid w:val="0060462D"/>
    <w:rsid w:val="00604665"/>
    <w:rsid w:val="00604743"/>
    <w:rsid w:val="00604A18"/>
    <w:rsid w:val="00604ACA"/>
    <w:rsid w:val="00604C32"/>
    <w:rsid w:val="00604C48"/>
    <w:rsid w:val="00604FE0"/>
    <w:rsid w:val="00605158"/>
    <w:rsid w:val="006051DC"/>
    <w:rsid w:val="006054B6"/>
    <w:rsid w:val="0060551D"/>
    <w:rsid w:val="006055FF"/>
    <w:rsid w:val="0060561B"/>
    <w:rsid w:val="00605AF9"/>
    <w:rsid w:val="00605B65"/>
    <w:rsid w:val="00605F05"/>
    <w:rsid w:val="00605FF2"/>
    <w:rsid w:val="006060B9"/>
    <w:rsid w:val="0060622E"/>
    <w:rsid w:val="00606348"/>
    <w:rsid w:val="006063EA"/>
    <w:rsid w:val="00606610"/>
    <w:rsid w:val="00606A1E"/>
    <w:rsid w:val="00606A75"/>
    <w:rsid w:val="00606ED2"/>
    <w:rsid w:val="00607242"/>
    <w:rsid w:val="0060741C"/>
    <w:rsid w:val="00607431"/>
    <w:rsid w:val="006074EB"/>
    <w:rsid w:val="00607606"/>
    <w:rsid w:val="00607BF5"/>
    <w:rsid w:val="00607D8D"/>
    <w:rsid w:val="00607E8E"/>
    <w:rsid w:val="006101E7"/>
    <w:rsid w:val="00610351"/>
    <w:rsid w:val="0061085E"/>
    <w:rsid w:val="006108B5"/>
    <w:rsid w:val="00610913"/>
    <w:rsid w:val="00610ADA"/>
    <w:rsid w:val="00610F54"/>
    <w:rsid w:val="0061109A"/>
    <w:rsid w:val="006112F6"/>
    <w:rsid w:val="00611457"/>
    <w:rsid w:val="0061164C"/>
    <w:rsid w:val="006118CE"/>
    <w:rsid w:val="006118EC"/>
    <w:rsid w:val="00611AD5"/>
    <w:rsid w:val="00611E61"/>
    <w:rsid w:val="00611EB6"/>
    <w:rsid w:val="00611FA6"/>
    <w:rsid w:val="00612101"/>
    <w:rsid w:val="006124CC"/>
    <w:rsid w:val="006126BE"/>
    <w:rsid w:val="006126D4"/>
    <w:rsid w:val="00612961"/>
    <w:rsid w:val="00612B25"/>
    <w:rsid w:val="00612BD3"/>
    <w:rsid w:val="00612D68"/>
    <w:rsid w:val="00612D99"/>
    <w:rsid w:val="00612EAB"/>
    <w:rsid w:val="0061316C"/>
    <w:rsid w:val="0061319D"/>
    <w:rsid w:val="006131A4"/>
    <w:rsid w:val="0061327D"/>
    <w:rsid w:val="006132C4"/>
    <w:rsid w:val="006134B3"/>
    <w:rsid w:val="006135D7"/>
    <w:rsid w:val="00613779"/>
    <w:rsid w:val="0061385D"/>
    <w:rsid w:val="00613965"/>
    <w:rsid w:val="00613CED"/>
    <w:rsid w:val="00614340"/>
    <w:rsid w:val="00614398"/>
    <w:rsid w:val="00614449"/>
    <w:rsid w:val="00614639"/>
    <w:rsid w:val="00614660"/>
    <w:rsid w:val="00614867"/>
    <w:rsid w:val="00614A46"/>
    <w:rsid w:val="00614AA5"/>
    <w:rsid w:val="00614C9A"/>
    <w:rsid w:val="00614F13"/>
    <w:rsid w:val="00614F1E"/>
    <w:rsid w:val="006151F7"/>
    <w:rsid w:val="0061560D"/>
    <w:rsid w:val="00615680"/>
    <w:rsid w:val="0061572F"/>
    <w:rsid w:val="006158B2"/>
    <w:rsid w:val="00615B7C"/>
    <w:rsid w:val="00615C66"/>
    <w:rsid w:val="00615E55"/>
    <w:rsid w:val="00615E70"/>
    <w:rsid w:val="00616318"/>
    <w:rsid w:val="00616370"/>
    <w:rsid w:val="00616496"/>
    <w:rsid w:val="006166E9"/>
    <w:rsid w:val="00616706"/>
    <w:rsid w:val="00616838"/>
    <w:rsid w:val="00616A05"/>
    <w:rsid w:val="00616C01"/>
    <w:rsid w:val="00616F90"/>
    <w:rsid w:val="00616FF4"/>
    <w:rsid w:val="00617193"/>
    <w:rsid w:val="00617454"/>
    <w:rsid w:val="006174CA"/>
    <w:rsid w:val="006176FF"/>
    <w:rsid w:val="00617F15"/>
    <w:rsid w:val="006200AD"/>
    <w:rsid w:val="00620145"/>
    <w:rsid w:val="006201CB"/>
    <w:rsid w:val="0062036A"/>
    <w:rsid w:val="006208AC"/>
    <w:rsid w:val="00620901"/>
    <w:rsid w:val="006209F9"/>
    <w:rsid w:val="00620BFC"/>
    <w:rsid w:val="00620F71"/>
    <w:rsid w:val="00621174"/>
    <w:rsid w:val="00621940"/>
    <w:rsid w:val="00621A47"/>
    <w:rsid w:val="00621B3F"/>
    <w:rsid w:val="00621D00"/>
    <w:rsid w:val="00621E07"/>
    <w:rsid w:val="006222B9"/>
    <w:rsid w:val="006223BA"/>
    <w:rsid w:val="006224F6"/>
    <w:rsid w:val="0062269D"/>
    <w:rsid w:val="00622733"/>
    <w:rsid w:val="00622A69"/>
    <w:rsid w:val="00622DE8"/>
    <w:rsid w:val="00623087"/>
    <w:rsid w:val="00623186"/>
    <w:rsid w:val="0062327E"/>
    <w:rsid w:val="006233CB"/>
    <w:rsid w:val="006234AA"/>
    <w:rsid w:val="00623580"/>
    <w:rsid w:val="0062364D"/>
    <w:rsid w:val="00623822"/>
    <w:rsid w:val="006239F6"/>
    <w:rsid w:val="00623A87"/>
    <w:rsid w:val="00623C5A"/>
    <w:rsid w:val="0062402C"/>
    <w:rsid w:val="00624311"/>
    <w:rsid w:val="00624465"/>
    <w:rsid w:val="006249FB"/>
    <w:rsid w:val="00624A2F"/>
    <w:rsid w:val="00624A64"/>
    <w:rsid w:val="00624C69"/>
    <w:rsid w:val="00624EF5"/>
    <w:rsid w:val="00625112"/>
    <w:rsid w:val="006254FD"/>
    <w:rsid w:val="00625503"/>
    <w:rsid w:val="0062556D"/>
    <w:rsid w:val="00625778"/>
    <w:rsid w:val="00625915"/>
    <w:rsid w:val="00625A8A"/>
    <w:rsid w:val="00625B80"/>
    <w:rsid w:val="00625BC8"/>
    <w:rsid w:val="00625D19"/>
    <w:rsid w:val="00626169"/>
    <w:rsid w:val="006261BC"/>
    <w:rsid w:val="006261F6"/>
    <w:rsid w:val="00626319"/>
    <w:rsid w:val="006263B9"/>
    <w:rsid w:val="006263C9"/>
    <w:rsid w:val="00626626"/>
    <w:rsid w:val="00626784"/>
    <w:rsid w:val="00626A80"/>
    <w:rsid w:val="00626F28"/>
    <w:rsid w:val="0062701A"/>
    <w:rsid w:val="006271B3"/>
    <w:rsid w:val="00627274"/>
    <w:rsid w:val="00627407"/>
    <w:rsid w:val="0062759A"/>
    <w:rsid w:val="00627706"/>
    <w:rsid w:val="006277B6"/>
    <w:rsid w:val="00627BCC"/>
    <w:rsid w:val="00627CE3"/>
    <w:rsid w:val="00627E32"/>
    <w:rsid w:val="00627EA3"/>
    <w:rsid w:val="00630293"/>
    <w:rsid w:val="006302A7"/>
    <w:rsid w:val="00630404"/>
    <w:rsid w:val="00630442"/>
    <w:rsid w:val="006305A1"/>
    <w:rsid w:val="006305FA"/>
    <w:rsid w:val="00630ACE"/>
    <w:rsid w:val="00630C04"/>
    <w:rsid w:val="00630C17"/>
    <w:rsid w:val="00630C36"/>
    <w:rsid w:val="00630DCE"/>
    <w:rsid w:val="00630F06"/>
    <w:rsid w:val="00630F8D"/>
    <w:rsid w:val="006312BE"/>
    <w:rsid w:val="00631653"/>
    <w:rsid w:val="00631723"/>
    <w:rsid w:val="00631884"/>
    <w:rsid w:val="00631A1F"/>
    <w:rsid w:val="00631D88"/>
    <w:rsid w:val="00631E1A"/>
    <w:rsid w:val="006320FA"/>
    <w:rsid w:val="00632227"/>
    <w:rsid w:val="0063256E"/>
    <w:rsid w:val="0063272E"/>
    <w:rsid w:val="006327E1"/>
    <w:rsid w:val="00632882"/>
    <w:rsid w:val="00632B6A"/>
    <w:rsid w:val="00632BF9"/>
    <w:rsid w:val="00632CB6"/>
    <w:rsid w:val="00632DDD"/>
    <w:rsid w:val="00632F36"/>
    <w:rsid w:val="0063323F"/>
    <w:rsid w:val="00633641"/>
    <w:rsid w:val="00633780"/>
    <w:rsid w:val="00633A5C"/>
    <w:rsid w:val="00633A95"/>
    <w:rsid w:val="00633CD7"/>
    <w:rsid w:val="00633CDB"/>
    <w:rsid w:val="00634120"/>
    <w:rsid w:val="0063414E"/>
    <w:rsid w:val="00634285"/>
    <w:rsid w:val="006342E3"/>
    <w:rsid w:val="00634342"/>
    <w:rsid w:val="00634348"/>
    <w:rsid w:val="00634552"/>
    <w:rsid w:val="00634846"/>
    <w:rsid w:val="006349BB"/>
    <w:rsid w:val="00634A12"/>
    <w:rsid w:val="00634C37"/>
    <w:rsid w:val="00634CFD"/>
    <w:rsid w:val="00634D4D"/>
    <w:rsid w:val="00634EE3"/>
    <w:rsid w:val="00634EF6"/>
    <w:rsid w:val="006350CE"/>
    <w:rsid w:val="00635291"/>
    <w:rsid w:val="00635593"/>
    <w:rsid w:val="006356C8"/>
    <w:rsid w:val="006357F4"/>
    <w:rsid w:val="006359B5"/>
    <w:rsid w:val="00635EA2"/>
    <w:rsid w:val="00635F81"/>
    <w:rsid w:val="00636500"/>
    <w:rsid w:val="0063650D"/>
    <w:rsid w:val="00636602"/>
    <w:rsid w:val="00636907"/>
    <w:rsid w:val="00636F9C"/>
    <w:rsid w:val="00637119"/>
    <w:rsid w:val="006373C3"/>
    <w:rsid w:val="0063744E"/>
    <w:rsid w:val="0063793C"/>
    <w:rsid w:val="00637A04"/>
    <w:rsid w:val="00637A9D"/>
    <w:rsid w:val="00637AAC"/>
    <w:rsid w:val="00637AFD"/>
    <w:rsid w:val="00637CFC"/>
    <w:rsid w:val="00637D5B"/>
    <w:rsid w:val="00640140"/>
    <w:rsid w:val="0064014F"/>
    <w:rsid w:val="00640367"/>
    <w:rsid w:val="00640703"/>
    <w:rsid w:val="0064077F"/>
    <w:rsid w:val="00640B56"/>
    <w:rsid w:val="00640CF6"/>
    <w:rsid w:val="00640E5F"/>
    <w:rsid w:val="006411E9"/>
    <w:rsid w:val="00641365"/>
    <w:rsid w:val="00641491"/>
    <w:rsid w:val="006414F8"/>
    <w:rsid w:val="00641590"/>
    <w:rsid w:val="00641862"/>
    <w:rsid w:val="00641887"/>
    <w:rsid w:val="00641FFE"/>
    <w:rsid w:val="006420D9"/>
    <w:rsid w:val="0064244A"/>
    <w:rsid w:val="00642621"/>
    <w:rsid w:val="0064264B"/>
    <w:rsid w:val="006427A8"/>
    <w:rsid w:val="00642944"/>
    <w:rsid w:val="00642BA9"/>
    <w:rsid w:val="00642BB9"/>
    <w:rsid w:val="00642D6C"/>
    <w:rsid w:val="006431BC"/>
    <w:rsid w:val="006432A1"/>
    <w:rsid w:val="006432EB"/>
    <w:rsid w:val="0064335A"/>
    <w:rsid w:val="00643447"/>
    <w:rsid w:val="006434BB"/>
    <w:rsid w:val="006435BF"/>
    <w:rsid w:val="006436BC"/>
    <w:rsid w:val="00643727"/>
    <w:rsid w:val="006437D6"/>
    <w:rsid w:val="0064399E"/>
    <w:rsid w:val="00643A13"/>
    <w:rsid w:val="00643BE7"/>
    <w:rsid w:val="00643D43"/>
    <w:rsid w:val="00643F40"/>
    <w:rsid w:val="00643FCB"/>
    <w:rsid w:val="006441F6"/>
    <w:rsid w:val="00644222"/>
    <w:rsid w:val="006445C1"/>
    <w:rsid w:val="0064492C"/>
    <w:rsid w:val="00644A89"/>
    <w:rsid w:val="00644DAC"/>
    <w:rsid w:val="00644EBD"/>
    <w:rsid w:val="00645087"/>
    <w:rsid w:val="006451C5"/>
    <w:rsid w:val="00645225"/>
    <w:rsid w:val="00645452"/>
    <w:rsid w:val="006454EE"/>
    <w:rsid w:val="00645A5D"/>
    <w:rsid w:val="00645CA2"/>
    <w:rsid w:val="00646028"/>
    <w:rsid w:val="006460F7"/>
    <w:rsid w:val="00646369"/>
    <w:rsid w:val="0064677B"/>
    <w:rsid w:val="006467E5"/>
    <w:rsid w:val="00646957"/>
    <w:rsid w:val="00646CCC"/>
    <w:rsid w:val="00646E58"/>
    <w:rsid w:val="0064726C"/>
    <w:rsid w:val="006472D6"/>
    <w:rsid w:val="0064744E"/>
    <w:rsid w:val="006475B4"/>
    <w:rsid w:val="00647657"/>
    <w:rsid w:val="006476DF"/>
    <w:rsid w:val="00647A53"/>
    <w:rsid w:val="00647A56"/>
    <w:rsid w:val="00647A8B"/>
    <w:rsid w:val="00647ADD"/>
    <w:rsid w:val="00647C41"/>
    <w:rsid w:val="00647CFA"/>
    <w:rsid w:val="00650348"/>
    <w:rsid w:val="006503FB"/>
    <w:rsid w:val="0065042D"/>
    <w:rsid w:val="00650CC1"/>
    <w:rsid w:val="00651023"/>
    <w:rsid w:val="00651069"/>
    <w:rsid w:val="0065106C"/>
    <w:rsid w:val="006510D9"/>
    <w:rsid w:val="00651310"/>
    <w:rsid w:val="00651525"/>
    <w:rsid w:val="00651535"/>
    <w:rsid w:val="00651852"/>
    <w:rsid w:val="006518A3"/>
    <w:rsid w:val="00651952"/>
    <w:rsid w:val="00651956"/>
    <w:rsid w:val="00651ADC"/>
    <w:rsid w:val="00651E77"/>
    <w:rsid w:val="00651F07"/>
    <w:rsid w:val="006525E4"/>
    <w:rsid w:val="00652707"/>
    <w:rsid w:val="00652A93"/>
    <w:rsid w:val="00652D70"/>
    <w:rsid w:val="00652E1F"/>
    <w:rsid w:val="00653120"/>
    <w:rsid w:val="006536E5"/>
    <w:rsid w:val="00653710"/>
    <w:rsid w:val="0065378D"/>
    <w:rsid w:val="006537A0"/>
    <w:rsid w:val="00653963"/>
    <w:rsid w:val="00653A9C"/>
    <w:rsid w:val="00653E75"/>
    <w:rsid w:val="00654128"/>
    <w:rsid w:val="006541F0"/>
    <w:rsid w:val="006543BC"/>
    <w:rsid w:val="0065478C"/>
    <w:rsid w:val="006547B3"/>
    <w:rsid w:val="0065493B"/>
    <w:rsid w:val="006549DD"/>
    <w:rsid w:val="00654CDF"/>
    <w:rsid w:val="00654D45"/>
    <w:rsid w:val="00654D97"/>
    <w:rsid w:val="00654F75"/>
    <w:rsid w:val="00654FBB"/>
    <w:rsid w:val="00655193"/>
    <w:rsid w:val="00655716"/>
    <w:rsid w:val="00655770"/>
    <w:rsid w:val="00655CC2"/>
    <w:rsid w:val="00656015"/>
    <w:rsid w:val="006562BF"/>
    <w:rsid w:val="0065631B"/>
    <w:rsid w:val="006563AC"/>
    <w:rsid w:val="0065652E"/>
    <w:rsid w:val="006566BA"/>
    <w:rsid w:val="006568A8"/>
    <w:rsid w:val="0065691D"/>
    <w:rsid w:val="00656A38"/>
    <w:rsid w:val="00656AC8"/>
    <w:rsid w:val="00656B5B"/>
    <w:rsid w:val="00656B9E"/>
    <w:rsid w:val="00656C64"/>
    <w:rsid w:val="0065703B"/>
    <w:rsid w:val="0065705A"/>
    <w:rsid w:val="006572BC"/>
    <w:rsid w:val="006572CC"/>
    <w:rsid w:val="0065750B"/>
    <w:rsid w:val="00657566"/>
    <w:rsid w:val="006575FF"/>
    <w:rsid w:val="00657696"/>
    <w:rsid w:val="0065773C"/>
    <w:rsid w:val="006579A9"/>
    <w:rsid w:val="00657A00"/>
    <w:rsid w:val="00657CCD"/>
    <w:rsid w:val="00657D55"/>
    <w:rsid w:val="00660526"/>
    <w:rsid w:val="0066059B"/>
    <w:rsid w:val="0066068B"/>
    <w:rsid w:val="006606CF"/>
    <w:rsid w:val="0066077C"/>
    <w:rsid w:val="0066081B"/>
    <w:rsid w:val="006609C9"/>
    <w:rsid w:val="00660A5E"/>
    <w:rsid w:val="00660CEB"/>
    <w:rsid w:val="00660D12"/>
    <w:rsid w:val="00660DFE"/>
    <w:rsid w:val="00660E0D"/>
    <w:rsid w:val="00660F6E"/>
    <w:rsid w:val="0066109E"/>
    <w:rsid w:val="00661282"/>
    <w:rsid w:val="0066180C"/>
    <w:rsid w:val="00661815"/>
    <w:rsid w:val="00661824"/>
    <w:rsid w:val="006618F8"/>
    <w:rsid w:val="006619B1"/>
    <w:rsid w:val="00661D78"/>
    <w:rsid w:val="00662096"/>
    <w:rsid w:val="00662176"/>
    <w:rsid w:val="006621BF"/>
    <w:rsid w:val="0066225C"/>
    <w:rsid w:val="0066227C"/>
    <w:rsid w:val="00662545"/>
    <w:rsid w:val="006626FB"/>
    <w:rsid w:val="00662826"/>
    <w:rsid w:val="00662898"/>
    <w:rsid w:val="00662A00"/>
    <w:rsid w:val="00662B85"/>
    <w:rsid w:val="006630AE"/>
    <w:rsid w:val="00663430"/>
    <w:rsid w:val="00663537"/>
    <w:rsid w:val="006635B6"/>
    <w:rsid w:val="0066394D"/>
    <w:rsid w:val="00663AE6"/>
    <w:rsid w:val="00663B2C"/>
    <w:rsid w:val="00663B58"/>
    <w:rsid w:val="00663BA9"/>
    <w:rsid w:val="00663DE3"/>
    <w:rsid w:val="00663EEA"/>
    <w:rsid w:val="00663EF4"/>
    <w:rsid w:val="00664225"/>
    <w:rsid w:val="006642F8"/>
    <w:rsid w:val="00664376"/>
    <w:rsid w:val="006645DA"/>
    <w:rsid w:val="0066473A"/>
    <w:rsid w:val="0066475D"/>
    <w:rsid w:val="00664FB7"/>
    <w:rsid w:val="006650C6"/>
    <w:rsid w:val="006652CE"/>
    <w:rsid w:val="00665499"/>
    <w:rsid w:val="006658EC"/>
    <w:rsid w:val="006659AE"/>
    <w:rsid w:val="00665A40"/>
    <w:rsid w:val="00665A82"/>
    <w:rsid w:val="00665AAC"/>
    <w:rsid w:val="00665D6E"/>
    <w:rsid w:val="00665EB1"/>
    <w:rsid w:val="00666034"/>
    <w:rsid w:val="0066603C"/>
    <w:rsid w:val="006661E9"/>
    <w:rsid w:val="00666213"/>
    <w:rsid w:val="006665F3"/>
    <w:rsid w:val="006669EC"/>
    <w:rsid w:val="00666DC6"/>
    <w:rsid w:val="00666F78"/>
    <w:rsid w:val="006670CF"/>
    <w:rsid w:val="00667655"/>
    <w:rsid w:val="006676BC"/>
    <w:rsid w:val="006676D3"/>
    <w:rsid w:val="006676D8"/>
    <w:rsid w:val="00667788"/>
    <w:rsid w:val="006677AD"/>
    <w:rsid w:val="006677FB"/>
    <w:rsid w:val="00667892"/>
    <w:rsid w:val="006678AF"/>
    <w:rsid w:val="00667922"/>
    <w:rsid w:val="00667ACA"/>
    <w:rsid w:val="00667F35"/>
    <w:rsid w:val="006705D8"/>
    <w:rsid w:val="006706FE"/>
    <w:rsid w:val="00670935"/>
    <w:rsid w:val="00670F2E"/>
    <w:rsid w:val="00670F6B"/>
    <w:rsid w:val="00670F6C"/>
    <w:rsid w:val="00671066"/>
    <w:rsid w:val="00671234"/>
    <w:rsid w:val="006712C7"/>
    <w:rsid w:val="006712D0"/>
    <w:rsid w:val="00671336"/>
    <w:rsid w:val="0067157B"/>
    <w:rsid w:val="00671746"/>
    <w:rsid w:val="0067177F"/>
    <w:rsid w:val="006717AB"/>
    <w:rsid w:val="006717FF"/>
    <w:rsid w:val="006719A1"/>
    <w:rsid w:val="00671A02"/>
    <w:rsid w:val="00671B51"/>
    <w:rsid w:val="00671B55"/>
    <w:rsid w:val="00671D40"/>
    <w:rsid w:val="00671DD7"/>
    <w:rsid w:val="00672125"/>
    <w:rsid w:val="00672278"/>
    <w:rsid w:val="00672620"/>
    <w:rsid w:val="0067279C"/>
    <w:rsid w:val="00672AB7"/>
    <w:rsid w:val="00672BFE"/>
    <w:rsid w:val="00672C18"/>
    <w:rsid w:val="00672EE7"/>
    <w:rsid w:val="00672F26"/>
    <w:rsid w:val="00673272"/>
    <w:rsid w:val="0067358D"/>
    <w:rsid w:val="0067363E"/>
    <w:rsid w:val="006736E0"/>
    <w:rsid w:val="006736F7"/>
    <w:rsid w:val="00673734"/>
    <w:rsid w:val="00673C9F"/>
    <w:rsid w:val="00673DA8"/>
    <w:rsid w:val="0067400E"/>
    <w:rsid w:val="00674230"/>
    <w:rsid w:val="006742AA"/>
    <w:rsid w:val="00674463"/>
    <w:rsid w:val="00674555"/>
    <w:rsid w:val="0067467C"/>
    <w:rsid w:val="00674778"/>
    <w:rsid w:val="006748AE"/>
    <w:rsid w:val="00674A7B"/>
    <w:rsid w:val="00674D10"/>
    <w:rsid w:val="00674D93"/>
    <w:rsid w:val="00674D96"/>
    <w:rsid w:val="00674E85"/>
    <w:rsid w:val="00674F95"/>
    <w:rsid w:val="00674FE4"/>
    <w:rsid w:val="0067504F"/>
    <w:rsid w:val="0067505E"/>
    <w:rsid w:val="0067521F"/>
    <w:rsid w:val="00675649"/>
    <w:rsid w:val="006758CD"/>
    <w:rsid w:val="006759E5"/>
    <w:rsid w:val="00675BC8"/>
    <w:rsid w:val="00675EB7"/>
    <w:rsid w:val="006760AD"/>
    <w:rsid w:val="006760F8"/>
    <w:rsid w:val="00676125"/>
    <w:rsid w:val="0067624A"/>
    <w:rsid w:val="006764D3"/>
    <w:rsid w:val="006765B0"/>
    <w:rsid w:val="00676AD2"/>
    <w:rsid w:val="00676AFA"/>
    <w:rsid w:val="00676B07"/>
    <w:rsid w:val="00676D82"/>
    <w:rsid w:val="006770BD"/>
    <w:rsid w:val="0067723B"/>
    <w:rsid w:val="00677246"/>
    <w:rsid w:val="0067724B"/>
    <w:rsid w:val="0067731E"/>
    <w:rsid w:val="0067737F"/>
    <w:rsid w:val="00677608"/>
    <w:rsid w:val="00677A58"/>
    <w:rsid w:val="00677DA0"/>
    <w:rsid w:val="00677FB4"/>
    <w:rsid w:val="00677FF5"/>
    <w:rsid w:val="006803C4"/>
    <w:rsid w:val="00680554"/>
    <w:rsid w:val="00680666"/>
    <w:rsid w:val="00680702"/>
    <w:rsid w:val="006808DC"/>
    <w:rsid w:val="00680BA8"/>
    <w:rsid w:val="00680BDE"/>
    <w:rsid w:val="00680D08"/>
    <w:rsid w:val="00680D89"/>
    <w:rsid w:val="00680DED"/>
    <w:rsid w:val="00681053"/>
    <w:rsid w:val="0068146E"/>
    <w:rsid w:val="006818AB"/>
    <w:rsid w:val="0068191B"/>
    <w:rsid w:val="00681B17"/>
    <w:rsid w:val="00681C0F"/>
    <w:rsid w:val="00681DAE"/>
    <w:rsid w:val="00681E04"/>
    <w:rsid w:val="00681FED"/>
    <w:rsid w:val="006820A4"/>
    <w:rsid w:val="006821DA"/>
    <w:rsid w:val="00682357"/>
    <w:rsid w:val="006823E2"/>
    <w:rsid w:val="006826D4"/>
    <w:rsid w:val="00682953"/>
    <w:rsid w:val="00682A43"/>
    <w:rsid w:val="00682BB0"/>
    <w:rsid w:val="00682D67"/>
    <w:rsid w:val="00682D95"/>
    <w:rsid w:val="00682F25"/>
    <w:rsid w:val="006835A9"/>
    <w:rsid w:val="006839C6"/>
    <w:rsid w:val="00683AC7"/>
    <w:rsid w:val="00683D53"/>
    <w:rsid w:val="00683E8E"/>
    <w:rsid w:val="0068415A"/>
    <w:rsid w:val="00684293"/>
    <w:rsid w:val="006842E9"/>
    <w:rsid w:val="00684364"/>
    <w:rsid w:val="006848A7"/>
    <w:rsid w:val="006849A5"/>
    <w:rsid w:val="00684D04"/>
    <w:rsid w:val="00684D60"/>
    <w:rsid w:val="00685F38"/>
    <w:rsid w:val="00686001"/>
    <w:rsid w:val="00686256"/>
    <w:rsid w:val="00686269"/>
    <w:rsid w:val="006862EE"/>
    <w:rsid w:val="0068634E"/>
    <w:rsid w:val="006864BF"/>
    <w:rsid w:val="00686524"/>
    <w:rsid w:val="006865F3"/>
    <w:rsid w:val="00686676"/>
    <w:rsid w:val="0068684A"/>
    <w:rsid w:val="00686AF2"/>
    <w:rsid w:val="00686C0B"/>
    <w:rsid w:val="00686EF8"/>
    <w:rsid w:val="006872A2"/>
    <w:rsid w:val="00687324"/>
    <w:rsid w:val="00687371"/>
    <w:rsid w:val="0068737E"/>
    <w:rsid w:val="00687421"/>
    <w:rsid w:val="006874D6"/>
    <w:rsid w:val="00687993"/>
    <w:rsid w:val="006879BC"/>
    <w:rsid w:val="006879CC"/>
    <w:rsid w:val="00687A82"/>
    <w:rsid w:val="00687B06"/>
    <w:rsid w:val="00687B9D"/>
    <w:rsid w:val="00687DC1"/>
    <w:rsid w:val="00687F57"/>
    <w:rsid w:val="0069016A"/>
    <w:rsid w:val="0069049C"/>
    <w:rsid w:val="00690644"/>
    <w:rsid w:val="0069074A"/>
    <w:rsid w:val="0069080F"/>
    <w:rsid w:val="00690893"/>
    <w:rsid w:val="006908C7"/>
    <w:rsid w:val="00690940"/>
    <w:rsid w:val="00690BC0"/>
    <w:rsid w:val="00690D37"/>
    <w:rsid w:val="00690E20"/>
    <w:rsid w:val="00691046"/>
    <w:rsid w:val="0069113C"/>
    <w:rsid w:val="006911BE"/>
    <w:rsid w:val="00691214"/>
    <w:rsid w:val="006913F0"/>
    <w:rsid w:val="0069141A"/>
    <w:rsid w:val="0069149C"/>
    <w:rsid w:val="0069160D"/>
    <w:rsid w:val="00691656"/>
    <w:rsid w:val="00691916"/>
    <w:rsid w:val="00691950"/>
    <w:rsid w:val="00691B4B"/>
    <w:rsid w:val="00691FE6"/>
    <w:rsid w:val="00692104"/>
    <w:rsid w:val="0069220A"/>
    <w:rsid w:val="00692303"/>
    <w:rsid w:val="00692448"/>
    <w:rsid w:val="00692501"/>
    <w:rsid w:val="006925A8"/>
    <w:rsid w:val="006925C6"/>
    <w:rsid w:val="006926BB"/>
    <w:rsid w:val="006926CF"/>
    <w:rsid w:val="006926E2"/>
    <w:rsid w:val="00692B80"/>
    <w:rsid w:val="00692C29"/>
    <w:rsid w:val="0069303C"/>
    <w:rsid w:val="006932A0"/>
    <w:rsid w:val="00693335"/>
    <w:rsid w:val="0069358E"/>
    <w:rsid w:val="0069368B"/>
    <w:rsid w:val="0069397F"/>
    <w:rsid w:val="00693A22"/>
    <w:rsid w:val="00693C3B"/>
    <w:rsid w:val="00693D91"/>
    <w:rsid w:val="00693EB8"/>
    <w:rsid w:val="00693FBF"/>
    <w:rsid w:val="00694113"/>
    <w:rsid w:val="0069422B"/>
    <w:rsid w:val="006943A5"/>
    <w:rsid w:val="00694418"/>
    <w:rsid w:val="0069442A"/>
    <w:rsid w:val="00694843"/>
    <w:rsid w:val="0069493D"/>
    <w:rsid w:val="00694B32"/>
    <w:rsid w:val="00694B88"/>
    <w:rsid w:val="00694CE8"/>
    <w:rsid w:val="00694FD0"/>
    <w:rsid w:val="00695224"/>
    <w:rsid w:val="006953AE"/>
    <w:rsid w:val="006954D6"/>
    <w:rsid w:val="006958A7"/>
    <w:rsid w:val="00695986"/>
    <w:rsid w:val="00695AD1"/>
    <w:rsid w:val="00695C4A"/>
    <w:rsid w:val="00695E90"/>
    <w:rsid w:val="00696071"/>
    <w:rsid w:val="00696269"/>
    <w:rsid w:val="00696621"/>
    <w:rsid w:val="00696663"/>
    <w:rsid w:val="006966A9"/>
    <w:rsid w:val="006966B3"/>
    <w:rsid w:val="006966F6"/>
    <w:rsid w:val="0069687D"/>
    <w:rsid w:val="006968A4"/>
    <w:rsid w:val="00696953"/>
    <w:rsid w:val="00696A49"/>
    <w:rsid w:val="00696B51"/>
    <w:rsid w:val="00696F27"/>
    <w:rsid w:val="00696F79"/>
    <w:rsid w:val="00697043"/>
    <w:rsid w:val="00697175"/>
    <w:rsid w:val="006974DB"/>
    <w:rsid w:val="00697930"/>
    <w:rsid w:val="00697A96"/>
    <w:rsid w:val="00697D1F"/>
    <w:rsid w:val="00697D84"/>
    <w:rsid w:val="00697F64"/>
    <w:rsid w:val="006A0653"/>
    <w:rsid w:val="006A0980"/>
    <w:rsid w:val="006A0C70"/>
    <w:rsid w:val="006A0E2E"/>
    <w:rsid w:val="006A0E67"/>
    <w:rsid w:val="006A12EE"/>
    <w:rsid w:val="006A160B"/>
    <w:rsid w:val="006A1633"/>
    <w:rsid w:val="006A1988"/>
    <w:rsid w:val="006A1BAB"/>
    <w:rsid w:val="006A1CF8"/>
    <w:rsid w:val="006A2124"/>
    <w:rsid w:val="006A2296"/>
    <w:rsid w:val="006A2301"/>
    <w:rsid w:val="006A231A"/>
    <w:rsid w:val="006A235F"/>
    <w:rsid w:val="006A2FD1"/>
    <w:rsid w:val="006A34D6"/>
    <w:rsid w:val="006A35EC"/>
    <w:rsid w:val="006A3641"/>
    <w:rsid w:val="006A38DE"/>
    <w:rsid w:val="006A3923"/>
    <w:rsid w:val="006A3B6D"/>
    <w:rsid w:val="006A3D8A"/>
    <w:rsid w:val="006A3DE8"/>
    <w:rsid w:val="006A3E3E"/>
    <w:rsid w:val="006A3F8F"/>
    <w:rsid w:val="006A4145"/>
    <w:rsid w:val="006A4296"/>
    <w:rsid w:val="006A49D7"/>
    <w:rsid w:val="006A4BEB"/>
    <w:rsid w:val="006A4D86"/>
    <w:rsid w:val="006A4EF6"/>
    <w:rsid w:val="006A504D"/>
    <w:rsid w:val="006A5095"/>
    <w:rsid w:val="006A50C4"/>
    <w:rsid w:val="006A51DF"/>
    <w:rsid w:val="006A5369"/>
    <w:rsid w:val="006A54C1"/>
    <w:rsid w:val="006A5513"/>
    <w:rsid w:val="006A5A2D"/>
    <w:rsid w:val="006A5B84"/>
    <w:rsid w:val="006A5C6C"/>
    <w:rsid w:val="006A5D36"/>
    <w:rsid w:val="006A5DE4"/>
    <w:rsid w:val="006A5DEE"/>
    <w:rsid w:val="006A5F74"/>
    <w:rsid w:val="006A635D"/>
    <w:rsid w:val="006A6389"/>
    <w:rsid w:val="006A6880"/>
    <w:rsid w:val="006A6A5E"/>
    <w:rsid w:val="006A6C1A"/>
    <w:rsid w:val="006A6CA4"/>
    <w:rsid w:val="006A6D7D"/>
    <w:rsid w:val="006A6F06"/>
    <w:rsid w:val="006A7153"/>
    <w:rsid w:val="006A7544"/>
    <w:rsid w:val="006A75EB"/>
    <w:rsid w:val="006A78B2"/>
    <w:rsid w:val="006A79E3"/>
    <w:rsid w:val="006A7B40"/>
    <w:rsid w:val="006A7D2A"/>
    <w:rsid w:val="006A7DBB"/>
    <w:rsid w:val="006B0254"/>
    <w:rsid w:val="006B037A"/>
    <w:rsid w:val="006B0502"/>
    <w:rsid w:val="006B05C1"/>
    <w:rsid w:val="006B0638"/>
    <w:rsid w:val="006B078D"/>
    <w:rsid w:val="006B0B56"/>
    <w:rsid w:val="006B0FAC"/>
    <w:rsid w:val="006B0FF7"/>
    <w:rsid w:val="006B1131"/>
    <w:rsid w:val="006B1158"/>
    <w:rsid w:val="006B1178"/>
    <w:rsid w:val="006B121F"/>
    <w:rsid w:val="006B143D"/>
    <w:rsid w:val="006B1508"/>
    <w:rsid w:val="006B161C"/>
    <w:rsid w:val="006B1690"/>
    <w:rsid w:val="006B1BA9"/>
    <w:rsid w:val="006B1C92"/>
    <w:rsid w:val="006B1CD5"/>
    <w:rsid w:val="006B1CEF"/>
    <w:rsid w:val="006B2612"/>
    <w:rsid w:val="006B2627"/>
    <w:rsid w:val="006B2737"/>
    <w:rsid w:val="006B27B1"/>
    <w:rsid w:val="006B27EB"/>
    <w:rsid w:val="006B2889"/>
    <w:rsid w:val="006B28AB"/>
    <w:rsid w:val="006B2BCC"/>
    <w:rsid w:val="006B2DDD"/>
    <w:rsid w:val="006B2E11"/>
    <w:rsid w:val="006B2E18"/>
    <w:rsid w:val="006B2E68"/>
    <w:rsid w:val="006B2EE3"/>
    <w:rsid w:val="006B30C5"/>
    <w:rsid w:val="006B315A"/>
    <w:rsid w:val="006B321C"/>
    <w:rsid w:val="006B3320"/>
    <w:rsid w:val="006B3353"/>
    <w:rsid w:val="006B34A8"/>
    <w:rsid w:val="006B3A01"/>
    <w:rsid w:val="006B3BEC"/>
    <w:rsid w:val="006B3C22"/>
    <w:rsid w:val="006B3CBB"/>
    <w:rsid w:val="006B3DAA"/>
    <w:rsid w:val="006B4052"/>
    <w:rsid w:val="006B4083"/>
    <w:rsid w:val="006B42F4"/>
    <w:rsid w:val="006B430E"/>
    <w:rsid w:val="006B46E7"/>
    <w:rsid w:val="006B4B35"/>
    <w:rsid w:val="006B5110"/>
    <w:rsid w:val="006B5182"/>
    <w:rsid w:val="006B5339"/>
    <w:rsid w:val="006B53D5"/>
    <w:rsid w:val="006B5767"/>
    <w:rsid w:val="006B5A6C"/>
    <w:rsid w:val="006B5EDB"/>
    <w:rsid w:val="006B5FA1"/>
    <w:rsid w:val="006B6060"/>
    <w:rsid w:val="006B635F"/>
    <w:rsid w:val="006B6574"/>
    <w:rsid w:val="006B661C"/>
    <w:rsid w:val="006B6994"/>
    <w:rsid w:val="006B69CD"/>
    <w:rsid w:val="006B6D04"/>
    <w:rsid w:val="006B6DB5"/>
    <w:rsid w:val="006B721C"/>
    <w:rsid w:val="006B76D0"/>
    <w:rsid w:val="006B7876"/>
    <w:rsid w:val="006B7995"/>
    <w:rsid w:val="006B7CBF"/>
    <w:rsid w:val="006B7E80"/>
    <w:rsid w:val="006C0667"/>
    <w:rsid w:val="006C06D1"/>
    <w:rsid w:val="006C097C"/>
    <w:rsid w:val="006C0ACB"/>
    <w:rsid w:val="006C0AE4"/>
    <w:rsid w:val="006C0B7F"/>
    <w:rsid w:val="006C0D0B"/>
    <w:rsid w:val="006C0F57"/>
    <w:rsid w:val="006C10F4"/>
    <w:rsid w:val="006C12CC"/>
    <w:rsid w:val="006C1438"/>
    <w:rsid w:val="006C1599"/>
    <w:rsid w:val="006C1A08"/>
    <w:rsid w:val="006C1ADE"/>
    <w:rsid w:val="006C1D4F"/>
    <w:rsid w:val="006C1DC3"/>
    <w:rsid w:val="006C1E8F"/>
    <w:rsid w:val="006C1F0F"/>
    <w:rsid w:val="006C1F38"/>
    <w:rsid w:val="006C234F"/>
    <w:rsid w:val="006C24CC"/>
    <w:rsid w:val="006C250D"/>
    <w:rsid w:val="006C27A6"/>
    <w:rsid w:val="006C2ACA"/>
    <w:rsid w:val="006C2C6A"/>
    <w:rsid w:val="006C2C71"/>
    <w:rsid w:val="006C2C77"/>
    <w:rsid w:val="006C2CC1"/>
    <w:rsid w:val="006C2EB3"/>
    <w:rsid w:val="006C2F2B"/>
    <w:rsid w:val="006C3188"/>
    <w:rsid w:val="006C3343"/>
    <w:rsid w:val="006C362B"/>
    <w:rsid w:val="006C37D0"/>
    <w:rsid w:val="006C3829"/>
    <w:rsid w:val="006C3C17"/>
    <w:rsid w:val="006C3D2E"/>
    <w:rsid w:val="006C3DA1"/>
    <w:rsid w:val="006C409D"/>
    <w:rsid w:val="006C4272"/>
    <w:rsid w:val="006C42D7"/>
    <w:rsid w:val="006C42DA"/>
    <w:rsid w:val="006C440D"/>
    <w:rsid w:val="006C4541"/>
    <w:rsid w:val="006C45C0"/>
    <w:rsid w:val="006C468E"/>
    <w:rsid w:val="006C48E7"/>
    <w:rsid w:val="006C4AB9"/>
    <w:rsid w:val="006C4C4D"/>
    <w:rsid w:val="006C4F7E"/>
    <w:rsid w:val="006C5005"/>
    <w:rsid w:val="006C5107"/>
    <w:rsid w:val="006C5284"/>
    <w:rsid w:val="006C52DC"/>
    <w:rsid w:val="006C530C"/>
    <w:rsid w:val="006C5412"/>
    <w:rsid w:val="006C5BA9"/>
    <w:rsid w:val="006C5D5F"/>
    <w:rsid w:val="006C5E67"/>
    <w:rsid w:val="006C5FD0"/>
    <w:rsid w:val="006C60DA"/>
    <w:rsid w:val="006C611D"/>
    <w:rsid w:val="006C6583"/>
    <w:rsid w:val="006C65F8"/>
    <w:rsid w:val="006C6958"/>
    <w:rsid w:val="006C6ADD"/>
    <w:rsid w:val="006C6C12"/>
    <w:rsid w:val="006C6D5F"/>
    <w:rsid w:val="006C6DD3"/>
    <w:rsid w:val="006C6E11"/>
    <w:rsid w:val="006C6F65"/>
    <w:rsid w:val="006C7051"/>
    <w:rsid w:val="006C70B7"/>
    <w:rsid w:val="006C7223"/>
    <w:rsid w:val="006C72E5"/>
    <w:rsid w:val="006C7436"/>
    <w:rsid w:val="006C7450"/>
    <w:rsid w:val="006C74F7"/>
    <w:rsid w:val="006C773D"/>
    <w:rsid w:val="006C77A8"/>
    <w:rsid w:val="006C7B1F"/>
    <w:rsid w:val="006C7CAE"/>
    <w:rsid w:val="006C7F92"/>
    <w:rsid w:val="006D0099"/>
    <w:rsid w:val="006D00CB"/>
    <w:rsid w:val="006D00E0"/>
    <w:rsid w:val="006D0385"/>
    <w:rsid w:val="006D069E"/>
    <w:rsid w:val="006D0913"/>
    <w:rsid w:val="006D0A48"/>
    <w:rsid w:val="006D0DFA"/>
    <w:rsid w:val="006D0F17"/>
    <w:rsid w:val="006D139C"/>
    <w:rsid w:val="006D1450"/>
    <w:rsid w:val="006D1581"/>
    <w:rsid w:val="006D1621"/>
    <w:rsid w:val="006D164E"/>
    <w:rsid w:val="006D173A"/>
    <w:rsid w:val="006D1B7B"/>
    <w:rsid w:val="006D1D28"/>
    <w:rsid w:val="006D1E29"/>
    <w:rsid w:val="006D1ED9"/>
    <w:rsid w:val="006D20B4"/>
    <w:rsid w:val="006D227A"/>
    <w:rsid w:val="006D246E"/>
    <w:rsid w:val="006D24B4"/>
    <w:rsid w:val="006D277E"/>
    <w:rsid w:val="006D280C"/>
    <w:rsid w:val="006D28AB"/>
    <w:rsid w:val="006D2A03"/>
    <w:rsid w:val="006D2B7D"/>
    <w:rsid w:val="006D2C9A"/>
    <w:rsid w:val="006D2D3D"/>
    <w:rsid w:val="006D2D3F"/>
    <w:rsid w:val="006D3119"/>
    <w:rsid w:val="006D31C5"/>
    <w:rsid w:val="006D362A"/>
    <w:rsid w:val="006D367B"/>
    <w:rsid w:val="006D3B0B"/>
    <w:rsid w:val="006D3B55"/>
    <w:rsid w:val="006D3CAF"/>
    <w:rsid w:val="006D4091"/>
    <w:rsid w:val="006D40BC"/>
    <w:rsid w:val="006D449F"/>
    <w:rsid w:val="006D44D1"/>
    <w:rsid w:val="006D456B"/>
    <w:rsid w:val="006D4611"/>
    <w:rsid w:val="006D46B9"/>
    <w:rsid w:val="006D472F"/>
    <w:rsid w:val="006D47CA"/>
    <w:rsid w:val="006D4827"/>
    <w:rsid w:val="006D4C05"/>
    <w:rsid w:val="006D4CB2"/>
    <w:rsid w:val="006D4D37"/>
    <w:rsid w:val="006D4F70"/>
    <w:rsid w:val="006D5191"/>
    <w:rsid w:val="006D52AB"/>
    <w:rsid w:val="006D53B6"/>
    <w:rsid w:val="006D5477"/>
    <w:rsid w:val="006D5637"/>
    <w:rsid w:val="006D564C"/>
    <w:rsid w:val="006D568D"/>
    <w:rsid w:val="006D5C14"/>
    <w:rsid w:val="006D5C8F"/>
    <w:rsid w:val="006D5CDD"/>
    <w:rsid w:val="006D5E1E"/>
    <w:rsid w:val="006D5FCE"/>
    <w:rsid w:val="006D6112"/>
    <w:rsid w:val="006D6480"/>
    <w:rsid w:val="006D6513"/>
    <w:rsid w:val="006D652D"/>
    <w:rsid w:val="006D6700"/>
    <w:rsid w:val="006D682A"/>
    <w:rsid w:val="006D70FC"/>
    <w:rsid w:val="006D71BF"/>
    <w:rsid w:val="006D738B"/>
    <w:rsid w:val="006D743F"/>
    <w:rsid w:val="006D756C"/>
    <w:rsid w:val="006D7679"/>
    <w:rsid w:val="006D77ED"/>
    <w:rsid w:val="006D7DF3"/>
    <w:rsid w:val="006E00DE"/>
    <w:rsid w:val="006E0105"/>
    <w:rsid w:val="006E06B6"/>
    <w:rsid w:val="006E06F2"/>
    <w:rsid w:val="006E0728"/>
    <w:rsid w:val="006E0840"/>
    <w:rsid w:val="006E0ADB"/>
    <w:rsid w:val="006E0B5B"/>
    <w:rsid w:val="006E0E09"/>
    <w:rsid w:val="006E0E1F"/>
    <w:rsid w:val="006E0F98"/>
    <w:rsid w:val="006E103C"/>
    <w:rsid w:val="006E13B1"/>
    <w:rsid w:val="006E1483"/>
    <w:rsid w:val="006E16CD"/>
    <w:rsid w:val="006E1860"/>
    <w:rsid w:val="006E18C8"/>
    <w:rsid w:val="006E1952"/>
    <w:rsid w:val="006E1A4E"/>
    <w:rsid w:val="006E1A80"/>
    <w:rsid w:val="006E1D42"/>
    <w:rsid w:val="006E1F11"/>
    <w:rsid w:val="006E1F6B"/>
    <w:rsid w:val="006E23EF"/>
    <w:rsid w:val="006E2494"/>
    <w:rsid w:val="006E2AF0"/>
    <w:rsid w:val="006E2B19"/>
    <w:rsid w:val="006E2B96"/>
    <w:rsid w:val="006E2C9D"/>
    <w:rsid w:val="006E2D6C"/>
    <w:rsid w:val="006E304F"/>
    <w:rsid w:val="006E30D3"/>
    <w:rsid w:val="006E3158"/>
    <w:rsid w:val="006E319C"/>
    <w:rsid w:val="006E3300"/>
    <w:rsid w:val="006E333B"/>
    <w:rsid w:val="006E33AB"/>
    <w:rsid w:val="006E33B7"/>
    <w:rsid w:val="006E33FA"/>
    <w:rsid w:val="006E3445"/>
    <w:rsid w:val="006E351C"/>
    <w:rsid w:val="006E3669"/>
    <w:rsid w:val="006E3A79"/>
    <w:rsid w:val="006E3BBF"/>
    <w:rsid w:val="006E3D48"/>
    <w:rsid w:val="006E3E78"/>
    <w:rsid w:val="006E4111"/>
    <w:rsid w:val="006E412C"/>
    <w:rsid w:val="006E420C"/>
    <w:rsid w:val="006E4349"/>
    <w:rsid w:val="006E4361"/>
    <w:rsid w:val="006E4700"/>
    <w:rsid w:val="006E4AD8"/>
    <w:rsid w:val="006E4C31"/>
    <w:rsid w:val="006E4FE0"/>
    <w:rsid w:val="006E50BC"/>
    <w:rsid w:val="006E53BB"/>
    <w:rsid w:val="006E53CC"/>
    <w:rsid w:val="006E5473"/>
    <w:rsid w:val="006E5657"/>
    <w:rsid w:val="006E5715"/>
    <w:rsid w:val="006E5ABF"/>
    <w:rsid w:val="006E623D"/>
    <w:rsid w:val="006E63F6"/>
    <w:rsid w:val="006E6413"/>
    <w:rsid w:val="006E6652"/>
    <w:rsid w:val="006E691F"/>
    <w:rsid w:val="006E6AB2"/>
    <w:rsid w:val="006E726A"/>
    <w:rsid w:val="006E753E"/>
    <w:rsid w:val="006E76A2"/>
    <w:rsid w:val="006E78E1"/>
    <w:rsid w:val="006E798B"/>
    <w:rsid w:val="006E7BAD"/>
    <w:rsid w:val="006E7BEF"/>
    <w:rsid w:val="006E7F0F"/>
    <w:rsid w:val="006F0078"/>
    <w:rsid w:val="006F03E3"/>
    <w:rsid w:val="006F0653"/>
    <w:rsid w:val="006F08F1"/>
    <w:rsid w:val="006F09C0"/>
    <w:rsid w:val="006F0AE1"/>
    <w:rsid w:val="006F1074"/>
    <w:rsid w:val="006F1091"/>
    <w:rsid w:val="006F1346"/>
    <w:rsid w:val="006F149B"/>
    <w:rsid w:val="006F14B9"/>
    <w:rsid w:val="006F1570"/>
    <w:rsid w:val="006F178C"/>
    <w:rsid w:val="006F17B3"/>
    <w:rsid w:val="006F1812"/>
    <w:rsid w:val="006F183E"/>
    <w:rsid w:val="006F1B00"/>
    <w:rsid w:val="006F1CD8"/>
    <w:rsid w:val="006F1D5B"/>
    <w:rsid w:val="006F1ECD"/>
    <w:rsid w:val="006F2246"/>
    <w:rsid w:val="006F2397"/>
    <w:rsid w:val="006F2565"/>
    <w:rsid w:val="006F258A"/>
    <w:rsid w:val="006F25CA"/>
    <w:rsid w:val="006F2926"/>
    <w:rsid w:val="006F2AE1"/>
    <w:rsid w:val="006F2C14"/>
    <w:rsid w:val="006F2C81"/>
    <w:rsid w:val="006F2CF7"/>
    <w:rsid w:val="006F2D9A"/>
    <w:rsid w:val="006F30AC"/>
    <w:rsid w:val="006F363B"/>
    <w:rsid w:val="006F36BB"/>
    <w:rsid w:val="006F3CE7"/>
    <w:rsid w:val="006F3D2D"/>
    <w:rsid w:val="006F3D86"/>
    <w:rsid w:val="006F3DD3"/>
    <w:rsid w:val="006F3E8C"/>
    <w:rsid w:val="006F404C"/>
    <w:rsid w:val="006F40FD"/>
    <w:rsid w:val="006F4194"/>
    <w:rsid w:val="006F41C1"/>
    <w:rsid w:val="006F43C0"/>
    <w:rsid w:val="006F43FF"/>
    <w:rsid w:val="006F44A3"/>
    <w:rsid w:val="006F4836"/>
    <w:rsid w:val="006F5089"/>
    <w:rsid w:val="006F56BA"/>
    <w:rsid w:val="006F5813"/>
    <w:rsid w:val="006F59DD"/>
    <w:rsid w:val="006F5D38"/>
    <w:rsid w:val="006F5FA3"/>
    <w:rsid w:val="006F60F9"/>
    <w:rsid w:val="006F61CA"/>
    <w:rsid w:val="006F61E2"/>
    <w:rsid w:val="006F6278"/>
    <w:rsid w:val="006F6288"/>
    <w:rsid w:val="006F62F6"/>
    <w:rsid w:val="006F6434"/>
    <w:rsid w:val="006F647B"/>
    <w:rsid w:val="006F64E7"/>
    <w:rsid w:val="006F6648"/>
    <w:rsid w:val="006F66A8"/>
    <w:rsid w:val="006F699D"/>
    <w:rsid w:val="006F69E7"/>
    <w:rsid w:val="006F7142"/>
    <w:rsid w:val="006F7147"/>
    <w:rsid w:val="006F7C26"/>
    <w:rsid w:val="006F7CA0"/>
    <w:rsid w:val="006F7E8A"/>
    <w:rsid w:val="00700275"/>
    <w:rsid w:val="00700312"/>
    <w:rsid w:val="007005C0"/>
    <w:rsid w:val="007008E0"/>
    <w:rsid w:val="00700A10"/>
    <w:rsid w:val="00700AFB"/>
    <w:rsid w:val="00700F3C"/>
    <w:rsid w:val="00701187"/>
    <w:rsid w:val="007012D8"/>
    <w:rsid w:val="00701350"/>
    <w:rsid w:val="007013BA"/>
    <w:rsid w:val="007015A1"/>
    <w:rsid w:val="007016A7"/>
    <w:rsid w:val="00701700"/>
    <w:rsid w:val="007017CC"/>
    <w:rsid w:val="007018A6"/>
    <w:rsid w:val="007018D2"/>
    <w:rsid w:val="007018F7"/>
    <w:rsid w:val="0070197F"/>
    <w:rsid w:val="00701F89"/>
    <w:rsid w:val="00702151"/>
    <w:rsid w:val="0070223E"/>
    <w:rsid w:val="0070225F"/>
    <w:rsid w:val="00702263"/>
    <w:rsid w:val="0070260F"/>
    <w:rsid w:val="00702B47"/>
    <w:rsid w:val="00702DF2"/>
    <w:rsid w:val="00702E00"/>
    <w:rsid w:val="007030AD"/>
    <w:rsid w:val="0070350E"/>
    <w:rsid w:val="007035D0"/>
    <w:rsid w:val="00703655"/>
    <w:rsid w:val="00703DE9"/>
    <w:rsid w:val="00703E84"/>
    <w:rsid w:val="00703EF2"/>
    <w:rsid w:val="00703EF5"/>
    <w:rsid w:val="00703F60"/>
    <w:rsid w:val="00703FB9"/>
    <w:rsid w:val="0070427D"/>
    <w:rsid w:val="007044C0"/>
    <w:rsid w:val="0070452A"/>
    <w:rsid w:val="00704EE2"/>
    <w:rsid w:val="0070500C"/>
    <w:rsid w:val="00705390"/>
    <w:rsid w:val="0070561D"/>
    <w:rsid w:val="007057B2"/>
    <w:rsid w:val="007058D8"/>
    <w:rsid w:val="00705C2F"/>
    <w:rsid w:val="00705D38"/>
    <w:rsid w:val="00705E1E"/>
    <w:rsid w:val="00705F50"/>
    <w:rsid w:val="00705FA0"/>
    <w:rsid w:val="0070605D"/>
    <w:rsid w:val="0070606A"/>
    <w:rsid w:val="007061BD"/>
    <w:rsid w:val="00706454"/>
    <w:rsid w:val="007064BF"/>
    <w:rsid w:val="0070655B"/>
    <w:rsid w:val="00706685"/>
    <w:rsid w:val="007066EB"/>
    <w:rsid w:val="00706733"/>
    <w:rsid w:val="00706820"/>
    <w:rsid w:val="00706968"/>
    <w:rsid w:val="00706AA2"/>
    <w:rsid w:val="00706B29"/>
    <w:rsid w:val="00706B3D"/>
    <w:rsid w:val="00706DDF"/>
    <w:rsid w:val="00706E84"/>
    <w:rsid w:val="00707200"/>
    <w:rsid w:val="0070752B"/>
    <w:rsid w:val="007079A0"/>
    <w:rsid w:val="00707AD0"/>
    <w:rsid w:val="00707D8E"/>
    <w:rsid w:val="00707F3B"/>
    <w:rsid w:val="00710329"/>
    <w:rsid w:val="00710427"/>
    <w:rsid w:val="00710559"/>
    <w:rsid w:val="0071064C"/>
    <w:rsid w:val="00710745"/>
    <w:rsid w:val="00710A20"/>
    <w:rsid w:val="00710A33"/>
    <w:rsid w:val="00710BC8"/>
    <w:rsid w:val="00710C20"/>
    <w:rsid w:val="00710E22"/>
    <w:rsid w:val="00711172"/>
    <w:rsid w:val="0071129D"/>
    <w:rsid w:val="007114B2"/>
    <w:rsid w:val="0071163E"/>
    <w:rsid w:val="007119CF"/>
    <w:rsid w:val="0071219E"/>
    <w:rsid w:val="0071229B"/>
    <w:rsid w:val="0071261F"/>
    <w:rsid w:val="00712923"/>
    <w:rsid w:val="00712953"/>
    <w:rsid w:val="00712C28"/>
    <w:rsid w:val="00712C76"/>
    <w:rsid w:val="00712C90"/>
    <w:rsid w:val="00712EC5"/>
    <w:rsid w:val="00712FB0"/>
    <w:rsid w:val="007130BE"/>
    <w:rsid w:val="0071333D"/>
    <w:rsid w:val="00713543"/>
    <w:rsid w:val="00713D66"/>
    <w:rsid w:val="00713D9D"/>
    <w:rsid w:val="00713F0D"/>
    <w:rsid w:val="00713F8D"/>
    <w:rsid w:val="007141C1"/>
    <w:rsid w:val="00714438"/>
    <w:rsid w:val="0071443C"/>
    <w:rsid w:val="007144A9"/>
    <w:rsid w:val="007146B6"/>
    <w:rsid w:val="007146D2"/>
    <w:rsid w:val="0071474B"/>
    <w:rsid w:val="00714C7A"/>
    <w:rsid w:val="00714EA2"/>
    <w:rsid w:val="00714F8C"/>
    <w:rsid w:val="0071502B"/>
    <w:rsid w:val="007150AB"/>
    <w:rsid w:val="0071550E"/>
    <w:rsid w:val="0071555A"/>
    <w:rsid w:val="00715A69"/>
    <w:rsid w:val="00715AB8"/>
    <w:rsid w:val="00715C21"/>
    <w:rsid w:val="00716045"/>
    <w:rsid w:val="00716389"/>
    <w:rsid w:val="0071647B"/>
    <w:rsid w:val="00716506"/>
    <w:rsid w:val="00716754"/>
    <w:rsid w:val="007168A9"/>
    <w:rsid w:val="00716B66"/>
    <w:rsid w:val="00716BAA"/>
    <w:rsid w:val="00716CD0"/>
    <w:rsid w:val="00717034"/>
    <w:rsid w:val="007172A6"/>
    <w:rsid w:val="00717923"/>
    <w:rsid w:val="007179AF"/>
    <w:rsid w:val="00717B0D"/>
    <w:rsid w:val="00717DA6"/>
    <w:rsid w:val="00717DB7"/>
    <w:rsid w:val="00720282"/>
    <w:rsid w:val="007202A2"/>
    <w:rsid w:val="0072047B"/>
    <w:rsid w:val="007204A1"/>
    <w:rsid w:val="0072073B"/>
    <w:rsid w:val="0072077B"/>
    <w:rsid w:val="007208E7"/>
    <w:rsid w:val="00720A92"/>
    <w:rsid w:val="00720BD3"/>
    <w:rsid w:val="00720C48"/>
    <w:rsid w:val="00720C71"/>
    <w:rsid w:val="00720DB6"/>
    <w:rsid w:val="00720EAF"/>
    <w:rsid w:val="00720EF0"/>
    <w:rsid w:val="007210CE"/>
    <w:rsid w:val="00721200"/>
    <w:rsid w:val="00721289"/>
    <w:rsid w:val="00721515"/>
    <w:rsid w:val="0072185C"/>
    <w:rsid w:val="00721978"/>
    <w:rsid w:val="00721C98"/>
    <w:rsid w:val="00721D32"/>
    <w:rsid w:val="00721D92"/>
    <w:rsid w:val="00721E65"/>
    <w:rsid w:val="00721ED2"/>
    <w:rsid w:val="007220D7"/>
    <w:rsid w:val="0072230B"/>
    <w:rsid w:val="0072237E"/>
    <w:rsid w:val="0072286C"/>
    <w:rsid w:val="007228B7"/>
    <w:rsid w:val="00722942"/>
    <w:rsid w:val="00722AB1"/>
    <w:rsid w:val="00722CD4"/>
    <w:rsid w:val="00723038"/>
    <w:rsid w:val="0072325C"/>
    <w:rsid w:val="00723320"/>
    <w:rsid w:val="00723334"/>
    <w:rsid w:val="00723429"/>
    <w:rsid w:val="00723567"/>
    <w:rsid w:val="00723575"/>
    <w:rsid w:val="0072372A"/>
    <w:rsid w:val="00723880"/>
    <w:rsid w:val="007239B1"/>
    <w:rsid w:val="00723B83"/>
    <w:rsid w:val="00723B8C"/>
    <w:rsid w:val="007242F3"/>
    <w:rsid w:val="0072438C"/>
    <w:rsid w:val="00724421"/>
    <w:rsid w:val="00724663"/>
    <w:rsid w:val="007246F1"/>
    <w:rsid w:val="00724773"/>
    <w:rsid w:val="0072479E"/>
    <w:rsid w:val="00724C19"/>
    <w:rsid w:val="00724D8A"/>
    <w:rsid w:val="00724EE4"/>
    <w:rsid w:val="007250CD"/>
    <w:rsid w:val="00725166"/>
    <w:rsid w:val="007254CD"/>
    <w:rsid w:val="007254DD"/>
    <w:rsid w:val="00725776"/>
    <w:rsid w:val="00726012"/>
    <w:rsid w:val="00726046"/>
    <w:rsid w:val="00726263"/>
    <w:rsid w:val="0072642A"/>
    <w:rsid w:val="007267FC"/>
    <w:rsid w:val="0072685B"/>
    <w:rsid w:val="00726B9C"/>
    <w:rsid w:val="00726E5C"/>
    <w:rsid w:val="00727155"/>
    <w:rsid w:val="00727468"/>
    <w:rsid w:val="00727540"/>
    <w:rsid w:val="007278B3"/>
    <w:rsid w:val="00727AC0"/>
    <w:rsid w:val="00727B29"/>
    <w:rsid w:val="0073006D"/>
    <w:rsid w:val="0073015D"/>
    <w:rsid w:val="00730175"/>
    <w:rsid w:val="00730293"/>
    <w:rsid w:val="00730438"/>
    <w:rsid w:val="00730653"/>
    <w:rsid w:val="0073072F"/>
    <w:rsid w:val="00730732"/>
    <w:rsid w:val="00730C7F"/>
    <w:rsid w:val="00730CD1"/>
    <w:rsid w:val="00730CD3"/>
    <w:rsid w:val="00730D18"/>
    <w:rsid w:val="00730E9E"/>
    <w:rsid w:val="0073112B"/>
    <w:rsid w:val="00731143"/>
    <w:rsid w:val="007311E6"/>
    <w:rsid w:val="0073130B"/>
    <w:rsid w:val="0073136F"/>
    <w:rsid w:val="00731779"/>
    <w:rsid w:val="007318FA"/>
    <w:rsid w:val="00731A34"/>
    <w:rsid w:val="00731B2E"/>
    <w:rsid w:val="00731E4D"/>
    <w:rsid w:val="00731E7E"/>
    <w:rsid w:val="00731FC1"/>
    <w:rsid w:val="007322B3"/>
    <w:rsid w:val="007323B0"/>
    <w:rsid w:val="007323E9"/>
    <w:rsid w:val="00732532"/>
    <w:rsid w:val="007325B4"/>
    <w:rsid w:val="0073267E"/>
    <w:rsid w:val="007327DD"/>
    <w:rsid w:val="007328C2"/>
    <w:rsid w:val="00732A46"/>
    <w:rsid w:val="00732A90"/>
    <w:rsid w:val="00732B6C"/>
    <w:rsid w:val="00732D3A"/>
    <w:rsid w:val="00732F60"/>
    <w:rsid w:val="00732FB8"/>
    <w:rsid w:val="0073326C"/>
    <w:rsid w:val="00733426"/>
    <w:rsid w:val="00733545"/>
    <w:rsid w:val="007335E6"/>
    <w:rsid w:val="007336DC"/>
    <w:rsid w:val="0073382B"/>
    <w:rsid w:val="00733CC6"/>
    <w:rsid w:val="00733D48"/>
    <w:rsid w:val="007340CC"/>
    <w:rsid w:val="007341BF"/>
    <w:rsid w:val="0073425B"/>
    <w:rsid w:val="00734618"/>
    <w:rsid w:val="0073472E"/>
    <w:rsid w:val="00734767"/>
    <w:rsid w:val="00734D39"/>
    <w:rsid w:val="00734F43"/>
    <w:rsid w:val="00734F6C"/>
    <w:rsid w:val="0073521B"/>
    <w:rsid w:val="00735231"/>
    <w:rsid w:val="0073537D"/>
    <w:rsid w:val="0073544D"/>
    <w:rsid w:val="007355A5"/>
    <w:rsid w:val="0073576C"/>
    <w:rsid w:val="007357CA"/>
    <w:rsid w:val="00735838"/>
    <w:rsid w:val="0073594F"/>
    <w:rsid w:val="007359CC"/>
    <w:rsid w:val="00735E07"/>
    <w:rsid w:val="00735EB2"/>
    <w:rsid w:val="00735F33"/>
    <w:rsid w:val="00735F98"/>
    <w:rsid w:val="007361BF"/>
    <w:rsid w:val="007362A8"/>
    <w:rsid w:val="007364A8"/>
    <w:rsid w:val="007365FB"/>
    <w:rsid w:val="0073687F"/>
    <w:rsid w:val="0073692E"/>
    <w:rsid w:val="00736B86"/>
    <w:rsid w:val="00737384"/>
    <w:rsid w:val="007374AE"/>
    <w:rsid w:val="0073756D"/>
    <w:rsid w:val="007375C0"/>
    <w:rsid w:val="0073762C"/>
    <w:rsid w:val="007376A4"/>
    <w:rsid w:val="00737952"/>
    <w:rsid w:val="007379E4"/>
    <w:rsid w:val="00737A03"/>
    <w:rsid w:val="00737C3D"/>
    <w:rsid w:val="00737CED"/>
    <w:rsid w:val="00737E58"/>
    <w:rsid w:val="00737F30"/>
    <w:rsid w:val="00740258"/>
    <w:rsid w:val="007402CD"/>
    <w:rsid w:val="00740362"/>
    <w:rsid w:val="007404D9"/>
    <w:rsid w:val="0074064F"/>
    <w:rsid w:val="0074084E"/>
    <w:rsid w:val="00740859"/>
    <w:rsid w:val="00740A54"/>
    <w:rsid w:val="00740B7F"/>
    <w:rsid w:val="00740C1D"/>
    <w:rsid w:val="00740C71"/>
    <w:rsid w:val="00740E4F"/>
    <w:rsid w:val="00740F1F"/>
    <w:rsid w:val="00741032"/>
    <w:rsid w:val="0074120E"/>
    <w:rsid w:val="007416C4"/>
    <w:rsid w:val="00741A53"/>
    <w:rsid w:val="00741ABC"/>
    <w:rsid w:val="00741FCC"/>
    <w:rsid w:val="00742184"/>
    <w:rsid w:val="007423B7"/>
    <w:rsid w:val="007423CF"/>
    <w:rsid w:val="007424FC"/>
    <w:rsid w:val="0074257F"/>
    <w:rsid w:val="0074271D"/>
    <w:rsid w:val="0074277F"/>
    <w:rsid w:val="007428E5"/>
    <w:rsid w:val="007429E9"/>
    <w:rsid w:val="00742A50"/>
    <w:rsid w:val="00742C5D"/>
    <w:rsid w:val="00742DA6"/>
    <w:rsid w:val="00742DE8"/>
    <w:rsid w:val="00742E6E"/>
    <w:rsid w:val="00742F85"/>
    <w:rsid w:val="00743047"/>
    <w:rsid w:val="00743048"/>
    <w:rsid w:val="007430E9"/>
    <w:rsid w:val="00743461"/>
    <w:rsid w:val="00743695"/>
    <w:rsid w:val="0074375F"/>
    <w:rsid w:val="00743815"/>
    <w:rsid w:val="0074387A"/>
    <w:rsid w:val="007438C3"/>
    <w:rsid w:val="007438E5"/>
    <w:rsid w:val="0074392F"/>
    <w:rsid w:val="00743AF6"/>
    <w:rsid w:val="00743C5D"/>
    <w:rsid w:val="00743C89"/>
    <w:rsid w:val="00743CD4"/>
    <w:rsid w:val="00743E33"/>
    <w:rsid w:val="00743E91"/>
    <w:rsid w:val="00743F7C"/>
    <w:rsid w:val="00744019"/>
    <w:rsid w:val="00744067"/>
    <w:rsid w:val="00744105"/>
    <w:rsid w:val="007441C7"/>
    <w:rsid w:val="00744211"/>
    <w:rsid w:val="00744657"/>
    <w:rsid w:val="007446B9"/>
    <w:rsid w:val="00744DC5"/>
    <w:rsid w:val="00744EA9"/>
    <w:rsid w:val="00745054"/>
    <w:rsid w:val="00745172"/>
    <w:rsid w:val="00745289"/>
    <w:rsid w:val="0074543C"/>
    <w:rsid w:val="0074552E"/>
    <w:rsid w:val="007455A3"/>
    <w:rsid w:val="0074570E"/>
    <w:rsid w:val="0074598B"/>
    <w:rsid w:val="007459A7"/>
    <w:rsid w:val="00745B56"/>
    <w:rsid w:val="00746164"/>
    <w:rsid w:val="00746312"/>
    <w:rsid w:val="0074632D"/>
    <w:rsid w:val="0074636C"/>
    <w:rsid w:val="007463B1"/>
    <w:rsid w:val="00746485"/>
    <w:rsid w:val="00746507"/>
    <w:rsid w:val="0074657B"/>
    <w:rsid w:val="007465AC"/>
    <w:rsid w:val="0074690E"/>
    <w:rsid w:val="00746B88"/>
    <w:rsid w:val="00746D45"/>
    <w:rsid w:val="00746DAF"/>
    <w:rsid w:val="00746E18"/>
    <w:rsid w:val="00746FD3"/>
    <w:rsid w:val="0074742C"/>
    <w:rsid w:val="0074745B"/>
    <w:rsid w:val="007477BE"/>
    <w:rsid w:val="0074782D"/>
    <w:rsid w:val="00747921"/>
    <w:rsid w:val="00747F6A"/>
    <w:rsid w:val="00750086"/>
    <w:rsid w:val="0075017F"/>
    <w:rsid w:val="00750439"/>
    <w:rsid w:val="0075087B"/>
    <w:rsid w:val="007508C1"/>
    <w:rsid w:val="00750924"/>
    <w:rsid w:val="00750A2B"/>
    <w:rsid w:val="00750C85"/>
    <w:rsid w:val="00750CF5"/>
    <w:rsid w:val="00750D29"/>
    <w:rsid w:val="00750DAC"/>
    <w:rsid w:val="00750FCB"/>
    <w:rsid w:val="007515F2"/>
    <w:rsid w:val="0075192A"/>
    <w:rsid w:val="007519DA"/>
    <w:rsid w:val="00751A80"/>
    <w:rsid w:val="00751A8B"/>
    <w:rsid w:val="00751AC7"/>
    <w:rsid w:val="00751DB5"/>
    <w:rsid w:val="00751FD6"/>
    <w:rsid w:val="007523B8"/>
    <w:rsid w:val="0075240C"/>
    <w:rsid w:val="00752452"/>
    <w:rsid w:val="00752469"/>
    <w:rsid w:val="007524A0"/>
    <w:rsid w:val="0075272A"/>
    <w:rsid w:val="0075272F"/>
    <w:rsid w:val="0075295D"/>
    <w:rsid w:val="00752B03"/>
    <w:rsid w:val="00752F42"/>
    <w:rsid w:val="0075306C"/>
    <w:rsid w:val="007531D7"/>
    <w:rsid w:val="00753374"/>
    <w:rsid w:val="007533A1"/>
    <w:rsid w:val="0075359E"/>
    <w:rsid w:val="0075360C"/>
    <w:rsid w:val="00753A51"/>
    <w:rsid w:val="00753A54"/>
    <w:rsid w:val="00753C83"/>
    <w:rsid w:val="00753DC7"/>
    <w:rsid w:val="00753F85"/>
    <w:rsid w:val="00754372"/>
    <w:rsid w:val="0075442F"/>
    <w:rsid w:val="007544D5"/>
    <w:rsid w:val="00754A7A"/>
    <w:rsid w:val="00754C7D"/>
    <w:rsid w:val="00754CA6"/>
    <w:rsid w:val="00754EBC"/>
    <w:rsid w:val="00754F5A"/>
    <w:rsid w:val="00755B45"/>
    <w:rsid w:val="00755BBE"/>
    <w:rsid w:val="00756005"/>
    <w:rsid w:val="0075636A"/>
    <w:rsid w:val="007564B7"/>
    <w:rsid w:val="0075651C"/>
    <w:rsid w:val="007565DD"/>
    <w:rsid w:val="00756632"/>
    <w:rsid w:val="0075667C"/>
    <w:rsid w:val="00756967"/>
    <w:rsid w:val="007569E9"/>
    <w:rsid w:val="00756B3F"/>
    <w:rsid w:val="00756BBE"/>
    <w:rsid w:val="00756D3F"/>
    <w:rsid w:val="00756E96"/>
    <w:rsid w:val="00756F35"/>
    <w:rsid w:val="00756F92"/>
    <w:rsid w:val="007570AB"/>
    <w:rsid w:val="0075723A"/>
    <w:rsid w:val="00757278"/>
    <w:rsid w:val="00757443"/>
    <w:rsid w:val="007574AB"/>
    <w:rsid w:val="007574EA"/>
    <w:rsid w:val="00757570"/>
    <w:rsid w:val="007575B8"/>
    <w:rsid w:val="0075776B"/>
    <w:rsid w:val="00757841"/>
    <w:rsid w:val="00757B3E"/>
    <w:rsid w:val="00757BF5"/>
    <w:rsid w:val="0076002E"/>
    <w:rsid w:val="007600F3"/>
    <w:rsid w:val="0076019B"/>
    <w:rsid w:val="007601E2"/>
    <w:rsid w:val="007605FB"/>
    <w:rsid w:val="0076065B"/>
    <w:rsid w:val="00760D20"/>
    <w:rsid w:val="00760EDD"/>
    <w:rsid w:val="007613CA"/>
    <w:rsid w:val="00761480"/>
    <w:rsid w:val="00761576"/>
    <w:rsid w:val="007617A2"/>
    <w:rsid w:val="00761846"/>
    <w:rsid w:val="00761A23"/>
    <w:rsid w:val="00761BA4"/>
    <w:rsid w:val="00761BE9"/>
    <w:rsid w:val="00761CDA"/>
    <w:rsid w:val="0076212D"/>
    <w:rsid w:val="007621A1"/>
    <w:rsid w:val="0076243A"/>
    <w:rsid w:val="0076263D"/>
    <w:rsid w:val="00762726"/>
    <w:rsid w:val="00762AF1"/>
    <w:rsid w:val="00762BB6"/>
    <w:rsid w:val="00762C8F"/>
    <w:rsid w:val="00762E71"/>
    <w:rsid w:val="00762EE3"/>
    <w:rsid w:val="00762EE6"/>
    <w:rsid w:val="00763093"/>
    <w:rsid w:val="007630F9"/>
    <w:rsid w:val="00763220"/>
    <w:rsid w:val="0076322F"/>
    <w:rsid w:val="007633CE"/>
    <w:rsid w:val="0076351D"/>
    <w:rsid w:val="00763575"/>
    <w:rsid w:val="00763617"/>
    <w:rsid w:val="00763704"/>
    <w:rsid w:val="0076374D"/>
    <w:rsid w:val="007637EE"/>
    <w:rsid w:val="007638B2"/>
    <w:rsid w:val="007638DC"/>
    <w:rsid w:val="00763A5F"/>
    <w:rsid w:val="0076405D"/>
    <w:rsid w:val="007640AE"/>
    <w:rsid w:val="00764129"/>
    <w:rsid w:val="0076417B"/>
    <w:rsid w:val="00764198"/>
    <w:rsid w:val="007644D7"/>
    <w:rsid w:val="00764557"/>
    <w:rsid w:val="007645D5"/>
    <w:rsid w:val="00764672"/>
    <w:rsid w:val="00764738"/>
    <w:rsid w:val="00764889"/>
    <w:rsid w:val="007648FD"/>
    <w:rsid w:val="00764B06"/>
    <w:rsid w:val="00764B84"/>
    <w:rsid w:val="00764EDD"/>
    <w:rsid w:val="00764FBC"/>
    <w:rsid w:val="007650CC"/>
    <w:rsid w:val="00765215"/>
    <w:rsid w:val="0076525F"/>
    <w:rsid w:val="007653F9"/>
    <w:rsid w:val="00765A25"/>
    <w:rsid w:val="00765A47"/>
    <w:rsid w:val="00765C87"/>
    <w:rsid w:val="007660C7"/>
    <w:rsid w:val="00766210"/>
    <w:rsid w:val="00766402"/>
    <w:rsid w:val="00766562"/>
    <w:rsid w:val="0076689C"/>
    <w:rsid w:val="00766B23"/>
    <w:rsid w:val="00766B98"/>
    <w:rsid w:val="00766BE4"/>
    <w:rsid w:val="00766C61"/>
    <w:rsid w:val="00766CC1"/>
    <w:rsid w:val="0076720B"/>
    <w:rsid w:val="00767524"/>
    <w:rsid w:val="00767568"/>
    <w:rsid w:val="00767658"/>
    <w:rsid w:val="007676A8"/>
    <w:rsid w:val="00767719"/>
    <w:rsid w:val="00767977"/>
    <w:rsid w:val="00767A95"/>
    <w:rsid w:val="00767BE3"/>
    <w:rsid w:val="00767CEF"/>
    <w:rsid w:val="00767D3B"/>
    <w:rsid w:val="00770114"/>
    <w:rsid w:val="00770329"/>
    <w:rsid w:val="007703F0"/>
    <w:rsid w:val="0077047C"/>
    <w:rsid w:val="007707A9"/>
    <w:rsid w:val="00770802"/>
    <w:rsid w:val="00770BFD"/>
    <w:rsid w:val="00771030"/>
    <w:rsid w:val="007710E4"/>
    <w:rsid w:val="0077122E"/>
    <w:rsid w:val="00771346"/>
    <w:rsid w:val="0077140A"/>
    <w:rsid w:val="00771686"/>
    <w:rsid w:val="00771A62"/>
    <w:rsid w:val="00771BCB"/>
    <w:rsid w:val="00771CF4"/>
    <w:rsid w:val="007720C9"/>
    <w:rsid w:val="007720D0"/>
    <w:rsid w:val="0077228E"/>
    <w:rsid w:val="00772580"/>
    <w:rsid w:val="007725E4"/>
    <w:rsid w:val="007725FB"/>
    <w:rsid w:val="00772813"/>
    <w:rsid w:val="00772B3D"/>
    <w:rsid w:val="00772CA0"/>
    <w:rsid w:val="007731F1"/>
    <w:rsid w:val="00773441"/>
    <w:rsid w:val="0077366B"/>
    <w:rsid w:val="00773BF0"/>
    <w:rsid w:val="00773CD5"/>
    <w:rsid w:val="00773D3E"/>
    <w:rsid w:val="00773D7C"/>
    <w:rsid w:val="00773F96"/>
    <w:rsid w:val="0077401D"/>
    <w:rsid w:val="00774119"/>
    <w:rsid w:val="00774486"/>
    <w:rsid w:val="007748FD"/>
    <w:rsid w:val="00774951"/>
    <w:rsid w:val="00774AAB"/>
    <w:rsid w:val="00774ACA"/>
    <w:rsid w:val="00774B75"/>
    <w:rsid w:val="00774F5D"/>
    <w:rsid w:val="00775047"/>
    <w:rsid w:val="00775275"/>
    <w:rsid w:val="00775909"/>
    <w:rsid w:val="00775C0D"/>
    <w:rsid w:val="00775C96"/>
    <w:rsid w:val="007762DD"/>
    <w:rsid w:val="00776313"/>
    <w:rsid w:val="00776456"/>
    <w:rsid w:val="00776520"/>
    <w:rsid w:val="00776839"/>
    <w:rsid w:val="00776B86"/>
    <w:rsid w:val="00776E05"/>
    <w:rsid w:val="00776F1A"/>
    <w:rsid w:val="007770C7"/>
    <w:rsid w:val="007770CA"/>
    <w:rsid w:val="00777153"/>
    <w:rsid w:val="00777183"/>
    <w:rsid w:val="0077736B"/>
    <w:rsid w:val="00777AA8"/>
    <w:rsid w:val="00777B64"/>
    <w:rsid w:val="00777C0F"/>
    <w:rsid w:val="00777F63"/>
    <w:rsid w:val="00780229"/>
    <w:rsid w:val="00780329"/>
    <w:rsid w:val="00780498"/>
    <w:rsid w:val="00780762"/>
    <w:rsid w:val="007808B8"/>
    <w:rsid w:val="007808E7"/>
    <w:rsid w:val="00780A16"/>
    <w:rsid w:val="00780A72"/>
    <w:rsid w:val="00780CDF"/>
    <w:rsid w:val="00780D68"/>
    <w:rsid w:val="007810A3"/>
    <w:rsid w:val="00781186"/>
    <w:rsid w:val="00781191"/>
    <w:rsid w:val="007813D2"/>
    <w:rsid w:val="00781934"/>
    <w:rsid w:val="007819A0"/>
    <w:rsid w:val="00781BAE"/>
    <w:rsid w:val="00781C4F"/>
    <w:rsid w:val="0078204A"/>
    <w:rsid w:val="0078218C"/>
    <w:rsid w:val="0078286C"/>
    <w:rsid w:val="007828F7"/>
    <w:rsid w:val="00782A08"/>
    <w:rsid w:val="00782BDF"/>
    <w:rsid w:val="00782BF6"/>
    <w:rsid w:val="00782E37"/>
    <w:rsid w:val="00782E71"/>
    <w:rsid w:val="00783060"/>
    <w:rsid w:val="00783144"/>
    <w:rsid w:val="00783ACF"/>
    <w:rsid w:val="00783CC9"/>
    <w:rsid w:val="00783D73"/>
    <w:rsid w:val="00784230"/>
    <w:rsid w:val="0078425A"/>
    <w:rsid w:val="007842E9"/>
    <w:rsid w:val="007843D0"/>
    <w:rsid w:val="00784918"/>
    <w:rsid w:val="00784D26"/>
    <w:rsid w:val="00785115"/>
    <w:rsid w:val="00785135"/>
    <w:rsid w:val="00785282"/>
    <w:rsid w:val="007853B3"/>
    <w:rsid w:val="007854D8"/>
    <w:rsid w:val="007857E9"/>
    <w:rsid w:val="007858BA"/>
    <w:rsid w:val="00785B22"/>
    <w:rsid w:val="00785C05"/>
    <w:rsid w:val="00785C2D"/>
    <w:rsid w:val="00785E1C"/>
    <w:rsid w:val="00785FCA"/>
    <w:rsid w:val="00786011"/>
    <w:rsid w:val="007860BF"/>
    <w:rsid w:val="0078618D"/>
    <w:rsid w:val="00786261"/>
    <w:rsid w:val="007863FA"/>
    <w:rsid w:val="007866A1"/>
    <w:rsid w:val="00786724"/>
    <w:rsid w:val="00786889"/>
    <w:rsid w:val="00786950"/>
    <w:rsid w:val="00786A03"/>
    <w:rsid w:val="00786A06"/>
    <w:rsid w:val="00786A34"/>
    <w:rsid w:val="00786AC1"/>
    <w:rsid w:val="00786C75"/>
    <w:rsid w:val="00786CCF"/>
    <w:rsid w:val="00786E37"/>
    <w:rsid w:val="00786EED"/>
    <w:rsid w:val="00786FF1"/>
    <w:rsid w:val="007873C0"/>
    <w:rsid w:val="007873CC"/>
    <w:rsid w:val="007874A2"/>
    <w:rsid w:val="007874E3"/>
    <w:rsid w:val="00787550"/>
    <w:rsid w:val="0078767F"/>
    <w:rsid w:val="007877E2"/>
    <w:rsid w:val="007877F2"/>
    <w:rsid w:val="00787908"/>
    <w:rsid w:val="00787928"/>
    <w:rsid w:val="00787A07"/>
    <w:rsid w:val="00787AC9"/>
    <w:rsid w:val="00787BB9"/>
    <w:rsid w:val="00787CD6"/>
    <w:rsid w:val="00787FDE"/>
    <w:rsid w:val="0079004D"/>
    <w:rsid w:val="007904AF"/>
    <w:rsid w:val="007905AE"/>
    <w:rsid w:val="00790688"/>
    <w:rsid w:val="0079098E"/>
    <w:rsid w:val="007909F4"/>
    <w:rsid w:val="00790D0E"/>
    <w:rsid w:val="00790F7C"/>
    <w:rsid w:val="00790FE2"/>
    <w:rsid w:val="00791085"/>
    <w:rsid w:val="007911B2"/>
    <w:rsid w:val="0079129D"/>
    <w:rsid w:val="00791342"/>
    <w:rsid w:val="007914EB"/>
    <w:rsid w:val="007914F9"/>
    <w:rsid w:val="007915A1"/>
    <w:rsid w:val="007915A5"/>
    <w:rsid w:val="007915A8"/>
    <w:rsid w:val="0079163C"/>
    <w:rsid w:val="00791700"/>
    <w:rsid w:val="007917F5"/>
    <w:rsid w:val="00791B19"/>
    <w:rsid w:val="00791CB4"/>
    <w:rsid w:val="00791FB5"/>
    <w:rsid w:val="00791FD4"/>
    <w:rsid w:val="0079205D"/>
    <w:rsid w:val="0079241A"/>
    <w:rsid w:val="00792661"/>
    <w:rsid w:val="007926DD"/>
    <w:rsid w:val="0079281D"/>
    <w:rsid w:val="0079285D"/>
    <w:rsid w:val="00792B6C"/>
    <w:rsid w:val="007932CB"/>
    <w:rsid w:val="007932CC"/>
    <w:rsid w:val="00793434"/>
    <w:rsid w:val="00793609"/>
    <w:rsid w:val="00793667"/>
    <w:rsid w:val="007937D6"/>
    <w:rsid w:val="00793846"/>
    <w:rsid w:val="00793B54"/>
    <w:rsid w:val="00793C0B"/>
    <w:rsid w:val="00793CCA"/>
    <w:rsid w:val="00793E8F"/>
    <w:rsid w:val="00793F50"/>
    <w:rsid w:val="00793FF1"/>
    <w:rsid w:val="007941A2"/>
    <w:rsid w:val="0079424D"/>
    <w:rsid w:val="007942AF"/>
    <w:rsid w:val="0079463B"/>
    <w:rsid w:val="00794820"/>
    <w:rsid w:val="00794B5D"/>
    <w:rsid w:val="00794C13"/>
    <w:rsid w:val="00794D79"/>
    <w:rsid w:val="00794DAF"/>
    <w:rsid w:val="00794E86"/>
    <w:rsid w:val="00794E9C"/>
    <w:rsid w:val="00794FC0"/>
    <w:rsid w:val="0079513A"/>
    <w:rsid w:val="00795254"/>
    <w:rsid w:val="007953A4"/>
    <w:rsid w:val="00795479"/>
    <w:rsid w:val="007955B7"/>
    <w:rsid w:val="0079571D"/>
    <w:rsid w:val="00795850"/>
    <w:rsid w:val="007958B6"/>
    <w:rsid w:val="00795900"/>
    <w:rsid w:val="00795B3C"/>
    <w:rsid w:val="00795B8A"/>
    <w:rsid w:val="00795E10"/>
    <w:rsid w:val="00795EA9"/>
    <w:rsid w:val="00796099"/>
    <w:rsid w:val="007960CC"/>
    <w:rsid w:val="007960E3"/>
    <w:rsid w:val="00796199"/>
    <w:rsid w:val="0079627A"/>
    <w:rsid w:val="007962C8"/>
    <w:rsid w:val="007962EA"/>
    <w:rsid w:val="0079639F"/>
    <w:rsid w:val="007963DF"/>
    <w:rsid w:val="00796456"/>
    <w:rsid w:val="007964A8"/>
    <w:rsid w:val="007964DA"/>
    <w:rsid w:val="0079653A"/>
    <w:rsid w:val="0079654B"/>
    <w:rsid w:val="00796A44"/>
    <w:rsid w:val="00796BD1"/>
    <w:rsid w:val="00796BDB"/>
    <w:rsid w:val="00796BE3"/>
    <w:rsid w:val="00796E15"/>
    <w:rsid w:val="00796F9A"/>
    <w:rsid w:val="00796F9D"/>
    <w:rsid w:val="00797119"/>
    <w:rsid w:val="00797152"/>
    <w:rsid w:val="0079724A"/>
    <w:rsid w:val="0079738E"/>
    <w:rsid w:val="0079739D"/>
    <w:rsid w:val="0079749E"/>
    <w:rsid w:val="00797626"/>
    <w:rsid w:val="00797815"/>
    <w:rsid w:val="0079785E"/>
    <w:rsid w:val="007978E7"/>
    <w:rsid w:val="007979BE"/>
    <w:rsid w:val="00797AA3"/>
    <w:rsid w:val="00797C5E"/>
    <w:rsid w:val="00797F36"/>
    <w:rsid w:val="00797FB6"/>
    <w:rsid w:val="007A0102"/>
    <w:rsid w:val="007A015C"/>
    <w:rsid w:val="007A019C"/>
    <w:rsid w:val="007A01D0"/>
    <w:rsid w:val="007A0515"/>
    <w:rsid w:val="007A07E1"/>
    <w:rsid w:val="007A0A1A"/>
    <w:rsid w:val="007A0F7D"/>
    <w:rsid w:val="007A112B"/>
    <w:rsid w:val="007A1143"/>
    <w:rsid w:val="007A1222"/>
    <w:rsid w:val="007A1376"/>
    <w:rsid w:val="007A157D"/>
    <w:rsid w:val="007A15DF"/>
    <w:rsid w:val="007A18F8"/>
    <w:rsid w:val="007A1966"/>
    <w:rsid w:val="007A1A08"/>
    <w:rsid w:val="007A1AEB"/>
    <w:rsid w:val="007A1F84"/>
    <w:rsid w:val="007A2032"/>
    <w:rsid w:val="007A21BB"/>
    <w:rsid w:val="007A221E"/>
    <w:rsid w:val="007A22AA"/>
    <w:rsid w:val="007A22EF"/>
    <w:rsid w:val="007A233A"/>
    <w:rsid w:val="007A254C"/>
    <w:rsid w:val="007A2725"/>
    <w:rsid w:val="007A2924"/>
    <w:rsid w:val="007A2976"/>
    <w:rsid w:val="007A2A23"/>
    <w:rsid w:val="007A2ADA"/>
    <w:rsid w:val="007A2B25"/>
    <w:rsid w:val="007A2CFA"/>
    <w:rsid w:val="007A2DB5"/>
    <w:rsid w:val="007A2E12"/>
    <w:rsid w:val="007A3084"/>
    <w:rsid w:val="007A320D"/>
    <w:rsid w:val="007A336D"/>
    <w:rsid w:val="007A33C7"/>
    <w:rsid w:val="007A3445"/>
    <w:rsid w:val="007A363F"/>
    <w:rsid w:val="007A37CD"/>
    <w:rsid w:val="007A3859"/>
    <w:rsid w:val="007A3911"/>
    <w:rsid w:val="007A3915"/>
    <w:rsid w:val="007A3B42"/>
    <w:rsid w:val="007A4210"/>
    <w:rsid w:val="007A43ED"/>
    <w:rsid w:val="007A4666"/>
    <w:rsid w:val="007A46F7"/>
    <w:rsid w:val="007A4799"/>
    <w:rsid w:val="007A47AF"/>
    <w:rsid w:val="007A47F6"/>
    <w:rsid w:val="007A4EA4"/>
    <w:rsid w:val="007A4EF0"/>
    <w:rsid w:val="007A51A3"/>
    <w:rsid w:val="007A529B"/>
    <w:rsid w:val="007A5446"/>
    <w:rsid w:val="007A56D3"/>
    <w:rsid w:val="007A577D"/>
    <w:rsid w:val="007A5936"/>
    <w:rsid w:val="007A5A5A"/>
    <w:rsid w:val="007A5CF9"/>
    <w:rsid w:val="007A5D1E"/>
    <w:rsid w:val="007A5DAA"/>
    <w:rsid w:val="007A5E90"/>
    <w:rsid w:val="007A5F7D"/>
    <w:rsid w:val="007A6037"/>
    <w:rsid w:val="007A6117"/>
    <w:rsid w:val="007A62CF"/>
    <w:rsid w:val="007A636D"/>
    <w:rsid w:val="007A644C"/>
    <w:rsid w:val="007A664B"/>
    <w:rsid w:val="007A688D"/>
    <w:rsid w:val="007A698A"/>
    <w:rsid w:val="007A6AA1"/>
    <w:rsid w:val="007A6B0C"/>
    <w:rsid w:val="007A6D25"/>
    <w:rsid w:val="007A6E3C"/>
    <w:rsid w:val="007A6FD4"/>
    <w:rsid w:val="007A7055"/>
    <w:rsid w:val="007A713D"/>
    <w:rsid w:val="007A71BB"/>
    <w:rsid w:val="007A756D"/>
    <w:rsid w:val="007A781C"/>
    <w:rsid w:val="007A7D11"/>
    <w:rsid w:val="007A7D33"/>
    <w:rsid w:val="007A7E58"/>
    <w:rsid w:val="007A7ED5"/>
    <w:rsid w:val="007B003E"/>
    <w:rsid w:val="007B0076"/>
    <w:rsid w:val="007B04BC"/>
    <w:rsid w:val="007B0561"/>
    <w:rsid w:val="007B060E"/>
    <w:rsid w:val="007B0B00"/>
    <w:rsid w:val="007B1026"/>
    <w:rsid w:val="007B107B"/>
    <w:rsid w:val="007B10C6"/>
    <w:rsid w:val="007B1161"/>
    <w:rsid w:val="007B154F"/>
    <w:rsid w:val="007B16AB"/>
    <w:rsid w:val="007B1837"/>
    <w:rsid w:val="007B18B5"/>
    <w:rsid w:val="007B1B68"/>
    <w:rsid w:val="007B1C07"/>
    <w:rsid w:val="007B1E46"/>
    <w:rsid w:val="007B1E59"/>
    <w:rsid w:val="007B20DF"/>
    <w:rsid w:val="007B2103"/>
    <w:rsid w:val="007B214F"/>
    <w:rsid w:val="007B2196"/>
    <w:rsid w:val="007B24E8"/>
    <w:rsid w:val="007B26A7"/>
    <w:rsid w:val="007B270D"/>
    <w:rsid w:val="007B2FB6"/>
    <w:rsid w:val="007B31E8"/>
    <w:rsid w:val="007B349A"/>
    <w:rsid w:val="007B37DE"/>
    <w:rsid w:val="007B3836"/>
    <w:rsid w:val="007B3948"/>
    <w:rsid w:val="007B39A7"/>
    <w:rsid w:val="007B3A2B"/>
    <w:rsid w:val="007B3CA5"/>
    <w:rsid w:val="007B3CBE"/>
    <w:rsid w:val="007B3F7A"/>
    <w:rsid w:val="007B413D"/>
    <w:rsid w:val="007B4195"/>
    <w:rsid w:val="007B4217"/>
    <w:rsid w:val="007B437E"/>
    <w:rsid w:val="007B46AF"/>
    <w:rsid w:val="007B472A"/>
    <w:rsid w:val="007B4937"/>
    <w:rsid w:val="007B4A24"/>
    <w:rsid w:val="007B4C7E"/>
    <w:rsid w:val="007B508E"/>
    <w:rsid w:val="007B51A7"/>
    <w:rsid w:val="007B520E"/>
    <w:rsid w:val="007B5370"/>
    <w:rsid w:val="007B53BC"/>
    <w:rsid w:val="007B53C6"/>
    <w:rsid w:val="007B54D9"/>
    <w:rsid w:val="007B592B"/>
    <w:rsid w:val="007B59D6"/>
    <w:rsid w:val="007B5A06"/>
    <w:rsid w:val="007B5B08"/>
    <w:rsid w:val="007B5D21"/>
    <w:rsid w:val="007B5E75"/>
    <w:rsid w:val="007B6030"/>
    <w:rsid w:val="007B6103"/>
    <w:rsid w:val="007B6307"/>
    <w:rsid w:val="007B6364"/>
    <w:rsid w:val="007B6BB6"/>
    <w:rsid w:val="007B6C68"/>
    <w:rsid w:val="007B6DAE"/>
    <w:rsid w:val="007B6ED7"/>
    <w:rsid w:val="007B6FE3"/>
    <w:rsid w:val="007B71CA"/>
    <w:rsid w:val="007B7214"/>
    <w:rsid w:val="007B7237"/>
    <w:rsid w:val="007B76EB"/>
    <w:rsid w:val="007B7714"/>
    <w:rsid w:val="007B796C"/>
    <w:rsid w:val="007B7A4B"/>
    <w:rsid w:val="007B7E75"/>
    <w:rsid w:val="007B7F53"/>
    <w:rsid w:val="007C02B3"/>
    <w:rsid w:val="007C04F9"/>
    <w:rsid w:val="007C0559"/>
    <w:rsid w:val="007C063E"/>
    <w:rsid w:val="007C077F"/>
    <w:rsid w:val="007C0820"/>
    <w:rsid w:val="007C089B"/>
    <w:rsid w:val="007C092D"/>
    <w:rsid w:val="007C0B36"/>
    <w:rsid w:val="007C0DD9"/>
    <w:rsid w:val="007C0E07"/>
    <w:rsid w:val="007C0F59"/>
    <w:rsid w:val="007C0FE8"/>
    <w:rsid w:val="007C1036"/>
    <w:rsid w:val="007C1180"/>
    <w:rsid w:val="007C11F5"/>
    <w:rsid w:val="007C1278"/>
    <w:rsid w:val="007C1736"/>
    <w:rsid w:val="007C1A51"/>
    <w:rsid w:val="007C1B6D"/>
    <w:rsid w:val="007C1C58"/>
    <w:rsid w:val="007C1E8E"/>
    <w:rsid w:val="007C2247"/>
    <w:rsid w:val="007C264B"/>
    <w:rsid w:val="007C27A2"/>
    <w:rsid w:val="007C27AB"/>
    <w:rsid w:val="007C2869"/>
    <w:rsid w:val="007C287D"/>
    <w:rsid w:val="007C2918"/>
    <w:rsid w:val="007C2A62"/>
    <w:rsid w:val="007C2DFD"/>
    <w:rsid w:val="007C2F9B"/>
    <w:rsid w:val="007C2FED"/>
    <w:rsid w:val="007C31F1"/>
    <w:rsid w:val="007C31FB"/>
    <w:rsid w:val="007C3201"/>
    <w:rsid w:val="007C3255"/>
    <w:rsid w:val="007C36ED"/>
    <w:rsid w:val="007C3879"/>
    <w:rsid w:val="007C38BC"/>
    <w:rsid w:val="007C3975"/>
    <w:rsid w:val="007C3987"/>
    <w:rsid w:val="007C3D33"/>
    <w:rsid w:val="007C3DD1"/>
    <w:rsid w:val="007C45D5"/>
    <w:rsid w:val="007C45F9"/>
    <w:rsid w:val="007C479F"/>
    <w:rsid w:val="007C4800"/>
    <w:rsid w:val="007C483F"/>
    <w:rsid w:val="007C4948"/>
    <w:rsid w:val="007C49B6"/>
    <w:rsid w:val="007C4A64"/>
    <w:rsid w:val="007C4AA1"/>
    <w:rsid w:val="007C4E94"/>
    <w:rsid w:val="007C4F8B"/>
    <w:rsid w:val="007C50A1"/>
    <w:rsid w:val="007C50F2"/>
    <w:rsid w:val="007C5166"/>
    <w:rsid w:val="007C51BC"/>
    <w:rsid w:val="007C525E"/>
    <w:rsid w:val="007C52B6"/>
    <w:rsid w:val="007C58E5"/>
    <w:rsid w:val="007C5969"/>
    <w:rsid w:val="007C5B9E"/>
    <w:rsid w:val="007C5E09"/>
    <w:rsid w:val="007C5E44"/>
    <w:rsid w:val="007C5EF5"/>
    <w:rsid w:val="007C67F6"/>
    <w:rsid w:val="007C68E6"/>
    <w:rsid w:val="007C6DFB"/>
    <w:rsid w:val="007C7090"/>
    <w:rsid w:val="007C71C5"/>
    <w:rsid w:val="007C723E"/>
    <w:rsid w:val="007C7314"/>
    <w:rsid w:val="007C7531"/>
    <w:rsid w:val="007C756F"/>
    <w:rsid w:val="007C764B"/>
    <w:rsid w:val="007C78C5"/>
    <w:rsid w:val="007C7B81"/>
    <w:rsid w:val="007C7E83"/>
    <w:rsid w:val="007D02D4"/>
    <w:rsid w:val="007D0434"/>
    <w:rsid w:val="007D04AD"/>
    <w:rsid w:val="007D0517"/>
    <w:rsid w:val="007D077B"/>
    <w:rsid w:val="007D0981"/>
    <w:rsid w:val="007D0A08"/>
    <w:rsid w:val="007D0A2B"/>
    <w:rsid w:val="007D0ABD"/>
    <w:rsid w:val="007D0BFD"/>
    <w:rsid w:val="007D1201"/>
    <w:rsid w:val="007D127B"/>
    <w:rsid w:val="007D12BA"/>
    <w:rsid w:val="007D14E6"/>
    <w:rsid w:val="007D16BF"/>
    <w:rsid w:val="007D17B2"/>
    <w:rsid w:val="007D18A1"/>
    <w:rsid w:val="007D192A"/>
    <w:rsid w:val="007D19DC"/>
    <w:rsid w:val="007D19E0"/>
    <w:rsid w:val="007D1A1B"/>
    <w:rsid w:val="007D1A75"/>
    <w:rsid w:val="007D1BFF"/>
    <w:rsid w:val="007D1ECD"/>
    <w:rsid w:val="007D204E"/>
    <w:rsid w:val="007D2182"/>
    <w:rsid w:val="007D2373"/>
    <w:rsid w:val="007D2BE0"/>
    <w:rsid w:val="007D2DCB"/>
    <w:rsid w:val="007D31D2"/>
    <w:rsid w:val="007D322C"/>
    <w:rsid w:val="007D337D"/>
    <w:rsid w:val="007D3694"/>
    <w:rsid w:val="007D377E"/>
    <w:rsid w:val="007D383D"/>
    <w:rsid w:val="007D3848"/>
    <w:rsid w:val="007D38A6"/>
    <w:rsid w:val="007D38AD"/>
    <w:rsid w:val="007D3A1A"/>
    <w:rsid w:val="007D3AD1"/>
    <w:rsid w:val="007D3BAB"/>
    <w:rsid w:val="007D3BBE"/>
    <w:rsid w:val="007D3D8E"/>
    <w:rsid w:val="007D3E55"/>
    <w:rsid w:val="007D4228"/>
    <w:rsid w:val="007D44CA"/>
    <w:rsid w:val="007D44CE"/>
    <w:rsid w:val="007D466B"/>
    <w:rsid w:val="007D46B8"/>
    <w:rsid w:val="007D48F1"/>
    <w:rsid w:val="007D49E8"/>
    <w:rsid w:val="007D4A77"/>
    <w:rsid w:val="007D4AA1"/>
    <w:rsid w:val="007D4B1F"/>
    <w:rsid w:val="007D4D1A"/>
    <w:rsid w:val="007D4FD9"/>
    <w:rsid w:val="007D50F0"/>
    <w:rsid w:val="007D51BA"/>
    <w:rsid w:val="007D5268"/>
    <w:rsid w:val="007D52A4"/>
    <w:rsid w:val="007D5408"/>
    <w:rsid w:val="007D5766"/>
    <w:rsid w:val="007D57A2"/>
    <w:rsid w:val="007D5AE3"/>
    <w:rsid w:val="007D5BAF"/>
    <w:rsid w:val="007D5CF9"/>
    <w:rsid w:val="007D5E36"/>
    <w:rsid w:val="007D5EFB"/>
    <w:rsid w:val="007D6227"/>
    <w:rsid w:val="007D625F"/>
    <w:rsid w:val="007D6394"/>
    <w:rsid w:val="007D6465"/>
    <w:rsid w:val="007D6736"/>
    <w:rsid w:val="007D675B"/>
    <w:rsid w:val="007D68A9"/>
    <w:rsid w:val="007D6C3B"/>
    <w:rsid w:val="007D6CA4"/>
    <w:rsid w:val="007D6CC0"/>
    <w:rsid w:val="007D6D6F"/>
    <w:rsid w:val="007D6F20"/>
    <w:rsid w:val="007D70DC"/>
    <w:rsid w:val="007D7105"/>
    <w:rsid w:val="007D7499"/>
    <w:rsid w:val="007D7A7D"/>
    <w:rsid w:val="007D7AB3"/>
    <w:rsid w:val="007E00B7"/>
    <w:rsid w:val="007E01FA"/>
    <w:rsid w:val="007E020E"/>
    <w:rsid w:val="007E0251"/>
    <w:rsid w:val="007E030A"/>
    <w:rsid w:val="007E03A5"/>
    <w:rsid w:val="007E04EB"/>
    <w:rsid w:val="007E04FD"/>
    <w:rsid w:val="007E0ABA"/>
    <w:rsid w:val="007E0CD1"/>
    <w:rsid w:val="007E0F43"/>
    <w:rsid w:val="007E0FA8"/>
    <w:rsid w:val="007E0FD9"/>
    <w:rsid w:val="007E1067"/>
    <w:rsid w:val="007E15F0"/>
    <w:rsid w:val="007E16F2"/>
    <w:rsid w:val="007E177E"/>
    <w:rsid w:val="007E17CF"/>
    <w:rsid w:val="007E1825"/>
    <w:rsid w:val="007E19CB"/>
    <w:rsid w:val="007E1A05"/>
    <w:rsid w:val="007E1E14"/>
    <w:rsid w:val="007E1F06"/>
    <w:rsid w:val="007E20D4"/>
    <w:rsid w:val="007E23C9"/>
    <w:rsid w:val="007E24AC"/>
    <w:rsid w:val="007E24BB"/>
    <w:rsid w:val="007E2835"/>
    <w:rsid w:val="007E2967"/>
    <w:rsid w:val="007E2ADF"/>
    <w:rsid w:val="007E2D02"/>
    <w:rsid w:val="007E2D24"/>
    <w:rsid w:val="007E2F4A"/>
    <w:rsid w:val="007E316E"/>
    <w:rsid w:val="007E3597"/>
    <w:rsid w:val="007E36C5"/>
    <w:rsid w:val="007E372E"/>
    <w:rsid w:val="007E388F"/>
    <w:rsid w:val="007E3A34"/>
    <w:rsid w:val="007E3A7E"/>
    <w:rsid w:val="007E3B90"/>
    <w:rsid w:val="007E409E"/>
    <w:rsid w:val="007E41D6"/>
    <w:rsid w:val="007E41E7"/>
    <w:rsid w:val="007E4257"/>
    <w:rsid w:val="007E42AD"/>
    <w:rsid w:val="007E4366"/>
    <w:rsid w:val="007E43E3"/>
    <w:rsid w:val="007E4542"/>
    <w:rsid w:val="007E460F"/>
    <w:rsid w:val="007E46AF"/>
    <w:rsid w:val="007E492A"/>
    <w:rsid w:val="007E49AE"/>
    <w:rsid w:val="007E4A59"/>
    <w:rsid w:val="007E4B9D"/>
    <w:rsid w:val="007E4C63"/>
    <w:rsid w:val="007E4D7A"/>
    <w:rsid w:val="007E5050"/>
    <w:rsid w:val="007E5196"/>
    <w:rsid w:val="007E5350"/>
    <w:rsid w:val="007E5589"/>
    <w:rsid w:val="007E5738"/>
    <w:rsid w:val="007E5A91"/>
    <w:rsid w:val="007E5AA9"/>
    <w:rsid w:val="007E5C4C"/>
    <w:rsid w:val="007E5D01"/>
    <w:rsid w:val="007E5DE4"/>
    <w:rsid w:val="007E5EFE"/>
    <w:rsid w:val="007E62A1"/>
    <w:rsid w:val="007E65D2"/>
    <w:rsid w:val="007E68D6"/>
    <w:rsid w:val="007E6C71"/>
    <w:rsid w:val="007E6E8F"/>
    <w:rsid w:val="007E728F"/>
    <w:rsid w:val="007E74EC"/>
    <w:rsid w:val="007E75C7"/>
    <w:rsid w:val="007E75FC"/>
    <w:rsid w:val="007E7890"/>
    <w:rsid w:val="007E78ED"/>
    <w:rsid w:val="007E7C82"/>
    <w:rsid w:val="007E7D66"/>
    <w:rsid w:val="007E7ECF"/>
    <w:rsid w:val="007E7F50"/>
    <w:rsid w:val="007E7FD6"/>
    <w:rsid w:val="007F0128"/>
    <w:rsid w:val="007F02E1"/>
    <w:rsid w:val="007F04D2"/>
    <w:rsid w:val="007F05C5"/>
    <w:rsid w:val="007F0969"/>
    <w:rsid w:val="007F0A75"/>
    <w:rsid w:val="007F0F73"/>
    <w:rsid w:val="007F0FC7"/>
    <w:rsid w:val="007F10A7"/>
    <w:rsid w:val="007F139B"/>
    <w:rsid w:val="007F1629"/>
    <w:rsid w:val="007F178D"/>
    <w:rsid w:val="007F18DF"/>
    <w:rsid w:val="007F18FC"/>
    <w:rsid w:val="007F198E"/>
    <w:rsid w:val="007F1BB9"/>
    <w:rsid w:val="007F1DC1"/>
    <w:rsid w:val="007F20C8"/>
    <w:rsid w:val="007F2109"/>
    <w:rsid w:val="007F2469"/>
    <w:rsid w:val="007F248A"/>
    <w:rsid w:val="007F24F7"/>
    <w:rsid w:val="007F2545"/>
    <w:rsid w:val="007F2598"/>
    <w:rsid w:val="007F2740"/>
    <w:rsid w:val="007F2804"/>
    <w:rsid w:val="007F2916"/>
    <w:rsid w:val="007F2B0D"/>
    <w:rsid w:val="007F2C34"/>
    <w:rsid w:val="007F2D8F"/>
    <w:rsid w:val="007F2E28"/>
    <w:rsid w:val="007F2F94"/>
    <w:rsid w:val="007F35D4"/>
    <w:rsid w:val="007F35D6"/>
    <w:rsid w:val="007F36E2"/>
    <w:rsid w:val="007F36EB"/>
    <w:rsid w:val="007F3B62"/>
    <w:rsid w:val="007F3C27"/>
    <w:rsid w:val="007F3C7B"/>
    <w:rsid w:val="007F3D3B"/>
    <w:rsid w:val="007F3D5D"/>
    <w:rsid w:val="007F4025"/>
    <w:rsid w:val="007F420A"/>
    <w:rsid w:val="007F46DC"/>
    <w:rsid w:val="007F48A1"/>
    <w:rsid w:val="007F48D8"/>
    <w:rsid w:val="007F4A18"/>
    <w:rsid w:val="007F4A5D"/>
    <w:rsid w:val="007F4A69"/>
    <w:rsid w:val="007F4B95"/>
    <w:rsid w:val="007F4DB7"/>
    <w:rsid w:val="007F4DFB"/>
    <w:rsid w:val="007F4EA8"/>
    <w:rsid w:val="007F5122"/>
    <w:rsid w:val="007F526E"/>
    <w:rsid w:val="007F54D6"/>
    <w:rsid w:val="007F5513"/>
    <w:rsid w:val="007F553A"/>
    <w:rsid w:val="007F558B"/>
    <w:rsid w:val="007F55FA"/>
    <w:rsid w:val="007F572E"/>
    <w:rsid w:val="007F57FC"/>
    <w:rsid w:val="007F5815"/>
    <w:rsid w:val="007F5B95"/>
    <w:rsid w:val="007F5EB4"/>
    <w:rsid w:val="007F5EC2"/>
    <w:rsid w:val="007F5FE9"/>
    <w:rsid w:val="007F601E"/>
    <w:rsid w:val="007F60FB"/>
    <w:rsid w:val="007F626E"/>
    <w:rsid w:val="007F67DF"/>
    <w:rsid w:val="007F6A83"/>
    <w:rsid w:val="007F6D08"/>
    <w:rsid w:val="007F70F5"/>
    <w:rsid w:val="007F73BA"/>
    <w:rsid w:val="007F74FD"/>
    <w:rsid w:val="007F7832"/>
    <w:rsid w:val="007F7A87"/>
    <w:rsid w:val="007F7CC4"/>
    <w:rsid w:val="007F7E54"/>
    <w:rsid w:val="007F7E69"/>
    <w:rsid w:val="00800021"/>
    <w:rsid w:val="0080006B"/>
    <w:rsid w:val="008000F7"/>
    <w:rsid w:val="00800193"/>
    <w:rsid w:val="0080076E"/>
    <w:rsid w:val="00800784"/>
    <w:rsid w:val="008007ED"/>
    <w:rsid w:val="008009C4"/>
    <w:rsid w:val="00800C9F"/>
    <w:rsid w:val="0080103F"/>
    <w:rsid w:val="00801179"/>
    <w:rsid w:val="00801281"/>
    <w:rsid w:val="008013D1"/>
    <w:rsid w:val="00801BC7"/>
    <w:rsid w:val="00801BEB"/>
    <w:rsid w:val="00801D02"/>
    <w:rsid w:val="00801E05"/>
    <w:rsid w:val="008021E6"/>
    <w:rsid w:val="008022A8"/>
    <w:rsid w:val="00802335"/>
    <w:rsid w:val="008023CC"/>
    <w:rsid w:val="0080240C"/>
    <w:rsid w:val="00802632"/>
    <w:rsid w:val="00802B51"/>
    <w:rsid w:val="00802C6B"/>
    <w:rsid w:val="00802C7F"/>
    <w:rsid w:val="00802E47"/>
    <w:rsid w:val="00802E54"/>
    <w:rsid w:val="00802E67"/>
    <w:rsid w:val="008037AA"/>
    <w:rsid w:val="0080392D"/>
    <w:rsid w:val="00803966"/>
    <w:rsid w:val="008039B0"/>
    <w:rsid w:val="00803A47"/>
    <w:rsid w:val="00803B78"/>
    <w:rsid w:val="00803CB5"/>
    <w:rsid w:val="00803CF2"/>
    <w:rsid w:val="00803E51"/>
    <w:rsid w:val="00803E72"/>
    <w:rsid w:val="00804065"/>
    <w:rsid w:val="00804231"/>
    <w:rsid w:val="00804518"/>
    <w:rsid w:val="00804849"/>
    <w:rsid w:val="00804857"/>
    <w:rsid w:val="00804957"/>
    <w:rsid w:val="008049A3"/>
    <w:rsid w:val="00804BDF"/>
    <w:rsid w:val="00804CA8"/>
    <w:rsid w:val="00804D8C"/>
    <w:rsid w:val="00804DF2"/>
    <w:rsid w:val="008051C1"/>
    <w:rsid w:val="008052CE"/>
    <w:rsid w:val="008053CB"/>
    <w:rsid w:val="00805512"/>
    <w:rsid w:val="008055B6"/>
    <w:rsid w:val="008056BA"/>
    <w:rsid w:val="00805728"/>
    <w:rsid w:val="008057C4"/>
    <w:rsid w:val="008057C7"/>
    <w:rsid w:val="008057CB"/>
    <w:rsid w:val="00805AFB"/>
    <w:rsid w:val="00805BC9"/>
    <w:rsid w:val="00805DFA"/>
    <w:rsid w:val="00806038"/>
    <w:rsid w:val="008063F5"/>
    <w:rsid w:val="0080649B"/>
    <w:rsid w:val="0080675A"/>
    <w:rsid w:val="008067D1"/>
    <w:rsid w:val="00806A17"/>
    <w:rsid w:val="00806BBE"/>
    <w:rsid w:val="00807224"/>
    <w:rsid w:val="00807384"/>
    <w:rsid w:val="008074A1"/>
    <w:rsid w:val="00807601"/>
    <w:rsid w:val="00807624"/>
    <w:rsid w:val="0080767F"/>
    <w:rsid w:val="008076B2"/>
    <w:rsid w:val="0080789D"/>
    <w:rsid w:val="00807904"/>
    <w:rsid w:val="00807966"/>
    <w:rsid w:val="00807B62"/>
    <w:rsid w:val="00807F7E"/>
    <w:rsid w:val="00807FBB"/>
    <w:rsid w:val="00810204"/>
    <w:rsid w:val="00810473"/>
    <w:rsid w:val="00810521"/>
    <w:rsid w:val="008105E0"/>
    <w:rsid w:val="008106D2"/>
    <w:rsid w:val="0081086E"/>
    <w:rsid w:val="00810961"/>
    <w:rsid w:val="008109DA"/>
    <w:rsid w:val="00810ABC"/>
    <w:rsid w:val="00810C44"/>
    <w:rsid w:val="00810E28"/>
    <w:rsid w:val="00810F7C"/>
    <w:rsid w:val="00810FD3"/>
    <w:rsid w:val="00811018"/>
    <w:rsid w:val="00811211"/>
    <w:rsid w:val="00811455"/>
    <w:rsid w:val="008114AE"/>
    <w:rsid w:val="0081156E"/>
    <w:rsid w:val="008116C0"/>
    <w:rsid w:val="00811752"/>
    <w:rsid w:val="008119EB"/>
    <w:rsid w:val="00811A98"/>
    <w:rsid w:val="00811FB9"/>
    <w:rsid w:val="008124F4"/>
    <w:rsid w:val="008127BF"/>
    <w:rsid w:val="00812824"/>
    <w:rsid w:val="00812A7A"/>
    <w:rsid w:val="00812B8B"/>
    <w:rsid w:val="00812BAE"/>
    <w:rsid w:val="00812DE3"/>
    <w:rsid w:val="0081300D"/>
    <w:rsid w:val="008130C6"/>
    <w:rsid w:val="008131AF"/>
    <w:rsid w:val="008131F2"/>
    <w:rsid w:val="0081370C"/>
    <w:rsid w:val="00813724"/>
    <w:rsid w:val="0081378D"/>
    <w:rsid w:val="008137A8"/>
    <w:rsid w:val="00813912"/>
    <w:rsid w:val="00813B82"/>
    <w:rsid w:val="00813C51"/>
    <w:rsid w:val="00813C67"/>
    <w:rsid w:val="00813C79"/>
    <w:rsid w:val="00813E86"/>
    <w:rsid w:val="00813EAB"/>
    <w:rsid w:val="00814072"/>
    <w:rsid w:val="00814395"/>
    <w:rsid w:val="00814516"/>
    <w:rsid w:val="00814594"/>
    <w:rsid w:val="00814AF6"/>
    <w:rsid w:val="00814E77"/>
    <w:rsid w:val="00814EDB"/>
    <w:rsid w:val="00814FD0"/>
    <w:rsid w:val="00814FF2"/>
    <w:rsid w:val="008150A2"/>
    <w:rsid w:val="008152A4"/>
    <w:rsid w:val="00815322"/>
    <w:rsid w:val="00815562"/>
    <w:rsid w:val="0081573C"/>
    <w:rsid w:val="008158D4"/>
    <w:rsid w:val="00815CA4"/>
    <w:rsid w:val="00815D66"/>
    <w:rsid w:val="00815E40"/>
    <w:rsid w:val="00815E70"/>
    <w:rsid w:val="00815E85"/>
    <w:rsid w:val="00815FB5"/>
    <w:rsid w:val="00815FB6"/>
    <w:rsid w:val="00815FB8"/>
    <w:rsid w:val="00815FC3"/>
    <w:rsid w:val="00816046"/>
    <w:rsid w:val="0081605E"/>
    <w:rsid w:val="00816081"/>
    <w:rsid w:val="00816214"/>
    <w:rsid w:val="00816370"/>
    <w:rsid w:val="00816436"/>
    <w:rsid w:val="008165D1"/>
    <w:rsid w:val="008166D5"/>
    <w:rsid w:val="008168ED"/>
    <w:rsid w:val="00816968"/>
    <w:rsid w:val="00816B22"/>
    <w:rsid w:val="00816CCE"/>
    <w:rsid w:val="00816D10"/>
    <w:rsid w:val="00816DDA"/>
    <w:rsid w:val="00816FC1"/>
    <w:rsid w:val="00817138"/>
    <w:rsid w:val="0081741A"/>
    <w:rsid w:val="008177A4"/>
    <w:rsid w:val="00817B02"/>
    <w:rsid w:val="00817B84"/>
    <w:rsid w:val="00817CF0"/>
    <w:rsid w:val="00817D39"/>
    <w:rsid w:val="00817D95"/>
    <w:rsid w:val="0082014E"/>
    <w:rsid w:val="0082043D"/>
    <w:rsid w:val="00820454"/>
    <w:rsid w:val="008207DF"/>
    <w:rsid w:val="00820863"/>
    <w:rsid w:val="008208DF"/>
    <w:rsid w:val="008209C1"/>
    <w:rsid w:val="008209C9"/>
    <w:rsid w:val="00820E9A"/>
    <w:rsid w:val="008210FD"/>
    <w:rsid w:val="0082111A"/>
    <w:rsid w:val="0082122D"/>
    <w:rsid w:val="0082142A"/>
    <w:rsid w:val="0082143F"/>
    <w:rsid w:val="00821449"/>
    <w:rsid w:val="00821549"/>
    <w:rsid w:val="008216C5"/>
    <w:rsid w:val="00821762"/>
    <w:rsid w:val="00821795"/>
    <w:rsid w:val="008217AD"/>
    <w:rsid w:val="008217EF"/>
    <w:rsid w:val="00821AF0"/>
    <w:rsid w:val="00821C51"/>
    <w:rsid w:val="00821DB5"/>
    <w:rsid w:val="00821DCF"/>
    <w:rsid w:val="00821FED"/>
    <w:rsid w:val="00822080"/>
    <w:rsid w:val="00822130"/>
    <w:rsid w:val="0082214C"/>
    <w:rsid w:val="008221E3"/>
    <w:rsid w:val="00822320"/>
    <w:rsid w:val="00822452"/>
    <w:rsid w:val="008224F0"/>
    <w:rsid w:val="00822767"/>
    <w:rsid w:val="00822B19"/>
    <w:rsid w:val="00822C1B"/>
    <w:rsid w:val="00822CC5"/>
    <w:rsid w:val="00822D32"/>
    <w:rsid w:val="00822D82"/>
    <w:rsid w:val="00822F20"/>
    <w:rsid w:val="00822F3A"/>
    <w:rsid w:val="00822F94"/>
    <w:rsid w:val="00823577"/>
    <w:rsid w:val="0082363C"/>
    <w:rsid w:val="008239E1"/>
    <w:rsid w:val="00823C60"/>
    <w:rsid w:val="00823D09"/>
    <w:rsid w:val="00823E5D"/>
    <w:rsid w:val="00824301"/>
    <w:rsid w:val="0082431E"/>
    <w:rsid w:val="008243A1"/>
    <w:rsid w:val="00824AFA"/>
    <w:rsid w:val="00824BC1"/>
    <w:rsid w:val="00824CE9"/>
    <w:rsid w:val="00824DB5"/>
    <w:rsid w:val="00824EC7"/>
    <w:rsid w:val="00824FEB"/>
    <w:rsid w:val="00825180"/>
    <w:rsid w:val="0082525A"/>
    <w:rsid w:val="0082542B"/>
    <w:rsid w:val="00825431"/>
    <w:rsid w:val="00825478"/>
    <w:rsid w:val="008254A0"/>
    <w:rsid w:val="00825721"/>
    <w:rsid w:val="008258DA"/>
    <w:rsid w:val="00825991"/>
    <w:rsid w:val="00825AC4"/>
    <w:rsid w:val="00825B77"/>
    <w:rsid w:val="00825EC4"/>
    <w:rsid w:val="00825F45"/>
    <w:rsid w:val="00826122"/>
    <w:rsid w:val="008261C1"/>
    <w:rsid w:val="00826333"/>
    <w:rsid w:val="0082663E"/>
    <w:rsid w:val="00826D4E"/>
    <w:rsid w:val="00826DA4"/>
    <w:rsid w:val="00826E20"/>
    <w:rsid w:val="008271E9"/>
    <w:rsid w:val="00827346"/>
    <w:rsid w:val="008275BA"/>
    <w:rsid w:val="008276A7"/>
    <w:rsid w:val="00827A8A"/>
    <w:rsid w:val="00827D42"/>
    <w:rsid w:val="00827E8F"/>
    <w:rsid w:val="008300FC"/>
    <w:rsid w:val="008301E9"/>
    <w:rsid w:val="00830206"/>
    <w:rsid w:val="00830257"/>
    <w:rsid w:val="008303DF"/>
    <w:rsid w:val="0083050C"/>
    <w:rsid w:val="008307AB"/>
    <w:rsid w:val="00830837"/>
    <w:rsid w:val="00830900"/>
    <w:rsid w:val="00830DF0"/>
    <w:rsid w:val="00830E17"/>
    <w:rsid w:val="00831093"/>
    <w:rsid w:val="008314A6"/>
    <w:rsid w:val="00831515"/>
    <w:rsid w:val="0083182D"/>
    <w:rsid w:val="008318B0"/>
    <w:rsid w:val="008319C1"/>
    <w:rsid w:val="00831A88"/>
    <w:rsid w:val="00831CBA"/>
    <w:rsid w:val="008320C7"/>
    <w:rsid w:val="00832255"/>
    <w:rsid w:val="00832353"/>
    <w:rsid w:val="008327EF"/>
    <w:rsid w:val="008329A1"/>
    <w:rsid w:val="00832AA1"/>
    <w:rsid w:val="00832BAF"/>
    <w:rsid w:val="0083300E"/>
    <w:rsid w:val="008330D6"/>
    <w:rsid w:val="00833247"/>
    <w:rsid w:val="008333C7"/>
    <w:rsid w:val="00833772"/>
    <w:rsid w:val="0083379E"/>
    <w:rsid w:val="00833DB3"/>
    <w:rsid w:val="00833FA2"/>
    <w:rsid w:val="00834226"/>
    <w:rsid w:val="0083444D"/>
    <w:rsid w:val="00834544"/>
    <w:rsid w:val="008345BA"/>
    <w:rsid w:val="00834930"/>
    <w:rsid w:val="00834951"/>
    <w:rsid w:val="00834AA9"/>
    <w:rsid w:val="00834B30"/>
    <w:rsid w:val="00834BBC"/>
    <w:rsid w:val="00834BD2"/>
    <w:rsid w:val="00834CAE"/>
    <w:rsid w:val="00834DAB"/>
    <w:rsid w:val="00834EF5"/>
    <w:rsid w:val="0083546F"/>
    <w:rsid w:val="0083558E"/>
    <w:rsid w:val="0083564F"/>
    <w:rsid w:val="008356BB"/>
    <w:rsid w:val="008357B2"/>
    <w:rsid w:val="008358DD"/>
    <w:rsid w:val="00835A6D"/>
    <w:rsid w:val="00835B7D"/>
    <w:rsid w:val="00835CFC"/>
    <w:rsid w:val="00835D3C"/>
    <w:rsid w:val="00835F54"/>
    <w:rsid w:val="0083605C"/>
    <w:rsid w:val="00836092"/>
    <w:rsid w:val="00836175"/>
    <w:rsid w:val="008361D6"/>
    <w:rsid w:val="008363CA"/>
    <w:rsid w:val="00836503"/>
    <w:rsid w:val="00836538"/>
    <w:rsid w:val="0083657A"/>
    <w:rsid w:val="0083660E"/>
    <w:rsid w:val="0083684C"/>
    <w:rsid w:val="00836A8C"/>
    <w:rsid w:val="00836B2D"/>
    <w:rsid w:val="00836CFF"/>
    <w:rsid w:val="00836D9B"/>
    <w:rsid w:val="00836DDF"/>
    <w:rsid w:val="00836E5F"/>
    <w:rsid w:val="008371BF"/>
    <w:rsid w:val="008373B7"/>
    <w:rsid w:val="00837445"/>
    <w:rsid w:val="00837698"/>
    <w:rsid w:val="008376E9"/>
    <w:rsid w:val="008379C6"/>
    <w:rsid w:val="00837B05"/>
    <w:rsid w:val="00837B3E"/>
    <w:rsid w:val="00837C0A"/>
    <w:rsid w:val="008400D5"/>
    <w:rsid w:val="00840332"/>
    <w:rsid w:val="008406B8"/>
    <w:rsid w:val="008407C4"/>
    <w:rsid w:val="008407ED"/>
    <w:rsid w:val="00840881"/>
    <w:rsid w:val="0084096C"/>
    <w:rsid w:val="008409CE"/>
    <w:rsid w:val="00840B0E"/>
    <w:rsid w:val="00840C9D"/>
    <w:rsid w:val="00840DD3"/>
    <w:rsid w:val="00840F64"/>
    <w:rsid w:val="008410D7"/>
    <w:rsid w:val="008411FD"/>
    <w:rsid w:val="00841378"/>
    <w:rsid w:val="008413CE"/>
    <w:rsid w:val="0084149D"/>
    <w:rsid w:val="0084157A"/>
    <w:rsid w:val="0084159C"/>
    <w:rsid w:val="008417DB"/>
    <w:rsid w:val="00841961"/>
    <w:rsid w:val="00841EB3"/>
    <w:rsid w:val="00842115"/>
    <w:rsid w:val="008422BD"/>
    <w:rsid w:val="00842534"/>
    <w:rsid w:val="008425D8"/>
    <w:rsid w:val="00842650"/>
    <w:rsid w:val="008427EF"/>
    <w:rsid w:val="00842BB5"/>
    <w:rsid w:val="00842C9E"/>
    <w:rsid w:val="00842D0F"/>
    <w:rsid w:val="00842DD5"/>
    <w:rsid w:val="00842E54"/>
    <w:rsid w:val="008435C6"/>
    <w:rsid w:val="0084373B"/>
    <w:rsid w:val="0084374B"/>
    <w:rsid w:val="00843EBA"/>
    <w:rsid w:val="00843FDB"/>
    <w:rsid w:val="008442C0"/>
    <w:rsid w:val="0084437C"/>
    <w:rsid w:val="008443C5"/>
    <w:rsid w:val="00844542"/>
    <w:rsid w:val="008446E8"/>
    <w:rsid w:val="00844824"/>
    <w:rsid w:val="00844859"/>
    <w:rsid w:val="0084496A"/>
    <w:rsid w:val="008449F7"/>
    <w:rsid w:val="00844A88"/>
    <w:rsid w:val="00844CFA"/>
    <w:rsid w:val="00844D8B"/>
    <w:rsid w:val="00844EAA"/>
    <w:rsid w:val="00845005"/>
    <w:rsid w:val="00845068"/>
    <w:rsid w:val="008450AB"/>
    <w:rsid w:val="008450B0"/>
    <w:rsid w:val="00845139"/>
    <w:rsid w:val="008453CF"/>
    <w:rsid w:val="008453F3"/>
    <w:rsid w:val="00845669"/>
    <w:rsid w:val="00845823"/>
    <w:rsid w:val="008458C2"/>
    <w:rsid w:val="00845D00"/>
    <w:rsid w:val="00845E9B"/>
    <w:rsid w:val="00845EF7"/>
    <w:rsid w:val="00846030"/>
    <w:rsid w:val="00846674"/>
    <w:rsid w:val="008466C0"/>
    <w:rsid w:val="00846742"/>
    <w:rsid w:val="00846759"/>
    <w:rsid w:val="00846766"/>
    <w:rsid w:val="00846791"/>
    <w:rsid w:val="0084679F"/>
    <w:rsid w:val="00846905"/>
    <w:rsid w:val="00846A45"/>
    <w:rsid w:val="00846AB6"/>
    <w:rsid w:val="00846AC0"/>
    <w:rsid w:val="00847174"/>
    <w:rsid w:val="008472FB"/>
    <w:rsid w:val="0084733C"/>
    <w:rsid w:val="0084735C"/>
    <w:rsid w:val="00847364"/>
    <w:rsid w:val="00847450"/>
    <w:rsid w:val="0084746D"/>
    <w:rsid w:val="008474E0"/>
    <w:rsid w:val="0084751C"/>
    <w:rsid w:val="0084786B"/>
    <w:rsid w:val="00847A7C"/>
    <w:rsid w:val="00847C5F"/>
    <w:rsid w:val="00847D55"/>
    <w:rsid w:val="00847E62"/>
    <w:rsid w:val="00847EA9"/>
    <w:rsid w:val="00847ECE"/>
    <w:rsid w:val="008500BF"/>
    <w:rsid w:val="00850176"/>
    <w:rsid w:val="00850493"/>
    <w:rsid w:val="00850722"/>
    <w:rsid w:val="008507D8"/>
    <w:rsid w:val="008508DA"/>
    <w:rsid w:val="00850986"/>
    <w:rsid w:val="00850B0B"/>
    <w:rsid w:val="00850C6E"/>
    <w:rsid w:val="008510D1"/>
    <w:rsid w:val="008513D7"/>
    <w:rsid w:val="008514CD"/>
    <w:rsid w:val="008516A4"/>
    <w:rsid w:val="00851976"/>
    <w:rsid w:val="0085231C"/>
    <w:rsid w:val="008523A0"/>
    <w:rsid w:val="00852471"/>
    <w:rsid w:val="008524F5"/>
    <w:rsid w:val="00852731"/>
    <w:rsid w:val="0085283C"/>
    <w:rsid w:val="00852AAC"/>
    <w:rsid w:val="00852B0A"/>
    <w:rsid w:val="00852D3E"/>
    <w:rsid w:val="00852DD8"/>
    <w:rsid w:val="00852EB9"/>
    <w:rsid w:val="00852EDB"/>
    <w:rsid w:val="00852F07"/>
    <w:rsid w:val="0085360C"/>
    <w:rsid w:val="008536A9"/>
    <w:rsid w:val="00853806"/>
    <w:rsid w:val="0085396D"/>
    <w:rsid w:val="008539BD"/>
    <w:rsid w:val="00853B55"/>
    <w:rsid w:val="00854008"/>
    <w:rsid w:val="0085477A"/>
    <w:rsid w:val="008547A3"/>
    <w:rsid w:val="00854ACA"/>
    <w:rsid w:val="00854AE6"/>
    <w:rsid w:val="00854B0A"/>
    <w:rsid w:val="00854B4A"/>
    <w:rsid w:val="00854C86"/>
    <w:rsid w:val="00854F6D"/>
    <w:rsid w:val="00854FBE"/>
    <w:rsid w:val="00855137"/>
    <w:rsid w:val="0085516A"/>
    <w:rsid w:val="00855597"/>
    <w:rsid w:val="0085579C"/>
    <w:rsid w:val="00855839"/>
    <w:rsid w:val="00855840"/>
    <w:rsid w:val="00855C0B"/>
    <w:rsid w:val="00855CAE"/>
    <w:rsid w:val="008560B2"/>
    <w:rsid w:val="00856231"/>
    <w:rsid w:val="0085625C"/>
    <w:rsid w:val="00856307"/>
    <w:rsid w:val="00856421"/>
    <w:rsid w:val="0085658F"/>
    <w:rsid w:val="0085664C"/>
    <w:rsid w:val="008566F7"/>
    <w:rsid w:val="00856D8C"/>
    <w:rsid w:val="00856DCD"/>
    <w:rsid w:val="008577C1"/>
    <w:rsid w:val="0085786B"/>
    <w:rsid w:val="00857AE9"/>
    <w:rsid w:val="00857BAC"/>
    <w:rsid w:val="00857E8E"/>
    <w:rsid w:val="00857E9F"/>
    <w:rsid w:val="00857F81"/>
    <w:rsid w:val="00860194"/>
    <w:rsid w:val="0086030E"/>
    <w:rsid w:val="00860477"/>
    <w:rsid w:val="00860744"/>
    <w:rsid w:val="0086084D"/>
    <w:rsid w:val="00860891"/>
    <w:rsid w:val="008609C9"/>
    <w:rsid w:val="00860CD8"/>
    <w:rsid w:val="00860E48"/>
    <w:rsid w:val="0086104D"/>
    <w:rsid w:val="008613F1"/>
    <w:rsid w:val="00861468"/>
    <w:rsid w:val="0086157E"/>
    <w:rsid w:val="0086181F"/>
    <w:rsid w:val="008619DC"/>
    <w:rsid w:val="00861BFE"/>
    <w:rsid w:val="00861C99"/>
    <w:rsid w:val="00861D15"/>
    <w:rsid w:val="00861E60"/>
    <w:rsid w:val="00861F33"/>
    <w:rsid w:val="00862538"/>
    <w:rsid w:val="008625D2"/>
    <w:rsid w:val="008626ED"/>
    <w:rsid w:val="008628C7"/>
    <w:rsid w:val="00862907"/>
    <w:rsid w:val="00862AC4"/>
    <w:rsid w:val="00863055"/>
    <w:rsid w:val="00863280"/>
    <w:rsid w:val="008633BB"/>
    <w:rsid w:val="0086360B"/>
    <w:rsid w:val="008637C9"/>
    <w:rsid w:val="0086403E"/>
    <w:rsid w:val="0086420C"/>
    <w:rsid w:val="00864301"/>
    <w:rsid w:val="00864305"/>
    <w:rsid w:val="008643F9"/>
    <w:rsid w:val="008646CC"/>
    <w:rsid w:val="00864821"/>
    <w:rsid w:val="00864C67"/>
    <w:rsid w:val="00864E11"/>
    <w:rsid w:val="00864EBC"/>
    <w:rsid w:val="00864F26"/>
    <w:rsid w:val="00865047"/>
    <w:rsid w:val="0086537C"/>
    <w:rsid w:val="008653FF"/>
    <w:rsid w:val="0086546A"/>
    <w:rsid w:val="008655C7"/>
    <w:rsid w:val="008658CA"/>
    <w:rsid w:val="00865EA7"/>
    <w:rsid w:val="008661C1"/>
    <w:rsid w:val="008661C9"/>
    <w:rsid w:val="008662E7"/>
    <w:rsid w:val="00866401"/>
    <w:rsid w:val="0086649E"/>
    <w:rsid w:val="008665F7"/>
    <w:rsid w:val="0086675A"/>
    <w:rsid w:val="0086676F"/>
    <w:rsid w:val="008667FB"/>
    <w:rsid w:val="008669CE"/>
    <w:rsid w:val="00866A23"/>
    <w:rsid w:val="00866AEA"/>
    <w:rsid w:val="00866B05"/>
    <w:rsid w:val="00866B8E"/>
    <w:rsid w:val="00866CBC"/>
    <w:rsid w:val="00866EF9"/>
    <w:rsid w:val="00867026"/>
    <w:rsid w:val="0086708A"/>
    <w:rsid w:val="00867200"/>
    <w:rsid w:val="008672DB"/>
    <w:rsid w:val="0086742B"/>
    <w:rsid w:val="0086750D"/>
    <w:rsid w:val="00867778"/>
    <w:rsid w:val="0086792D"/>
    <w:rsid w:val="00867958"/>
    <w:rsid w:val="00867B7A"/>
    <w:rsid w:val="00867BA2"/>
    <w:rsid w:val="00867F7C"/>
    <w:rsid w:val="008704D1"/>
    <w:rsid w:val="00870633"/>
    <w:rsid w:val="00870BED"/>
    <w:rsid w:val="00870C19"/>
    <w:rsid w:val="00870D23"/>
    <w:rsid w:val="00870D95"/>
    <w:rsid w:val="00870EE9"/>
    <w:rsid w:val="0087131F"/>
    <w:rsid w:val="00871382"/>
    <w:rsid w:val="008714A5"/>
    <w:rsid w:val="00871871"/>
    <w:rsid w:val="0087194A"/>
    <w:rsid w:val="00871965"/>
    <w:rsid w:val="00871B1F"/>
    <w:rsid w:val="00871D95"/>
    <w:rsid w:val="00871E27"/>
    <w:rsid w:val="00871E3A"/>
    <w:rsid w:val="008721AE"/>
    <w:rsid w:val="008722EB"/>
    <w:rsid w:val="0087244F"/>
    <w:rsid w:val="008726B6"/>
    <w:rsid w:val="008727A5"/>
    <w:rsid w:val="00872DB8"/>
    <w:rsid w:val="00872E2F"/>
    <w:rsid w:val="0087305D"/>
    <w:rsid w:val="00873457"/>
    <w:rsid w:val="008735FC"/>
    <w:rsid w:val="00873633"/>
    <w:rsid w:val="00873698"/>
    <w:rsid w:val="008737AE"/>
    <w:rsid w:val="00873886"/>
    <w:rsid w:val="00873C1A"/>
    <w:rsid w:val="00873CA1"/>
    <w:rsid w:val="00874135"/>
    <w:rsid w:val="00874248"/>
    <w:rsid w:val="00874294"/>
    <w:rsid w:val="008742F4"/>
    <w:rsid w:val="0087454A"/>
    <w:rsid w:val="008746D0"/>
    <w:rsid w:val="00874717"/>
    <w:rsid w:val="00874993"/>
    <w:rsid w:val="008749CE"/>
    <w:rsid w:val="00874B60"/>
    <w:rsid w:val="00874D59"/>
    <w:rsid w:val="00874F2F"/>
    <w:rsid w:val="00875311"/>
    <w:rsid w:val="008755D6"/>
    <w:rsid w:val="008756B3"/>
    <w:rsid w:val="0087589D"/>
    <w:rsid w:val="00875B78"/>
    <w:rsid w:val="00875BC6"/>
    <w:rsid w:val="00875D67"/>
    <w:rsid w:val="00875FEF"/>
    <w:rsid w:val="008760AF"/>
    <w:rsid w:val="0087612E"/>
    <w:rsid w:val="008762E0"/>
    <w:rsid w:val="00876416"/>
    <w:rsid w:val="00876530"/>
    <w:rsid w:val="008766D5"/>
    <w:rsid w:val="008767BC"/>
    <w:rsid w:val="00876BA7"/>
    <w:rsid w:val="00876E56"/>
    <w:rsid w:val="00877242"/>
    <w:rsid w:val="00877265"/>
    <w:rsid w:val="0087728C"/>
    <w:rsid w:val="00877453"/>
    <w:rsid w:val="00877480"/>
    <w:rsid w:val="0087779F"/>
    <w:rsid w:val="00877918"/>
    <w:rsid w:val="00877A97"/>
    <w:rsid w:val="00877AF3"/>
    <w:rsid w:val="00877BC3"/>
    <w:rsid w:val="00877BF2"/>
    <w:rsid w:val="00877CB7"/>
    <w:rsid w:val="00877F18"/>
    <w:rsid w:val="00880524"/>
    <w:rsid w:val="008806C5"/>
    <w:rsid w:val="0088079A"/>
    <w:rsid w:val="00880978"/>
    <w:rsid w:val="00880AB9"/>
    <w:rsid w:val="00880BC1"/>
    <w:rsid w:val="00880D76"/>
    <w:rsid w:val="00880E2C"/>
    <w:rsid w:val="008814CC"/>
    <w:rsid w:val="00881545"/>
    <w:rsid w:val="00881912"/>
    <w:rsid w:val="008819F4"/>
    <w:rsid w:val="00881B5B"/>
    <w:rsid w:val="00881DFF"/>
    <w:rsid w:val="00881F38"/>
    <w:rsid w:val="008822F8"/>
    <w:rsid w:val="0088248F"/>
    <w:rsid w:val="00882689"/>
    <w:rsid w:val="00882738"/>
    <w:rsid w:val="008828E6"/>
    <w:rsid w:val="00882B12"/>
    <w:rsid w:val="00882B30"/>
    <w:rsid w:val="00882CA7"/>
    <w:rsid w:val="00883131"/>
    <w:rsid w:val="0088337E"/>
    <w:rsid w:val="00883404"/>
    <w:rsid w:val="0088365F"/>
    <w:rsid w:val="008836CC"/>
    <w:rsid w:val="00883717"/>
    <w:rsid w:val="00883818"/>
    <w:rsid w:val="00883836"/>
    <w:rsid w:val="00883D94"/>
    <w:rsid w:val="008842BB"/>
    <w:rsid w:val="0088454F"/>
    <w:rsid w:val="008846E5"/>
    <w:rsid w:val="00884A53"/>
    <w:rsid w:val="00884D3D"/>
    <w:rsid w:val="00884E46"/>
    <w:rsid w:val="00884FDA"/>
    <w:rsid w:val="0088500C"/>
    <w:rsid w:val="008855E0"/>
    <w:rsid w:val="0088585E"/>
    <w:rsid w:val="0088590D"/>
    <w:rsid w:val="00885A24"/>
    <w:rsid w:val="00885BC0"/>
    <w:rsid w:val="00885E5A"/>
    <w:rsid w:val="00885EC7"/>
    <w:rsid w:val="00886034"/>
    <w:rsid w:val="008860BC"/>
    <w:rsid w:val="00886484"/>
    <w:rsid w:val="00886899"/>
    <w:rsid w:val="00886A51"/>
    <w:rsid w:val="00886A99"/>
    <w:rsid w:val="00886BD6"/>
    <w:rsid w:val="00886BF9"/>
    <w:rsid w:val="00887163"/>
    <w:rsid w:val="0088720D"/>
    <w:rsid w:val="00887446"/>
    <w:rsid w:val="008875B3"/>
    <w:rsid w:val="008875FF"/>
    <w:rsid w:val="0088786F"/>
    <w:rsid w:val="00887A23"/>
    <w:rsid w:val="00887A36"/>
    <w:rsid w:val="00887CBD"/>
    <w:rsid w:val="00887D7A"/>
    <w:rsid w:val="00890179"/>
    <w:rsid w:val="0089033F"/>
    <w:rsid w:val="00890368"/>
    <w:rsid w:val="008903B1"/>
    <w:rsid w:val="00890542"/>
    <w:rsid w:val="00890570"/>
    <w:rsid w:val="00890825"/>
    <w:rsid w:val="008909D4"/>
    <w:rsid w:val="00890AD9"/>
    <w:rsid w:val="00890CA4"/>
    <w:rsid w:val="00890DF3"/>
    <w:rsid w:val="00890F77"/>
    <w:rsid w:val="008910A4"/>
    <w:rsid w:val="00891106"/>
    <w:rsid w:val="008911FB"/>
    <w:rsid w:val="0089120C"/>
    <w:rsid w:val="00891254"/>
    <w:rsid w:val="008913D2"/>
    <w:rsid w:val="00891789"/>
    <w:rsid w:val="00891AC3"/>
    <w:rsid w:val="00891B6B"/>
    <w:rsid w:val="00891C62"/>
    <w:rsid w:val="00891D55"/>
    <w:rsid w:val="00891D94"/>
    <w:rsid w:val="00891EE3"/>
    <w:rsid w:val="00891F0B"/>
    <w:rsid w:val="00891FA9"/>
    <w:rsid w:val="0089201A"/>
    <w:rsid w:val="0089246A"/>
    <w:rsid w:val="0089250D"/>
    <w:rsid w:val="00892595"/>
    <w:rsid w:val="0089278C"/>
    <w:rsid w:val="008927AB"/>
    <w:rsid w:val="00892819"/>
    <w:rsid w:val="00892848"/>
    <w:rsid w:val="00892B1C"/>
    <w:rsid w:val="00892B2D"/>
    <w:rsid w:val="00893142"/>
    <w:rsid w:val="008934E8"/>
    <w:rsid w:val="00893A16"/>
    <w:rsid w:val="00893A7E"/>
    <w:rsid w:val="00893AC8"/>
    <w:rsid w:val="00893B90"/>
    <w:rsid w:val="00893D81"/>
    <w:rsid w:val="00893D90"/>
    <w:rsid w:val="00893E1D"/>
    <w:rsid w:val="00893F14"/>
    <w:rsid w:val="008946FA"/>
    <w:rsid w:val="00894857"/>
    <w:rsid w:val="00894A48"/>
    <w:rsid w:val="00894D17"/>
    <w:rsid w:val="00894DA3"/>
    <w:rsid w:val="00894FB3"/>
    <w:rsid w:val="00895542"/>
    <w:rsid w:val="0089559E"/>
    <w:rsid w:val="00895609"/>
    <w:rsid w:val="0089560C"/>
    <w:rsid w:val="00895665"/>
    <w:rsid w:val="0089573C"/>
    <w:rsid w:val="00895945"/>
    <w:rsid w:val="008959A1"/>
    <w:rsid w:val="00895A3B"/>
    <w:rsid w:val="00895ACC"/>
    <w:rsid w:val="00895C19"/>
    <w:rsid w:val="00895E31"/>
    <w:rsid w:val="00895E81"/>
    <w:rsid w:val="008961F5"/>
    <w:rsid w:val="008963A6"/>
    <w:rsid w:val="0089649F"/>
    <w:rsid w:val="008964A4"/>
    <w:rsid w:val="008966E2"/>
    <w:rsid w:val="008967A1"/>
    <w:rsid w:val="00896898"/>
    <w:rsid w:val="008969E3"/>
    <w:rsid w:val="0089708B"/>
    <w:rsid w:val="00897164"/>
    <w:rsid w:val="00897320"/>
    <w:rsid w:val="008975B3"/>
    <w:rsid w:val="0089761C"/>
    <w:rsid w:val="00897639"/>
    <w:rsid w:val="0089788F"/>
    <w:rsid w:val="008978AF"/>
    <w:rsid w:val="00897F7D"/>
    <w:rsid w:val="008A0170"/>
    <w:rsid w:val="008A0188"/>
    <w:rsid w:val="008A0598"/>
    <w:rsid w:val="008A05E9"/>
    <w:rsid w:val="008A0ACA"/>
    <w:rsid w:val="008A0C7A"/>
    <w:rsid w:val="008A0D64"/>
    <w:rsid w:val="008A0D66"/>
    <w:rsid w:val="008A0F4C"/>
    <w:rsid w:val="008A1049"/>
    <w:rsid w:val="008A120E"/>
    <w:rsid w:val="008A136E"/>
    <w:rsid w:val="008A13FA"/>
    <w:rsid w:val="008A16B4"/>
    <w:rsid w:val="008A1704"/>
    <w:rsid w:val="008A177B"/>
    <w:rsid w:val="008A17C2"/>
    <w:rsid w:val="008A19D6"/>
    <w:rsid w:val="008A1C4B"/>
    <w:rsid w:val="008A1D3C"/>
    <w:rsid w:val="008A1FD6"/>
    <w:rsid w:val="008A2715"/>
    <w:rsid w:val="008A27C1"/>
    <w:rsid w:val="008A2AF2"/>
    <w:rsid w:val="008A2D52"/>
    <w:rsid w:val="008A2E98"/>
    <w:rsid w:val="008A2EE7"/>
    <w:rsid w:val="008A2F12"/>
    <w:rsid w:val="008A2F1E"/>
    <w:rsid w:val="008A37F6"/>
    <w:rsid w:val="008A39A9"/>
    <w:rsid w:val="008A39FE"/>
    <w:rsid w:val="008A3AB7"/>
    <w:rsid w:val="008A3CC1"/>
    <w:rsid w:val="008A3EDC"/>
    <w:rsid w:val="008A3EF5"/>
    <w:rsid w:val="008A4038"/>
    <w:rsid w:val="008A427B"/>
    <w:rsid w:val="008A4564"/>
    <w:rsid w:val="008A4626"/>
    <w:rsid w:val="008A470A"/>
    <w:rsid w:val="008A470D"/>
    <w:rsid w:val="008A4821"/>
    <w:rsid w:val="008A4839"/>
    <w:rsid w:val="008A489B"/>
    <w:rsid w:val="008A4951"/>
    <w:rsid w:val="008A4AE0"/>
    <w:rsid w:val="008A4CBA"/>
    <w:rsid w:val="008A4E89"/>
    <w:rsid w:val="008A5011"/>
    <w:rsid w:val="008A51A6"/>
    <w:rsid w:val="008A54AE"/>
    <w:rsid w:val="008A54E6"/>
    <w:rsid w:val="008A575E"/>
    <w:rsid w:val="008A5AAB"/>
    <w:rsid w:val="008A5B5F"/>
    <w:rsid w:val="008A5BE5"/>
    <w:rsid w:val="008A5C1B"/>
    <w:rsid w:val="008A6028"/>
    <w:rsid w:val="008A606B"/>
    <w:rsid w:val="008A61E5"/>
    <w:rsid w:val="008A6220"/>
    <w:rsid w:val="008A6449"/>
    <w:rsid w:val="008A646C"/>
    <w:rsid w:val="008A64A9"/>
    <w:rsid w:val="008A64AF"/>
    <w:rsid w:val="008A683D"/>
    <w:rsid w:val="008A6911"/>
    <w:rsid w:val="008A698E"/>
    <w:rsid w:val="008A7081"/>
    <w:rsid w:val="008A72A2"/>
    <w:rsid w:val="008A72D4"/>
    <w:rsid w:val="008A7332"/>
    <w:rsid w:val="008A7462"/>
    <w:rsid w:val="008A75C9"/>
    <w:rsid w:val="008A75EF"/>
    <w:rsid w:val="008A7825"/>
    <w:rsid w:val="008A7846"/>
    <w:rsid w:val="008A784D"/>
    <w:rsid w:val="008A7860"/>
    <w:rsid w:val="008A78D4"/>
    <w:rsid w:val="008A792B"/>
    <w:rsid w:val="008A7ACC"/>
    <w:rsid w:val="008A7C12"/>
    <w:rsid w:val="008A7DE4"/>
    <w:rsid w:val="008A7F34"/>
    <w:rsid w:val="008B022B"/>
    <w:rsid w:val="008B034D"/>
    <w:rsid w:val="008B0533"/>
    <w:rsid w:val="008B0860"/>
    <w:rsid w:val="008B0877"/>
    <w:rsid w:val="008B0B0F"/>
    <w:rsid w:val="008B0BD8"/>
    <w:rsid w:val="008B0C9A"/>
    <w:rsid w:val="008B0CCC"/>
    <w:rsid w:val="008B1509"/>
    <w:rsid w:val="008B1542"/>
    <w:rsid w:val="008B173B"/>
    <w:rsid w:val="008B1761"/>
    <w:rsid w:val="008B17ED"/>
    <w:rsid w:val="008B1BEF"/>
    <w:rsid w:val="008B1E3B"/>
    <w:rsid w:val="008B2126"/>
    <w:rsid w:val="008B2485"/>
    <w:rsid w:val="008B24BD"/>
    <w:rsid w:val="008B24D3"/>
    <w:rsid w:val="008B277F"/>
    <w:rsid w:val="008B27FC"/>
    <w:rsid w:val="008B2C6B"/>
    <w:rsid w:val="008B2DCA"/>
    <w:rsid w:val="008B2E5B"/>
    <w:rsid w:val="008B2FBF"/>
    <w:rsid w:val="008B3209"/>
    <w:rsid w:val="008B3255"/>
    <w:rsid w:val="008B330A"/>
    <w:rsid w:val="008B352F"/>
    <w:rsid w:val="008B368D"/>
    <w:rsid w:val="008B39AD"/>
    <w:rsid w:val="008B3AFF"/>
    <w:rsid w:val="008B3C67"/>
    <w:rsid w:val="008B3CF5"/>
    <w:rsid w:val="008B3D7B"/>
    <w:rsid w:val="008B3EB7"/>
    <w:rsid w:val="008B4184"/>
    <w:rsid w:val="008B460A"/>
    <w:rsid w:val="008B4657"/>
    <w:rsid w:val="008B4732"/>
    <w:rsid w:val="008B4C07"/>
    <w:rsid w:val="008B4ECF"/>
    <w:rsid w:val="008B5117"/>
    <w:rsid w:val="008B5164"/>
    <w:rsid w:val="008B5165"/>
    <w:rsid w:val="008B525A"/>
    <w:rsid w:val="008B5359"/>
    <w:rsid w:val="008B56A5"/>
    <w:rsid w:val="008B5B7D"/>
    <w:rsid w:val="008B5CE2"/>
    <w:rsid w:val="008B5F67"/>
    <w:rsid w:val="008B60A8"/>
    <w:rsid w:val="008B62FF"/>
    <w:rsid w:val="008B639C"/>
    <w:rsid w:val="008B64BD"/>
    <w:rsid w:val="008B65A6"/>
    <w:rsid w:val="008B6978"/>
    <w:rsid w:val="008B6C62"/>
    <w:rsid w:val="008B6E80"/>
    <w:rsid w:val="008B6FF5"/>
    <w:rsid w:val="008B76C7"/>
    <w:rsid w:val="008B7735"/>
    <w:rsid w:val="008B7759"/>
    <w:rsid w:val="008B77BF"/>
    <w:rsid w:val="008B782B"/>
    <w:rsid w:val="008B7A0E"/>
    <w:rsid w:val="008B7ADD"/>
    <w:rsid w:val="008C0082"/>
    <w:rsid w:val="008C00EA"/>
    <w:rsid w:val="008C066A"/>
    <w:rsid w:val="008C0B93"/>
    <w:rsid w:val="008C0E31"/>
    <w:rsid w:val="008C1410"/>
    <w:rsid w:val="008C157A"/>
    <w:rsid w:val="008C1BD2"/>
    <w:rsid w:val="008C1C55"/>
    <w:rsid w:val="008C20CF"/>
    <w:rsid w:val="008C253C"/>
    <w:rsid w:val="008C257A"/>
    <w:rsid w:val="008C269F"/>
    <w:rsid w:val="008C26F0"/>
    <w:rsid w:val="008C282A"/>
    <w:rsid w:val="008C28E5"/>
    <w:rsid w:val="008C29C2"/>
    <w:rsid w:val="008C2B3B"/>
    <w:rsid w:val="008C2CE0"/>
    <w:rsid w:val="008C2DF0"/>
    <w:rsid w:val="008C300A"/>
    <w:rsid w:val="008C309B"/>
    <w:rsid w:val="008C377E"/>
    <w:rsid w:val="008C37D7"/>
    <w:rsid w:val="008C39C3"/>
    <w:rsid w:val="008C3A68"/>
    <w:rsid w:val="008C3AD3"/>
    <w:rsid w:val="008C3B9B"/>
    <w:rsid w:val="008C3C51"/>
    <w:rsid w:val="008C3D35"/>
    <w:rsid w:val="008C3DA0"/>
    <w:rsid w:val="008C4042"/>
    <w:rsid w:val="008C41CF"/>
    <w:rsid w:val="008C42F4"/>
    <w:rsid w:val="008C458C"/>
    <w:rsid w:val="008C49EA"/>
    <w:rsid w:val="008C4C70"/>
    <w:rsid w:val="008C52DF"/>
    <w:rsid w:val="008C54E0"/>
    <w:rsid w:val="008C5696"/>
    <w:rsid w:val="008C5851"/>
    <w:rsid w:val="008C5B71"/>
    <w:rsid w:val="008C5B9F"/>
    <w:rsid w:val="008C5D42"/>
    <w:rsid w:val="008C5FCA"/>
    <w:rsid w:val="008C6159"/>
    <w:rsid w:val="008C627F"/>
    <w:rsid w:val="008C62FC"/>
    <w:rsid w:val="008C64A7"/>
    <w:rsid w:val="008C6569"/>
    <w:rsid w:val="008C6794"/>
    <w:rsid w:val="008C6AA7"/>
    <w:rsid w:val="008C6AD9"/>
    <w:rsid w:val="008C6C35"/>
    <w:rsid w:val="008C6DC6"/>
    <w:rsid w:val="008C6FAB"/>
    <w:rsid w:val="008C721A"/>
    <w:rsid w:val="008C74CC"/>
    <w:rsid w:val="008C76F9"/>
    <w:rsid w:val="008C7737"/>
    <w:rsid w:val="008C77B9"/>
    <w:rsid w:val="008C781A"/>
    <w:rsid w:val="008C799A"/>
    <w:rsid w:val="008C7D66"/>
    <w:rsid w:val="008C7F9F"/>
    <w:rsid w:val="008D007D"/>
    <w:rsid w:val="008D00B7"/>
    <w:rsid w:val="008D03A8"/>
    <w:rsid w:val="008D03CE"/>
    <w:rsid w:val="008D0571"/>
    <w:rsid w:val="008D08E3"/>
    <w:rsid w:val="008D0B2C"/>
    <w:rsid w:val="008D0CBB"/>
    <w:rsid w:val="008D0CCE"/>
    <w:rsid w:val="008D0FE2"/>
    <w:rsid w:val="008D103A"/>
    <w:rsid w:val="008D105F"/>
    <w:rsid w:val="008D1400"/>
    <w:rsid w:val="008D164C"/>
    <w:rsid w:val="008D1C6C"/>
    <w:rsid w:val="008D1D46"/>
    <w:rsid w:val="008D1DB1"/>
    <w:rsid w:val="008D25F0"/>
    <w:rsid w:val="008D25F3"/>
    <w:rsid w:val="008D2834"/>
    <w:rsid w:val="008D2992"/>
    <w:rsid w:val="008D2A23"/>
    <w:rsid w:val="008D2BFD"/>
    <w:rsid w:val="008D2C89"/>
    <w:rsid w:val="008D2D06"/>
    <w:rsid w:val="008D33F3"/>
    <w:rsid w:val="008D37A3"/>
    <w:rsid w:val="008D37DE"/>
    <w:rsid w:val="008D3912"/>
    <w:rsid w:val="008D39DB"/>
    <w:rsid w:val="008D3A2C"/>
    <w:rsid w:val="008D3A9E"/>
    <w:rsid w:val="008D3C59"/>
    <w:rsid w:val="008D4154"/>
    <w:rsid w:val="008D45A5"/>
    <w:rsid w:val="008D4954"/>
    <w:rsid w:val="008D4C9A"/>
    <w:rsid w:val="008D4CE3"/>
    <w:rsid w:val="008D5044"/>
    <w:rsid w:val="008D506C"/>
    <w:rsid w:val="008D51CF"/>
    <w:rsid w:val="008D5508"/>
    <w:rsid w:val="008D569F"/>
    <w:rsid w:val="008D58D8"/>
    <w:rsid w:val="008D5C40"/>
    <w:rsid w:val="008D5E92"/>
    <w:rsid w:val="008D617E"/>
    <w:rsid w:val="008D64F5"/>
    <w:rsid w:val="008D6534"/>
    <w:rsid w:val="008D65C2"/>
    <w:rsid w:val="008D677E"/>
    <w:rsid w:val="008D6A63"/>
    <w:rsid w:val="008D6D2A"/>
    <w:rsid w:val="008D6F1C"/>
    <w:rsid w:val="008D70F9"/>
    <w:rsid w:val="008D719F"/>
    <w:rsid w:val="008D73BD"/>
    <w:rsid w:val="008D747C"/>
    <w:rsid w:val="008D7579"/>
    <w:rsid w:val="008D76DB"/>
    <w:rsid w:val="008D77EB"/>
    <w:rsid w:val="008D789D"/>
    <w:rsid w:val="008D78EE"/>
    <w:rsid w:val="008D79EC"/>
    <w:rsid w:val="008E01D8"/>
    <w:rsid w:val="008E0329"/>
    <w:rsid w:val="008E0361"/>
    <w:rsid w:val="008E050C"/>
    <w:rsid w:val="008E05A3"/>
    <w:rsid w:val="008E05A9"/>
    <w:rsid w:val="008E0624"/>
    <w:rsid w:val="008E0932"/>
    <w:rsid w:val="008E0DBD"/>
    <w:rsid w:val="008E11A1"/>
    <w:rsid w:val="008E13F1"/>
    <w:rsid w:val="008E141F"/>
    <w:rsid w:val="008E161F"/>
    <w:rsid w:val="008E17CB"/>
    <w:rsid w:val="008E17F3"/>
    <w:rsid w:val="008E1A33"/>
    <w:rsid w:val="008E1D80"/>
    <w:rsid w:val="008E1DC9"/>
    <w:rsid w:val="008E2239"/>
    <w:rsid w:val="008E223D"/>
    <w:rsid w:val="008E22EC"/>
    <w:rsid w:val="008E248B"/>
    <w:rsid w:val="008E24F7"/>
    <w:rsid w:val="008E2510"/>
    <w:rsid w:val="008E2614"/>
    <w:rsid w:val="008E2752"/>
    <w:rsid w:val="008E28A3"/>
    <w:rsid w:val="008E29D3"/>
    <w:rsid w:val="008E2A1E"/>
    <w:rsid w:val="008E2A5E"/>
    <w:rsid w:val="008E2B2A"/>
    <w:rsid w:val="008E2B8F"/>
    <w:rsid w:val="008E2C90"/>
    <w:rsid w:val="008E2CC6"/>
    <w:rsid w:val="008E2D61"/>
    <w:rsid w:val="008E2F72"/>
    <w:rsid w:val="008E3010"/>
    <w:rsid w:val="008E306D"/>
    <w:rsid w:val="008E3150"/>
    <w:rsid w:val="008E3235"/>
    <w:rsid w:val="008E337E"/>
    <w:rsid w:val="008E34AC"/>
    <w:rsid w:val="008E35EC"/>
    <w:rsid w:val="008E39AD"/>
    <w:rsid w:val="008E3F3A"/>
    <w:rsid w:val="008E3FDA"/>
    <w:rsid w:val="008E415C"/>
    <w:rsid w:val="008E4291"/>
    <w:rsid w:val="008E4470"/>
    <w:rsid w:val="008E4553"/>
    <w:rsid w:val="008E455F"/>
    <w:rsid w:val="008E47AC"/>
    <w:rsid w:val="008E483E"/>
    <w:rsid w:val="008E49F1"/>
    <w:rsid w:val="008E4CAC"/>
    <w:rsid w:val="008E4E6B"/>
    <w:rsid w:val="008E4E7F"/>
    <w:rsid w:val="008E4EC5"/>
    <w:rsid w:val="008E4EDF"/>
    <w:rsid w:val="008E4EE0"/>
    <w:rsid w:val="008E5139"/>
    <w:rsid w:val="008E5343"/>
    <w:rsid w:val="008E5643"/>
    <w:rsid w:val="008E56E8"/>
    <w:rsid w:val="008E596D"/>
    <w:rsid w:val="008E59B4"/>
    <w:rsid w:val="008E5AC1"/>
    <w:rsid w:val="008E5B11"/>
    <w:rsid w:val="008E5B63"/>
    <w:rsid w:val="008E5C3C"/>
    <w:rsid w:val="008E5CF4"/>
    <w:rsid w:val="008E60B8"/>
    <w:rsid w:val="008E6155"/>
    <w:rsid w:val="008E631C"/>
    <w:rsid w:val="008E638E"/>
    <w:rsid w:val="008E6452"/>
    <w:rsid w:val="008E64F8"/>
    <w:rsid w:val="008E6BEE"/>
    <w:rsid w:val="008E6EAA"/>
    <w:rsid w:val="008E70B2"/>
    <w:rsid w:val="008E7260"/>
    <w:rsid w:val="008E72F0"/>
    <w:rsid w:val="008E7489"/>
    <w:rsid w:val="008E7595"/>
    <w:rsid w:val="008E768D"/>
    <w:rsid w:val="008E769A"/>
    <w:rsid w:val="008E76C5"/>
    <w:rsid w:val="008E779F"/>
    <w:rsid w:val="008E791E"/>
    <w:rsid w:val="008E7BEE"/>
    <w:rsid w:val="008E7C40"/>
    <w:rsid w:val="008E7E03"/>
    <w:rsid w:val="008F00EB"/>
    <w:rsid w:val="008F0142"/>
    <w:rsid w:val="008F016A"/>
    <w:rsid w:val="008F01B7"/>
    <w:rsid w:val="008F06F8"/>
    <w:rsid w:val="008F0947"/>
    <w:rsid w:val="008F0B17"/>
    <w:rsid w:val="008F0B42"/>
    <w:rsid w:val="008F0B4C"/>
    <w:rsid w:val="008F0C47"/>
    <w:rsid w:val="008F0C61"/>
    <w:rsid w:val="008F0D5E"/>
    <w:rsid w:val="008F0E74"/>
    <w:rsid w:val="008F101E"/>
    <w:rsid w:val="008F1294"/>
    <w:rsid w:val="008F1340"/>
    <w:rsid w:val="008F13DF"/>
    <w:rsid w:val="008F144A"/>
    <w:rsid w:val="008F184E"/>
    <w:rsid w:val="008F192F"/>
    <w:rsid w:val="008F19A6"/>
    <w:rsid w:val="008F1C49"/>
    <w:rsid w:val="008F1C4F"/>
    <w:rsid w:val="008F1E72"/>
    <w:rsid w:val="008F1F38"/>
    <w:rsid w:val="008F2041"/>
    <w:rsid w:val="008F24B3"/>
    <w:rsid w:val="008F2939"/>
    <w:rsid w:val="008F295E"/>
    <w:rsid w:val="008F2962"/>
    <w:rsid w:val="008F2A3B"/>
    <w:rsid w:val="008F2B41"/>
    <w:rsid w:val="008F2BDC"/>
    <w:rsid w:val="008F2F3C"/>
    <w:rsid w:val="008F303C"/>
    <w:rsid w:val="008F3061"/>
    <w:rsid w:val="008F3148"/>
    <w:rsid w:val="008F31B6"/>
    <w:rsid w:val="008F3331"/>
    <w:rsid w:val="008F342C"/>
    <w:rsid w:val="008F3449"/>
    <w:rsid w:val="008F3887"/>
    <w:rsid w:val="008F3897"/>
    <w:rsid w:val="008F3B31"/>
    <w:rsid w:val="008F3BB5"/>
    <w:rsid w:val="008F3E7A"/>
    <w:rsid w:val="008F3FDD"/>
    <w:rsid w:val="008F402A"/>
    <w:rsid w:val="008F4192"/>
    <w:rsid w:val="008F43D6"/>
    <w:rsid w:val="008F43EE"/>
    <w:rsid w:val="008F45C3"/>
    <w:rsid w:val="008F49A4"/>
    <w:rsid w:val="008F4BE7"/>
    <w:rsid w:val="008F4E00"/>
    <w:rsid w:val="008F4E0B"/>
    <w:rsid w:val="008F4F44"/>
    <w:rsid w:val="008F4FF1"/>
    <w:rsid w:val="008F53D7"/>
    <w:rsid w:val="008F56F5"/>
    <w:rsid w:val="008F579B"/>
    <w:rsid w:val="008F57F5"/>
    <w:rsid w:val="008F5AC6"/>
    <w:rsid w:val="008F5BFE"/>
    <w:rsid w:val="008F5C82"/>
    <w:rsid w:val="008F5EB6"/>
    <w:rsid w:val="008F5EEE"/>
    <w:rsid w:val="008F5F51"/>
    <w:rsid w:val="008F601D"/>
    <w:rsid w:val="008F60EE"/>
    <w:rsid w:val="008F6413"/>
    <w:rsid w:val="008F64A1"/>
    <w:rsid w:val="008F64E8"/>
    <w:rsid w:val="008F6544"/>
    <w:rsid w:val="008F6548"/>
    <w:rsid w:val="008F6584"/>
    <w:rsid w:val="008F6649"/>
    <w:rsid w:val="008F66BD"/>
    <w:rsid w:val="008F66F4"/>
    <w:rsid w:val="008F6722"/>
    <w:rsid w:val="008F6A6F"/>
    <w:rsid w:val="008F6B12"/>
    <w:rsid w:val="008F6C31"/>
    <w:rsid w:val="008F7088"/>
    <w:rsid w:val="008F70E6"/>
    <w:rsid w:val="008F7297"/>
    <w:rsid w:val="008F7368"/>
    <w:rsid w:val="008F73E6"/>
    <w:rsid w:val="008F7598"/>
    <w:rsid w:val="008F76DB"/>
    <w:rsid w:val="008F7919"/>
    <w:rsid w:val="008F7952"/>
    <w:rsid w:val="008F7995"/>
    <w:rsid w:val="008F7D0B"/>
    <w:rsid w:val="008F7D2C"/>
    <w:rsid w:val="008F7F98"/>
    <w:rsid w:val="00900084"/>
    <w:rsid w:val="0090035A"/>
    <w:rsid w:val="009006B3"/>
    <w:rsid w:val="0090070C"/>
    <w:rsid w:val="00900932"/>
    <w:rsid w:val="0090096B"/>
    <w:rsid w:val="00900B04"/>
    <w:rsid w:val="00900C08"/>
    <w:rsid w:val="00900C57"/>
    <w:rsid w:val="00900CBF"/>
    <w:rsid w:val="00900D59"/>
    <w:rsid w:val="00900DA5"/>
    <w:rsid w:val="00900DFD"/>
    <w:rsid w:val="00900E05"/>
    <w:rsid w:val="00900E65"/>
    <w:rsid w:val="00900F9A"/>
    <w:rsid w:val="00900FE3"/>
    <w:rsid w:val="00901056"/>
    <w:rsid w:val="00901160"/>
    <w:rsid w:val="0090126E"/>
    <w:rsid w:val="00901360"/>
    <w:rsid w:val="009013A1"/>
    <w:rsid w:val="00901FCF"/>
    <w:rsid w:val="00902023"/>
    <w:rsid w:val="0090206D"/>
    <w:rsid w:val="00902219"/>
    <w:rsid w:val="009022A8"/>
    <w:rsid w:val="009024FF"/>
    <w:rsid w:val="009025E4"/>
    <w:rsid w:val="00902755"/>
    <w:rsid w:val="00902913"/>
    <w:rsid w:val="00902933"/>
    <w:rsid w:val="009029F0"/>
    <w:rsid w:val="00902A4C"/>
    <w:rsid w:val="00902B64"/>
    <w:rsid w:val="00902B73"/>
    <w:rsid w:val="00902CC8"/>
    <w:rsid w:val="00902CF2"/>
    <w:rsid w:val="00902D05"/>
    <w:rsid w:val="00902DDA"/>
    <w:rsid w:val="00902E78"/>
    <w:rsid w:val="00902EB8"/>
    <w:rsid w:val="00902EFD"/>
    <w:rsid w:val="00903114"/>
    <w:rsid w:val="00903133"/>
    <w:rsid w:val="0090363C"/>
    <w:rsid w:val="0090371B"/>
    <w:rsid w:val="0090385B"/>
    <w:rsid w:val="00903D05"/>
    <w:rsid w:val="00903DB7"/>
    <w:rsid w:val="00903E76"/>
    <w:rsid w:val="009040CC"/>
    <w:rsid w:val="0090424B"/>
    <w:rsid w:val="0090433C"/>
    <w:rsid w:val="00904386"/>
    <w:rsid w:val="009044BF"/>
    <w:rsid w:val="00904862"/>
    <w:rsid w:val="009048F0"/>
    <w:rsid w:val="009048F7"/>
    <w:rsid w:val="00904912"/>
    <w:rsid w:val="0090493D"/>
    <w:rsid w:val="00904AE7"/>
    <w:rsid w:val="00904AF8"/>
    <w:rsid w:val="00904B1E"/>
    <w:rsid w:val="00904F41"/>
    <w:rsid w:val="00905094"/>
    <w:rsid w:val="0090582F"/>
    <w:rsid w:val="00905AF6"/>
    <w:rsid w:val="00905BC2"/>
    <w:rsid w:val="00905C8C"/>
    <w:rsid w:val="009063EC"/>
    <w:rsid w:val="00906441"/>
    <w:rsid w:val="0090645A"/>
    <w:rsid w:val="0090656B"/>
    <w:rsid w:val="0090659A"/>
    <w:rsid w:val="009066F9"/>
    <w:rsid w:val="009069B5"/>
    <w:rsid w:val="00906BE2"/>
    <w:rsid w:val="00906E44"/>
    <w:rsid w:val="00906E92"/>
    <w:rsid w:val="009071E6"/>
    <w:rsid w:val="009071F5"/>
    <w:rsid w:val="00907323"/>
    <w:rsid w:val="00907384"/>
    <w:rsid w:val="009077E0"/>
    <w:rsid w:val="0090793B"/>
    <w:rsid w:val="00907AC7"/>
    <w:rsid w:val="00907B38"/>
    <w:rsid w:val="00907B63"/>
    <w:rsid w:val="00907CA2"/>
    <w:rsid w:val="00907D83"/>
    <w:rsid w:val="00907F57"/>
    <w:rsid w:val="00910611"/>
    <w:rsid w:val="00910616"/>
    <w:rsid w:val="00910708"/>
    <w:rsid w:val="00910944"/>
    <w:rsid w:val="00911101"/>
    <w:rsid w:val="00911230"/>
    <w:rsid w:val="0091177E"/>
    <w:rsid w:val="009118C0"/>
    <w:rsid w:val="0091195C"/>
    <w:rsid w:val="00911965"/>
    <w:rsid w:val="00911CCC"/>
    <w:rsid w:val="00912404"/>
    <w:rsid w:val="009124E0"/>
    <w:rsid w:val="00912A0A"/>
    <w:rsid w:val="00912C38"/>
    <w:rsid w:val="00912DC6"/>
    <w:rsid w:val="00912EF8"/>
    <w:rsid w:val="00912F6A"/>
    <w:rsid w:val="00913135"/>
    <w:rsid w:val="00913161"/>
    <w:rsid w:val="00913586"/>
    <w:rsid w:val="00913A51"/>
    <w:rsid w:val="00913A89"/>
    <w:rsid w:val="00913B7E"/>
    <w:rsid w:val="00913BCC"/>
    <w:rsid w:val="00913C24"/>
    <w:rsid w:val="00913C94"/>
    <w:rsid w:val="00913D4A"/>
    <w:rsid w:val="009140F0"/>
    <w:rsid w:val="0091413C"/>
    <w:rsid w:val="0091433E"/>
    <w:rsid w:val="009144DF"/>
    <w:rsid w:val="00914752"/>
    <w:rsid w:val="009147F2"/>
    <w:rsid w:val="00914AE4"/>
    <w:rsid w:val="00914AE6"/>
    <w:rsid w:val="00914D44"/>
    <w:rsid w:val="00914D57"/>
    <w:rsid w:val="00914FBB"/>
    <w:rsid w:val="009152B4"/>
    <w:rsid w:val="00915591"/>
    <w:rsid w:val="009155AC"/>
    <w:rsid w:val="00915678"/>
    <w:rsid w:val="009158FE"/>
    <w:rsid w:val="00915AAE"/>
    <w:rsid w:val="00915DF4"/>
    <w:rsid w:val="00915E17"/>
    <w:rsid w:val="0091609D"/>
    <w:rsid w:val="009160B2"/>
    <w:rsid w:val="009161D1"/>
    <w:rsid w:val="00916390"/>
    <w:rsid w:val="00916581"/>
    <w:rsid w:val="009167D2"/>
    <w:rsid w:val="009167EF"/>
    <w:rsid w:val="009167F9"/>
    <w:rsid w:val="0091698F"/>
    <w:rsid w:val="00916A62"/>
    <w:rsid w:val="00916B59"/>
    <w:rsid w:val="00916D2F"/>
    <w:rsid w:val="00916EF1"/>
    <w:rsid w:val="00916FFF"/>
    <w:rsid w:val="009178BD"/>
    <w:rsid w:val="00917A9F"/>
    <w:rsid w:val="00917AC6"/>
    <w:rsid w:val="00917AF7"/>
    <w:rsid w:val="00917C1C"/>
    <w:rsid w:val="00917EE3"/>
    <w:rsid w:val="00917F64"/>
    <w:rsid w:val="00920134"/>
    <w:rsid w:val="009201F8"/>
    <w:rsid w:val="009208DE"/>
    <w:rsid w:val="0092091F"/>
    <w:rsid w:val="00920AA5"/>
    <w:rsid w:val="00920AFD"/>
    <w:rsid w:val="00920B9A"/>
    <w:rsid w:val="00920B9C"/>
    <w:rsid w:val="00920C7E"/>
    <w:rsid w:val="00920CCA"/>
    <w:rsid w:val="00920D17"/>
    <w:rsid w:val="00921157"/>
    <w:rsid w:val="009212FC"/>
    <w:rsid w:val="009215D1"/>
    <w:rsid w:val="009216B7"/>
    <w:rsid w:val="0092182B"/>
    <w:rsid w:val="009219AF"/>
    <w:rsid w:val="00921A6B"/>
    <w:rsid w:val="00921D0E"/>
    <w:rsid w:val="00921FC3"/>
    <w:rsid w:val="009220B7"/>
    <w:rsid w:val="009222C9"/>
    <w:rsid w:val="009224C2"/>
    <w:rsid w:val="00922693"/>
    <w:rsid w:val="00922BC6"/>
    <w:rsid w:val="00922C54"/>
    <w:rsid w:val="0092305B"/>
    <w:rsid w:val="00923130"/>
    <w:rsid w:val="0092366C"/>
    <w:rsid w:val="0092382C"/>
    <w:rsid w:val="00923936"/>
    <w:rsid w:val="00923A00"/>
    <w:rsid w:val="00923B1B"/>
    <w:rsid w:val="00923BA7"/>
    <w:rsid w:val="00923BF4"/>
    <w:rsid w:val="00923BFE"/>
    <w:rsid w:val="00923C0B"/>
    <w:rsid w:val="00923DC4"/>
    <w:rsid w:val="0092459D"/>
    <w:rsid w:val="00924836"/>
    <w:rsid w:val="00924B93"/>
    <w:rsid w:val="00925182"/>
    <w:rsid w:val="009251B2"/>
    <w:rsid w:val="0092548F"/>
    <w:rsid w:val="0092560D"/>
    <w:rsid w:val="0092589A"/>
    <w:rsid w:val="00925BEF"/>
    <w:rsid w:val="00925C25"/>
    <w:rsid w:val="00926008"/>
    <w:rsid w:val="00926039"/>
    <w:rsid w:val="00926229"/>
    <w:rsid w:val="00926233"/>
    <w:rsid w:val="00926250"/>
    <w:rsid w:val="0092628E"/>
    <w:rsid w:val="00926374"/>
    <w:rsid w:val="00926566"/>
    <w:rsid w:val="009267E6"/>
    <w:rsid w:val="00926955"/>
    <w:rsid w:val="00926A08"/>
    <w:rsid w:val="00926A64"/>
    <w:rsid w:val="00926CEE"/>
    <w:rsid w:val="00926D40"/>
    <w:rsid w:val="00926E51"/>
    <w:rsid w:val="00926F8E"/>
    <w:rsid w:val="00927061"/>
    <w:rsid w:val="009274FA"/>
    <w:rsid w:val="00927555"/>
    <w:rsid w:val="0092761D"/>
    <w:rsid w:val="0092761E"/>
    <w:rsid w:val="009277D3"/>
    <w:rsid w:val="009279C1"/>
    <w:rsid w:val="0093027F"/>
    <w:rsid w:val="009303E2"/>
    <w:rsid w:val="0093046F"/>
    <w:rsid w:val="00930506"/>
    <w:rsid w:val="00930736"/>
    <w:rsid w:val="0093083C"/>
    <w:rsid w:val="0093087D"/>
    <w:rsid w:val="009309C5"/>
    <w:rsid w:val="00930B4B"/>
    <w:rsid w:val="00931268"/>
    <w:rsid w:val="00931534"/>
    <w:rsid w:val="00931C6B"/>
    <w:rsid w:val="00931FB7"/>
    <w:rsid w:val="00931FCF"/>
    <w:rsid w:val="009322CE"/>
    <w:rsid w:val="00932421"/>
    <w:rsid w:val="00932570"/>
    <w:rsid w:val="00932BAA"/>
    <w:rsid w:val="00932BDA"/>
    <w:rsid w:val="00932CA3"/>
    <w:rsid w:val="00932DAD"/>
    <w:rsid w:val="00932DB4"/>
    <w:rsid w:val="00932DDD"/>
    <w:rsid w:val="00933300"/>
    <w:rsid w:val="00933387"/>
    <w:rsid w:val="009334AD"/>
    <w:rsid w:val="009335E7"/>
    <w:rsid w:val="0093360C"/>
    <w:rsid w:val="009336C4"/>
    <w:rsid w:val="00933786"/>
    <w:rsid w:val="00933961"/>
    <w:rsid w:val="00933DD4"/>
    <w:rsid w:val="00933E19"/>
    <w:rsid w:val="009340E0"/>
    <w:rsid w:val="00934110"/>
    <w:rsid w:val="009341D3"/>
    <w:rsid w:val="009341D4"/>
    <w:rsid w:val="00934202"/>
    <w:rsid w:val="00934395"/>
    <w:rsid w:val="009345EC"/>
    <w:rsid w:val="009349BF"/>
    <w:rsid w:val="00934A81"/>
    <w:rsid w:val="00934C03"/>
    <w:rsid w:val="00934CEF"/>
    <w:rsid w:val="00934CFF"/>
    <w:rsid w:val="00935218"/>
    <w:rsid w:val="009353D1"/>
    <w:rsid w:val="0093554B"/>
    <w:rsid w:val="009357BF"/>
    <w:rsid w:val="0093585A"/>
    <w:rsid w:val="00935A1B"/>
    <w:rsid w:val="00935AA2"/>
    <w:rsid w:val="00935BBA"/>
    <w:rsid w:val="00935C04"/>
    <w:rsid w:val="00935DDE"/>
    <w:rsid w:val="00935FDF"/>
    <w:rsid w:val="00936525"/>
    <w:rsid w:val="00936530"/>
    <w:rsid w:val="00936BC7"/>
    <w:rsid w:val="00936C26"/>
    <w:rsid w:val="00936C31"/>
    <w:rsid w:val="00936CE5"/>
    <w:rsid w:val="00936E1F"/>
    <w:rsid w:val="00937271"/>
    <w:rsid w:val="00937399"/>
    <w:rsid w:val="009374F9"/>
    <w:rsid w:val="00937A28"/>
    <w:rsid w:val="00937A96"/>
    <w:rsid w:val="00937EFC"/>
    <w:rsid w:val="00937F3B"/>
    <w:rsid w:val="00940680"/>
    <w:rsid w:val="00940BFB"/>
    <w:rsid w:val="00940D28"/>
    <w:rsid w:val="00940DF2"/>
    <w:rsid w:val="0094107D"/>
    <w:rsid w:val="0094127F"/>
    <w:rsid w:val="00941300"/>
    <w:rsid w:val="00941354"/>
    <w:rsid w:val="009414E6"/>
    <w:rsid w:val="009415AA"/>
    <w:rsid w:val="00941A84"/>
    <w:rsid w:val="00941BC5"/>
    <w:rsid w:val="00941C7F"/>
    <w:rsid w:val="00941CF2"/>
    <w:rsid w:val="00941DF2"/>
    <w:rsid w:val="00941E13"/>
    <w:rsid w:val="009421F7"/>
    <w:rsid w:val="009422CE"/>
    <w:rsid w:val="009424A5"/>
    <w:rsid w:val="009424DA"/>
    <w:rsid w:val="00942841"/>
    <w:rsid w:val="00942AB6"/>
    <w:rsid w:val="00942B3C"/>
    <w:rsid w:val="00942E44"/>
    <w:rsid w:val="0094302C"/>
    <w:rsid w:val="00943080"/>
    <w:rsid w:val="00943186"/>
    <w:rsid w:val="009433AB"/>
    <w:rsid w:val="009436DC"/>
    <w:rsid w:val="00943938"/>
    <w:rsid w:val="009439C7"/>
    <w:rsid w:val="00943A9D"/>
    <w:rsid w:val="00943B97"/>
    <w:rsid w:val="00943DB4"/>
    <w:rsid w:val="00943F79"/>
    <w:rsid w:val="00944066"/>
    <w:rsid w:val="00944109"/>
    <w:rsid w:val="00944144"/>
    <w:rsid w:val="009443B7"/>
    <w:rsid w:val="0094443B"/>
    <w:rsid w:val="009444D1"/>
    <w:rsid w:val="00944573"/>
    <w:rsid w:val="009448CA"/>
    <w:rsid w:val="009448D3"/>
    <w:rsid w:val="009448EE"/>
    <w:rsid w:val="00944904"/>
    <w:rsid w:val="00944A25"/>
    <w:rsid w:val="00944A6E"/>
    <w:rsid w:val="00944C03"/>
    <w:rsid w:val="00944F7D"/>
    <w:rsid w:val="00945158"/>
    <w:rsid w:val="0094547C"/>
    <w:rsid w:val="00945554"/>
    <w:rsid w:val="00945608"/>
    <w:rsid w:val="00945699"/>
    <w:rsid w:val="009456F8"/>
    <w:rsid w:val="009457C2"/>
    <w:rsid w:val="00945A82"/>
    <w:rsid w:val="00945B8C"/>
    <w:rsid w:val="00945BCC"/>
    <w:rsid w:val="00945D08"/>
    <w:rsid w:val="00945FEC"/>
    <w:rsid w:val="0094610B"/>
    <w:rsid w:val="00946316"/>
    <w:rsid w:val="0094637A"/>
    <w:rsid w:val="009464A8"/>
    <w:rsid w:val="009465C3"/>
    <w:rsid w:val="0094674B"/>
    <w:rsid w:val="00946B2C"/>
    <w:rsid w:val="00946C1B"/>
    <w:rsid w:val="00946C65"/>
    <w:rsid w:val="00946CBA"/>
    <w:rsid w:val="00946F16"/>
    <w:rsid w:val="00946F6E"/>
    <w:rsid w:val="00947026"/>
    <w:rsid w:val="009470D0"/>
    <w:rsid w:val="009470EA"/>
    <w:rsid w:val="009472AD"/>
    <w:rsid w:val="009473B8"/>
    <w:rsid w:val="009474DF"/>
    <w:rsid w:val="00947686"/>
    <w:rsid w:val="0094773D"/>
    <w:rsid w:val="00947B89"/>
    <w:rsid w:val="00950053"/>
    <w:rsid w:val="00950067"/>
    <w:rsid w:val="009503FE"/>
    <w:rsid w:val="00950545"/>
    <w:rsid w:val="009507AF"/>
    <w:rsid w:val="00950B3D"/>
    <w:rsid w:val="00951033"/>
    <w:rsid w:val="00951164"/>
    <w:rsid w:val="0095138B"/>
    <w:rsid w:val="009513C6"/>
    <w:rsid w:val="009517A3"/>
    <w:rsid w:val="00951870"/>
    <w:rsid w:val="00951914"/>
    <w:rsid w:val="00951A0A"/>
    <w:rsid w:val="00951BF8"/>
    <w:rsid w:val="00951BFA"/>
    <w:rsid w:val="00951C0A"/>
    <w:rsid w:val="00951FB4"/>
    <w:rsid w:val="00952148"/>
    <w:rsid w:val="00952243"/>
    <w:rsid w:val="009522DC"/>
    <w:rsid w:val="00952406"/>
    <w:rsid w:val="00952539"/>
    <w:rsid w:val="009527B4"/>
    <w:rsid w:val="00952A32"/>
    <w:rsid w:val="00952AA9"/>
    <w:rsid w:val="00952DAB"/>
    <w:rsid w:val="00952E13"/>
    <w:rsid w:val="00953026"/>
    <w:rsid w:val="009532C8"/>
    <w:rsid w:val="009532E1"/>
    <w:rsid w:val="0095342B"/>
    <w:rsid w:val="0095375C"/>
    <w:rsid w:val="009538C3"/>
    <w:rsid w:val="00953A01"/>
    <w:rsid w:val="00954022"/>
    <w:rsid w:val="00954067"/>
    <w:rsid w:val="009545A2"/>
    <w:rsid w:val="009548B5"/>
    <w:rsid w:val="00954A4A"/>
    <w:rsid w:val="00954AB5"/>
    <w:rsid w:val="00954AFB"/>
    <w:rsid w:val="00954B2F"/>
    <w:rsid w:val="00954CCC"/>
    <w:rsid w:val="00954DA7"/>
    <w:rsid w:val="00954EA2"/>
    <w:rsid w:val="00954F9B"/>
    <w:rsid w:val="00955063"/>
    <w:rsid w:val="009554DB"/>
    <w:rsid w:val="0095574C"/>
    <w:rsid w:val="00955990"/>
    <w:rsid w:val="009559C4"/>
    <w:rsid w:val="00955B21"/>
    <w:rsid w:val="00955D36"/>
    <w:rsid w:val="00955D92"/>
    <w:rsid w:val="0095607C"/>
    <w:rsid w:val="009560DD"/>
    <w:rsid w:val="009564B4"/>
    <w:rsid w:val="00956763"/>
    <w:rsid w:val="009569DA"/>
    <w:rsid w:val="00956B74"/>
    <w:rsid w:val="00956D3E"/>
    <w:rsid w:val="00956DF3"/>
    <w:rsid w:val="00956E8C"/>
    <w:rsid w:val="009570A3"/>
    <w:rsid w:val="009570CD"/>
    <w:rsid w:val="0095719B"/>
    <w:rsid w:val="009572E7"/>
    <w:rsid w:val="0095756E"/>
    <w:rsid w:val="0095765A"/>
    <w:rsid w:val="009576C8"/>
    <w:rsid w:val="00957857"/>
    <w:rsid w:val="009578F5"/>
    <w:rsid w:val="00957A38"/>
    <w:rsid w:val="00957AC8"/>
    <w:rsid w:val="00957CCB"/>
    <w:rsid w:val="00957CDE"/>
    <w:rsid w:val="00957F1A"/>
    <w:rsid w:val="0096064D"/>
    <w:rsid w:val="009606B1"/>
    <w:rsid w:val="009607C4"/>
    <w:rsid w:val="009607E8"/>
    <w:rsid w:val="00960958"/>
    <w:rsid w:val="00960985"/>
    <w:rsid w:val="00960A81"/>
    <w:rsid w:val="009610AF"/>
    <w:rsid w:val="009611A4"/>
    <w:rsid w:val="009611B3"/>
    <w:rsid w:val="009614FD"/>
    <w:rsid w:val="0096158A"/>
    <w:rsid w:val="0096164C"/>
    <w:rsid w:val="00961785"/>
    <w:rsid w:val="00961897"/>
    <w:rsid w:val="0096195C"/>
    <w:rsid w:val="00961997"/>
    <w:rsid w:val="00961C15"/>
    <w:rsid w:val="00961DF4"/>
    <w:rsid w:val="00961E7F"/>
    <w:rsid w:val="00961F52"/>
    <w:rsid w:val="00962124"/>
    <w:rsid w:val="00962B3A"/>
    <w:rsid w:val="00962C18"/>
    <w:rsid w:val="00962D1A"/>
    <w:rsid w:val="00962D34"/>
    <w:rsid w:val="00963284"/>
    <w:rsid w:val="009632DC"/>
    <w:rsid w:val="009632FF"/>
    <w:rsid w:val="00963454"/>
    <w:rsid w:val="009636AE"/>
    <w:rsid w:val="009636E0"/>
    <w:rsid w:val="00963B5E"/>
    <w:rsid w:val="00963ED5"/>
    <w:rsid w:val="0096435D"/>
    <w:rsid w:val="009644B8"/>
    <w:rsid w:val="00964556"/>
    <w:rsid w:val="009647F4"/>
    <w:rsid w:val="00964929"/>
    <w:rsid w:val="00964A69"/>
    <w:rsid w:val="00964ADC"/>
    <w:rsid w:val="00964BF5"/>
    <w:rsid w:val="00964DAD"/>
    <w:rsid w:val="00964EC8"/>
    <w:rsid w:val="00965107"/>
    <w:rsid w:val="00965284"/>
    <w:rsid w:val="009652BB"/>
    <w:rsid w:val="009652DD"/>
    <w:rsid w:val="00965358"/>
    <w:rsid w:val="009653F6"/>
    <w:rsid w:val="0096595C"/>
    <w:rsid w:val="00965A6D"/>
    <w:rsid w:val="00965C6F"/>
    <w:rsid w:val="00965CCE"/>
    <w:rsid w:val="00965FCE"/>
    <w:rsid w:val="00966019"/>
    <w:rsid w:val="00966148"/>
    <w:rsid w:val="0096632B"/>
    <w:rsid w:val="009666E8"/>
    <w:rsid w:val="00966BA0"/>
    <w:rsid w:val="00966D63"/>
    <w:rsid w:val="00966DFF"/>
    <w:rsid w:val="00966E0B"/>
    <w:rsid w:val="00966ECC"/>
    <w:rsid w:val="00967009"/>
    <w:rsid w:val="009671AA"/>
    <w:rsid w:val="009671BC"/>
    <w:rsid w:val="009674A3"/>
    <w:rsid w:val="009674CE"/>
    <w:rsid w:val="009675F4"/>
    <w:rsid w:val="009676DD"/>
    <w:rsid w:val="00967A76"/>
    <w:rsid w:val="00967C92"/>
    <w:rsid w:val="00970046"/>
    <w:rsid w:val="00970110"/>
    <w:rsid w:val="00970142"/>
    <w:rsid w:val="0097065F"/>
    <w:rsid w:val="009706BC"/>
    <w:rsid w:val="009707AC"/>
    <w:rsid w:val="009708F5"/>
    <w:rsid w:val="0097093D"/>
    <w:rsid w:val="00970B86"/>
    <w:rsid w:val="00970D57"/>
    <w:rsid w:val="00970D89"/>
    <w:rsid w:val="00970EDC"/>
    <w:rsid w:val="00971145"/>
    <w:rsid w:val="0097121D"/>
    <w:rsid w:val="0097135B"/>
    <w:rsid w:val="00971636"/>
    <w:rsid w:val="00971677"/>
    <w:rsid w:val="0097190E"/>
    <w:rsid w:val="00971A9D"/>
    <w:rsid w:val="00971AF7"/>
    <w:rsid w:val="00971E00"/>
    <w:rsid w:val="00971F8C"/>
    <w:rsid w:val="0097213D"/>
    <w:rsid w:val="009722C2"/>
    <w:rsid w:val="0097239E"/>
    <w:rsid w:val="009724BE"/>
    <w:rsid w:val="009729E9"/>
    <w:rsid w:val="00972C17"/>
    <w:rsid w:val="00972F0C"/>
    <w:rsid w:val="00972F5B"/>
    <w:rsid w:val="0097336B"/>
    <w:rsid w:val="0097344D"/>
    <w:rsid w:val="009734BF"/>
    <w:rsid w:val="00973641"/>
    <w:rsid w:val="0097371F"/>
    <w:rsid w:val="009737CE"/>
    <w:rsid w:val="00973810"/>
    <w:rsid w:val="009739B0"/>
    <w:rsid w:val="00973CF6"/>
    <w:rsid w:val="009740FB"/>
    <w:rsid w:val="0097421C"/>
    <w:rsid w:val="00974403"/>
    <w:rsid w:val="00974447"/>
    <w:rsid w:val="00974A7B"/>
    <w:rsid w:val="00974A87"/>
    <w:rsid w:val="00974BD9"/>
    <w:rsid w:val="00974CE2"/>
    <w:rsid w:val="009753D3"/>
    <w:rsid w:val="009754A4"/>
    <w:rsid w:val="0097566D"/>
    <w:rsid w:val="009756D8"/>
    <w:rsid w:val="00975795"/>
    <w:rsid w:val="009757F6"/>
    <w:rsid w:val="00975882"/>
    <w:rsid w:val="0097592D"/>
    <w:rsid w:val="00975956"/>
    <w:rsid w:val="00975A5B"/>
    <w:rsid w:val="00975D79"/>
    <w:rsid w:val="00975E0B"/>
    <w:rsid w:val="00975EA1"/>
    <w:rsid w:val="00975FA7"/>
    <w:rsid w:val="0097601F"/>
    <w:rsid w:val="0097623B"/>
    <w:rsid w:val="0097627C"/>
    <w:rsid w:val="00976448"/>
    <w:rsid w:val="00976A45"/>
    <w:rsid w:val="00976C6A"/>
    <w:rsid w:val="00976E72"/>
    <w:rsid w:val="00976FBB"/>
    <w:rsid w:val="00977640"/>
    <w:rsid w:val="009776BE"/>
    <w:rsid w:val="0097785B"/>
    <w:rsid w:val="0097791A"/>
    <w:rsid w:val="00977AEF"/>
    <w:rsid w:val="00977B2E"/>
    <w:rsid w:val="00977BD3"/>
    <w:rsid w:val="00977D43"/>
    <w:rsid w:val="00977E4C"/>
    <w:rsid w:val="00977EF8"/>
    <w:rsid w:val="0098000E"/>
    <w:rsid w:val="00980163"/>
    <w:rsid w:val="009803F9"/>
    <w:rsid w:val="009805D0"/>
    <w:rsid w:val="00981338"/>
    <w:rsid w:val="00981A2E"/>
    <w:rsid w:val="00981C0B"/>
    <w:rsid w:val="00981D5E"/>
    <w:rsid w:val="00981D73"/>
    <w:rsid w:val="00981DDF"/>
    <w:rsid w:val="00981FCA"/>
    <w:rsid w:val="00982047"/>
    <w:rsid w:val="009822E5"/>
    <w:rsid w:val="00982641"/>
    <w:rsid w:val="00982659"/>
    <w:rsid w:val="00982B70"/>
    <w:rsid w:val="00982BAF"/>
    <w:rsid w:val="00982D83"/>
    <w:rsid w:val="00982DEF"/>
    <w:rsid w:val="00982ED8"/>
    <w:rsid w:val="00982F34"/>
    <w:rsid w:val="00983037"/>
    <w:rsid w:val="009831AF"/>
    <w:rsid w:val="009831FA"/>
    <w:rsid w:val="0098339A"/>
    <w:rsid w:val="00983418"/>
    <w:rsid w:val="009834B2"/>
    <w:rsid w:val="009834F6"/>
    <w:rsid w:val="0098369D"/>
    <w:rsid w:val="009836FD"/>
    <w:rsid w:val="009838D7"/>
    <w:rsid w:val="00983AA2"/>
    <w:rsid w:val="00983B10"/>
    <w:rsid w:val="00983C16"/>
    <w:rsid w:val="00983D57"/>
    <w:rsid w:val="00983F62"/>
    <w:rsid w:val="00983F9C"/>
    <w:rsid w:val="009840A6"/>
    <w:rsid w:val="009843AF"/>
    <w:rsid w:val="00984470"/>
    <w:rsid w:val="009847AD"/>
    <w:rsid w:val="00984AC5"/>
    <w:rsid w:val="00984B59"/>
    <w:rsid w:val="00984B7C"/>
    <w:rsid w:val="00985071"/>
    <w:rsid w:val="009852F7"/>
    <w:rsid w:val="00985337"/>
    <w:rsid w:val="00985434"/>
    <w:rsid w:val="0098589E"/>
    <w:rsid w:val="00985A8E"/>
    <w:rsid w:val="00985AE6"/>
    <w:rsid w:val="0098609F"/>
    <w:rsid w:val="00986104"/>
    <w:rsid w:val="009861BF"/>
    <w:rsid w:val="00986241"/>
    <w:rsid w:val="009863A8"/>
    <w:rsid w:val="009865D0"/>
    <w:rsid w:val="009869D6"/>
    <w:rsid w:val="009869EC"/>
    <w:rsid w:val="00986D14"/>
    <w:rsid w:val="00986F4E"/>
    <w:rsid w:val="009874D7"/>
    <w:rsid w:val="00987704"/>
    <w:rsid w:val="00987787"/>
    <w:rsid w:val="009877DF"/>
    <w:rsid w:val="009878E8"/>
    <w:rsid w:val="009878EB"/>
    <w:rsid w:val="00987A65"/>
    <w:rsid w:val="00987CCB"/>
    <w:rsid w:val="00987D3C"/>
    <w:rsid w:val="00987E8F"/>
    <w:rsid w:val="00987F06"/>
    <w:rsid w:val="009902B6"/>
    <w:rsid w:val="009902E1"/>
    <w:rsid w:val="0099098D"/>
    <w:rsid w:val="00990AC0"/>
    <w:rsid w:val="00990C38"/>
    <w:rsid w:val="00990C73"/>
    <w:rsid w:val="00990D5D"/>
    <w:rsid w:val="00990E20"/>
    <w:rsid w:val="00991017"/>
    <w:rsid w:val="009911EA"/>
    <w:rsid w:val="0099138F"/>
    <w:rsid w:val="00991643"/>
    <w:rsid w:val="0099166F"/>
    <w:rsid w:val="009917F9"/>
    <w:rsid w:val="0099193D"/>
    <w:rsid w:val="00991AE4"/>
    <w:rsid w:val="00991D9F"/>
    <w:rsid w:val="00991F6E"/>
    <w:rsid w:val="0099241E"/>
    <w:rsid w:val="009925D2"/>
    <w:rsid w:val="00992612"/>
    <w:rsid w:val="0099277E"/>
    <w:rsid w:val="00992948"/>
    <w:rsid w:val="00992D2B"/>
    <w:rsid w:val="00992E5A"/>
    <w:rsid w:val="00993151"/>
    <w:rsid w:val="009933EC"/>
    <w:rsid w:val="0099344C"/>
    <w:rsid w:val="00993474"/>
    <w:rsid w:val="00993494"/>
    <w:rsid w:val="009935EA"/>
    <w:rsid w:val="0099365C"/>
    <w:rsid w:val="0099374B"/>
    <w:rsid w:val="00993826"/>
    <w:rsid w:val="0099388E"/>
    <w:rsid w:val="00993AAC"/>
    <w:rsid w:val="00993B97"/>
    <w:rsid w:val="00993C60"/>
    <w:rsid w:val="00993F6D"/>
    <w:rsid w:val="00994162"/>
    <w:rsid w:val="00994215"/>
    <w:rsid w:val="0099425C"/>
    <w:rsid w:val="00994451"/>
    <w:rsid w:val="0099445B"/>
    <w:rsid w:val="00994663"/>
    <w:rsid w:val="0099475D"/>
    <w:rsid w:val="00994990"/>
    <w:rsid w:val="00994A67"/>
    <w:rsid w:val="0099501E"/>
    <w:rsid w:val="00995189"/>
    <w:rsid w:val="009952AF"/>
    <w:rsid w:val="009958EC"/>
    <w:rsid w:val="00995943"/>
    <w:rsid w:val="00995A53"/>
    <w:rsid w:val="00995F7D"/>
    <w:rsid w:val="009964BC"/>
    <w:rsid w:val="009966D5"/>
    <w:rsid w:val="00996740"/>
    <w:rsid w:val="0099686B"/>
    <w:rsid w:val="00996BB5"/>
    <w:rsid w:val="00996C5E"/>
    <w:rsid w:val="00996E1D"/>
    <w:rsid w:val="00996F12"/>
    <w:rsid w:val="00996F1E"/>
    <w:rsid w:val="00996F9F"/>
    <w:rsid w:val="0099747E"/>
    <w:rsid w:val="00997502"/>
    <w:rsid w:val="009976C2"/>
    <w:rsid w:val="009A01AE"/>
    <w:rsid w:val="009A039E"/>
    <w:rsid w:val="009A0416"/>
    <w:rsid w:val="009A041C"/>
    <w:rsid w:val="009A04AB"/>
    <w:rsid w:val="009A0619"/>
    <w:rsid w:val="009A0728"/>
    <w:rsid w:val="009A075F"/>
    <w:rsid w:val="009A0A8A"/>
    <w:rsid w:val="009A0BD5"/>
    <w:rsid w:val="009A0C3D"/>
    <w:rsid w:val="009A0E21"/>
    <w:rsid w:val="009A1084"/>
    <w:rsid w:val="009A158D"/>
    <w:rsid w:val="009A19D2"/>
    <w:rsid w:val="009A1C6E"/>
    <w:rsid w:val="009A1D89"/>
    <w:rsid w:val="009A1F0D"/>
    <w:rsid w:val="009A1F66"/>
    <w:rsid w:val="009A20CB"/>
    <w:rsid w:val="009A20EC"/>
    <w:rsid w:val="009A2185"/>
    <w:rsid w:val="009A2540"/>
    <w:rsid w:val="009A281A"/>
    <w:rsid w:val="009A28BC"/>
    <w:rsid w:val="009A28F1"/>
    <w:rsid w:val="009A291F"/>
    <w:rsid w:val="009A2B05"/>
    <w:rsid w:val="009A2B65"/>
    <w:rsid w:val="009A2B7F"/>
    <w:rsid w:val="009A2B98"/>
    <w:rsid w:val="009A2CE3"/>
    <w:rsid w:val="009A2F29"/>
    <w:rsid w:val="009A3180"/>
    <w:rsid w:val="009A318F"/>
    <w:rsid w:val="009A3677"/>
    <w:rsid w:val="009A3918"/>
    <w:rsid w:val="009A3C6D"/>
    <w:rsid w:val="009A3F09"/>
    <w:rsid w:val="009A3F48"/>
    <w:rsid w:val="009A4130"/>
    <w:rsid w:val="009A4485"/>
    <w:rsid w:val="009A44E6"/>
    <w:rsid w:val="009A4682"/>
    <w:rsid w:val="009A473E"/>
    <w:rsid w:val="009A48D2"/>
    <w:rsid w:val="009A4D3F"/>
    <w:rsid w:val="009A4F12"/>
    <w:rsid w:val="009A5094"/>
    <w:rsid w:val="009A5107"/>
    <w:rsid w:val="009A52D9"/>
    <w:rsid w:val="009A54F3"/>
    <w:rsid w:val="009A56B6"/>
    <w:rsid w:val="009A59BD"/>
    <w:rsid w:val="009A5B2B"/>
    <w:rsid w:val="009A5DFD"/>
    <w:rsid w:val="009A5E47"/>
    <w:rsid w:val="009A6188"/>
    <w:rsid w:val="009A6335"/>
    <w:rsid w:val="009A634B"/>
    <w:rsid w:val="009A6502"/>
    <w:rsid w:val="009A66A1"/>
    <w:rsid w:val="009A673C"/>
    <w:rsid w:val="009A6A64"/>
    <w:rsid w:val="009A6B8B"/>
    <w:rsid w:val="009A6BAC"/>
    <w:rsid w:val="009A6D6B"/>
    <w:rsid w:val="009A6DD5"/>
    <w:rsid w:val="009A6E67"/>
    <w:rsid w:val="009A6F13"/>
    <w:rsid w:val="009A6F9B"/>
    <w:rsid w:val="009A6FCF"/>
    <w:rsid w:val="009A7010"/>
    <w:rsid w:val="009A7276"/>
    <w:rsid w:val="009A7350"/>
    <w:rsid w:val="009A75C2"/>
    <w:rsid w:val="009A762D"/>
    <w:rsid w:val="009A7671"/>
    <w:rsid w:val="009A76E5"/>
    <w:rsid w:val="009A7860"/>
    <w:rsid w:val="009A78B7"/>
    <w:rsid w:val="009A7AF5"/>
    <w:rsid w:val="009B0114"/>
    <w:rsid w:val="009B013C"/>
    <w:rsid w:val="009B0172"/>
    <w:rsid w:val="009B037F"/>
    <w:rsid w:val="009B05C3"/>
    <w:rsid w:val="009B06A2"/>
    <w:rsid w:val="009B0904"/>
    <w:rsid w:val="009B0A1E"/>
    <w:rsid w:val="009B0E9A"/>
    <w:rsid w:val="009B1018"/>
    <w:rsid w:val="009B11D1"/>
    <w:rsid w:val="009B138A"/>
    <w:rsid w:val="009B165C"/>
    <w:rsid w:val="009B181E"/>
    <w:rsid w:val="009B1965"/>
    <w:rsid w:val="009B1A4E"/>
    <w:rsid w:val="009B1AFA"/>
    <w:rsid w:val="009B1C4E"/>
    <w:rsid w:val="009B20E5"/>
    <w:rsid w:val="009B2229"/>
    <w:rsid w:val="009B2335"/>
    <w:rsid w:val="009B2517"/>
    <w:rsid w:val="009B2530"/>
    <w:rsid w:val="009B255A"/>
    <w:rsid w:val="009B280B"/>
    <w:rsid w:val="009B2850"/>
    <w:rsid w:val="009B2962"/>
    <w:rsid w:val="009B2DCC"/>
    <w:rsid w:val="009B2DF0"/>
    <w:rsid w:val="009B2EB5"/>
    <w:rsid w:val="009B339A"/>
    <w:rsid w:val="009B3819"/>
    <w:rsid w:val="009B3BD2"/>
    <w:rsid w:val="009B3C7C"/>
    <w:rsid w:val="009B3F52"/>
    <w:rsid w:val="009B40EA"/>
    <w:rsid w:val="009B4169"/>
    <w:rsid w:val="009B41B9"/>
    <w:rsid w:val="009B42F7"/>
    <w:rsid w:val="009B4683"/>
    <w:rsid w:val="009B46D2"/>
    <w:rsid w:val="009B4845"/>
    <w:rsid w:val="009B4D4C"/>
    <w:rsid w:val="009B4F21"/>
    <w:rsid w:val="009B5164"/>
    <w:rsid w:val="009B5275"/>
    <w:rsid w:val="009B5571"/>
    <w:rsid w:val="009B55C2"/>
    <w:rsid w:val="009B5B0D"/>
    <w:rsid w:val="009B5CA7"/>
    <w:rsid w:val="009B5CEB"/>
    <w:rsid w:val="009B6016"/>
    <w:rsid w:val="009B60F9"/>
    <w:rsid w:val="009B6122"/>
    <w:rsid w:val="009B6271"/>
    <w:rsid w:val="009B6323"/>
    <w:rsid w:val="009B6455"/>
    <w:rsid w:val="009B664F"/>
    <w:rsid w:val="009B665C"/>
    <w:rsid w:val="009B6952"/>
    <w:rsid w:val="009B69F0"/>
    <w:rsid w:val="009B6A38"/>
    <w:rsid w:val="009B6E55"/>
    <w:rsid w:val="009B70AE"/>
    <w:rsid w:val="009B7651"/>
    <w:rsid w:val="009B78B4"/>
    <w:rsid w:val="009B7A7E"/>
    <w:rsid w:val="009B7BDC"/>
    <w:rsid w:val="009B7BFD"/>
    <w:rsid w:val="009B7CB1"/>
    <w:rsid w:val="009B7D25"/>
    <w:rsid w:val="009B7D56"/>
    <w:rsid w:val="009B7D5A"/>
    <w:rsid w:val="009B7DB0"/>
    <w:rsid w:val="009C00DE"/>
    <w:rsid w:val="009C0137"/>
    <w:rsid w:val="009C0172"/>
    <w:rsid w:val="009C024A"/>
    <w:rsid w:val="009C02C9"/>
    <w:rsid w:val="009C0390"/>
    <w:rsid w:val="009C03EC"/>
    <w:rsid w:val="009C072E"/>
    <w:rsid w:val="009C0A62"/>
    <w:rsid w:val="009C0E3B"/>
    <w:rsid w:val="009C13C4"/>
    <w:rsid w:val="009C16F7"/>
    <w:rsid w:val="009C1770"/>
    <w:rsid w:val="009C1A83"/>
    <w:rsid w:val="009C1DE2"/>
    <w:rsid w:val="009C1FED"/>
    <w:rsid w:val="009C2018"/>
    <w:rsid w:val="009C2049"/>
    <w:rsid w:val="009C20C0"/>
    <w:rsid w:val="009C25C8"/>
    <w:rsid w:val="009C26DE"/>
    <w:rsid w:val="009C273C"/>
    <w:rsid w:val="009C2990"/>
    <w:rsid w:val="009C299A"/>
    <w:rsid w:val="009C2CB0"/>
    <w:rsid w:val="009C2D33"/>
    <w:rsid w:val="009C2F7A"/>
    <w:rsid w:val="009C32D2"/>
    <w:rsid w:val="009C3359"/>
    <w:rsid w:val="009C3774"/>
    <w:rsid w:val="009C3E49"/>
    <w:rsid w:val="009C4121"/>
    <w:rsid w:val="009C41D4"/>
    <w:rsid w:val="009C437B"/>
    <w:rsid w:val="009C4380"/>
    <w:rsid w:val="009C45A6"/>
    <w:rsid w:val="009C464F"/>
    <w:rsid w:val="009C468B"/>
    <w:rsid w:val="009C46BD"/>
    <w:rsid w:val="009C46E9"/>
    <w:rsid w:val="009C475F"/>
    <w:rsid w:val="009C4AC5"/>
    <w:rsid w:val="009C4C03"/>
    <w:rsid w:val="009C4E88"/>
    <w:rsid w:val="009C565C"/>
    <w:rsid w:val="009C5895"/>
    <w:rsid w:val="009C58EB"/>
    <w:rsid w:val="009C5F3F"/>
    <w:rsid w:val="009C601A"/>
    <w:rsid w:val="009C62EC"/>
    <w:rsid w:val="009C62FE"/>
    <w:rsid w:val="009C631E"/>
    <w:rsid w:val="009C65DE"/>
    <w:rsid w:val="009C65FD"/>
    <w:rsid w:val="009C6641"/>
    <w:rsid w:val="009C6815"/>
    <w:rsid w:val="009C6ABA"/>
    <w:rsid w:val="009C6C63"/>
    <w:rsid w:val="009C6CA6"/>
    <w:rsid w:val="009C6EF3"/>
    <w:rsid w:val="009C72C2"/>
    <w:rsid w:val="009C7429"/>
    <w:rsid w:val="009C7520"/>
    <w:rsid w:val="009C7634"/>
    <w:rsid w:val="009C7793"/>
    <w:rsid w:val="009C7A99"/>
    <w:rsid w:val="009D017E"/>
    <w:rsid w:val="009D029C"/>
    <w:rsid w:val="009D029D"/>
    <w:rsid w:val="009D0303"/>
    <w:rsid w:val="009D065C"/>
    <w:rsid w:val="009D0709"/>
    <w:rsid w:val="009D0741"/>
    <w:rsid w:val="009D079F"/>
    <w:rsid w:val="009D0AB2"/>
    <w:rsid w:val="009D0C38"/>
    <w:rsid w:val="009D1164"/>
    <w:rsid w:val="009D13A2"/>
    <w:rsid w:val="009D140E"/>
    <w:rsid w:val="009D15C5"/>
    <w:rsid w:val="009D1763"/>
    <w:rsid w:val="009D17CA"/>
    <w:rsid w:val="009D185A"/>
    <w:rsid w:val="009D18F0"/>
    <w:rsid w:val="009D1A66"/>
    <w:rsid w:val="009D1D5D"/>
    <w:rsid w:val="009D210E"/>
    <w:rsid w:val="009D22CF"/>
    <w:rsid w:val="009D23F8"/>
    <w:rsid w:val="009D253E"/>
    <w:rsid w:val="009D25F7"/>
    <w:rsid w:val="009D26F2"/>
    <w:rsid w:val="009D2A02"/>
    <w:rsid w:val="009D2A0F"/>
    <w:rsid w:val="009D2CFF"/>
    <w:rsid w:val="009D2D81"/>
    <w:rsid w:val="009D2FF4"/>
    <w:rsid w:val="009D332F"/>
    <w:rsid w:val="009D33F4"/>
    <w:rsid w:val="009D35B2"/>
    <w:rsid w:val="009D3906"/>
    <w:rsid w:val="009D3953"/>
    <w:rsid w:val="009D3CBA"/>
    <w:rsid w:val="009D3D24"/>
    <w:rsid w:val="009D4135"/>
    <w:rsid w:val="009D41BE"/>
    <w:rsid w:val="009D41C7"/>
    <w:rsid w:val="009D467B"/>
    <w:rsid w:val="009D47CF"/>
    <w:rsid w:val="009D49BE"/>
    <w:rsid w:val="009D4C36"/>
    <w:rsid w:val="009D4D99"/>
    <w:rsid w:val="009D4FED"/>
    <w:rsid w:val="009D5076"/>
    <w:rsid w:val="009D52EC"/>
    <w:rsid w:val="009D53C8"/>
    <w:rsid w:val="009D590B"/>
    <w:rsid w:val="009D5AB2"/>
    <w:rsid w:val="009D5B03"/>
    <w:rsid w:val="009D5B44"/>
    <w:rsid w:val="009D5BA8"/>
    <w:rsid w:val="009D5C8D"/>
    <w:rsid w:val="009D5D01"/>
    <w:rsid w:val="009D5FE1"/>
    <w:rsid w:val="009D607A"/>
    <w:rsid w:val="009D6218"/>
    <w:rsid w:val="009D655D"/>
    <w:rsid w:val="009D6622"/>
    <w:rsid w:val="009D695C"/>
    <w:rsid w:val="009D6A4A"/>
    <w:rsid w:val="009D6B54"/>
    <w:rsid w:val="009D6B5F"/>
    <w:rsid w:val="009D6D16"/>
    <w:rsid w:val="009D6D77"/>
    <w:rsid w:val="009D6E92"/>
    <w:rsid w:val="009D6FA1"/>
    <w:rsid w:val="009D7323"/>
    <w:rsid w:val="009D7378"/>
    <w:rsid w:val="009D73CF"/>
    <w:rsid w:val="009D73D4"/>
    <w:rsid w:val="009D76AE"/>
    <w:rsid w:val="009D778E"/>
    <w:rsid w:val="009D7A0F"/>
    <w:rsid w:val="009D7BAD"/>
    <w:rsid w:val="009D7FDD"/>
    <w:rsid w:val="009E028D"/>
    <w:rsid w:val="009E032E"/>
    <w:rsid w:val="009E03E6"/>
    <w:rsid w:val="009E0487"/>
    <w:rsid w:val="009E062D"/>
    <w:rsid w:val="009E08B0"/>
    <w:rsid w:val="009E0952"/>
    <w:rsid w:val="009E0BEF"/>
    <w:rsid w:val="009E0FE5"/>
    <w:rsid w:val="009E13F8"/>
    <w:rsid w:val="009E17C4"/>
    <w:rsid w:val="009E197C"/>
    <w:rsid w:val="009E1A21"/>
    <w:rsid w:val="009E1A57"/>
    <w:rsid w:val="009E1AF8"/>
    <w:rsid w:val="009E1B88"/>
    <w:rsid w:val="009E1BA3"/>
    <w:rsid w:val="009E1C1A"/>
    <w:rsid w:val="009E1DB4"/>
    <w:rsid w:val="009E1E1E"/>
    <w:rsid w:val="009E1EED"/>
    <w:rsid w:val="009E23B2"/>
    <w:rsid w:val="009E2484"/>
    <w:rsid w:val="009E296E"/>
    <w:rsid w:val="009E2A0D"/>
    <w:rsid w:val="009E2B96"/>
    <w:rsid w:val="009E2C37"/>
    <w:rsid w:val="009E2C8D"/>
    <w:rsid w:val="009E2CCF"/>
    <w:rsid w:val="009E2D23"/>
    <w:rsid w:val="009E3287"/>
    <w:rsid w:val="009E3558"/>
    <w:rsid w:val="009E376B"/>
    <w:rsid w:val="009E39BB"/>
    <w:rsid w:val="009E3F6E"/>
    <w:rsid w:val="009E3FE1"/>
    <w:rsid w:val="009E416D"/>
    <w:rsid w:val="009E449E"/>
    <w:rsid w:val="009E45CF"/>
    <w:rsid w:val="009E4769"/>
    <w:rsid w:val="009E47DF"/>
    <w:rsid w:val="009E487F"/>
    <w:rsid w:val="009E4895"/>
    <w:rsid w:val="009E4A0C"/>
    <w:rsid w:val="009E4C29"/>
    <w:rsid w:val="009E4C9E"/>
    <w:rsid w:val="009E4ED2"/>
    <w:rsid w:val="009E555B"/>
    <w:rsid w:val="009E5581"/>
    <w:rsid w:val="009E563C"/>
    <w:rsid w:val="009E56A7"/>
    <w:rsid w:val="009E56C0"/>
    <w:rsid w:val="009E575C"/>
    <w:rsid w:val="009E5975"/>
    <w:rsid w:val="009E5BEC"/>
    <w:rsid w:val="009E5D4D"/>
    <w:rsid w:val="009E61FC"/>
    <w:rsid w:val="009E6775"/>
    <w:rsid w:val="009E68F6"/>
    <w:rsid w:val="009E6908"/>
    <w:rsid w:val="009E6C47"/>
    <w:rsid w:val="009E719F"/>
    <w:rsid w:val="009E72E9"/>
    <w:rsid w:val="009E760B"/>
    <w:rsid w:val="009E778E"/>
    <w:rsid w:val="009E7916"/>
    <w:rsid w:val="009E7B41"/>
    <w:rsid w:val="009E7D17"/>
    <w:rsid w:val="009F0094"/>
    <w:rsid w:val="009F023A"/>
    <w:rsid w:val="009F0240"/>
    <w:rsid w:val="009F0358"/>
    <w:rsid w:val="009F03DD"/>
    <w:rsid w:val="009F05AD"/>
    <w:rsid w:val="009F0653"/>
    <w:rsid w:val="009F065D"/>
    <w:rsid w:val="009F0804"/>
    <w:rsid w:val="009F0A21"/>
    <w:rsid w:val="009F0A86"/>
    <w:rsid w:val="009F1045"/>
    <w:rsid w:val="009F11F6"/>
    <w:rsid w:val="009F1D9F"/>
    <w:rsid w:val="009F1DD9"/>
    <w:rsid w:val="009F1E4A"/>
    <w:rsid w:val="009F1EC8"/>
    <w:rsid w:val="009F22FF"/>
    <w:rsid w:val="009F2409"/>
    <w:rsid w:val="009F2828"/>
    <w:rsid w:val="009F2832"/>
    <w:rsid w:val="009F2A61"/>
    <w:rsid w:val="009F2A87"/>
    <w:rsid w:val="009F2AB4"/>
    <w:rsid w:val="009F2DB2"/>
    <w:rsid w:val="009F2DCA"/>
    <w:rsid w:val="009F3083"/>
    <w:rsid w:val="009F32F2"/>
    <w:rsid w:val="009F37E6"/>
    <w:rsid w:val="009F384C"/>
    <w:rsid w:val="009F3A61"/>
    <w:rsid w:val="009F3AB3"/>
    <w:rsid w:val="009F3C5E"/>
    <w:rsid w:val="009F3D34"/>
    <w:rsid w:val="009F3E13"/>
    <w:rsid w:val="009F4439"/>
    <w:rsid w:val="009F4567"/>
    <w:rsid w:val="009F4690"/>
    <w:rsid w:val="009F470A"/>
    <w:rsid w:val="009F4844"/>
    <w:rsid w:val="009F493B"/>
    <w:rsid w:val="009F4980"/>
    <w:rsid w:val="009F4A7F"/>
    <w:rsid w:val="009F4C67"/>
    <w:rsid w:val="009F4E06"/>
    <w:rsid w:val="009F507D"/>
    <w:rsid w:val="009F50AC"/>
    <w:rsid w:val="009F5117"/>
    <w:rsid w:val="009F53B0"/>
    <w:rsid w:val="009F54D5"/>
    <w:rsid w:val="009F5613"/>
    <w:rsid w:val="009F5659"/>
    <w:rsid w:val="009F588B"/>
    <w:rsid w:val="009F5BCD"/>
    <w:rsid w:val="009F6078"/>
    <w:rsid w:val="009F60A0"/>
    <w:rsid w:val="009F60F9"/>
    <w:rsid w:val="009F617A"/>
    <w:rsid w:val="009F6407"/>
    <w:rsid w:val="009F64AB"/>
    <w:rsid w:val="009F6685"/>
    <w:rsid w:val="009F6759"/>
    <w:rsid w:val="009F6915"/>
    <w:rsid w:val="009F69A8"/>
    <w:rsid w:val="009F6A2A"/>
    <w:rsid w:val="009F6B3F"/>
    <w:rsid w:val="009F6C8B"/>
    <w:rsid w:val="009F7132"/>
    <w:rsid w:val="009F71BC"/>
    <w:rsid w:val="009F73A5"/>
    <w:rsid w:val="009F759A"/>
    <w:rsid w:val="009F7792"/>
    <w:rsid w:val="009F7CCB"/>
    <w:rsid w:val="00A00007"/>
    <w:rsid w:val="00A000A2"/>
    <w:rsid w:val="00A003E9"/>
    <w:rsid w:val="00A00450"/>
    <w:rsid w:val="00A004DE"/>
    <w:rsid w:val="00A005C4"/>
    <w:rsid w:val="00A00A87"/>
    <w:rsid w:val="00A00BCD"/>
    <w:rsid w:val="00A00C53"/>
    <w:rsid w:val="00A00ED1"/>
    <w:rsid w:val="00A012F2"/>
    <w:rsid w:val="00A013BE"/>
    <w:rsid w:val="00A01480"/>
    <w:rsid w:val="00A0155D"/>
    <w:rsid w:val="00A015AB"/>
    <w:rsid w:val="00A01B87"/>
    <w:rsid w:val="00A01C69"/>
    <w:rsid w:val="00A01D21"/>
    <w:rsid w:val="00A022BD"/>
    <w:rsid w:val="00A02382"/>
    <w:rsid w:val="00A024B1"/>
    <w:rsid w:val="00A026AD"/>
    <w:rsid w:val="00A028C3"/>
    <w:rsid w:val="00A02A40"/>
    <w:rsid w:val="00A02AC9"/>
    <w:rsid w:val="00A02AD3"/>
    <w:rsid w:val="00A02B9C"/>
    <w:rsid w:val="00A02C28"/>
    <w:rsid w:val="00A02EA3"/>
    <w:rsid w:val="00A031B1"/>
    <w:rsid w:val="00A031D3"/>
    <w:rsid w:val="00A031E1"/>
    <w:rsid w:val="00A03239"/>
    <w:rsid w:val="00A03675"/>
    <w:rsid w:val="00A036F7"/>
    <w:rsid w:val="00A03766"/>
    <w:rsid w:val="00A037DA"/>
    <w:rsid w:val="00A037E9"/>
    <w:rsid w:val="00A03826"/>
    <w:rsid w:val="00A0383F"/>
    <w:rsid w:val="00A03903"/>
    <w:rsid w:val="00A03960"/>
    <w:rsid w:val="00A03A80"/>
    <w:rsid w:val="00A03CFC"/>
    <w:rsid w:val="00A03EEC"/>
    <w:rsid w:val="00A03F1C"/>
    <w:rsid w:val="00A040BC"/>
    <w:rsid w:val="00A040E4"/>
    <w:rsid w:val="00A043BD"/>
    <w:rsid w:val="00A0445E"/>
    <w:rsid w:val="00A04629"/>
    <w:rsid w:val="00A04796"/>
    <w:rsid w:val="00A048FB"/>
    <w:rsid w:val="00A04E5A"/>
    <w:rsid w:val="00A04F1B"/>
    <w:rsid w:val="00A0501F"/>
    <w:rsid w:val="00A05064"/>
    <w:rsid w:val="00A05226"/>
    <w:rsid w:val="00A0549D"/>
    <w:rsid w:val="00A055FD"/>
    <w:rsid w:val="00A057EA"/>
    <w:rsid w:val="00A05984"/>
    <w:rsid w:val="00A05B0C"/>
    <w:rsid w:val="00A05BB6"/>
    <w:rsid w:val="00A05C7A"/>
    <w:rsid w:val="00A0617A"/>
    <w:rsid w:val="00A0617F"/>
    <w:rsid w:val="00A06203"/>
    <w:rsid w:val="00A0625B"/>
    <w:rsid w:val="00A062F3"/>
    <w:rsid w:val="00A06497"/>
    <w:rsid w:val="00A0649E"/>
    <w:rsid w:val="00A06625"/>
    <w:rsid w:val="00A06971"/>
    <w:rsid w:val="00A06C82"/>
    <w:rsid w:val="00A07031"/>
    <w:rsid w:val="00A070F1"/>
    <w:rsid w:val="00A0724A"/>
    <w:rsid w:val="00A07397"/>
    <w:rsid w:val="00A07561"/>
    <w:rsid w:val="00A07715"/>
    <w:rsid w:val="00A077AB"/>
    <w:rsid w:val="00A077F7"/>
    <w:rsid w:val="00A0789B"/>
    <w:rsid w:val="00A07AC9"/>
    <w:rsid w:val="00A07C47"/>
    <w:rsid w:val="00A07E55"/>
    <w:rsid w:val="00A07F2A"/>
    <w:rsid w:val="00A07FA9"/>
    <w:rsid w:val="00A10392"/>
    <w:rsid w:val="00A1050D"/>
    <w:rsid w:val="00A10531"/>
    <w:rsid w:val="00A10938"/>
    <w:rsid w:val="00A10BD2"/>
    <w:rsid w:val="00A10BFF"/>
    <w:rsid w:val="00A11178"/>
    <w:rsid w:val="00A112D5"/>
    <w:rsid w:val="00A113A9"/>
    <w:rsid w:val="00A115A9"/>
    <w:rsid w:val="00A115F1"/>
    <w:rsid w:val="00A11B70"/>
    <w:rsid w:val="00A11EF1"/>
    <w:rsid w:val="00A1282D"/>
    <w:rsid w:val="00A1284E"/>
    <w:rsid w:val="00A129C9"/>
    <w:rsid w:val="00A12BDE"/>
    <w:rsid w:val="00A12BF8"/>
    <w:rsid w:val="00A12C6A"/>
    <w:rsid w:val="00A12CD7"/>
    <w:rsid w:val="00A12CFF"/>
    <w:rsid w:val="00A12D9E"/>
    <w:rsid w:val="00A133C7"/>
    <w:rsid w:val="00A13430"/>
    <w:rsid w:val="00A134A6"/>
    <w:rsid w:val="00A13ABF"/>
    <w:rsid w:val="00A13BC1"/>
    <w:rsid w:val="00A14272"/>
    <w:rsid w:val="00A142B7"/>
    <w:rsid w:val="00A143C6"/>
    <w:rsid w:val="00A1458D"/>
    <w:rsid w:val="00A146A6"/>
    <w:rsid w:val="00A149F2"/>
    <w:rsid w:val="00A14B03"/>
    <w:rsid w:val="00A14BA0"/>
    <w:rsid w:val="00A14D64"/>
    <w:rsid w:val="00A14D80"/>
    <w:rsid w:val="00A14DF0"/>
    <w:rsid w:val="00A1509C"/>
    <w:rsid w:val="00A15763"/>
    <w:rsid w:val="00A157F6"/>
    <w:rsid w:val="00A15834"/>
    <w:rsid w:val="00A15C46"/>
    <w:rsid w:val="00A15C60"/>
    <w:rsid w:val="00A15E4F"/>
    <w:rsid w:val="00A15EA7"/>
    <w:rsid w:val="00A15FEC"/>
    <w:rsid w:val="00A1633A"/>
    <w:rsid w:val="00A16562"/>
    <w:rsid w:val="00A16688"/>
    <w:rsid w:val="00A16739"/>
    <w:rsid w:val="00A16A6A"/>
    <w:rsid w:val="00A16BC8"/>
    <w:rsid w:val="00A16DD6"/>
    <w:rsid w:val="00A16DD7"/>
    <w:rsid w:val="00A16DED"/>
    <w:rsid w:val="00A16E2B"/>
    <w:rsid w:val="00A170D1"/>
    <w:rsid w:val="00A1710D"/>
    <w:rsid w:val="00A17195"/>
    <w:rsid w:val="00A174F0"/>
    <w:rsid w:val="00A17520"/>
    <w:rsid w:val="00A17945"/>
    <w:rsid w:val="00A17EC5"/>
    <w:rsid w:val="00A20105"/>
    <w:rsid w:val="00A20691"/>
    <w:rsid w:val="00A206F3"/>
    <w:rsid w:val="00A207CF"/>
    <w:rsid w:val="00A208B7"/>
    <w:rsid w:val="00A208BF"/>
    <w:rsid w:val="00A2099D"/>
    <w:rsid w:val="00A20AD1"/>
    <w:rsid w:val="00A20B39"/>
    <w:rsid w:val="00A20B67"/>
    <w:rsid w:val="00A20CFE"/>
    <w:rsid w:val="00A20DDE"/>
    <w:rsid w:val="00A20E26"/>
    <w:rsid w:val="00A20F11"/>
    <w:rsid w:val="00A2118F"/>
    <w:rsid w:val="00A212AB"/>
    <w:rsid w:val="00A212B1"/>
    <w:rsid w:val="00A21489"/>
    <w:rsid w:val="00A214B1"/>
    <w:rsid w:val="00A219EC"/>
    <w:rsid w:val="00A21B44"/>
    <w:rsid w:val="00A21DD9"/>
    <w:rsid w:val="00A2207A"/>
    <w:rsid w:val="00A22175"/>
    <w:rsid w:val="00A22264"/>
    <w:rsid w:val="00A2232C"/>
    <w:rsid w:val="00A223BA"/>
    <w:rsid w:val="00A22449"/>
    <w:rsid w:val="00A224EA"/>
    <w:rsid w:val="00A2255F"/>
    <w:rsid w:val="00A225BC"/>
    <w:rsid w:val="00A225FB"/>
    <w:rsid w:val="00A2261A"/>
    <w:rsid w:val="00A2262C"/>
    <w:rsid w:val="00A22A39"/>
    <w:rsid w:val="00A22EEC"/>
    <w:rsid w:val="00A23012"/>
    <w:rsid w:val="00A23042"/>
    <w:rsid w:val="00A230AE"/>
    <w:rsid w:val="00A230F3"/>
    <w:rsid w:val="00A23176"/>
    <w:rsid w:val="00A23544"/>
    <w:rsid w:val="00A2365F"/>
    <w:rsid w:val="00A23664"/>
    <w:rsid w:val="00A23722"/>
    <w:rsid w:val="00A237A5"/>
    <w:rsid w:val="00A23CEA"/>
    <w:rsid w:val="00A23EBA"/>
    <w:rsid w:val="00A240D0"/>
    <w:rsid w:val="00A24533"/>
    <w:rsid w:val="00A245A1"/>
    <w:rsid w:val="00A2468A"/>
    <w:rsid w:val="00A2505C"/>
    <w:rsid w:val="00A25138"/>
    <w:rsid w:val="00A255A5"/>
    <w:rsid w:val="00A256C7"/>
    <w:rsid w:val="00A25700"/>
    <w:rsid w:val="00A2580D"/>
    <w:rsid w:val="00A25826"/>
    <w:rsid w:val="00A259DD"/>
    <w:rsid w:val="00A25A10"/>
    <w:rsid w:val="00A25AB5"/>
    <w:rsid w:val="00A25CC5"/>
    <w:rsid w:val="00A25D65"/>
    <w:rsid w:val="00A25F01"/>
    <w:rsid w:val="00A2619D"/>
    <w:rsid w:val="00A26290"/>
    <w:rsid w:val="00A263CD"/>
    <w:rsid w:val="00A26955"/>
    <w:rsid w:val="00A26A74"/>
    <w:rsid w:val="00A26C83"/>
    <w:rsid w:val="00A26E6A"/>
    <w:rsid w:val="00A26ED6"/>
    <w:rsid w:val="00A2707B"/>
    <w:rsid w:val="00A27373"/>
    <w:rsid w:val="00A2742E"/>
    <w:rsid w:val="00A274AA"/>
    <w:rsid w:val="00A274C6"/>
    <w:rsid w:val="00A2750A"/>
    <w:rsid w:val="00A2755A"/>
    <w:rsid w:val="00A2779C"/>
    <w:rsid w:val="00A277C0"/>
    <w:rsid w:val="00A27879"/>
    <w:rsid w:val="00A2788F"/>
    <w:rsid w:val="00A27B2F"/>
    <w:rsid w:val="00A27B6E"/>
    <w:rsid w:val="00A27E1A"/>
    <w:rsid w:val="00A301A7"/>
    <w:rsid w:val="00A304C3"/>
    <w:rsid w:val="00A3054C"/>
    <w:rsid w:val="00A308A1"/>
    <w:rsid w:val="00A30B99"/>
    <w:rsid w:val="00A30BCF"/>
    <w:rsid w:val="00A30C2B"/>
    <w:rsid w:val="00A30F9F"/>
    <w:rsid w:val="00A311F0"/>
    <w:rsid w:val="00A315A1"/>
    <w:rsid w:val="00A31B35"/>
    <w:rsid w:val="00A31E84"/>
    <w:rsid w:val="00A32377"/>
    <w:rsid w:val="00A324FF"/>
    <w:rsid w:val="00A325B6"/>
    <w:rsid w:val="00A3267F"/>
    <w:rsid w:val="00A32681"/>
    <w:rsid w:val="00A327AC"/>
    <w:rsid w:val="00A3288F"/>
    <w:rsid w:val="00A3298D"/>
    <w:rsid w:val="00A32A1B"/>
    <w:rsid w:val="00A32E78"/>
    <w:rsid w:val="00A32EF3"/>
    <w:rsid w:val="00A332B8"/>
    <w:rsid w:val="00A332E1"/>
    <w:rsid w:val="00A33309"/>
    <w:rsid w:val="00A33460"/>
    <w:rsid w:val="00A3350C"/>
    <w:rsid w:val="00A338FA"/>
    <w:rsid w:val="00A33A90"/>
    <w:rsid w:val="00A33B6A"/>
    <w:rsid w:val="00A33BA5"/>
    <w:rsid w:val="00A33EB8"/>
    <w:rsid w:val="00A33F5B"/>
    <w:rsid w:val="00A33F6C"/>
    <w:rsid w:val="00A34317"/>
    <w:rsid w:val="00A343D6"/>
    <w:rsid w:val="00A34480"/>
    <w:rsid w:val="00A344EA"/>
    <w:rsid w:val="00A34524"/>
    <w:rsid w:val="00A345F1"/>
    <w:rsid w:val="00A3481C"/>
    <w:rsid w:val="00A348F1"/>
    <w:rsid w:val="00A34905"/>
    <w:rsid w:val="00A34B9F"/>
    <w:rsid w:val="00A34BAD"/>
    <w:rsid w:val="00A34D32"/>
    <w:rsid w:val="00A3509E"/>
    <w:rsid w:val="00A3524B"/>
    <w:rsid w:val="00A3537C"/>
    <w:rsid w:val="00A35984"/>
    <w:rsid w:val="00A359B7"/>
    <w:rsid w:val="00A36216"/>
    <w:rsid w:val="00A3650F"/>
    <w:rsid w:val="00A3686B"/>
    <w:rsid w:val="00A3697B"/>
    <w:rsid w:val="00A36A1F"/>
    <w:rsid w:val="00A36A77"/>
    <w:rsid w:val="00A36B57"/>
    <w:rsid w:val="00A36D19"/>
    <w:rsid w:val="00A36D69"/>
    <w:rsid w:val="00A36E10"/>
    <w:rsid w:val="00A371F6"/>
    <w:rsid w:val="00A37528"/>
    <w:rsid w:val="00A37738"/>
    <w:rsid w:val="00A377C6"/>
    <w:rsid w:val="00A377D0"/>
    <w:rsid w:val="00A37BD7"/>
    <w:rsid w:val="00A37EF8"/>
    <w:rsid w:val="00A37F0B"/>
    <w:rsid w:val="00A4019A"/>
    <w:rsid w:val="00A401DC"/>
    <w:rsid w:val="00A40305"/>
    <w:rsid w:val="00A40855"/>
    <w:rsid w:val="00A40D42"/>
    <w:rsid w:val="00A40DC5"/>
    <w:rsid w:val="00A40FF5"/>
    <w:rsid w:val="00A4118C"/>
    <w:rsid w:val="00A4124D"/>
    <w:rsid w:val="00A41320"/>
    <w:rsid w:val="00A41802"/>
    <w:rsid w:val="00A41884"/>
    <w:rsid w:val="00A41A36"/>
    <w:rsid w:val="00A41B8C"/>
    <w:rsid w:val="00A41C23"/>
    <w:rsid w:val="00A41CE3"/>
    <w:rsid w:val="00A420EE"/>
    <w:rsid w:val="00A421F4"/>
    <w:rsid w:val="00A422B6"/>
    <w:rsid w:val="00A428AF"/>
    <w:rsid w:val="00A429CA"/>
    <w:rsid w:val="00A42A3D"/>
    <w:rsid w:val="00A42C7E"/>
    <w:rsid w:val="00A42F14"/>
    <w:rsid w:val="00A43189"/>
    <w:rsid w:val="00A43333"/>
    <w:rsid w:val="00A4347A"/>
    <w:rsid w:val="00A434A6"/>
    <w:rsid w:val="00A435B7"/>
    <w:rsid w:val="00A43791"/>
    <w:rsid w:val="00A43842"/>
    <w:rsid w:val="00A43DD0"/>
    <w:rsid w:val="00A442F1"/>
    <w:rsid w:val="00A4436F"/>
    <w:rsid w:val="00A446E1"/>
    <w:rsid w:val="00A4481D"/>
    <w:rsid w:val="00A4487B"/>
    <w:rsid w:val="00A449F6"/>
    <w:rsid w:val="00A44A39"/>
    <w:rsid w:val="00A44B1C"/>
    <w:rsid w:val="00A44BD6"/>
    <w:rsid w:val="00A44BEE"/>
    <w:rsid w:val="00A44BFC"/>
    <w:rsid w:val="00A44C78"/>
    <w:rsid w:val="00A44CE6"/>
    <w:rsid w:val="00A44D24"/>
    <w:rsid w:val="00A44F42"/>
    <w:rsid w:val="00A4518F"/>
    <w:rsid w:val="00A458F8"/>
    <w:rsid w:val="00A45C24"/>
    <w:rsid w:val="00A45EA3"/>
    <w:rsid w:val="00A45F1F"/>
    <w:rsid w:val="00A45FA9"/>
    <w:rsid w:val="00A45FC7"/>
    <w:rsid w:val="00A46254"/>
    <w:rsid w:val="00A46646"/>
    <w:rsid w:val="00A466FC"/>
    <w:rsid w:val="00A467A9"/>
    <w:rsid w:val="00A469B0"/>
    <w:rsid w:val="00A46B09"/>
    <w:rsid w:val="00A46C3E"/>
    <w:rsid w:val="00A46DAE"/>
    <w:rsid w:val="00A47076"/>
    <w:rsid w:val="00A472B4"/>
    <w:rsid w:val="00A47325"/>
    <w:rsid w:val="00A474A2"/>
    <w:rsid w:val="00A4750B"/>
    <w:rsid w:val="00A47647"/>
    <w:rsid w:val="00A4778A"/>
    <w:rsid w:val="00A477D0"/>
    <w:rsid w:val="00A47A76"/>
    <w:rsid w:val="00A47BC4"/>
    <w:rsid w:val="00A47BFD"/>
    <w:rsid w:val="00A502F3"/>
    <w:rsid w:val="00A503A3"/>
    <w:rsid w:val="00A5041D"/>
    <w:rsid w:val="00A50507"/>
    <w:rsid w:val="00A506C6"/>
    <w:rsid w:val="00A50ABC"/>
    <w:rsid w:val="00A50B6F"/>
    <w:rsid w:val="00A50C5F"/>
    <w:rsid w:val="00A51203"/>
    <w:rsid w:val="00A512E5"/>
    <w:rsid w:val="00A512F6"/>
    <w:rsid w:val="00A51601"/>
    <w:rsid w:val="00A516FF"/>
    <w:rsid w:val="00A518D8"/>
    <w:rsid w:val="00A5194F"/>
    <w:rsid w:val="00A51A9C"/>
    <w:rsid w:val="00A51CCD"/>
    <w:rsid w:val="00A51E31"/>
    <w:rsid w:val="00A520A3"/>
    <w:rsid w:val="00A5219D"/>
    <w:rsid w:val="00A521C7"/>
    <w:rsid w:val="00A523E5"/>
    <w:rsid w:val="00A52410"/>
    <w:rsid w:val="00A525EE"/>
    <w:rsid w:val="00A5266C"/>
    <w:rsid w:val="00A528E6"/>
    <w:rsid w:val="00A52992"/>
    <w:rsid w:val="00A529BA"/>
    <w:rsid w:val="00A52A6A"/>
    <w:rsid w:val="00A52AC8"/>
    <w:rsid w:val="00A52B31"/>
    <w:rsid w:val="00A52CA5"/>
    <w:rsid w:val="00A531B9"/>
    <w:rsid w:val="00A53309"/>
    <w:rsid w:val="00A535D3"/>
    <w:rsid w:val="00A53643"/>
    <w:rsid w:val="00A536A8"/>
    <w:rsid w:val="00A53943"/>
    <w:rsid w:val="00A53944"/>
    <w:rsid w:val="00A539D3"/>
    <w:rsid w:val="00A53A0D"/>
    <w:rsid w:val="00A53BA1"/>
    <w:rsid w:val="00A53BA9"/>
    <w:rsid w:val="00A53F4B"/>
    <w:rsid w:val="00A541E4"/>
    <w:rsid w:val="00A542A5"/>
    <w:rsid w:val="00A542AA"/>
    <w:rsid w:val="00A542AB"/>
    <w:rsid w:val="00A54354"/>
    <w:rsid w:val="00A54708"/>
    <w:rsid w:val="00A548C3"/>
    <w:rsid w:val="00A54B1A"/>
    <w:rsid w:val="00A54DC9"/>
    <w:rsid w:val="00A54DD3"/>
    <w:rsid w:val="00A54EEF"/>
    <w:rsid w:val="00A54FFA"/>
    <w:rsid w:val="00A55012"/>
    <w:rsid w:val="00A550C5"/>
    <w:rsid w:val="00A5512B"/>
    <w:rsid w:val="00A55209"/>
    <w:rsid w:val="00A552A9"/>
    <w:rsid w:val="00A55556"/>
    <w:rsid w:val="00A5565A"/>
    <w:rsid w:val="00A5585C"/>
    <w:rsid w:val="00A5587F"/>
    <w:rsid w:val="00A5596F"/>
    <w:rsid w:val="00A55BA3"/>
    <w:rsid w:val="00A55BE3"/>
    <w:rsid w:val="00A55F74"/>
    <w:rsid w:val="00A55F7C"/>
    <w:rsid w:val="00A55FFB"/>
    <w:rsid w:val="00A560DC"/>
    <w:rsid w:val="00A5659B"/>
    <w:rsid w:val="00A566FD"/>
    <w:rsid w:val="00A5674E"/>
    <w:rsid w:val="00A56835"/>
    <w:rsid w:val="00A569BD"/>
    <w:rsid w:val="00A569EB"/>
    <w:rsid w:val="00A56BDE"/>
    <w:rsid w:val="00A56EED"/>
    <w:rsid w:val="00A57220"/>
    <w:rsid w:val="00A572E0"/>
    <w:rsid w:val="00A5755F"/>
    <w:rsid w:val="00A575B3"/>
    <w:rsid w:val="00A577B3"/>
    <w:rsid w:val="00A57BA7"/>
    <w:rsid w:val="00A57BB9"/>
    <w:rsid w:val="00A57D22"/>
    <w:rsid w:val="00A57DBC"/>
    <w:rsid w:val="00A57F1C"/>
    <w:rsid w:val="00A600DB"/>
    <w:rsid w:val="00A601D4"/>
    <w:rsid w:val="00A603D6"/>
    <w:rsid w:val="00A60602"/>
    <w:rsid w:val="00A6063E"/>
    <w:rsid w:val="00A60680"/>
    <w:rsid w:val="00A60871"/>
    <w:rsid w:val="00A609B0"/>
    <w:rsid w:val="00A60A61"/>
    <w:rsid w:val="00A60E3B"/>
    <w:rsid w:val="00A60E9B"/>
    <w:rsid w:val="00A610C9"/>
    <w:rsid w:val="00A61398"/>
    <w:rsid w:val="00A61542"/>
    <w:rsid w:val="00A61607"/>
    <w:rsid w:val="00A61612"/>
    <w:rsid w:val="00A6166E"/>
    <w:rsid w:val="00A616AD"/>
    <w:rsid w:val="00A616CC"/>
    <w:rsid w:val="00A617B5"/>
    <w:rsid w:val="00A618B4"/>
    <w:rsid w:val="00A61B3B"/>
    <w:rsid w:val="00A61C86"/>
    <w:rsid w:val="00A6226F"/>
    <w:rsid w:val="00A623DC"/>
    <w:rsid w:val="00A624AB"/>
    <w:rsid w:val="00A626BB"/>
    <w:rsid w:val="00A6284C"/>
    <w:rsid w:val="00A628E2"/>
    <w:rsid w:val="00A62A3B"/>
    <w:rsid w:val="00A62B3E"/>
    <w:rsid w:val="00A62B9E"/>
    <w:rsid w:val="00A62D21"/>
    <w:rsid w:val="00A62E7E"/>
    <w:rsid w:val="00A630E2"/>
    <w:rsid w:val="00A6313D"/>
    <w:rsid w:val="00A63581"/>
    <w:rsid w:val="00A637C7"/>
    <w:rsid w:val="00A63B01"/>
    <w:rsid w:val="00A63CCC"/>
    <w:rsid w:val="00A63E98"/>
    <w:rsid w:val="00A6413E"/>
    <w:rsid w:val="00A6416A"/>
    <w:rsid w:val="00A64354"/>
    <w:rsid w:val="00A64451"/>
    <w:rsid w:val="00A648CF"/>
    <w:rsid w:val="00A64B63"/>
    <w:rsid w:val="00A64CD4"/>
    <w:rsid w:val="00A64E2D"/>
    <w:rsid w:val="00A64EA2"/>
    <w:rsid w:val="00A64FBF"/>
    <w:rsid w:val="00A65587"/>
    <w:rsid w:val="00A65A81"/>
    <w:rsid w:val="00A65E0A"/>
    <w:rsid w:val="00A66032"/>
    <w:rsid w:val="00A6623F"/>
    <w:rsid w:val="00A66459"/>
    <w:rsid w:val="00A66580"/>
    <w:rsid w:val="00A666D1"/>
    <w:rsid w:val="00A6680B"/>
    <w:rsid w:val="00A66DD4"/>
    <w:rsid w:val="00A66DD7"/>
    <w:rsid w:val="00A66EFE"/>
    <w:rsid w:val="00A671E9"/>
    <w:rsid w:val="00A67373"/>
    <w:rsid w:val="00A67466"/>
    <w:rsid w:val="00A675BC"/>
    <w:rsid w:val="00A67A82"/>
    <w:rsid w:val="00A67D90"/>
    <w:rsid w:val="00A67E3C"/>
    <w:rsid w:val="00A67FD1"/>
    <w:rsid w:val="00A701DD"/>
    <w:rsid w:val="00A70251"/>
    <w:rsid w:val="00A702E1"/>
    <w:rsid w:val="00A703B8"/>
    <w:rsid w:val="00A704CD"/>
    <w:rsid w:val="00A70539"/>
    <w:rsid w:val="00A70A15"/>
    <w:rsid w:val="00A70DFF"/>
    <w:rsid w:val="00A70F14"/>
    <w:rsid w:val="00A70F53"/>
    <w:rsid w:val="00A70FC2"/>
    <w:rsid w:val="00A71045"/>
    <w:rsid w:val="00A7110F"/>
    <w:rsid w:val="00A7180A"/>
    <w:rsid w:val="00A7180B"/>
    <w:rsid w:val="00A71B17"/>
    <w:rsid w:val="00A71B32"/>
    <w:rsid w:val="00A72270"/>
    <w:rsid w:val="00A72541"/>
    <w:rsid w:val="00A727EE"/>
    <w:rsid w:val="00A72969"/>
    <w:rsid w:val="00A72C65"/>
    <w:rsid w:val="00A72DAB"/>
    <w:rsid w:val="00A72F4A"/>
    <w:rsid w:val="00A73026"/>
    <w:rsid w:val="00A73217"/>
    <w:rsid w:val="00A732CD"/>
    <w:rsid w:val="00A73406"/>
    <w:rsid w:val="00A7341D"/>
    <w:rsid w:val="00A73725"/>
    <w:rsid w:val="00A73AD5"/>
    <w:rsid w:val="00A73B5E"/>
    <w:rsid w:val="00A73B6E"/>
    <w:rsid w:val="00A73D58"/>
    <w:rsid w:val="00A73FC4"/>
    <w:rsid w:val="00A740C5"/>
    <w:rsid w:val="00A74477"/>
    <w:rsid w:val="00A74680"/>
    <w:rsid w:val="00A747A3"/>
    <w:rsid w:val="00A748D7"/>
    <w:rsid w:val="00A74B06"/>
    <w:rsid w:val="00A74C7E"/>
    <w:rsid w:val="00A74F45"/>
    <w:rsid w:val="00A751AD"/>
    <w:rsid w:val="00A75359"/>
    <w:rsid w:val="00A7538D"/>
    <w:rsid w:val="00A7551D"/>
    <w:rsid w:val="00A7569B"/>
    <w:rsid w:val="00A757BF"/>
    <w:rsid w:val="00A757DD"/>
    <w:rsid w:val="00A75802"/>
    <w:rsid w:val="00A758A1"/>
    <w:rsid w:val="00A75910"/>
    <w:rsid w:val="00A759BE"/>
    <w:rsid w:val="00A759CA"/>
    <w:rsid w:val="00A759DA"/>
    <w:rsid w:val="00A75B22"/>
    <w:rsid w:val="00A75B61"/>
    <w:rsid w:val="00A75B72"/>
    <w:rsid w:val="00A75C5D"/>
    <w:rsid w:val="00A75C62"/>
    <w:rsid w:val="00A75CDF"/>
    <w:rsid w:val="00A75F98"/>
    <w:rsid w:val="00A76106"/>
    <w:rsid w:val="00A7614C"/>
    <w:rsid w:val="00A7620B"/>
    <w:rsid w:val="00A76331"/>
    <w:rsid w:val="00A763E0"/>
    <w:rsid w:val="00A7641F"/>
    <w:rsid w:val="00A7650F"/>
    <w:rsid w:val="00A767B1"/>
    <w:rsid w:val="00A767EB"/>
    <w:rsid w:val="00A7687F"/>
    <w:rsid w:val="00A769BC"/>
    <w:rsid w:val="00A76A19"/>
    <w:rsid w:val="00A76DCB"/>
    <w:rsid w:val="00A76F0C"/>
    <w:rsid w:val="00A76F84"/>
    <w:rsid w:val="00A77038"/>
    <w:rsid w:val="00A772FE"/>
    <w:rsid w:val="00A77389"/>
    <w:rsid w:val="00A774CA"/>
    <w:rsid w:val="00A778D0"/>
    <w:rsid w:val="00A77BF1"/>
    <w:rsid w:val="00A802DF"/>
    <w:rsid w:val="00A80471"/>
    <w:rsid w:val="00A80602"/>
    <w:rsid w:val="00A80634"/>
    <w:rsid w:val="00A80C14"/>
    <w:rsid w:val="00A80D5F"/>
    <w:rsid w:val="00A80EAD"/>
    <w:rsid w:val="00A810C5"/>
    <w:rsid w:val="00A81114"/>
    <w:rsid w:val="00A811EA"/>
    <w:rsid w:val="00A812DF"/>
    <w:rsid w:val="00A8132F"/>
    <w:rsid w:val="00A81C6A"/>
    <w:rsid w:val="00A81E1B"/>
    <w:rsid w:val="00A81F06"/>
    <w:rsid w:val="00A81F49"/>
    <w:rsid w:val="00A81F8B"/>
    <w:rsid w:val="00A820E9"/>
    <w:rsid w:val="00A825CD"/>
    <w:rsid w:val="00A8282B"/>
    <w:rsid w:val="00A82831"/>
    <w:rsid w:val="00A82A04"/>
    <w:rsid w:val="00A82F68"/>
    <w:rsid w:val="00A83448"/>
    <w:rsid w:val="00A8358A"/>
    <w:rsid w:val="00A83722"/>
    <w:rsid w:val="00A8389A"/>
    <w:rsid w:val="00A83A92"/>
    <w:rsid w:val="00A83CE0"/>
    <w:rsid w:val="00A83DBD"/>
    <w:rsid w:val="00A84056"/>
    <w:rsid w:val="00A84161"/>
    <w:rsid w:val="00A843A3"/>
    <w:rsid w:val="00A84806"/>
    <w:rsid w:val="00A84AEF"/>
    <w:rsid w:val="00A84BF4"/>
    <w:rsid w:val="00A84C5B"/>
    <w:rsid w:val="00A84EE2"/>
    <w:rsid w:val="00A84FC6"/>
    <w:rsid w:val="00A856A5"/>
    <w:rsid w:val="00A85866"/>
    <w:rsid w:val="00A859EB"/>
    <w:rsid w:val="00A85BDE"/>
    <w:rsid w:val="00A85DFB"/>
    <w:rsid w:val="00A85E6F"/>
    <w:rsid w:val="00A85EEC"/>
    <w:rsid w:val="00A860A1"/>
    <w:rsid w:val="00A863DB"/>
    <w:rsid w:val="00A864E1"/>
    <w:rsid w:val="00A865D8"/>
    <w:rsid w:val="00A8662F"/>
    <w:rsid w:val="00A866A8"/>
    <w:rsid w:val="00A86716"/>
    <w:rsid w:val="00A869CC"/>
    <w:rsid w:val="00A86AA5"/>
    <w:rsid w:val="00A86BCF"/>
    <w:rsid w:val="00A86C65"/>
    <w:rsid w:val="00A86EA0"/>
    <w:rsid w:val="00A8722C"/>
    <w:rsid w:val="00A875AB"/>
    <w:rsid w:val="00A8786B"/>
    <w:rsid w:val="00A87898"/>
    <w:rsid w:val="00A878A2"/>
    <w:rsid w:val="00A87983"/>
    <w:rsid w:val="00A87A67"/>
    <w:rsid w:val="00A87AD4"/>
    <w:rsid w:val="00A87E02"/>
    <w:rsid w:val="00A87EC6"/>
    <w:rsid w:val="00A900AA"/>
    <w:rsid w:val="00A904C3"/>
    <w:rsid w:val="00A9072C"/>
    <w:rsid w:val="00A90A85"/>
    <w:rsid w:val="00A90D92"/>
    <w:rsid w:val="00A90E2F"/>
    <w:rsid w:val="00A90EB8"/>
    <w:rsid w:val="00A91292"/>
    <w:rsid w:val="00A915EB"/>
    <w:rsid w:val="00A9162A"/>
    <w:rsid w:val="00A91784"/>
    <w:rsid w:val="00A9197A"/>
    <w:rsid w:val="00A91F46"/>
    <w:rsid w:val="00A921BC"/>
    <w:rsid w:val="00A92375"/>
    <w:rsid w:val="00A92573"/>
    <w:rsid w:val="00A9268D"/>
    <w:rsid w:val="00A928F9"/>
    <w:rsid w:val="00A92905"/>
    <w:rsid w:val="00A92B86"/>
    <w:rsid w:val="00A92BA0"/>
    <w:rsid w:val="00A92C2B"/>
    <w:rsid w:val="00A92C7A"/>
    <w:rsid w:val="00A930EA"/>
    <w:rsid w:val="00A9314E"/>
    <w:rsid w:val="00A934FA"/>
    <w:rsid w:val="00A93629"/>
    <w:rsid w:val="00A937D1"/>
    <w:rsid w:val="00A93C52"/>
    <w:rsid w:val="00A93C68"/>
    <w:rsid w:val="00A93EEA"/>
    <w:rsid w:val="00A93F69"/>
    <w:rsid w:val="00A944B2"/>
    <w:rsid w:val="00A947A4"/>
    <w:rsid w:val="00A949F4"/>
    <w:rsid w:val="00A94ABC"/>
    <w:rsid w:val="00A94B82"/>
    <w:rsid w:val="00A94CE2"/>
    <w:rsid w:val="00A94D4C"/>
    <w:rsid w:val="00A94F0D"/>
    <w:rsid w:val="00A94F48"/>
    <w:rsid w:val="00A94FCB"/>
    <w:rsid w:val="00A951DC"/>
    <w:rsid w:val="00A9531F"/>
    <w:rsid w:val="00A95365"/>
    <w:rsid w:val="00A95373"/>
    <w:rsid w:val="00A95537"/>
    <w:rsid w:val="00A9566E"/>
    <w:rsid w:val="00A9588C"/>
    <w:rsid w:val="00A95B21"/>
    <w:rsid w:val="00A95B4A"/>
    <w:rsid w:val="00A95D61"/>
    <w:rsid w:val="00A95FDE"/>
    <w:rsid w:val="00A9602F"/>
    <w:rsid w:val="00A963C8"/>
    <w:rsid w:val="00A9643D"/>
    <w:rsid w:val="00A96878"/>
    <w:rsid w:val="00A968E6"/>
    <w:rsid w:val="00A96AD0"/>
    <w:rsid w:val="00A96B58"/>
    <w:rsid w:val="00A96BBD"/>
    <w:rsid w:val="00A96E4C"/>
    <w:rsid w:val="00A96E69"/>
    <w:rsid w:val="00A96F0F"/>
    <w:rsid w:val="00A970CF"/>
    <w:rsid w:val="00A972EB"/>
    <w:rsid w:val="00A9761F"/>
    <w:rsid w:val="00A97682"/>
    <w:rsid w:val="00A9797C"/>
    <w:rsid w:val="00A9799E"/>
    <w:rsid w:val="00A979A6"/>
    <w:rsid w:val="00A97A9B"/>
    <w:rsid w:val="00A97BA1"/>
    <w:rsid w:val="00A97CAD"/>
    <w:rsid w:val="00A97D2E"/>
    <w:rsid w:val="00A97E49"/>
    <w:rsid w:val="00A97F3D"/>
    <w:rsid w:val="00AA01AD"/>
    <w:rsid w:val="00AA022F"/>
    <w:rsid w:val="00AA0249"/>
    <w:rsid w:val="00AA042A"/>
    <w:rsid w:val="00AA0475"/>
    <w:rsid w:val="00AA0599"/>
    <w:rsid w:val="00AA0769"/>
    <w:rsid w:val="00AA0A01"/>
    <w:rsid w:val="00AA0B9E"/>
    <w:rsid w:val="00AA0EF6"/>
    <w:rsid w:val="00AA0EFA"/>
    <w:rsid w:val="00AA119B"/>
    <w:rsid w:val="00AA120B"/>
    <w:rsid w:val="00AA1311"/>
    <w:rsid w:val="00AA14F0"/>
    <w:rsid w:val="00AA1804"/>
    <w:rsid w:val="00AA184F"/>
    <w:rsid w:val="00AA1978"/>
    <w:rsid w:val="00AA1A9D"/>
    <w:rsid w:val="00AA1BE6"/>
    <w:rsid w:val="00AA1CF3"/>
    <w:rsid w:val="00AA1D57"/>
    <w:rsid w:val="00AA1D79"/>
    <w:rsid w:val="00AA1DBE"/>
    <w:rsid w:val="00AA1F9B"/>
    <w:rsid w:val="00AA2067"/>
    <w:rsid w:val="00AA234F"/>
    <w:rsid w:val="00AA238C"/>
    <w:rsid w:val="00AA254C"/>
    <w:rsid w:val="00AA2572"/>
    <w:rsid w:val="00AA262C"/>
    <w:rsid w:val="00AA26D6"/>
    <w:rsid w:val="00AA2726"/>
    <w:rsid w:val="00AA2811"/>
    <w:rsid w:val="00AA286C"/>
    <w:rsid w:val="00AA28BA"/>
    <w:rsid w:val="00AA28C7"/>
    <w:rsid w:val="00AA2941"/>
    <w:rsid w:val="00AA2BA8"/>
    <w:rsid w:val="00AA2D78"/>
    <w:rsid w:val="00AA2DF2"/>
    <w:rsid w:val="00AA3014"/>
    <w:rsid w:val="00AA3230"/>
    <w:rsid w:val="00AA3371"/>
    <w:rsid w:val="00AA3827"/>
    <w:rsid w:val="00AA3B35"/>
    <w:rsid w:val="00AA3BC2"/>
    <w:rsid w:val="00AA3D1A"/>
    <w:rsid w:val="00AA4075"/>
    <w:rsid w:val="00AA4120"/>
    <w:rsid w:val="00AA439D"/>
    <w:rsid w:val="00AA482B"/>
    <w:rsid w:val="00AA4884"/>
    <w:rsid w:val="00AA4CDA"/>
    <w:rsid w:val="00AA4D79"/>
    <w:rsid w:val="00AA4DFF"/>
    <w:rsid w:val="00AA4E56"/>
    <w:rsid w:val="00AA506F"/>
    <w:rsid w:val="00AA51BC"/>
    <w:rsid w:val="00AA52B0"/>
    <w:rsid w:val="00AA57CF"/>
    <w:rsid w:val="00AA5AFA"/>
    <w:rsid w:val="00AA5B71"/>
    <w:rsid w:val="00AA5DD0"/>
    <w:rsid w:val="00AA6141"/>
    <w:rsid w:val="00AA61D8"/>
    <w:rsid w:val="00AA63FD"/>
    <w:rsid w:val="00AA66A8"/>
    <w:rsid w:val="00AA6861"/>
    <w:rsid w:val="00AA6A58"/>
    <w:rsid w:val="00AA6C76"/>
    <w:rsid w:val="00AA6C8C"/>
    <w:rsid w:val="00AA6CEF"/>
    <w:rsid w:val="00AA6F9B"/>
    <w:rsid w:val="00AA713C"/>
    <w:rsid w:val="00AA7166"/>
    <w:rsid w:val="00AA7595"/>
    <w:rsid w:val="00AA7621"/>
    <w:rsid w:val="00AA76D8"/>
    <w:rsid w:val="00AA7713"/>
    <w:rsid w:val="00AA7717"/>
    <w:rsid w:val="00AA7910"/>
    <w:rsid w:val="00AA7A45"/>
    <w:rsid w:val="00AA7B4F"/>
    <w:rsid w:val="00AA7B5C"/>
    <w:rsid w:val="00AA7B60"/>
    <w:rsid w:val="00AA7C96"/>
    <w:rsid w:val="00AA7F13"/>
    <w:rsid w:val="00AA7FC7"/>
    <w:rsid w:val="00AB002C"/>
    <w:rsid w:val="00AB0106"/>
    <w:rsid w:val="00AB0201"/>
    <w:rsid w:val="00AB031D"/>
    <w:rsid w:val="00AB0351"/>
    <w:rsid w:val="00AB04D7"/>
    <w:rsid w:val="00AB07BC"/>
    <w:rsid w:val="00AB0FF1"/>
    <w:rsid w:val="00AB10CD"/>
    <w:rsid w:val="00AB1535"/>
    <w:rsid w:val="00AB1536"/>
    <w:rsid w:val="00AB1AE7"/>
    <w:rsid w:val="00AB1F2D"/>
    <w:rsid w:val="00AB1F5D"/>
    <w:rsid w:val="00AB2393"/>
    <w:rsid w:val="00AB239A"/>
    <w:rsid w:val="00AB2453"/>
    <w:rsid w:val="00AB26B2"/>
    <w:rsid w:val="00AB27BC"/>
    <w:rsid w:val="00AB27BE"/>
    <w:rsid w:val="00AB27EB"/>
    <w:rsid w:val="00AB2889"/>
    <w:rsid w:val="00AB28E2"/>
    <w:rsid w:val="00AB2CF9"/>
    <w:rsid w:val="00AB2DC2"/>
    <w:rsid w:val="00AB2E6A"/>
    <w:rsid w:val="00AB336A"/>
    <w:rsid w:val="00AB35CF"/>
    <w:rsid w:val="00AB39CD"/>
    <w:rsid w:val="00AB3D16"/>
    <w:rsid w:val="00AB3E01"/>
    <w:rsid w:val="00AB3FB5"/>
    <w:rsid w:val="00AB40D9"/>
    <w:rsid w:val="00AB44FA"/>
    <w:rsid w:val="00AB458B"/>
    <w:rsid w:val="00AB4833"/>
    <w:rsid w:val="00AB498B"/>
    <w:rsid w:val="00AB4A88"/>
    <w:rsid w:val="00AB4C3F"/>
    <w:rsid w:val="00AB4D95"/>
    <w:rsid w:val="00AB4DA4"/>
    <w:rsid w:val="00AB4E9E"/>
    <w:rsid w:val="00AB5111"/>
    <w:rsid w:val="00AB52C0"/>
    <w:rsid w:val="00AB543C"/>
    <w:rsid w:val="00AB55D0"/>
    <w:rsid w:val="00AB5679"/>
    <w:rsid w:val="00AB57AC"/>
    <w:rsid w:val="00AB59D6"/>
    <w:rsid w:val="00AB5CC1"/>
    <w:rsid w:val="00AB5CD6"/>
    <w:rsid w:val="00AB5D0A"/>
    <w:rsid w:val="00AB5FB8"/>
    <w:rsid w:val="00AB5FEB"/>
    <w:rsid w:val="00AB5FEC"/>
    <w:rsid w:val="00AB6024"/>
    <w:rsid w:val="00AB6123"/>
    <w:rsid w:val="00AB6230"/>
    <w:rsid w:val="00AB6565"/>
    <w:rsid w:val="00AB656F"/>
    <w:rsid w:val="00AB66A7"/>
    <w:rsid w:val="00AB6D4F"/>
    <w:rsid w:val="00AB7179"/>
    <w:rsid w:val="00AB7503"/>
    <w:rsid w:val="00AB75B3"/>
    <w:rsid w:val="00AB7708"/>
    <w:rsid w:val="00AB7836"/>
    <w:rsid w:val="00AB78E4"/>
    <w:rsid w:val="00AB7983"/>
    <w:rsid w:val="00AB79A6"/>
    <w:rsid w:val="00AB7CE1"/>
    <w:rsid w:val="00AB7DDF"/>
    <w:rsid w:val="00AC04CA"/>
    <w:rsid w:val="00AC0BDC"/>
    <w:rsid w:val="00AC0D76"/>
    <w:rsid w:val="00AC0E9F"/>
    <w:rsid w:val="00AC0EA5"/>
    <w:rsid w:val="00AC153D"/>
    <w:rsid w:val="00AC189C"/>
    <w:rsid w:val="00AC1910"/>
    <w:rsid w:val="00AC1F21"/>
    <w:rsid w:val="00AC1FE6"/>
    <w:rsid w:val="00AC1FED"/>
    <w:rsid w:val="00AC1FF6"/>
    <w:rsid w:val="00AC20D8"/>
    <w:rsid w:val="00AC210A"/>
    <w:rsid w:val="00AC22BE"/>
    <w:rsid w:val="00AC23A8"/>
    <w:rsid w:val="00AC246E"/>
    <w:rsid w:val="00AC2540"/>
    <w:rsid w:val="00AC267C"/>
    <w:rsid w:val="00AC270F"/>
    <w:rsid w:val="00AC276B"/>
    <w:rsid w:val="00AC291C"/>
    <w:rsid w:val="00AC29BE"/>
    <w:rsid w:val="00AC2C77"/>
    <w:rsid w:val="00AC2CAA"/>
    <w:rsid w:val="00AC2D3E"/>
    <w:rsid w:val="00AC2DD6"/>
    <w:rsid w:val="00AC2EE0"/>
    <w:rsid w:val="00AC31C6"/>
    <w:rsid w:val="00AC31FB"/>
    <w:rsid w:val="00AC332C"/>
    <w:rsid w:val="00AC387D"/>
    <w:rsid w:val="00AC3C2F"/>
    <w:rsid w:val="00AC3DD0"/>
    <w:rsid w:val="00AC3FF0"/>
    <w:rsid w:val="00AC464F"/>
    <w:rsid w:val="00AC490B"/>
    <w:rsid w:val="00AC4B32"/>
    <w:rsid w:val="00AC4E25"/>
    <w:rsid w:val="00AC4F9D"/>
    <w:rsid w:val="00AC5366"/>
    <w:rsid w:val="00AC5760"/>
    <w:rsid w:val="00AC5BB4"/>
    <w:rsid w:val="00AC5BC9"/>
    <w:rsid w:val="00AC6091"/>
    <w:rsid w:val="00AC6310"/>
    <w:rsid w:val="00AC63DC"/>
    <w:rsid w:val="00AC640F"/>
    <w:rsid w:val="00AC6493"/>
    <w:rsid w:val="00AC66F1"/>
    <w:rsid w:val="00AC67E9"/>
    <w:rsid w:val="00AC6A55"/>
    <w:rsid w:val="00AC6A6B"/>
    <w:rsid w:val="00AC6A8F"/>
    <w:rsid w:val="00AC6D60"/>
    <w:rsid w:val="00AC6D9A"/>
    <w:rsid w:val="00AC6FA8"/>
    <w:rsid w:val="00AC712B"/>
    <w:rsid w:val="00AC7415"/>
    <w:rsid w:val="00AC74DC"/>
    <w:rsid w:val="00AC795D"/>
    <w:rsid w:val="00AC7ADC"/>
    <w:rsid w:val="00AC7B69"/>
    <w:rsid w:val="00AC7C1A"/>
    <w:rsid w:val="00AC7C4A"/>
    <w:rsid w:val="00AC7C8C"/>
    <w:rsid w:val="00AC7C94"/>
    <w:rsid w:val="00AC7CC1"/>
    <w:rsid w:val="00AC7E9D"/>
    <w:rsid w:val="00AC7F53"/>
    <w:rsid w:val="00AD01AB"/>
    <w:rsid w:val="00AD0328"/>
    <w:rsid w:val="00AD0A66"/>
    <w:rsid w:val="00AD0C46"/>
    <w:rsid w:val="00AD0CFF"/>
    <w:rsid w:val="00AD0E6F"/>
    <w:rsid w:val="00AD1303"/>
    <w:rsid w:val="00AD1453"/>
    <w:rsid w:val="00AD1593"/>
    <w:rsid w:val="00AD19E2"/>
    <w:rsid w:val="00AD1AC2"/>
    <w:rsid w:val="00AD1F88"/>
    <w:rsid w:val="00AD213C"/>
    <w:rsid w:val="00AD230D"/>
    <w:rsid w:val="00AD25C5"/>
    <w:rsid w:val="00AD25F5"/>
    <w:rsid w:val="00AD29B7"/>
    <w:rsid w:val="00AD2BEC"/>
    <w:rsid w:val="00AD2C9E"/>
    <w:rsid w:val="00AD2F29"/>
    <w:rsid w:val="00AD2F56"/>
    <w:rsid w:val="00AD3091"/>
    <w:rsid w:val="00AD3309"/>
    <w:rsid w:val="00AD342B"/>
    <w:rsid w:val="00AD3740"/>
    <w:rsid w:val="00AD375D"/>
    <w:rsid w:val="00AD381F"/>
    <w:rsid w:val="00AD38CE"/>
    <w:rsid w:val="00AD3952"/>
    <w:rsid w:val="00AD3A6A"/>
    <w:rsid w:val="00AD3B6F"/>
    <w:rsid w:val="00AD3DFC"/>
    <w:rsid w:val="00AD3E99"/>
    <w:rsid w:val="00AD3F69"/>
    <w:rsid w:val="00AD462F"/>
    <w:rsid w:val="00AD4688"/>
    <w:rsid w:val="00AD4738"/>
    <w:rsid w:val="00AD47CD"/>
    <w:rsid w:val="00AD49AB"/>
    <w:rsid w:val="00AD4B5D"/>
    <w:rsid w:val="00AD4DB3"/>
    <w:rsid w:val="00AD4EA7"/>
    <w:rsid w:val="00AD5108"/>
    <w:rsid w:val="00AD54A1"/>
    <w:rsid w:val="00AD554A"/>
    <w:rsid w:val="00AD55A8"/>
    <w:rsid w:val="00AD5767"/>
    <w:rsid w:val="00AD5846"/>
    <w:rsid w:val="00AD590B"/>
    <w:rsid w:val="00AD5BF6"/>
    <w:rsid w:val="00AD5EAC"/>
    <w:rsid w:val="00AD607F"/>
    <w:rsid w:val="00AD60F0"/>
    <w:rsid w:val="00AD61AB"/>
    <w:rsid w:val="00AD66F9"/>
    <w:rsid w:val="00AD67F2"/>
    <w:rsid w:val="00AD6AF5"/>
    <w:rsid w:val="00AD6B34"/>
    <w:rsid w:val="00AD6E5B"/>
    <w:rsid w:val="00AD6FFC"/>
    <w:rsid w:val="00AD7113"/>
    <w:rsid w:val="00AD7157"/>
    <w:rsid w:val="00AD71B9"/>
    <w:rsid w:val="00AD7413"/>
    <w:rsid w:val="00AD7463"/>
    <w:rsid w:val="00AD76F6"/>
    <w:rsid w:val="00AD7775"/>
    <w:rsid w:val="00AD789F"/>
    <w:rsid w:val="00AD78B0"/>
    <w:rsid w:val="00AD78D5"/>
    <w:rsid w:val="00AD7960"/>
    <w:rsid w:val="00AD79AC"/>
    <w:rsid w:val="00AD7A7F"/>
    <w:rsid w:val="00AD7A9C"/>
    <w:rsid w:val="00AD7B5E"/>
    <w:rsid w:val="00AE03E2"/>
    <w:rsid w:val="00AE0422"/>
    <w:rsid w:val="00AE0714"/>
    <w:rsid w:val="00AE0798"/>
    <w:rsid w:val="00AE0C0A"/>
    <w:rsid w:val="00AE0F15"/>
    <w:rsid w:val="00AE0FE7"/>
    <w:rsid w:val="00AE100B"/>
    <w:rsid w:val="00AE105E"/>
    <w:rsid w:val="00AE11B1"/>
    <w:rsid w:val="00AE1354"/>
    <w:rsid w:val="00AE14CD"/>
    <w:rsid w:val="00AE164F"/>
    <w:rsid w:val="00AE166D"/>
    <w:rsid w:val="00AE1744"/>
    <w:rsid w:val="00AE1801"/>
    <w:rsid w:val="00AE1845"/>
    <w:rsid w:val="00AE18A3"/>
    <w:rsid w:val="00AE1957"/>
    <w:rsid w:val="00AE1C57"/>
    <w:rsid w:val="00AE1C5B"/>
    <w:rsid w:val="00AE1DBC"/>
    <w:rsid w:val="00AE1E4D"/>
    <w:rsid w:val="00AE1ED5"/>
    <w:rsid w:val="00AE1FC2"/>
    <w:rsid w:val="00AE20AE"/>
    <w:rsid w:val="00AE22FC"/>
    <w:rsid w:val="00AE2345"/>
    <w:rsid w:val="00AE255A"/>
    <w:rsid w:val="00AE27BA"/>
    <w:rsid w:val="00AE29ED"/>
    <w:rsid w:val="00AE2D66"/>
    <w:rsid w:val="00AE2E47"/>
    <w:rsid w:val="00AE2FDE"/>
    <w:rsid w:val="00AE3231"/>
    <w:rsid w:val="00AE334D"/>
    <w:rsid w:val="00AE338A"/>
    <w:rsid w:val="00AE37D5"/>
    <w:rsid w:val="00AE3808"/>
    <w:rsid w:val="00AE3957"/>
    <w:rsid w:val="00AE398F"/>
    <w:rsid w:val="00AE3BFA"/>
    <w:rsid w:val="00AE3C09"/>
    <w:rsid w:val="00AE3DA7"/>
    <w:rsid w:val="00AE415A"/>
    <w:rsid w:val="00AE42EF"/>
    <w:rsid w:val="00AE444F"/>
    <w:rsid w:val="00AE4737"/>
    <w:rsid w:val="00AE476A"/>
    <w:rsid w:val="00AE47E5"/>
    <w:rsid w:val="00AE4836"/>
    <w:rsid w:val="00AE48D1"/>
    <w:rsid w:val="00AE4A9D"/>
    <w:rsid w:val="00AE4AAB"/>
    <w:rsid w:val="00AE4BA1"/>
    <w:rsid w:val="00AE4C2D"/>
    <w:rsid w:val="00AE5054"/>
    <w:rsid w:val="00AE5144"/>
    <w:rsid w:val="00AE523C"/>
    <w:rsid w:val="00AE523F"/>
    <w:rsid w:val="00AE532C"/>
    <w:rsid w:val="00AE55DD"/>
    <w:rsid w:val="00AE56C1"/>
    <w:rsid w:val="00AE57D1"/>
    <w:rsid w:val="00AE5897"/>
    <w:rsid w:val="00AE58E0"/>
    <w:rsid w:val="00AE59E8"/>
    <w:rsid w:val="00AE59EF"/>
    <w:rsid w:val="00AE60D1"/>
    <w:rsid w:val="00AE6244"/>
    <w:rsid w:val="00AE6D6B"/>
    <w:rsid w:val="00AE6E8E"/>
    <w:rsid w:val="00AE73C9"/>
    <w:rsid w:val="00AE74D3"/>
    <w:rsid w:val="00AE75B1"/>
    <w:rsid w:val="00AE76E6"/>
    <w:rsid w:val="00AE778D"/>
    <w:rsid w:val="00AE780D"/>
    <w:rsid w:val="00AE79D1"/>
    <w:rsid w:val="00AE7AB9"/>
    <w:rsid w:val="00AE7E33"/>
    <w:rsid w:val="00AF01FE"/>
    <w:rsid w:val="00AF02A3"/>
    <w:rsid w:val="00AF0365"/>
    <w:rsid w:val="00AF04C2"/>
    <w:rsid w:val="00AF04CD"/>
    <w:rsid w:val="00AF04DA"/>
    <w:rsid w:val="00AF05A3"/>
    <w:rsid w:val="00AF0631"/>
    <w:rsid w:val="00AF065A"/>
    <w:rsid w:val="00AF091F"/>
    <w:rsid w:val="00AF0A56"/>
    <w:rsid w:val="00AF0BC5"/>
    <w:rsid w:val="00AF0C02"/>
    <w:rsid w:val="00AF0DB1"/>
    <w:rsid w:val="00AF1035"/>
    <w:rsid w:val="00AF1044"/>
    <w:rsid w:val="00AF1076"/>
    <w:rsid w:val="00AF142A"/>
    <w:rsid w:val="00AF157E"/>
    <w:rsid w:val="00AF15FF"/>
    <w:rsid w:val="00AF19CE"/>
    <w:rsid w:val="00AF1CC8"/>
    <w:rsid w:val="00AF1D43"/>
    <w:rsid w:val="00AF1E64"/>
    <w:rsid w:val="00AF1F4E"/>
    <w:rsid w:val="00AF2098"/>
    <w:rsid w:val="00AF20F3"/>
    <w:rsid w:val="00AF2336"/>
    <w:rsid w:val="00AF245E"/>
    <w:rsid w:val="00AF2479"/>
    <w:rsid w:val="00AF24AB"/>
    <w:rsid w:val="00AF2748"/>
    <w:rsid w:val="00AF28BE"/>
    <w:rsid w:val="00AF2C0E"/>
    <w:rsid w:val="00AF2C69"/>
    <w:rsid w:val="00AF2D4B"/>
    <w:rsid w:val="00AF2E7B"/>
    <w:rsid w:val="00AF2E9F"/>
    <w:rsid w:val="00AF30C4"/>
    <w:rsid w:val="00AF36CA"/>
    <w:rsid w:val="00AF3B3C"/>
    <w:rsid w:val="00AF3CD0"/>
    <w:rsid w:val="00AF4101"/>
    <w:rsid w:val="00AF418F"/>
    <w:rsid w:val="00AF41DB"/>
    <w:rsid w:val="00AF41E0"/>
    <w:rsid w:val="00AF421D"/>
    <w:rsid w:val="00AF4261"/>
    <w:rsid w:val="00AF4568"/>
    <w:rsid w:val="00AF4896"/>
    <w:rsid w:val="00AF4966"/>
    <w:rsid w:val="00AF4B25"/>
    <w:rsid w:val="00AF4B59"/>
    <w:rsid w:val="00AF4B9D"/>
    <w:rsid w:val="00AF4DDD"/>
    <w:rsid w:val="00AF4EB5"/>
    <w:rsid w:val="00AF4F48"/>
    <w:rsid w:val="00AF5400"/>
    <w:rsid w:val="00AF560E"/>
    <w:rsid w:val="00AF5813"/>
    <w:rsid w:val="00AF584B"/>
    <w:rsid w:val="00AF5955"/>
    <w:rsid w:val="00AF5A7C"/>
    <w:rsid w:val="00AF5B21"/>
    <w:rsid w:val="00AF5E0C"/>
    <w:rsid w:val="00AF6035"/>
    <w:rsid w:val="00AF61DA"/>
    <w:rsid w:val="00AF61E9"/>
    <w:rsid w:val="00AF636C"/>
    <w:rsid w:val="00AF6443"/>
    <w:rsid w:val="00AF6505"/>
    <w:rsid w:val="00AF6656"/>
    <w:rsid w:val="00AF67D4"/>
    <w:rsid w:val="00AF696E"/>
    <w:rsid w:val="00AF6CAD"/>
    <w:rsid w:val="00AF6DFC"/>
    <w:rsid w:val="00AF6EB8"/>
    <w:rsid w:val="00AF6ED5"/>
    <w:rsid w:val="00AF6F39"/>
    <w:rsid w:val="00AF7012"/>
    <w:rsid w:val="00AF7260"/>
    <w:rsid w:val="00AF7562"/>
    <w:rsid w:val="00AF77F7"/>
    <w:rsid w:val="00AF79E2"/>
    <w:rsid w:val="00AF7B27"/>
    <w:rsid w:val="00AF7DE0"/>
    <w:rsid w:val="00AF7F88"/>
    <w:rsid w:val="00B00263"/>
    <w:rsid w:val="00B002C5"/>
    <w:rsid w:val="00B003F6"/>
    <w:rsid w:val="00B0040D"/>
    <w:rsid w:val="00B0050C"/>
    <w:rsid w:val="00B00557"/>
    <w:rsid w:val="00B0084D"/>
    <w:rsid w:val="00B009A8"/>
    <w:rsid w:val="00B00A3F"/>
    <w:rsid w:val="00B00DEC"/>
    <w:rsid w:val="00B00EC7"/>
    <w:rsid w:val="00B01130"/>
    <w:rsid w:val="00B014D7"/>
    <w:rsid w:val="00B0150C"/>
    <w:rsid w:val="00B0161F"/>
    <w:rsid w:val="00B01641"/>
    <w:rsid w:val="00B017D5"/>
    <w:rsid w:val="00B0184C"/>
    <w:rsid w:val="00B01B6F"/>
    <w:rsid w:val="00B01FF1"/>
    <w:rsid w:val="00B020E0"/>
    <w:rsid w:val="00B02141"/>
    <w:rsid w:val="00B02D68"/>
    <w:rsid w:val="00B031DA"/>
    <w:rsid w:val="00B032DE"/>
    <w:rsid w:val="00B035D5"/>
    <w:rsid w:val="00B0362B"/>
    <w:rsid w:val="00B037F8"/>
    <w:rsid w:val="00B0399E"/>
    <w:rsid w:val="00B03ABA"/>
    <w:rsid w:val="00B03BD1"/>
    <w:rsid w:val="00B03EB5"/>
    <w:rsid w:val="00B03F7D"/>
    <w:rsid w:val="00B04176"/>
    <w:rsid w:val="00B0417F"/>
    <w:rsid w:val="00B041FC"/>
    <w:rsid w:val="00B04259"/>
    <w:rsid w:val="00B04440"/>
    <w:rsid w:val="00B04654"/>
    <w:rsid w:val="00B04699"/>
    <w:rsid w:val="00B049CB"/>
    <w:rsid w:val="00B04B5C"/>
    <w:rsid w:val="00B04F6E"/>
    <w:rsid w:val="00B0509E"/>
    <w:rsid w:val="00B05278"/>
    <w:rsid w:val="00B0530B"/>
    <w:rsid w:val="00B055B6"/>
    <w:rsid w:val="00B058F0"/>
    <w:rsid w:val="00B0597E"/>
    <w:rsid w:val="00B05A40"/>
    <w:rsid w:val="00B05C00"/>
    <w:rsid w:val="00B05C15"/>
    <w:rsid w:val="00B05C96"/>
    <w:rsid w:val="00B05D19"/>
    <w:rsid w:val="00B05D31"/>
    <w:rsid w:val="00B05D38"/>
    <w:rsid w:val="00B05D3E"/>
    <w:rsid w:val="00B05DDC"/>
    <w:rsid w:val="00B0601F"/>
    <w:rsid w:val="00B061E3"/>
    <w:rsid w:val="00B063AF"/>
    <w:rsid w:val="00B06474"/>
    <w:rsid w:val="00B0649D"/>
    <w:rsid w:val="00B06744"/>
    <w:rsid w:val="00B06874"/>
    <w:rsid w:val="00B06A64"/>
    <w:rsid w:val="00B06AF0"/>
    <w:rsid w:val="00B06C70"/>
    <w:rsid w:val="00B06E77"/>
    <w:rsid w:val="00B06EBE"/>
    <w:rsid w:val="00B06F4C"/>
    <w:rsid w:val="00B070C3"/>
    <w:rsid w:val="00B07399"/>
    <w:rsid w:val="00B073D6"/>
    <w:rsid w:val="00B0775A"/>
    <w:rsid w:val="00B07858"/>
    <w:rsid w:val="00B079A0"/>
    <w:rsid w:val="00B07B6C"/>
    <w:rsid w:val="00B07C9F"/>
    <w:rsid w:val="00B07D18"/>
    <w:rsid w:val="00B07E79"/>
    <w:rsid w:val="00B07E9C"/>
    <w:rsid w:val="00B07F62"/>
    <w:rsid w:val="00B07FF1"/>
    <w:rsid w:val="00B100BB"/>
    <w:rsid w:val="00B100C3"/>
    <w:rsid w:val="00B103C8"/>
    <w:rsid w:val="00B1042B"/>
    <w:rsid w:val="00B10660"/>
    <w:rsid w:val="00B10662"/>
    <w:rsid w:val="00B10964"/>
    <w:rsid w:val="00B109C7"/>
    <w:rsid w:val="00B10A85"/>
    <w:rsid w:val="00B10B08"/>
    <w:rsid w:val="00B10D07"/>
    <w:rsid w:val="00B10D77"/>
    <w:rsid w:val="00B10D7E"/>
    <w:rsid w:val="00B10F47"/>
    <w:rsid w:val="00B112B3"/>
    <w:rsid w:val="00B112D5"/>
    <w:rsid w:val="00B1137C"/>
    <w:rsid w:val="00B116ED"/>
    <w:rsid w:val="00B117C4"/>
    <w:rsid w:val="00B11A0A"/>
    <w:rsid w:val="00B11AFE"/>
    <w:rsid w:val="00B11C25"/>
    <w:rsid w:val="00B11C51"/>
    <w:rsid w:val="00B11DEE"/>
    <w:rsid w:val="00B12202"/>
    <w:rsid w:val="00B12281"/>
    <w:rsid w:val="00B12293"/>
    <w:rsid w:val="00B1247F"/>
    <w:rsid w:val="00B12676"/>
    <w:rsid w:val="00B12856"/>
    <w:rsid w:val="00B12890"/>
    <w:rsid w:val="00B12995"/>
    <w:rsid w:val="00B129E4"/>
    <w:rsid w:val="00B129FC"/>
    <w:rsid w:val="00B12A85"/>
    <w:rsid w:val="00B12CD8"/>
    <w:rsid w:val="00B12DC8"/>
    <w:rsid w:val="00B12E85"/>
    <w:rsid w:val="00B12F79"/>
    <w:rsid w:val="00B12FFC"/>
    <w:rsid w:val="00B1308D"/>
    <w:rsid w:val="00B130FE"/>
    <w:rsid w:val="00B13389"/>
    <w:rsid w:val="00B13434"/>
    <w:rsid w:val="00B134FC"/>
    <w:rsid w:val="00B1351E"/>
    <w:rsid w:val="00B13538"/>
    <w:rsid w:val="00B136A2"/>
    <w:rsid w:val="00B137A8"/>
    <w:rsid w:val="00B139F0"/>
    <w:rsid w:val="00B13B98"/>
    <w:rsid w:val="00B13D3F"/>
    <w:rsid w:val="00B13DEF"/>
    <w:rsid w:val="00B13E4A"/>
    <w:rsid w:val="00B13E74"/>
    <w:rsid w:val="00B14176"/>
    <w:rsid w:val="00B144BD"/>
    <w:rsid w:val="00B144D8"/>
    <w:rsid w:val="00B14726"/>
    <w:rsid w:val="00B14799"/>
    <w:rsid w:val="00B14853"/>
    <w:rsid w:val="00B14A69"/>
    <w:rsid w:val="00B14D2C"/>
    <w:rsid w:val="00B14E65"/>
    <w:rsid w:val="00B14FA8"/>
    <w:rsid w:val="00B14FAC"/>
    <w:rsid w:val="00B15003"/>
    <w:rsid w:val="00B15142"/>
    <w:rsid w:val="00B15146"/>
    <w:rsid w:val="00B151D8"/>
    <w:rsid w:val="00B1520D"/>
    <w:rsid w:val="00B15276"/>
    <w:rsid w:val="00B152B9"/>
    <w:rsid w:val="00B152BB"/>
    <w:rsid w:val="00B15568"/>
    <w:rsid w:val="00B15588"/>
    <w:rsid w:val="00B155E2"/>
    <w:rsid w:val="00B15644"/>
    <w:rsid w:val="00B15821"/>
    <w:rsid w:val="00B159A1"/>
    <w:rsid w:val="00B15ABF"/>
    <w:rsid w:val="00B15B18"/>
    <w:rsid w:val="00B15DA9"/>
    <w:rsid w:val="00B15EDD"/>
    <w:rsid w:val="00B15EED"/>
    <w:rsid w:val="00B161D1"/>
    <w:rsid w:val="00B16263"/>
    <w:rsid w:val="00B16A7D"/>
    <w:rsid w:val="00B16DC5"/>
    <w:rsid w:val="00B16FC9"/>
    <w:rsid w:val="00B17027"/>
    <w:rsid w:val="00B17241"/>
    <w:rsid w:val="00B172D2"/>
    <w:rsid w:val="00B17546"/>
    <w:rsid w:val="00B1769B"/>
    <w:rsid w:val="00B17E0F"/>
    <w:rsid w:val="00B200C3"/>
    <w:rsid w:val="00B202D1"/>
    <w:rsid w:val="00B204F2"/>
    <w:rsid w:val="00B2090A"/>
    <w:rsid w:val="00B2090E"/>
    <w:rsid w:val="00B209D2"/>
    <w:rsid w:val="00B20C15"/>
    <w:rsid w:val="00B20C56"/>
    <w:rsid w:val="00B20DDA"/>
    <w:rsid w:val="00B2105C"/>
    <w:rsid w:val="00B21084"/>
    <w:rsid w:val="00B21567"/>
    <w:rsid w:val="00B218E5"/>
    <w:rsid w:val="00B219C2"/>
    <w:rsid w:val="00B21BC6"/>
    <w:rsid w:val="00B21BE7"/>
    <w:rsid w:val="00B21D26"/>
    <w:rsid w:val="00B21E6A"/>
    <w:rsid w:val="00B21F32"/>
    <w:rsid w:val="00B21F92"/>
    <w:rsid w:val="00B21FC4"/>
    <w:rsid w:val="00B220B0"/>
    <w:rsid w:val="00B22677"/>
    <w:rsid w:val="00B228EA"/>
    <w:rsid w:val="00B22C2B"/>
    <w:rsid w:val="00B22D39"/>
    <w:rsid w:val="00B22D61"/>
    <w:rsid w:val="00B22E84"/>
    <w:rsid w:val="00B2300E"/>
    <w:rsid w:val="00B2310F"/>
    <w:rsid w:val="00B232B9"/>
    <w:rsid w:val="00B23347"/>
    <w:rsid w:val="00B2341B"/>
    <w:rsid w:val="00B237F7"/>
    <w:rsid w:val="00B23A57"/>
    <w:rsid w:val="00B23F6B"/>
    <w:rsid w:val="00B2488D"/>
    <w:rsid w:val="00B24A80"/>
    <w:rsid w:val="00B24AFC"/>
    <w:rsid w:val="00B24C6D"/>
    <w:rsid w:val="00B24CB3"/>
    <w:rsid w:val="00B2505C"/>
    <w:rsid w:val="00B2521F"/>
    <w:rsid w:val="00B255F5"/>
    <w:rsid w:val="00B2571F"/>
    <w:rsid w:val="00B25858"/>
    <w:rsid w:val="00B2588E"/>
    <w:rsid w:val="00B25E1D"/>
    <w:rsid w:val="00B25FEF"/>
    <w:rsid w:val="00B2604E"/>
    <w:rsid w:val="00B2658E"/>
    <w:rsid w:val="00B26723"/>
    <w:rsid w:val="00B26821"/>
    <w:rsid w:val="00B268D1"/>
    <w:rsid w:val="00B26986"/>
    <w:rsid w:val="00B26C94"/>
    <w:rsid w:val="00B26C97"/>
    <w:rsid w:val="00B26D34"/>
    <w:rsid w:val="00B26DEA"/>
    <w:rsid w:val="00B26E66"/>
    <w:rsid w:val="00B26F0A"/>
    <w:rsid w:val="00B26F3D"/>
    <w:rsid w:val="00B2751C"/>
    <w:rsid w:val="00B27719"/>
    <w:rsid w:val="00B277F5"/>
    <w:rsid w:val="00B278DC"/>
    <w:rsid w:val="00B27C70"/>
    <w:rsid w:val="00B27DD5"/>
    <w:rsid w:val="00B27EE3"/>
    <w:rsid w:val="00B302C4"/>
    <w:rsid w:val="00B30397"/>
    <w:rsid w:val="00B30644"/>
    <w:rsid w:val="00B30649"/>
    <w:rsid w:val="00B30A08"/>
    <w:rsid w:val="00B30DBA"/>
    <w:rsid w:val="00B30F35"/>
    <w:rsid w:val="00B30FD3"/>
    <w:rsid w:val="00B31133"/>
    <w:rsid w:val="00B31245"/>
    <w:rsid w:val="00B31376"/>
    <w:rsid w:val="00B317E6"/>
    <w:rsid w:val="00B319DA"/>
    <w:rsid w:val="00B31EF9"/>
    <w:rsid w:val="00B32446"/>
    <w:rsid w:val="00B324FD"/>
    <w:rsid w:val="00B3262B"/>
    <w:rsid w:val="00B3283A"/>
    <w:rsid w:val="00B32868"/>
    <w:rsid w:val="00B328C0"/>
    <w:rsid w:val="00B32A0B"/>
    <w:rsid w:val="00B32AAB"/>
    <w:rsid w:val="00B32D3C"/>
    <w:rsid w:val="00B33265"/>
    <w:rsid w:val="00B3327D"/>
    <w:rsid w:val="00B33282"/>
    <w:rsid w:val="00B334F9"/>
    <w:rsid w:val="00B33AA5"/>
    <w:rsid w:val="00B33E86"/>
    <w:rsid w:val="00B33F70"/>
    <w:rsid w:val="00B33FE1"/>
    <w:rsid w:val="00B3466D"/>
    <w:rsid w:val="00B34924"/>
    <w:rsid w:val="00B349D2"/>
    <w:rsid w:val="00B34B88"/>
    <w:rsid w:val="00B34CA4"/>
    <w:rsid w:val="00B34CB9"/>
    <w:rsid w:val="00B3503A"/>
    <w:rsid w:val="00B35167"/>
    <w:rsid w:val="00B3529F"/>
    <w:rsid w:val="00B355B2"/>
    <w:rsid w:val="00B35767"/>
    <w:rsid w:val="00B357C9"/>
    <w:rsid w:val="00B35D9C"/>
    <w:rsid w:val="00B35ED6"/>
    <w:rsid w:val="00B360A8"/>
    <w:rsid w:val="00B36233"/>
    <w:rsid w:val="00B36387"/>
    <w:rsid w:val="00B363B1"/>
    <w:rsid w:val="00B3640C"/>
    <w:rsid w:val="00B36640"/>
    <w:rsid w:val="00B3687C"/>
    <w:rsid w:val="00B3698B"/>
    <w:rsid w:val="00B369C9"/>
    <w:rsid w:val="00B36A48"/>
    <w:rsid w:val="00B36C04"/>
    <w:rsid w:val="00B36C08"/>
    <w:rsid w:val="00B36D4D"/>
    <w:rsid w:val="00B370D6"/>
    <w:rsid w:val="00B372EE"/>
    <w:rsid w:val="00B37451"/>
    <w:rsid w:val="00B3769E"/>
    <w:rsid w:val="00B378DE"/>
    <w:rsid w:val="00B37913"/>
    <w:rsid w:val="00B37926"/>
    <w:rsid w:val="00B37A89"/>
    <w:rsid w:val="00B37B3F"/>
    <w:rsid w:val="00B37B55"/>
    <w:rsid w:val="00B37CCC"/>
    <w:rsid w:val="00B37EB3"/>
    <w:rsid w:val="00B37F7E"/>
    <w:rsid w:val="00B400B0"/>
    <w:rsid w:val="00B40184"/>
    <w:rsid w:val="00B4027A"/>
    <w:rsid w:val="00B403DE"/>
    <w:rsid w:val="00B40449"/>
    <w:rsid w:val="00B40473"/>
    <w:rsid w:val="00B406C4"/>
    <w:rsid w:val="00B40A3D"/>
    <w:rsid w:val="00B40A76"/>
    <w:rsid w:val="00B40D1F"/>
    <w:rsid w:val="00B4102A"/>
    <w:rsid w:val="00B41108"/>
    <w:rsid w:val="00B41402"/>
    <w:rsid w:val="00B4151A"/>
    <w:rsid w:val="00B41709"/>
    <w:rsid w:val="00B4178C"/>
    <w:rsid w:val="00B41C82"/>
    <w:rsid w:val="00B41D4B"/>
    <w:rsid w:val="00B41E87"/>
    <w:rsid w:val="00B41F00"/>
    <w:rsid w:val="00B42009"/>
    <w:rsid w:val="00B420BB"/>
    <w:rsid w:val="00B421C0"/>
    <w:rsid w:val="00B425DD"/>
    <w:rsid w:val="00B425FF"/>
    <w:rsid w:val="00B426A5"/>
    <w:rsid w:val="00B426B6"/>
    <w:rsid w:val="00B42774"/>
    <w:rsid w:val="00B42B59"/>
    <w:rsid w:val="00B42C57"/>
    <w:rsid w:val="00B42E8B"/>
    <w:rsid w:val="00B42F56"/>
    <w:rsid w:val="00B433BD"/>
    <w:rsid w:val="00B4354B"/>
    <w:rsid w:val="00B435EB"/>
    <w:rsid w:val="00B4361E"/>
    <w:rsid w:val="00B43635"/>
    <w:rsid w:val="00B43736"/>
    <w:rsid w:val="00B437D0"/>
    <w:rsid w:val="00B43EE0"/>
    <w:rsid w:val="00B43F1B"/>
    <w:rsid w:val="00B44131"/>
    <w:rsid w:val="00B44298"/>
    <w:rsid w:val="00B444EA"/>
    <w:rsid w:val="00B445A6"/>
    <w:rsid w:val="00B44954"/>
    <w:rsid w:val="00B44AB7"/>
    <w:rsid w:val="00B44B5C"/>
    <w:rsid w:val="00B44BEF"/>
    <w:rsid w:val="00B44C3A"/>
    <w:rsid w:val="00B44D8B"/>
    <w:rsid w:val="00B4512C"/>
    <w:rsid w:val="00B45353"/>
    <w:rsid w:val="00B45435"/>
    <w:rsid w:val="00B454E5"/>
    <w:rsid w:val="00B4556A"/>
    <w:rsid w:val="00B455E7"/>
    <w:rsid w:val="00B45808"/>
    <w:rsid w:val="00B459D6"/>
    <w:rsid w:val="00B45B4C"/>
    <w:rsid w:val="00B45CBA"/>
    <w:rsid w:val="00B45D77"/>
    <w:rsid w:val="00B45E86"/>
    <w:rsid w:val="00B45ECC"/>
    <w:rsid w:val="00B45FA4"/>
    <w:rsid w:val="00B46091"/>
    <w:rsid w:val="00B463D3"/>
    <w:rsid w:val="00B4671D"/>
    <w:rsid w:val="00B4673C"/>
    <w:rsid w:val="00B469BE"/>
    <w:rsid w:val="00B46D6A"/>
    <w:rsid w:val="00B46D7F"/>
    <w:rsid w:val="00B46EEA"/>
    <w:rsid w:val="00B46F7E"/>
    <w:rsid w:val="00B46FB9"/>
    <w:rsid w:val="00B471BB"/>
    <w:rsid w:val="00B471E5"/>
    <w:rsid w:val="00B473B0"/>
    <w:rsid w:val="00B47768"/>
    <w:rsid w:val="00B4785D"/>
    <w:rsid w:val="00B4790E"/>
    <w:rsid w:val="00B479B4"/>
    <w:rsid w:val="00B479B5"/>
    <w:rsid w:val="00B47A94"/>
    <w:rsid w:val="00B47A9E"/>
    <w:rsid w:val="00B47B76"/>
    <w:rsid w:val="00B47BF8"/>
    <w:rsid w:val="00B47C53"/>
    <w:rsid w:val="00B5016A"/>
    <w:rsid w:val="00B50910"/>
    <w:rsid w:val="00B50B18"/>
    <w:rsid w:val="00B50BC4"/>
    <w:rsid w:val="00B50EEA"/>
    <w:rsid w:val="00B51275"/>
    <w:rsid w:val="00B5135D"/>
    <w:rsid w:val="00B5136E"/>
    <w:rsid w:val="00B51648"/>
    <w:rsid w:val="00B51691"/>
    <w:rsid w:val="00B516B8"/>
    <w:rsid w:val="00B518F7"/>
    <w:rsid w:val="00B51986"/>
    <w:rsid w:val="00B51C9C"/>
    <w:rsid w:val="00B51CF8"/>
    <w:rsid w:val="00B51E8A"/>
    <w:rsid w:val="00B51F27"/>
    <w:rsid w:val="00B51F4C"/>
    <w:rsid w:val="00B52463"/>
    <w:rsid w:val="00B52495"/>
    <w:rsid w:val="00B524CD"/>
    <w:rsid w:val="00B524FC"/>
    <w:rsid w:val="00B5260D"/>
    <w:rsid w:val="00B526C0"/>
    <w:rsid w:val="00B5273D"/>
    <w:rsid w:val="00B5287C"/>
    <w:rsid w:val="00B52944"/>
    <w:rsid w:val="00B5299D"/>
    <w:rsid w:val="00B52AB9"/>
    <w:rsid w:val="00B52B2F"/>
    <w:rsid w:val="00B52B9D"/>
    <w:rsid w:val="00B52C70"/>
    <w:rsid w:val="00B52CC7"/>
    <w:rsid w:val="00B52D58"/>
    <w:rsid w:val="00B52DF1"/>
    <w:rsid w:val="00B52E24"/>
    <w:rsid w:val="00B52E47"/>
    <w:rsid w:val="00B52F65"/>
    <w:rsid w:val="00B534E6"/>
    <w:rsid w:val="00B5350C"/>
    <w:rsid w:val="00B535CD"/>
    <w:rsid w:val="00B535DD"/>
    <w:rsid w:val="00B53687"/>
    <w:rsid w:val="00B539F2"/>
    <w:rsid w:val="00B53A8A"/>
    <w:rsid w:val="00B53E39"/>
    <w:rsid w:val="00B540F8"/>
    <w:rsid w:val="00B5429F"/>
    <w:rsid w:val="00B543F5"/>
    <w:rsid w:val="00B54429"/>
    <w:rsid w:val="00B5451C"/>
    <w:rsid w:val="00B54665"/>
    <w:rsid w:val="00B54A12"/>
    <w:rsid w:val="00B54B3C"/>
    <w:rsid w:val="00B54C5D"/>
    <w:rsid w:val="00B54CD4"/>
    <w:rsid w:val="00B54D22"/>
    <w:rsid w:val="00B54DB3"/>
    <w:rsid w:val="00B54F98"/>
    <w:rsid w:val="00B5527A"/>
    <w:rsid w:val="00B55408"/>
    <w:rsid w:val="00B554A7"/>
    <w:rsid w:val="00B554F5"/>
    <w:rsid w:val="00B55562"/>
    <w:rsid w:val="00B557D7"/>
    <w:rsid w:val="00B55BCA"/>
    <w:rsid w:val="00B55DBA"/>
    <w:rsid w:val="00B55E4F"/>
    <w:rsid w:val="00B55EE8"/>
    <w:rsid w:val="00B55F6C"/>
    <w:rsid w:val="00B55FD1"/>
    <w:rsid w:val="00B56082"/>
    <w:rsid w:val="00B56431"/>
    <w:rsid w:val="00B56600"/>
    <w:rsid w:val="00B56643"/>
    <w:rsid w:val="00B567B2"/>
    <w:rsid w:val="00B56A11"/>
    <w:rsid w:val="00B56A83"/>
    <w:rsid w:val="00B56C51"/>
    <w:rsid w:val="00B56D54"/>
    <w:rsid w:val="00B56E7D"/>
    <w:rsid w:val="00B57150"/>
    <w:rsid w:val="00B571CD"/>
    <w:rsid w:val="00B57286"/>
    <w:rsid w:val="00B5781E"/>
    <w:rsid w:val="00B578B4"/>
    <w:rsid w:val="00B57BEA"/>
    <w:rsid w:val="00B57D5F"/>
    <w:rsid w:val="00B57F4C"/>
    <w:rsid w:val="00B604F2"/>
    <w:rsid w:val="00B60562"/>
    <w:rsid w:val="00B60717"/>
    <w:rsid w:val="00B60B6E"/>
    <w:rsid w:val="00B60BB1"/>
    <w:rsid w:val="00B60C9E"/>
    <w:rsid w:val="00B60D72"/>
    <w:rsid w:val="00B611A3"/>
    <w:rsid w:val="00B612D4"/>
    <w:rsid w:val="00B615AE"/>
    <w:rsid w:val="00B61A2C"/>
    <w:rsid w:val="00B61C1B"/>
    <w:rsid w:val="00B61E2B"/>
    <w:rsid w:val="00B61E8A"/>
    <w:rsid w:val="00B61F0E"/>
    <w:rsid w:val="00B61F3F"/>
    <w:rsid w:val="00B61F65"/>
    <w:rsid w:val="00B621DF"/>
    <w:rsid w:val="00B62769"/>
    <w:rsid w:val="00B628EB"/>
    <w:rsid w:val="00B6297E"/>
    <w:rsid w:val="00B62BBC"/>
    <w:rsid w:val="00B62EEA"/>
    <w:rsid w:val="00B62F8E"/>
    <w:rsid w:val="00B631B5"/>
    <w:rsid w:val="00B631D0"/>
    <w:rsid w:val="00B63705"/>
    <w:rsid w:val="00B63A0B"/>
    <w:rsid w:val="00B63C2B"/>
    <w:rsid w:val="00B63C35"/>
    <w:rsid w:val="00B63DCA"/>
    <w:rsid w:val="00B6412B"/>
    <w:rsid w:val="00B64169"/>
    <w:rsid w:val="00B641CE"/>
    <w:rsid w:val="00B646BF"/>
    <w:rsid w:val="00B64712"/>
    <w:rsid w:val="00B64AAC"/>
    <w:rsid w:val="00B64B2A"/>
    <w:rsid w:val="00B64C77"/>
    <w:rsid w:val="00B64CC8"/>
    <w:rsid w:val="00B64D26"/>
    <w:rsid w:val="00B64D9B"/>
    <w:rsid w:val="00B64F8A"/>
    <w:rsid w:val="00B6504F"/>
    <w:rsid w:val="00B650D4"/>
    <w:rsid w:val="00B65261"/>
    <w:rsid w:val="00B65276"/>
    <w:rsid w:val="00B653EA"/>
    <w:rsid w:val="00B6547A"/>
    <w:rsid w:val="00B6559A"/>
    <w:rsid w:val="00B6571A"/>
    <w:rsid w:val="00B6573F"/>
    <w:rsid w:val="00B658D0"/>
    <w:rsid w:val="00B6591D"/>
    <w:rsid w:val="00B65937"/>
    <w:rsid w:val="00B65A39"/>
    <w:rsid w:val="00B65AAF"/>
    <w:rsid w:val="00B65CE5"/>
    <w:rsid w:val="00B65F07"/>
    <w:rsid w:val="00B65F72"/>
    <w:rsid w:val="00B662B9"/>
    <w:rsid w:val="00B66537"/>
    <w:rsid w:val="00B66653"/>
    <w:rsid w:val="00B66860"/>
    <w:rsid w:val="00B66922"/>
    <w:rsid w:val="00B66A4E"/>
    <w:rsid w:val="00B66AB4"/>
    <w:rsid w:val="00B66C14"/>
    <w:rsid w:val="00B66C87"/>
    <w:rsid w:val="00B66CEF"/>
    <w:rsid w:val="00B66D22"/>
    <w:rsid w:val="00B66EC1"/>
    <w:rsid w:val="00B6727E"/>
    <w:rsid w:val="00B6765E"/>
    <w:rsid w:val="00B67744"/>
    <w:rsid w:val="00B67B38"/>
    <w:rsid w:val="00B67B87"/>
    <w:rsid w:val="00B67BB3"/>
    <w:rsid w:val="00B67D25"/>
    <w:rsid w:val="00B67FA3"/>
    <w:rsid w:val="00B7009C"/>
    <w:rsid w:val="00B70420"/>
    <w:rsid w:val="00B706B5"/>
    <w:rsid w:val="00B70AD6"/>
    <w:rsid w:val="00B70CA5"/>
    <w:rsid w:val="00B70CB2"/>
    <w:rsid w:val="00B71411"/>
    <w:rsid w:val="00B71603"/>
    <w:rsid w:val="00B71652"/>
    <w:rsid w:val="00B719E9"/>
    <w:rsid w:val="00B71A9E"/>
    <w:rsid w:val="00B71B07"/>
    <w:rsid w:val="00B71E13"/>
    <w:rsid w:val="00B72012"/>
    <w:rsid w:val="00B7227A"/>
    <w:rsid w:val="00B724DB"/>
    <w:rsid w:val="00B72727"/>
    <w:rsid w:val="00B7274C"/>
    <w:rsid w:val="00B72836"/>
    <w:rsid w:val="00B72AEC"/>
    <w:rsid w:val="00B72B6A"/>
    <w:rsid w:val="00B72C8F"/>
    <w:rsid w:val="00B72F0C"/>
    <w:rsid w:val="00B72F27"/>
    <w:rsid w:val="00B7302A"/>
    <w:rsid w:val="00B732EA"/>
    <w:rsid w:val="00B73302"/>
    <w:rsid w:val="00B7333A"/>
    <w:rsid w:val="00B7360D"/>
    <w:rsid w:val="00B73628"/>
    <w:rsid w:val="00B73A36"/>
    <w:rsid w:val="00B73AE8"/>
    <w:rsid w:val="00B73B17"/>
    <w:rsid w:val="00B73B30"/>
    <w:rsid w:val="00B73B77"/>
    <w:rsid w:val="00B73D57"/>
    <w:rsid w:val="00B73ED9"/>
    <w:rsid w:val="00B73F86"/>
    <w:rsid w:val="00B74386"/>
    <w:rsid w:val="00B745FC"/>
    <w:rsid w:val="00B747B3"/>
    <w:rsid w:val="00B748AF"/>
    <w:rsid w:val="00B74BA8"/>
    <w:rsid w:val="00B74BA9"/>
    <w:rsid w:val="00B74DF9"/>
    <w:rsid w:val="00B74F2B"/>
    <w:rsid w:val="00B750FD"/>
    <w:rsid w:val="00B75892"/>
    <w:rsid w:val="00B75954"/>
    <w:rsid w:val="00B75B05"/>
    <w:rsid w:val="00B76128"/>
    <w:rsid w:val="00B7623B"/>
    <w:rsid w:val="00B76820"/>
    <w:rsid w:val="00B768A8"/>
    <w:rsid w:val="00B76904"/>
    <w:rsid w:val="00B76B34"/>
    <w:rsid w:val="00B7700B"/>
    <w:rsid w:val="00B77117"/>
    <w:rsid w:val="00B77151"/>
    <w:rsid w:val="00B7729B"/>
    <w:rsid w:val="00B773B4"/>
    <w:rsid w:val="00B77463"/>
    <w:rsid w:val="00B774EF"/>
    <w:rsid w:val="00B77560"/>
    <w:rsid w:val="00B77666"/>
    <w:rsid w:val="00B77A11"/>
    <w:rsid w:val="00B77A13"/>
    <w:rsid w:val="00B77A94"/>
    <w:rsid w:val="00B77B37"/>
    <w:rsid w:val="00B77C23"/>
    <w:rsid w:val="00B77C38"/>
    <w:rsid w:val="00B77DED"/>
    <w:rsid w:val="00B800DC"/>
    <w:rsid w:val="00B80261"/>
    <w:rsid w:val="00B8045D"/>
    <w:rsid w:val="00B8069C"/>
    <w:rsid w:val="00B80818"/>
    <w:rsid w:val="00B808B8"/>
    <w:rsid w:val="00B808BC"/>
    <w:rsid w:val="00B8091E"/>
    <w:rsid w:val="00B80A20"/>
    <w:rsid w:val="00B80A21"/>
    <w:rsid w:val="00B80CDF"/>
    <w:rsid w:val="00B80F5C"/>
    <w:rsid w:val="00B80FAE"/>
    <w:rsid w:val="00B81344"/>
    <w:rsid w:val="00B81371"/>
    <w:rsid w:val="00B81397"/>
    <w:rsid w:val="00B81745"/>
    <w:rsid w:val="00B81767"/>
    <w:rsid w:val="00B818F7"/>
    <w:rsid w:val="00B81B7E"/>
    <w:rsid w:val="00B81C2B"/>
    <w:rsid w:val="00B81CD7"/>
    <w:rsid w:val="00B81CE1"/>
    <w:rsid w:val="00B81DE0"/>
    <w:rsid w:val="00B81EBA"/>
    <w:rsid w:val="00B8209D"/>
    <w:rsid w:val="00B82823"/>
    <w:rsid w:val="00B8287A"/>
    <w:rsid w:val="00B82B2C"/>
    <w:rsid w:val="00B82BC2"/>
    <w:rsid w:val="00B82CE5"/>
    <w:rsid w:val="00B82E17"/>
    <w:rsid w:val="00B82E91"/>
    <w:rsid w:val="00B82F46"/>
    <w:rsid w:val="00B8333F"/>
    <w:rsid w:val="00B8340C"/>
    <w:rsid w:val="00B835B1"/>
    <w:rsid w:val="00B83B09"/>
    <w:rsid w:val="00B83DED"/>
    <w:rsid w:val="00B83EBC"/>
    <w:rsid w:val="00B83EEA"/>
    <w:rsid w:val="00B84133"/>
    <w:rsid w:val="00B8427E"/>
    <w:rsid w:val="00B8440F"/>
    <w:rsid w:val="00B84456"/>
    <w:rsid w:val="00B84840"/>
    <w:rsid w:val="00B84868"/>
    <w:rsid w:val="00B848E5"/>
    <w:rsid w:val="00B84A3F"/>
    <w:rsid w:val="00B84A9E"/>
    <w:rsid w:val="00B84EE5"/>
    <w:rsid w:val="00B84F18"/>
    <w:rsid w:val="00B851E5"/>
    <w:rsid w:val="00B85259"/>
    <w:rsid w:val="00B852C2"/>
    <w:rsid w:val="00B853D9"/>
    <w:rsid w:val="00B857CA"/>
    <w:rsid w:val="00B857EF"/>
    <w:rsid w:val="00B85A3D"/>
    <w:rsid w:val="00B85FDD"/>
    <w:rsid w:val="00B862CC"/>
    <w:rsid w:val="00B8635B"/>
    <w:rsid w:val="00B86AF8"/>
    <w:rsid w:val="00B86CEF"/>
    <w:rsid w:val="00B870B3"/>
    <w:rsid w:val="00B870D2"/>
    <w:rsid w:val="00B870D6"/>
    <w:rsid w:val="00B8731C"/>
    <w:rsid w:val="00B874CB"/>
    <w:rsid w:val="00B877DB"/>
    <w:rsid w:val="00B878E4"/>
    <w:rsid w:val="00B87915"/>
    <w:rsid w:val="00B87C2A"/>
    <w:rsid w:val="00B87CA3"/>
    <w:rsid w:val="00B87F3A"/>
    <w:rsid w:val="00B90116"/>
    <w:rsid w:val="00B9017F"/>
    <w:rsid w:val="00B90437"/>
    <w:rsid w:val="00B9056B"/>
    <w:rsid w:val="00B9095D"/>
    <w:rsid w:val="00B90A37"/>
    <w:rsid w:val="00B90A48"/>
    <w:rsid w:val="00B90AAB"/>
    <w:rsid w:val="00B90ADE"/>
    <w:rsid w:val="00B90AEF"/>
    <w:rsid w:val="00B90B66"/>
    <w:rsid w:val="00B90B96"/>
    <w:rsid w:val="00B90DDE"/>
    <w:rsid w:val="00B90F26"/>
    <w:rsid w:val="00B910A4"/>
    <w:rsid w:val="00B91480"/>
    <w:rsid w:val="00B915E9"/>
    <w:rsid w:val="00B9174B"/>
    <w:rsid w:val="00B91772"/>
    <w:rsid w:val="00B917AC"/>
    <w:rsid w:val="00B917D3"/>
    <w:rsid w:val="00B9191C"/>
    <w:rsid w:val="00B91BA1"/>
    <w:rsid w:val="00B91BB8"/>
    <w:rsid w:val="00B92150"/>
    <w:rsid w:val="00B9249C"/>
    <w:rsid w:val="00B924D2"/>
    <w:rsid w:val="00B929E4"/>
    <w:rsid w:val="00B929F5"/>
    <w:rsid w:val="00B92AEA"/>
    <w:rsid w:val="00B92C96"/>
    <w:rsid w:val="00B9314A"/>
    <w:rsid w:val="00B931E4"/>
    <w:rsid w:val="00B933D4"/>
    <w:rsid w:val="00B93472"/>
    <w:rsid w:val="00B9354F"/>
    <w:rsid w:val="00B935B9"/>
    <w:rsid w:val="00B936A2"/>
    <w:rsid w:val="00B93A99"/>
    <w:rsid w:val="00B93C2D"/>
    <w:rsid w:val="00B93F4D"/>
    <w:rsid w:val="00B9424D"/>
    <w:rsid w:val="00B9494A"/>
    <w:rsid w:val="00B9497C"/>
    <w:rsid w:val="00B94A8D"/>
    <w:rsid w:val="00B94D84"/>
    <w:rsid w:val="00B94EC3"/>
    <w:rsid w:val="00B95212"/>
    <w:rsid w:val="00B952BC"/>
    <w:rsid w:val="00B95579"/>
    <w:rsid w:val="00B9565C"/>
    <w:rsid w:val="00B956E4"/>
    <w:rsid w:val="00B95869"/>
    <w:rsid w:val="00B958EB"/>
    <w:rsid w:val="00B9591B"/>
    <w:rsid w:val="00B9593A"/>
    <w:rsid w:val="00B95A9F"/>
    <w:rsid w:val="00B95B0A"/>
    <w:rsid w:val="00B95EA5"/>
    <w:rsid w:val="00B96049"/>
    <w:rsid w:val="00B960A6"/>
    <w:rsid w:val="00B961D8"/>
    <w:rsid w:val="00B961DA"/>
    <w:rsid w:val="00B96750"/>
    <w:rsid w:val="00B96868"/>
    <w:rsid w:val="00B96933"/>
    <w:rsid w:val="00B96C5F"/>
    <w:rsid w:val="00B96EA7"/>
    <w:rsid w:val="00B96F68"/>
    <w:rsid w:val="00B970D3"/>
    <w:rsid w:val="00B971D8"/>
    <w:rsid w:val="00B9749B"/>
    <w:rsid w:val="00B9774D"/>
    <w:rsid w:val="00B979C5"/>
    <w:rsid w:val="00B97A32"/>
    <w:rsid w:val="00BA005E"/>
    <w:rsid w:val="00BA01C8"/>
    <w:rsid w:val="00BA0380"/>
    <w:rsid w:val="00BA09E6"/>
    <w:rsid w:val="00BA0BA8"/>
    <w:rsid w:val="00BA0BD2"/>
    <w:rsid w:val="00BA0C4F"/>
    <w:rsid w:val="00BA0CDE"/>
    <w:rsid w:val="00BA0D4C"/>
    <w:rsid w:val="00BA0F73"/>
    <w:rsid w:val="00BA1176"/>
    <w:rsid w:val="00BA11F0"/>
    <w:rsid w:val="00BA1331"/>
    <w:rsid w:val="00BA15D5"/>
    <w:rsid w:val="00BA185B"/>
    <w:rsid w:val="00BA1A09"/>
    <w:rsid w:val="00BA1A82"/>
    <w:rsid w:val="00BA1B92"/>
    <w:rsid w:val="00BA1C8F"/>
    <w:rsid w:val="00BA1D8D"/>
    <w:rsid w:val="00BA1E31"/>
    <w:rsid w:val="00BA1E35"/>
    <w:rsid w:val="00BA1E5A"/>
    <w:rsid w:val="00BA1ECA"/>
    <w:rsid w:val="00BA2295"/>
    <w:rsid w:val="00BA238E"/>
    <w:rsid w:val="00BA2687"/>
    <w:rsid w:val="00BA287C"/>
    <w:rsid w:val="00BA2BB0"/>
    <w:rsid w:val="00BA305D"/>
    <w:rsid w:val="00BA30C4"/>
    <w:rsid w:val="00BA34FC"/>
    <w:rsid w:val="00BA3521"/>
    <w:rsid w:val="00BA357D"/>
    <w:rsid w:val="00BA374D"/>
    <w:rsid w:val="00BA376A"/>
    <w:rsid w:val="00BA3861"/>
    <w:rsid w:val="00BA39A1"/>
    <w:rsid w:val="00BA3A29"/>
    <w:rsid w:val="00BA3CC5"/>
    <w:rsid w:val="00BA4139"/>
    <w:rsid w:val="00BA426E"/>
    <w:rsid w:val="00BA4563"/>
    <w:rsid w:val="00BA4A53"/>
    <w:rsid w:val="00BA4A5C"/>
    <w:rsid w:val="00BA4BA2"/>
    <w:rsid w:val="00BA4CC5"/>
    <w:rsid w:val="00BA4E56"/>
    <w:rsid w:val="00BA55B7"/>
    <w:rsid w:val="00BA56B6"/>
    <w:rsid w:val="00BA5776"/>
    <w:rsid w:val="00BA578E"/>
    <w:rsid w:val="00BA57F7"/>
    <w:rsid w:val="00BA59A7"/>
    <w:rsid w:val="00BA5A82"/>
    <w:rsid w:val="00BA5B23"/>
    <w:rsid w:val="00BA5E31"/>
    <w:rsid w:val="00BA5E46"/>
    <w:rsid w:val="00BA5EC2"/>
    <w:rsid w:val="00BA6042"/>
    <w:rsid w:val="00BA642A"/>
    <w:rsid w:val="00BA64BB"/>
    <w:rsid w:val="00BA64EE"/>
    <w:rsid w:val="00BA657B"/>
    <w:rsid w:val="00BA679B"/>
    <w:rsid w:val="00BA6880"/>
    <w:rsid w:val="00BA6AA1"/>
    <w:rsid w:val="00BA6AD3"/>
    <w:rsid w:val="00BA6B75"/>
    <w:rsid w:val="00BA6BC8"/>
    <w:rsid w:val="00BA6D11"/>
    <w:rsid w:val="00BA70C7"/>
    <w:rsid w:val="00BA711F"/>
    <w:rsid w:val="00BA7337"/>
    <w:rsid w:val="00BA7385"/>
    <w:rsid w:val="00BA73EF"/>
    <w:rsid w:val="00BA74A9"/>
    <w:rsid w:val="00BA7780"/>
    <w:rsid w:val="00BA778C"/>
    <w:rsid w:val="00BA7C13"/>
    <w:rsid w:val="00BA7E14"/>
    <w:rsid w:val="00BA7F2E"/>
    <w:rsid w:val="00BB0110"/>
    <w:rsid w:val="00BB0135"/>
    <w:rsid w:val="00BB0190"/>
    <w:rsid w:val="00BB0262"/>
    <w:rsid w:val="00BB04D4"/>
    <w:rsid w:val="00BB050B"/>
    <w:rsid w:val="00BB054E"/>
    <w:rsid w:val="00BB06BC"/>
    <w:rsid w:val="00BB0781"/>
    <w:rsid w:val="00BB0820"/>
    <w:rsid w:val="00BB0827"/>
    <w:rsid w:val="00BB0B95"/>
    <w:rsid w:val="00BB0DF6"/>
    <w:rsid w:val="00BB0FE4"/>
    <w:rsid w:val="00BB10A7"/>
    <w:rsid w:val="00BB125A"/>
    <w:rsid w:val="00BB13DB"/>
    <w:rsid w:val="00BB14D8"/>
    <w:rsid w:val="00BB18A3"/>
    <w:rsid w:val="00BB1922"/>
    <w:rsid w:val="00BB1AC5"/>
    <w:rsid w:val="00BB1E88"/>
    <w:rsid w:val="00BB1EC3"/>
    <w:rsid w:val="00BB20EE"/>
    <w:rsid w:val="00BB216D"/>
    <w:rsid w:val="00BB21D6"/>
    <w:rsid w:val="00BB226D"/>
    <w:rsid w:val="00BB2346"/>
    <w:rsid w:val="00BB24C1"/>
    <w:rsid w:val="00BB26D9"/>
    <w:rsid w:val="00BB2B11"/>
    <w:rsid w:val="00BB2C27"/>
    <w:rsid w:val="00BB3005"/>
    <w:rsid w:val="00BB339A"/>
    <w:rsid w:val="00BB359E"/>
    <w:rsid w:val="00BB365A"/>
    <w:rsid w:val="00BB366C"/>
    <w:rsid w:val="00BB3715"/>
    <w:rsid w:val="00BB3AFF"/>
    <w:rsid w:val="00BB3D05"/>
    <w:rsid w:val="00BB3D9B"/>
    <w:rsid w:val="00BB3ED4"/>
    <w:rsid w:val="00BB4065"/>
    <w:rsid w:val="00BB4450"/>
    <w:rsid w:val="00BB45E6"/>
    <w:rsid w:val="00BB46E0"/>
    <w:rsid w:val="00BB47B0"/>
    <w:rsid w:val="00BB49CA"/>
    <w:rsid w:val="00BB4A8A"/>
    <w:rsid w:val="00BB4B6A"/>
    <w:rsid w:val="00BB4C89"/>
    <w:rsid w:val="00BB4D8E"/>
    <w:rsid w:val="00BB5188"/>
    <w:rsid w:val="00BB53CD"/>
    <w:rsid w:val="00BB5436"/>
    <w:rsid w:val="00BB55C0"/>
    <w:rsid w:val="00BB55C1"/>
    <w:rsid w:val="00BB5651"/>
    <w:rsid w:val="00BB568E"/>
    <w:rsid w:val="00BB56B0"/>
    <w:rsid w:val="00BB594E"/>
    <w:rsid w:val="00BB5C6D"/>
    <w:rsid w:val="00BB5F16"/>
    <w:rsid w:val="00BB5F8E"/>
    <w:rsid w:val="00BB60CD"/>
    <w:rsid w:val="00BB61A6"/>
    <w:rsid w:val="00BB6788"/>
    <w:rsid w:val="00BB67C6"/>
    <w:rsid w:val="00BB69C8"/>
    <w:rsid w:val="00BB6AA5"/>
    <w:rsid w:val="00BB7141"/>
    <w:rsid w:val="00BB72E2"/>
    <w:rsid w:val="00BB73D0"/>
    <w:rsid w:val="00BB7557"/>
    <w:rsid w:val="00BB7776"/>
    <w:rsid w:val="00BB7872"/>
    <w:rsid w:val="00BB79FF"/>
    <w:rsid w:val="00BB7A4D"/>
    <w:rsid w:val="00BB7A8C"/>
    <w:rsid w:val="00BB7AA5"/>
    <w:rsid w:val="00BB7CCD"/>
    <w:rsid w:val="00BB7D40"/>
    <w:rsid w:val="00BB7D80"/>
    <w:rsid w:val="00BB7DEE"/>
    <w:rsid w:val="00BB7E41"/>
    <w:rsid w:val="00BB7EDC"/>
    <w:rsid w:val="00BC01B0"/>
    <w:rsid w:val="00BC04C7"/>
    <w:rsid w:val="00BC0833"/>
    <w:rsid w:val="00BC0853"/>
    <w:rsid w:val="00BC090D"/>
    <w:rsid w:val="00BC0AAC"/>
    <w:rsid w:val="00BC0BAB"/>
    <w:rsid w:val="00BC10AF"/>
    <w:rsid w:val="00BC150E"/>
    <w:rsid w:val="00BC1741"/>
    <w:rsid w:val="00BC174F"/>
    <w:rsid w:val="00BC18F2"/>
    <w:rsid w:val="00BC1D74"/>
    <w:rsid w:val="00BC1E26"/>
    <w:rsid w:val="00BC1F11"/>
    <w:rsid w:val="00BC1F59"/>
    <w:rsid w:val="00BC1F77"/>
    <w:rsid w:val="00BC217D"/>
    <w:rsid w:val="00BC24DC"/>
    <w:rsid w:val="00BC2688"/>
    <w:rsid w:val="00BC2813"/>
    <w:rsid w:val="00BC299C"/>
    <w:rsid w:val="00BC2A83"/>
    <w:rsid w:val="00BC2C1A"/>
    <w:rsid w:val="00BC2C29"/>
    <w:rsid w:val="00BC31A8"/>
    <w:rsid w:val="00BC3753"/>
    <w:rsid w:val="00BC39FA"/>
    <w:rsid w:val="00BC3FB2"/>
    <w:rsid w:val="00BC3FB3"/>
    <w:rsid w:val="00BC427A"/>
    <w:rsid w:val="00BC4285"/>
    <w:rsid w:val="00BC43C7"/>
    <w:rsid w:val="00BC44E0"/>
    <w:rsid w:val="00BC4564"/>
    <w:rsid w:val="00BC4583"/>
    <w:rsid w:val="00BC481E"/>
    <w:rsid w:val="00BC487A"/>
    <w:rsid w:val="00BC48CD"/>
    <w:rsid w:val="00BC4B0B"/>
    <w:rsid w:val="00BC4C73"/>
    <w:rsid w:val="00BC4D01"/>
    <w:rsid w:val="00BC4DE7"/>
    <w:rsid w:val="00BC4F80"/>
    <w:rsid w:val="00BC4F84"/>
    <w:rsid w:val="00BC4FCD"/>
    <w:rsid w:val="00BC50DB"/>
    <w:rsid w:val="00BC51A3"/>
    <w:rsid w:val="00BC5272"/>
    <w:rsid w:val="00BC5282"/>
    <w:rsid w:val="00BC52E1"/>
    <w:rsid w:val="00BC5321"/>
    <w:rsid w:val="00BC5442"/>
    <w:rsid w:val="00BC54D2"/>
    <w:rsid w:val="00BC5692"/>
    <w:rsid w:val="00BC5794"/>
    <w:rsid w:val="00BC60CD"/>
    <w:rsid w:val="00BC672F"/>
    <w:rsid w:val="00BC6743"/>
    <w:rsid w:val="00BC6AAF"/>
    <w:rsid w:val="00BC6AF9"/>
    <w:rsid w:val="00BC6BAA"/>
    <w:rsid w:val="00BC6E57"/>
    <w:rsid w:val="00BC6F80"/>
    <w:rsid w:val="00BC6FD4"/>
    <w:rsid w:val="00BC7082"/>
    <w:rsid w:val="00BC7106"/>
    <w:rsid w:val="00BC7177"/>
    <w:rsid w:val="00BC71A9"/>
    <w:rsid w:val="00BC71D7"/>
    <w:rsid w:val="00BC72D5"/>
    <w:rsid w:val="00BC7564"/>
    <w:rsid w:val="00BC78E8"/>
    <w:rsid w:val="00BC7942"/>
    <w:rsid w:val="00BC79F6"/>
    <w:rsid w:val="00BC7AEF"/>
    <w:rsid w:val="00BC7D0E"/>
    <w:rsid w:val="00BC7E58"/>
    <w:rsid w:val="00BD047F"/>
    <w:rsid w:val="00BD0697"/>
    <w:rsid w:val="00BD06DD"/>
    <w:rsid w:val="00BD0713"/>
    <w:rsid w:val="00BD084A"/>
    <w:rsid w:val="00BD0899"/>
    <w:rsid w:val="00BD0946"/>
    <w:rsid w:val="00BD0A27"/>
    <w:rsid w:val="00BD0BD7"/>
    <w:rsid w:val="00BD0D0B"/>
    <w:rsid w:val="00BD108E"/>
    <w:rsid w:val="00BD115B"/>
    <w:rsid w:val="00BD119F"/>
    <w:rsid w:val="00BD18EF"/>
    <w:rsid w:val="00BD1B05"/>
    <w:rsid w:val="00BD1E86"/>
    <w:rsid w:val="00BD1F39"/>
    <w:rsid w:val="00BD1F4F"/>
    <w:rsid w:val="00BD20E6"/>
    <w:rsid w:val="00BD25E8"/>
    <w:rsid w:val="00BD27E1"/>
    <w:rsid w:val="00BD27FC"/>
    <w:rsid w:val="00BD3015"/>
    <w:rsid w:val="00BD353E"/>
    <w:rsid w:val="00BD35D9"/>
    <w:rsid w:val="00BD35F4"/>
    <w:rsid w:val="00BD38EA"/>
    <w:rsid w:val="00BD39E6"/>
    <w:rsid w:val="00BD3A0B"/>
    <w:rsid w:val="00BD3A47"/>
    <w:rsid w:val="00BD3A81"/>
    <w:rsid w:val="00BD3D33"/>
    <w:rsid w:val="00BD3EA2"/>
    <w:rsid w:val="00BD4006"/>
    <w:rsid w:val="00BD4118"/>
    <w:rsid w:val="00BD42AF"/>
    <w:rsid w:val="00BD42D5"/>
    <w:rsid w:val="00BD43FC"/>
    <w:rsid w:val="00BD4621"/>
    <w:rsid w:val="00BD46FF"/>
    <w:rsid w:val="00BD4792"/>
    <w:rsid w:val="00BD49FA"/>
    <w:rsid w:val="00BD4A1E"/>
    <w:rsid w:val="00BD4AFF"/>
    <w:rsid w:val="00BD4B88"/>
    <w:rsid w:val="00BD4C9D"/>
    <w:rsid w:val="00BD4DF2"/>
    <w:rsid w:val="00BD4F34"/>
    <w:rsid w:val="00BD525C"/>
    <w:rsid w:val="00BD5696"/>
    <w:rsid w:val="00BD5774"/>
    <w:rsid w:val="00BD57C8"/>
    <w:rsid w:val="00BD595E"/>
    <w:rsid w:val="00BD5A47"/>
    <w:rsid w:val="00BD5B4B"/>
    <w:rsid w:val="00BD5B7B"/>
    <w:rsid w:val="00BD60CA"/>
    <w:rsid w:val="00BD6419"/>
    <w:rsid w:val="00BD64EF"/>
    <w:rsid w:val="00BD6988"/>
    <w:rsid w:val="00BD6C7C"/>
    <w:rsid w:val="00BD6F6D"/>
    <w:rsid w:val="00BD7332"/>
    <w:rsid w:val="00BD73B5"/>
    <w:rsid w:val="00BD747B"/>
    <w:rsid w:val="00BD7486"/>
    <w:rsid w:val="00BD767E"/>
    <w:rsid w:val="00BD7727"/>
    <w:rsid w:val="00BD788E"/>
    <w:rsid w:val="00BD7914"/>
    <w:rsid w:val="00BD7B26"/>
    <w:rsid w:val="00BD7BB9"/>
    <w:rsid w:val="00BD7E97"/>
    <w:rsid w:val="00BE02D2"/>
    <w:rsid w:val="00BE0372"/>
    <w:rsid w:val="00BE053A"/>
    <w:rsid w:val="00BE0809"/>
    <w:rsid w:val="00BE0AC8"/>
    <w:rsid w:val="00BE0C62"/>
    <w:rsid w:val="00BE0CE3"/>
    <w:rsid w:val="00BE0D19"/>
    <w:rsid w:val="00BE0EA5"/>
    <w:rsid w:val="00BE0F26"/>
    <w:rsid w:val="00BE0FC3"/>
    <w:rsid w:val="00BE105E"/>
    <w:rsid w:val="00BE1072"/>
    <w:rsid w:val="00BE1130"/>
    <w:rsid w:val="00BE1175"/>
    <w:rsid w:val="00BE11FF"/>
    <w:rsid w:val="00BE1377"/>
    <w:rsid w:val="00BE1610"/>
    <w:rsid w:val="00BE16D1"/>
    <w:rsid w:val="00BE1770"/>
    <w:rsid w:val="00BE1984"/>
    <w:rsid w:val="00BE1F82"/>
    <w:rsid w:val="00BE2012"/>
    <w:rsid w:val="00BE212F"/>
    <w:rsid w:val="00BE223F"/>
    <w:rsid w:val="00BE23C8"/>
    <w:rsid w:val="00BE260E"/>
    <w:rsid w:val="00BE29C6"/>
    <w:rsid w:val="00BE2C34"/>
    <w:rsid w:val="00BE2DE2"/>
    <w:rsid w:val="00BE3117"/>
    <w:rsid w:val="00BE3137"/>
    <w:rsid w:val="00BE3313"/>
    <w:rsid w:val="00BE3337"/>
    <w:rsid w:val="00BE3413"/>
    <w:rsid w:val="00BE343A"/>
    <w:rsid w:val="00BE3702"/>
    <w:rsid w:val="00BE3788"/>
    <w:rsid w:val="00BE37FC"/>
    <w:rsid w:val="00BE3A0A"/>
    <w:rsid w:val="00BE3CBC"/>
    <w:rsid w:val="00BE3CCE"/>
    <w:rsid w:val="00BE3EE9"/>
    <w:rsid w:val="00BE419A"/>
    <w:rsid w:val="00BE4287"/>
    <w:rsid w:val="00BE440F"/>
    <w:rsid w:val="00BE48D0"/>
    <w:rsid w:val="00BE499B"/>
    <w:rsid w:val="00BE49FA"/>
    <w:rsid w:val="00BE4D8B"/>
    <w:rsid w:val="00BE4E84"/>
    <w:rsid w:val="00BE4E89"/>
    <w:rsid w:val="00BE5632"/>
    <w:rsid w:val="00BE589B"/>
    <w:rsid w:val="00BE58A8"/>
    <w:rsid w:val="00BE5A4C"/>
    <w:rsid w:val="00BE5C80"/>
    <w:rsid w:val="00BE5ECA"/>
    <w:rsid w:val="00BE63DF"/>
    <w:rsid w:val="00BE64FC"/>
    <w:rsid w:val="00BE6845"/>
    <w:rsid w:val="00BE69FC"/>
    <w:rsid w:val="00BE6A4D"/>
    <w:rsid w:val="00BE6FA1"/>
    <w:rsid w:val="00BE7010"/>
    <w:rsid w:val="00BE7226"/>
    <w:rsid w:val="00BE733B"/>
    <w:rsid w:val="00BE73BC"/>
    <w:rsid w:val="00BE749B"/>
    <w:rsid w:val="00BE74FD"/>
    <w:rsid w:val="00BE7606"/>
    <w:rsid w:val="00BE7A56"/>
    <w:rsid w:val="00BE7B27"/>
    <w:rsid w:val="00BE7B5F"/>
    <w:rsid w:val="00BE7E48"/>
    <w:rsid w:val="00BF0563"/>
    <w:rsid w:val="00BF0584"/>
    <w:rsid w:val="00BF0780"/>
    <w:rsid w:val="00BF0787"/>
    <w:rsid w:val="00BF0937"/>
    <w:rsid w:val="00BF09C3"/>
    <w:rsid w:val="00BF0BE4"/>
    <w:rsid w:val="00BF0C9E"/>
    <w:rsid w:val="00BF0D0D"/>
    <w:rsid w:val="00BF0D5D"/>
    <w:rsid w:val="00BF0F60"/>
    <w:rsid w:val="00BF10C4"/>
    <w:rsid w:val="00BF10D4"/>
    <w:rsid w:val="00BF1197"/>
    <w:rsid w:val="00BF1493"/>
    <w:rsid w:val="00BF1864"/>
    <w:rsid w:val="00BF190D"/>
    <w:rsid w:val="00BF19C5"/>
    <w:rsid w:val="00BF19DE"/>
    <w:rsid w:val="00BF1C89"/>
    <w:rsid w:val="00BF1CB6"/>
    <w:rsid w:val="00BF1D89"/>
    <w:rsid w:val="00BF1D93"/>
    <w:rsid w:val="00BF1E8E"/>
    <w:rsid w:val="00BF1FC5"/>
    <w:rsid w:val="00BF2065"/>
    <w:rsid w:val="00BF2362"/>
    <w:rsid w:val="00BF2482"/>
    <w:rsid w:val="00BF2860"/>
    <w:rsid w:val="00BF2D54"/>
    <w:rsid w:val="00BF2FE8"/>
    <w:rsid w:val="00BF2FF9"/>
    <w:rsid w:val="00BF36D9"/>
    <w:rsid w:val="00BF375A"/>
    <w:rsid w:val="00BF38E2"/>
    <w:rsid w:val="00BF3E90"/>
    <w:rsid w:val="00BF3F1E"/>
    <w:rsid w:val="00BF404C"/>
    <w:rsid w:val="00BF43B4"/>
    <w:rsid w:val="00BF441D"/>
    <w:rsid w:val="00BF45A0"/>
    <w:rsid w:val="00BF45A6"/>
    <w:rsid w:val="00BF4602"/>
    <w:rsid w:val="00BF4665"/>
    <w:rsid w:val="00BF469F"/>
    <w:rsid w:val="00BF46F7"/>
    <w:rsid w:val="00BF4758"/>
    <w:rsid w:val="00BF486E"/>
    <w:rsid w:val="00BF492E"/>
    <w:rsid w:val="00BF499C"/>
    <w:rsid w:val="00BF4BD2"/>
    <w:rsid w:val="00BF4C28"/>
    <w:rsid w:val="00BF4F1A"/>
    <w:rsid w:val="00BF535A"/>
    <w:rsid w:val="00BF53B1"/>
    <w:rsid w:val="00BF54A3"/>
    <w:rsid w:val="00BF5792"/>
    <w:rsid w:val="00BF57AA"/>
    <w:rsid w:val="00BF58E6"/>
    <w:rsid w:val="00BF59E7"/>
    <w:rsid w:val="00BF5BCE"/>
    <w:rsid w:val="00BF5F50"/>
    <w:rsid w:val="00BF60BD"/>
    <w:rsid w:val="00BF6294"/>
    <w:rsid w:val="00BF6541"/>
    <w:rsid w:val="00BF6543"/>
    <w:rsid w:val="00BF6741"/>
    <w:rsid w:val="00BF68C9"/>
    <w:rsid w:val="00BF68E3"/>
    <w:rsid w:val="00BF6BBC"/>
    <w:rsid w:val="00BF6CF8"/>
    <w:rsid w:val="00BF6DC0"/>
    <w:rsid w:val="00BF6DDC"/>
    <w:rsid w:val="00BF6EF5"/>
    <w:rsid w:val="00BF72AD"/>
    <w:rsid w:val="00BF72F2"/>
    <w:rsid w:val="00BF75ED"/>
    <w:rsid w:val="00BF76A2"/>
    <w:rsid w:val="00BF788D"/>
    <w:rsid w:val="00BF7A7E"/>
    <w:rsid w:val="00BF7BE1"/>
    <w:rsid w:val="00BF7C85"/>
    <w:rsid w:val="00BF7CA6"/>
    <w:rsid w:val="00BF7CE2"/>
    <w:rsid w:val="00BF7D3B"/>
    <w:rsid w:val="00BF7D71"/>
    <w:rsid w:val="00BF7FC8"/>
    <w:rsid w:val="00C0028F"/>
    <w:rsid w:val="00C00347"/>
    <w:rsid w:val="00C00364"/>
    <w:rsid w:val="00C004E5"/>
    <w:rsid w:val="00C008B5"/>
    <w:rsid w:val="00C009C6"/>
    <w:rsid w:val="00C00D73"/>
    <w:rsid w:val="00C00E24"/>
    <w:rsid w:val="00C00E9C"/>
    <w:rsid w:val="00C015D6"/>
    <w:rsid w:val="00C01602"/>
    <w:rsid w:val="00C01716"/>
    <w:rsid w:val="00C01F28"/>
    <w:rsid w:val="00C0202C"/>
    <w:rsid w:val="00C02077"/>
    <w:rsid w:val="00C0239E"/>
    <w:rsid w:val="00C0276D"/>
    <w:rsid w:val="00C029A5"/>
    <w:rsid w:val="00C02A4E"/>
    <w:rsid w:val="00C02D00"/>
    <w:rsid w:val="00C02DD8"/>
    <w:rsid w:val="00C02F14"/>
    <w:rsid w:val="00C033C3"/>
    <w:rsid w:val="00C0366E"/>
    <w:rsid w:val="00C036C9"/>
    <w:rsid w:val="00C03809"/>
    <w:rsid w:val="00C03AEE"/>
    <w:rsid w:val="00C03B89"/>
    <w:rsid w:val="00C03F58"/>
    <w:rsid w:val="00C0414C"/>
    <w:rsid w:val="00C04322"/>
    <w:rsid w:val="00C049AC"/>
    <w:rsid w:val="00C04C74"/>
    <w:rsid w:val="00C04F0B"/>
    <w:rsid w:val="00C04F36"/>
    <w:rsid w:val="00C05170"/>
    <w:rsid w:val="00C05179"/>
    <w:rsid w:val="00C052F2"/>
    <w:rsid w:val="00C0540F"/>
    <w:rsid w:val="00C0560F"/>
    <w:rsid w:val="00C05739"/>
    <w:rsid w:val="00C05888"/>
    <w:rsid w:val="00C058BA"/>
    <w:rsid w:val="00C059A4"/>
    <w:rsid w:val="00C05EB7"/>
    <w:rsid w:val="00C05EC2"/>
    <w:rsid w:val="00C061B3"/>
    <w:rsid w:val="00C067E0"/>
    <w:rsid w:val="00C0698D"/>
    <w:rsid w:val="00C06BC7"/>
    <w:rsid w:val="00C06D8C"/>
    <w:rsid w:val="00C06DF8"/>
    <w:rsid w:val="00C07175"/>
    <w:rsid w:val="00C0736F"/>
    <w:rsid w:val="00C07509"/>
    <w:rsid w:val="00C0754F"/>
    <w:rsid w:val="00C075CD"/>
    <w:rsid w:val="00C07873"/>
    <w:rsid w:val="00C079C0"/>
    <w:rsid w:val="00C07C05"/>
    <w:rsid w:val="00C07C20"/>
    <w:rsid w:val="00C07C2D"/>
    <w:rsid w:val="00C07CE4"/>
    <w:rsid w:val="00C07ED2"/>
    <w:rsid w:val="00C10218"/>
    <w:rsid w:val="00C1024D"/>
    <w:rsid w:val="00C102CA"/>
    <w:rsid w:val="00C103E5"/>
    <w:rsid w:val="00C10460"/>
    <w:rsid w:val="00C10B0A"/>
    <w:rsid w:val="00C10BC8"/>
    <w:rsid w:val="00C10E45"/>
    <w:rsid w:val="00C10F1C"/>
    <w:rsid w:val="00C10F59"/>
    <w:rsid w:val="00C10F81"/>
    <w:rsid w:val="00C11925"/>
    <w:rsid w:val="00C11B1F"/>
    <w:rsid w:val="00C11B7B"/>
    <w:rsid w:val="00C11BE7"/>
    <w:rsid w:val="00C11D25"/>
    <w:rsid w:val="00C11D3C"/>
    <w:rsid w:val="00C11E5F"/>
    <w:rsid w:val="00C12176"/>
    <w:rsid w:val="00C12384"/>
    <w:rsid w:val="00C1242A"/>
    <w:rsid w:val="00C126AE"/>
    <w:rsid w:val="00C12974"/>
    <w:rsid w:val="00C12A34"/>
    <w:rsid w:val="00C12F6A"/>
    <w:rsid w:val="00C13003"/>
    <w:rsid w:val="00C1321F"/>
    <w:rsid w:val="00C1335E"/>
    <w:rsid w:val="00C133F4"/>
    <w:rsid w:val="00C134D9"/>
    <w:rsid w:val="00C13775"/>
    <w:rsid w:val="00C13921"/>
    <w:rsid w:val="00C13DBB"/>
    <w:rsid w:val="00C13DE7"/>
    <w:rsid w:val="00C13FEB"/>
    <w:rsid w:val="00C1438B"/>
    <w:rsid w:val="00C144DB"/>
    <w:rsid w:val="00C14586"/>
    <w:rsid w:val="00C14673"/>
    <w:rsid w:val="00C147A1"/>
    <w:rsid w:val="00C1489C"/>
    <w:rsid w:val="00C148CF"/>
    <w:rsid w:val="00C14A5C"/>
    <w:rsid w:val="00C14BED"/>
    <w:rsid w:val="00C14C2C"/>
    <w:rsid w:val="00C14E08"/>
    <w:rsid w:val="00C14E18"/>
    <w:rsid w:val="00C14F3C"/>
    <w:rsid w:val="00C151AD"/>
    <w:rsid w:val="00C159CB"/>
    <w:rsid w:val="00C15C2A"/>
    <w:rsid w:val="00C15CE5"/>
    <w:rsid w:val="00C15D2F"/>
    <w:rsid w:val="00C15D50"/>
    <w:rsid w:val="00C161EA"/>
    <w:rsid w:val="00C16213"/>
    <w:rsid w:val="00C1622B"/>
    <w:rsid w:val="00C1625B"/>
    <w:rsid w:val="00C16373"/>
    <w:rsid w:val="00C16450"/>
    <w:rsid w:val="00C164EF"/>
    <w:rsid w:val="00C1686C"/>
    <w:rsid w:val="00C16DB0"/>
    <w:rsid w:val="00C16DC0"/>
    <w:rsid w:val="00C1772F"/>
    <w:rsid w:val="00C17874"/>
    <w:rsid w:val="00C17B19"/>
    <w:rsid w:val="00C17DF2"/>
    <w:rsid w:val="00C17E31"/>
    <w:rsid w:val="00C200B8"/>
    <w:rsid w:val="00C20169"/>
    <w:rsid w:val="00C20301"/>
    <w:rsid w:val="00C2037A"/>
    <w:rsid w:val="00C203FA"/>
    <w:rsid w:val="00C2043A"/>
    <w:rsid w:val="00C2054A"/>
    <w:rsid w:val="00C2096A"/>
    <w:rsid w:val="00C20AA2"/>
    <w:rsid w:val="00C20CC3"/>
    <w:rsid w:val="00C20F33"/>
    <w:rsid w:val="00C210B0"/>
    <w:rsid w:val="00C2112F"/>
    <w:rsid w:val="00C211AD"/>
    <w:rsid w:val="00C21352"/>
    <w:rsid w:val="00C215D0"/>
    <w:rsid w:val="00C2162C"/>
    <w:rsid w:val="00C21677"/>
    <w:rsid w:val="00C21994"/>
    <w:rsid w:val="00C219DB"/>
    <w:rsid w:val="00C21A11"/>
    <w:rsid w:val="00C21A32"/>
    <w:rsid w:val="00C21DB7"/>
    <w:rsid w:val="00C21F97"/>
    <w:rsid w:val="00C21FD2"/>
    <w:rsid w:val="00C21FED"/>
    <w:rsid w:val="00C22341"/>
    <w:rsid w:val="00C2255F"/>
    <w:rsid w:val="00C226AE"/>
    <w:rsid w:val="00C226E8"/>
    <w:rsid w:val="00C22743"/>
    <w:rsid w:val="00C228C4"/>
    <w:rsid w:val="00C2292F"/>
    <w:rsid w:val="00C22DF0"/>
    <w:rsid w:val="00C22ED9"/>
    <w:rsid w:val="00C2307D"/>
    <w:rsid w:val="00C23325"/>
    <w:rsid w:val="00C237D3"/>
    <w:rsid w:val="00C23C71"/>
    <w:rsid w:val="00C23DE0"/>
    <w:rsid w:val="00C23E59"/>
    <w:rsid w:val="00C23F2D"/>
    <w:rsid w:val="00C23F53"/>
    <w:rsid w:val="00C24014"/>
    <w:rsid w:val="00C240FD"/>
    <w:rsid w:val="00C24427"/>
    <w:rsid w:val="00C244E2"/>
    <w:rsid w:val="00C2459E"/>
    <w:rsid w:val="00C245C0"/>
    <w:rsid w:val="00C24669"/>
    <w:rsid w:val="00C246E1"/>
    <w:rsid w:val="00C24712"/>
    <w:rsid w:val="00C247E5"/>
    <w:rsid w:val="00C24A2F"/>
    <w:rsid w:val="00C24A47"/>
    <w:rsid w:val="00C24A98"/>
    <w:rsid w:val="00C24ADD"/>
    <w:rsid w:val="00C24D51"/>
    <w:rsid w:val="00C24EF0"/>
    <w:rsid w:val="00C25452"/>
    <w:rsid w:val="00C25B24"/>
    <w:rsid w:val="00C25B60"/>
    <w:rsid w:val="00C25BEA"/>
    <w:rsid w:val="00C25FB0"/>
    <w:rsid w:val="00C261DC"/>
    <w:rsid w:val="00C262E8"/>
    <w:rsid w:val="00C267F4"/>
    <w:rsid w:val="00C26969"/>
    <w:rsid w:val="00C269D8"/>
    <w:rsid w:val="00C270F3"/>
    <w:rsid w:val="00C27267"/>
    <w:rsid w:val="00C273DF"/>
    <w:rsid w:val="00C275CE"/>
    <w:rsid w:val="00C2770C"/>
    <w:rsid w:val="00C27EB7"/>
    <w:rsid w:val="00C27EC4"/>
    <w:rsid w:val="00C27F65"/>
    <w:rsid w:val="00C30038"/>
    <w:rsid w:val="00C30054"/>
    <w:rsid w:val="00C301BA"/>
    <w:rsid w:val="00C30209"/>
    <w:rsid w:val="00C303CC"/>
    <w:rsid w:val="00C306B9"/>
    <w:rsid w:val="00C307DF"/>
    <w:rsid w:val="00C309D3"/>
    <w:rsid w:val="00C30F03"/>
    <w:rsid w:val="00C31064"/>
    <w:rsid w:val="00C311E3"/>
    <w:rsid w:val="00C3145E"/>
    <w:rsid w:val="00C31654"/>
    <w:rsid w:val="00C31A7F"/>
    <w:rsid w:val="00C31B0D"/>
    <w:rsid w:val="00C31C18"/>
    <w:rsid w:val="00C31CA6"/>
    <w:rsid w:val="00C31E68"/>
    <w:rsid w:val="00C32324"/>
    <w:rsid w:val="00C3237C"/>
    <w:rsid w:val="00C32EF9"/>
    <w:rsid w:val="00C32FDD"/>
    <w:rsid w:val="00C3304A"/>
    <w:rsid w:val="00C3307C"/>
    <w:rsid w:val="00C3338D"/>
    <w:rsid w:val="00C33443"/>
    <w:rsid w:val="00C33560"/>
    <w:rsid w:val="00C33853"/>
    <w:rsid w:val="00C33BF1"/>
    <w:rsid w:val="00C33DE4"/>
    <w:rsid w:val="00C34085"/>
    <w:rsid w:val="00C34350"/>
    <w:rsid w:val="00C345B9"/>
    <w:rsid w:val="00C348B8"/>
    <w:rsid w:val="00C34C1E"/>
    <w:rsid w:val="00C34F56"/>
    <w:rsid w:val="00C3512D"/>
    <w:rsid w:val="00C351C1"/>
    <w:rsid w:val="00C3520F"/>
    <w:rsid w:val="00C35231"/>
    <w:rsid w:val="00C359DC"/>
    <w:rsid w:val="00C35F1D"/>
    <w:rsid w:val="00C3604E"/>
    <w:rsid w:val="00C36178"/>
    <w:rsid w:val="00C36182"/>
    <w:rsid w:val="00C36230"/>
    <w:rsid w:val="00C363E2"/>
    <w:rsid w:val="00C363FC"/>
    <w:rsid w:val="00C36430"/>
    <w:rsid w:val="00C36576"/>
    <w:rsid w:val="00C36595"/>
    <w:rsid w:val="00C3694B"/>
    <w:rsid w:val="00C36AB0"/>
    <w:rsid w:val="00C36B60"/>
    <w:rsid w:val="00C36CE8"/>
    <w:rsid w:val="00C36CEF"/>
    <w:rsid w:val="00C36F9C"/>
    <w:rsid w:val="00C36FFA"/>
    <w:rsid w:val="00C36FFC"/>
    <w:rsid w:val="00C370C5"/>
    <w:rsid w:val="00C3737D"/>
    <w:rsid w:val="00C374CC"/>
    <w:rsid w:val="00C37683"/>
    <w:rsid w:val="00C40004"/>
    <w:rsid w:val="00C4003A"/>
    <w:rsid w:val="00C4033A"/>
    <w:rsid w:val="00C40365"/>
    <w:rsid w:val="00C404B3"/>
    <w:rsid w:val="00C40911"/>
    <w:rsid w:val="00C40963"/>
    <w:rsid w:val="00C409EB"/>
    <w:rsid w:val="00C40AB9"/>
    <w:rsid w:val="00C40BE5"/>
    <w:rsid w:val="00C40C6F"/>
    <w:rsid w:val="00C40CB6"/>
    <w:rsid w:val="00C40F6C"/>
    <w:rsid w:val="00C41088"/>
    <w:rsid w:val="00C41228"/>
    <w:rsid w:val="00C41417"/>
    <w:rsid w:val="00C4158B"/>
    <w:rsid w:val="00C4159A"/>
    <w:rsid w:val="00C41675"/>
    <w:rsid w:val="00C41992"/>
    <w:rsid w:val="00C41C94"/>
    <w:rsid w:val="00C41CAA"/>
    <w:rsid w:val="00C41CB8"/>
    <w:rsid w:val="00C41D47"/>
    <w:rsid w:val="00C41E8B"/>
    <w:rsid w:val="00C41FDD"/>
    <w:rsid w:val="00C42102"/>
    <w:rsid w:val="00C423E9"/>
    <w:rsid w:val="00C424AD"/>
    <w:rsid w:val="00C42A35"/>
    <w:rsid w:val="00C43104"/>
    <w:rsid w:val="00C43148"/>
    <w:rsid w:val="00C438C9"/>
    <w:rsid w:val="00C439C8"/>
    <w:rsid w:val="00C439D3"/>
    <w:rsid w:val="00C43BC7"/>
    <w:rsid w:val="00C43C36"/>
    <w:rsid w:val="00C43C48"/>
    <w:rsid w:val="00C43C70"/>
    <w:rsid w:val="00C444B2"/>
    <w:rsid w:val="00C4457D"/>
    <w:rsid w:val="00C446D9"/>
    <w:rsid w:val="00C44772"/>
    <w:rsid w:val="00C447CC"/>
    <w:rsid w:val="00C44CBD"/>
    <w:rsid w:val="00C44CFE"/>
    <w:rsid w:val="00C44E07"/>
    <w:rsid w:val="00C44E85"/>
    <w:rsid w:val="00C44F78"/>
    <w:rsid w:val="00C454C0"/>
    <w:rsid w:val="00C4572D"/>
    <w:rsid w:val="00C45DC5"/>
    <w:rsid w:val="00C46091"/>
    <w:rsid w:val="00C460DD"/>
    <w:rsid w:val="00C461E2"/>
    <w:rsid w:val="00C469D5"/>
    <w:rsid w:val="00C46F3D"/>
    <w:rsid w:val="00C47069"/>
    <w:rsid w:val="00C47149"/>
    <w:rsid w:val="00C47374"/>
    <w:rsid w:val="00C4741D"/>
    <w:rsid w:val="00C4796B"/>
    <w:rsid w:val="00C47C01"/>
    <w:rsid w:val="00C47C33"/>
    <w:rsid w:val="00C47DE6"/>
    <w:rsid w:val="00C501C2"/>
    <w:rsid w:val="00C503C0"/>
    <w:rsid w:val="00C503E4"/>
    <w:rsid w:val="00C506EF"/>
    <w:rsid w:val="00C507DC"/>
    <w:rsid w:val="00C508B2"/>
    <w:rsid w:val="00C5095C"/>
    <w:rsid w:val="00C50B61"/>
    <w:rsid w:val="00C50CD2"/>
    <w:rsid w:val="00C50CD8"/>
    <w:rsid w:val="00C50F16"/>
    <w:rsid w:val="00C511A3"/>
    <w:rsid w:val="00C5135C"/>
    <w:rsid w:val="00C51385"/>
    <w:rsid w:val="00C513A8"/>
    <w:rsid w:val="00C51669"/>
    <w:rsid w:val="00C516D3"/>
    <w:rsid w:val="00C5170A"/>
    <w:rsid w:val="00C51743"/>
    <w:rsid w:val="00C5187A"/>
    <w:rsid w:val="00C51A64"/>
    <w:rsid w:val="00C51B18"/>
    <w:rsid w:val="00C51CAD"/>
    <w:rsid w:val="00C51CB3"/>
    <w:rsid w:val="00C51E1E"/>
    <w:rsid w:val="00C5233B"/>
    <w:rsid w:val="00C525D2"/>
    <w:rsid w:val="00C525D4"/>
    <w:rsid w:val="00C52730"/>
    <w:rsid w:val="00C527A8"/>
    <w:rsid w:val="00C52836"/>
    <w:rsid w:val="00C528DC"/>
    <w:rsid w:val="00C52A16"/>
    <w:rsid w:val="00C52CEE"/>
    <w:rsid w:val="00C52D33"/>
    <w:rsid w:val="00C52D49"/>
    <w:rsid w:val="00C52DE0"/>
    <w:rsid w:val="00C52E64"/>
    <w:rsid w:val="00C52E97"/>
    <w:rsid w:val="00C53091"/>
    <w:rsid w:val="00C53327"/>
    <w:rsid w:val="00C5350B"/>
    <w:rsid w:val="00C537E1"/>
    <w:rsid w:val="00C53865"/>
    <w:rsid w:val="00C53965"/>
    <w:rsid w:val="00C53DCE"/>
    <w:rsid w:val="00C53DF0"/>
    <w:rsid w:val="00C53F0D"/>
    <w:rsid w:val="00C54152"/>
    <w:rsid w:val="00C54177"/>
    <w:rsid w:val="00C54198"/>
    <w:rsid w:val="00C543CE"/>
    <w:rsid w:val="00C54780"/>
    <w:rsid w:val="00C549EF"/>
    <w:rsid w:val="00C54A7B"/>
    <w:rsid w:val="00C55264"/>
    <w:rsid w:val="00C552B5"/>
    <w:rsid w:val="00C553FE"/>
    <w:rsid w:val="00C55436"/>
    <w:rsid w:val="00C55761"/>
    <w:rsid w:val="00C558DD"/>
    <w:rsid w:val="00C55A26"/>
    <w:rsid w:val="00C55AC3"/>
    <w:rsid w:val="00C55B37"/>
    <w:rsid w:val="00C55C08"/>
    <w:rsid w:val="00C55EDD"/>
    <w:rsid w:val="00C56101"/>
    <w:rsid w:val="00C5642E"/>
    <w:rsid w:val="00C566CC"/>
    <w:rsid w:val="00C56AB0"/>
    <w:rsid w:val="00C56B2C"/>
    <w:rsid w:val="00C573AD"/>
    <w:rsid w:val="00C575DE"/>
    <w:rsid w:val="00C57A63"/>
    <w:rsid w:val="00C57BFF"/>
    <w:rsid w:val="00C57D79"/>
    <w:rsid w:val="00C57F61"/>
    <w:rsid w:val="00C603CA"/>
    <w:rsid w:val="00C60698"/>
    <w:rsid w:val="00C606BD"/>
    <w:rsid w:val="00C607BA"/>
    <w:rsid w:val="00C6082D"/>
    <w:rsid w:val="00C60973"/>
    <w:rsid w:val="00C60B86"/>
    <w:rsid w:val="00C60C5B"/>
    <w:rsid w:val="00C60CBD"/>
    <w:rsid w:val="00C60CCC"/>
    <w:rsid w:val="00C619C1"/>
    <w:rsid w:val="00C61CBD"/>
    <w:rsid w:val="00C61F95"/>
    <w:rsid w:val="00C62086"/>
    <w:rsid w:val="00C62165"/>
    <w:rsid w:val="00C6219B"/>
    <w:rsid w:val="00C6261B"/>
    <w:rsid w:val="00C62801"/>
    <w:rsid w:val="00C62B3B"/>
    <w:rsid w:val="00C62B62"/>
    <w:rsid w:val="00C63082"/>
    <w:rsid w:val="00C63405"/>
    <w:rsid w:val="00C634ED"/>
    <w:rsid w:val="00C63825"/>
    <w:rsid w:val="00C63B16"/>
    <w:rsid w:val="00C63C96"/>
    <w:rsid w:val="00C63DDC"/>
    <w:rsid w:val="00C63F88"/>
    <w:rsid w:val="00C63FEE"/>
    <w:rsid w:val="00C64048"/>
    <w:rsid w:val="00C64102"/>
    <w:rsid w:val="00C644C6"/>
    <w:rsid w:val="00C64B88"/>
    <w:rsid w:val="00C64F8F"/>
    <w:rsid w:val="00C650D2"/>
    <w:rsid w:val="00C65A0E"/>
    <w:rsid w:val="00C65ADD"/>
    <w:rsid w:val="00C65B79"/>
    <w:rsid w:val="00C65E84"/>
    <w:rsid w:val="00C65EF4"/>
    <w:rsid w:val="00C66030"/>
    <w:rsid w:val="00C6603E"/>
    <w:rsid w:val="00C66094"/>
    <w:rsid w:val="00C661C7"/>
    <w:rsid w:val="00C66404"/>
    <w:rsid w:val="00C6666B"/>
    <w:rsid w:val="00C6677D"/>
    <w:rsid w:val="00C667AD"/>
    <w:rsid w:val="00C66814"/>
    <w:rsid w:val="00C66C09"/>
    <w:rsid w:val="00C66CA7"/>
    <w:rsid w:val="00C66D27"/>
    <w:rsid w:val="00C66D82"/>
    <w:rsid w:val="00C66EF5"/>
    <w:rsid w:val="00C66FD1"/>
    <w:rsid w:val="00C6705E"/>
    <w:rsid w:val="00C67168"/>
    <w:rsid w:val="00C67436"/>
    <w:rsid w:val="00C675A0"/>
    <w:rsid w:val="00C675CB"/>
    <w:rsid w:val="00C67793"/>
    <w:rsid w:val="00C677DB"/>
    <w:rsid w:val="00C67830"/>
    <w:rsid w:val="00C679B6"/>
    <w:rsid w:val="00C67ADE"/>
    <w:rsid w:val="00C67B9F"/>
    <w:rsid w:val="00C67C95"/>
    <w:rsid w:val="00C70198"/>
    <w:rsid w:val="00C70207"/>
    <w:rsid w:val="00C70209"/>
    <w:rsid w:val="00C70757"/>
    <w:rsid w:val="00C7089E"/>
    <w:rsid w:val="00C70ABA"/>
    <w:rsid w:val="00C70B26"/>
    <w:rsid w:val="00C70C92"/>
    <w:rsid w:val="00C70D90"/>
    <w:rsid w:val="00C70E40"/>
    <w:rsid w:val="00C70F5C"/>
    <w:rsid w:val="00C711B5"/>
    <w:rsid w:val="00C712EE"/>
    <w:rsid w:val="00C71386"/>
    <w:rsid w:val="00C715C8"/>
    <w:rsid w:val="00C71670"/>
    <w:rsid w:val="00C7174A"/>
    <w:rsid w:val="00C71B82"/>
    <w:rsid w:val="00C71D6B"/>
    <w:rsid w:val="00C71F2E"/>
    <w:rsid w:val="00C7220B"/>
    <w:rsid w:val="00C72396"/>
    <w:rsid w:val="00C72429"/>
    <w:rsid w:val="00C7264F"/>
    <w:rsid w:val="00C72A3B"/>
    <w:rsid w:val="00C72AB9"/>
    <w:rsid w:val="00C72C04"/>
    <w:rsid w:val="00C72DF9"/>
    <w:rsid w:val="00C731B8"/>
    <w:rsid w:val="00C732EB"/>
    <w:rsid w:val="00C7331E"/>
    <w:rsid w:val="00C737A3"/>
    <w:rsid w:val="00C73A7A"/>
    <w:rsid w:val="00C73C55"/>
    <w:rsid w:val="00C73E9E"/>
    <w:rsid w:val="00C740FB"/>
    <w:rsid w:val="00C742A7"/>
    <w:rsid w:val="00C742C1"/>
    <w:rsid w:val="00C743DC"/>
    <w:rsid w:val="00C7444F"/>
    <w:rsid w:val="00C747DA"/>
    <w:rsid w:val="00C74D3F"/>
    <w:rsid w:val="00C74DDA"/>
    <w:rsid w:val="00C7504F"/>
    <w:rsid w:val="00C750A2"/>
    <w:rsid w:val="00C750A6"/>
    <w:rsid w:val="00C7529A"/>
    <w:rsid w:val="00C7529E"/>
    <w:rsid w:val="00C75338"/>
    <w:rsid w:val="00C753E3"/>
    <w:rsid w:val="00C75441"/>
    <w:rsid w:val="00C7552A"/>
    <w:rsid w:val="00C757B2"/>
    <w:rsid w:val="00C75832"/>
    <w:rsid w:val="00C7585C"/>
    <w:rsid w:val="00C75A2C"/>
    <w:rsid w:val="00C75B33"/>
    <w:rsid w:val="00C75B81"/>
    <w:rsid w:val="00C75C34"/>
    <w:rsid w:val="00C75CEC"/>
    <w:rsid w:val="00C75EEE"/>
    <w:rsid w:val="00C76083"/>
    <w:rsid w:val="00C760C8"/>
    <w:rsid w:val="00C76170"/>
    <w:rsid w:val="00C765A7"/>
    <w:rsid w:val="00C7683F"/>
    <w:rsid w:val="00C76992"/>
    <w:rsid w:val="00C76A02"/>
    <w:rsid w:val="00C76A8F"/>
    <w:rsid w:val="00C76B23"/>
    <w:rsid w:val="00C76D70"/>
    <w:rsid w:val="00C76D7D"/>
    <w:rsid w:val="00C77144"/>
    <w:rsid w:val="00C77191"/>
    <w:rsid w:val="00C77194"/>
    <w:rsid w:val="00C7719E"/>
    <w:rsid w:val="00C772F3"/>
    <w:rsid w:val="00C7733F"/>
    <w:rsid w:val="00C77397"/>
    <w:rsid w:val="00C7750E"/>
    <w:rsid w:val="00C775BD"/>
    <w:rsid w:val="00C777C1"/>
    <w:rsid w:val="00C777D6"/>
    <w:rsid w:val="00C77854"/>
    <w:rsid w:val="00C77C65"/>
    <w:rsid w:val="00C77E3B"/>
    <w:rsid w:val="00C80579"/>
    <w:rsid w:val="00C80583"/>
    <w:rsid w:val="00C808C4"/>
    <w:rsid w:val="00C80B08"/>
    <w:rsid w:val="00C80C12"/>
    <w:rsid w:val="00C80D7F"/>
    <w:rsid w:val="00C811B5"/>
    <w:rsid w:val="00C81335"/>
    <w:rsid w:val="00C817FE"/>
    <w:rsid w:val="00C81860"/>
    <w:rsid w:val="00C81BFA"/>
    <w:rsid w:val="00C8210B"/>
    <w:rsid w:val="00C82129"/>
    <w:rsid w:val="00C82144"/>
    <w:rsid w:val="00C823AD"/>
    <w:rsid w:val="00C82441"/>
    <w:rsid w:val="00C82667"/>
    <w:rsid w:val="00C82763"/>
    <w:rsid w:val="00C829DB"/>
    <w:rsid w:val="00C82A09"/>
    <w:rsid w:val="00C82B6D"/>
    <w:rsid w:val="00C82CC6"/>
    <w:rsid w:val="00C82D35"/>
    <w:rsid w:val="00C82D4E"/>
    <w:rsid w:val="00C82EF6"/>
    <w:rsid w:val="00C83379"/>
    <w:rsid w:val="00C8338D"/>
    <w:rsid w:val="00C8370E"/>
    <w:rsid w:val="00C83CD5"/>
    <w:rsid w:val="00C83CF9"/>
    <w:rsid w:val="00C83F16"/>
    <w:rsid w:val="00C84049"/>
    <w:rsid w:val="00C8427D"/>
    <w:rsid w:val="00C84517"/>
    <w:rsid w:val="00C845A9"/>
    <w:rsid w:val="00C846B7"/>
    <w:rsid w:val="00C846C0"/>
    <w:rsid w:val="00C84A7C"/>
    <w:rsid w:val="00C84B05"/>
    <w:rsid w:val="00C84B9F"/>
    <w:rsid w:val="00C84C0A"/>
    <w:rsid w:val="00C84FAD"/>
    <w:rsid w:val="00C8522B"/>
    <w:rsid w:val="00C85310"/>
    <w:rsid w:val="00C85360"/>
    <w:rsid w:val="00C85468"/>
    <w:rsid w:val="00C854D9"/>
    <w:rsid w:val="00C85579"/>
    <w:rsid w:val="00C85767"/>
    <w:rsid w:val="00C858C3"/>
    <w:rsid w:val="00C8591E"/>
    <w:rsid w:val="00C85B76"/>
    <w:rsid w:val="00C85BAF"/>
    <w:rsid w:val="00C862BE"/>
    <w:rsid w:val="00C862DE"/>
    <w:rsid w:val="00C86376"/>
    <w:rsid w:val="00C864B8"/>
    <w:rsid w:val="00C868C9"/>
    <w:rsid w:val="00C8690C"/>
    <w:rsid w:val="00C86AD5"/>
    <w:rsid w:val="00C86DA4"/>
    <w:rsid w:val="00C86E79"/>
    <w:rsid w:val="00C86F1B"/>
    <w:rsid w:val="00C86F73"/>
    <w:rsid w:val="00C87019"/>
    <w:rsid w:val="00C870C1"/>
    <w:rsid w:val="00C872B7"/>
    <w:rsid w:val="00C87359"/>
    <w:rsid w:val="00C873F3"/>
    <w:rsid w:val="00C87654"/>
    <w:rsid w:val="00C87AAA"/>
    <w:rsid w:val="00C87BF4"/>
    <w:rsid w:val="00C90048"/>
    <w:rsid w:val="00C90132"/>
    <w:rsid w:val="00C901DF"/>
    <w:rsid w:val="00C903BB"/>
    <w:rsid w:val="00C90501"/>
    <w:rsid w:val="00C9074F"/>
    <w:rsid w:val="00C90872"/>
    <w:rsid w:val="00C9104B"/>
    <w:rsid w:val="00C911E8"/>
    <w:rsid w:val="00C91387"/>
    <w:rsid w:val="00C913F1"/>
    <w:rsid w:val="00C91447"/>
    <w:rsid w:val="00C914A9"/>
    <w:rsid w:val="00C915FC"/>
    <w:rsid w:val="00C91774"/>
    <w:rsid w:val="00C9185F"/>
    <w:rsid w:val="00C91A5F"/>
    <w:rsid w:val="00C91EA5"/>
    <w:rsid w:val="00C91F46"/>
    <w:rsid w:val="00C91FDA"/>
    <w:rsid w:val="00C9207D"/>
    <w:rsid w:val="00C9212C"/>
    <w:rsid w:val="00C92345"/>
    <w:rsid w:val="00C924B8"/>
    <w:rsid w:val="00C92583"/>
    <w:rsid w:val="00C92772"/>
    <w:rsid w:val="00C928C0"/>
    <w:rsid w:val="00C92A9C"/>
    <w:rsid w:val="00C92CFD"/>
    <w:rsid w:val="00C92E8A"/>
    <w:rsid w:val="00C9302A"/>
    <w:rsid w:val="00C93275"/>
    <w:rsid w:val="00C932A5"/>
    <w:rsid w:val="00C93481"/>
    <w:rsid w:val="00C93539"/>
    <w:rsid w:val="00C9375F"/>
    <w:rsid w:val="00C937BF"/>
    <w:rsid w:val="00C93826"/>
    <w:rsid w:val="00C93894"/>
    <w:rsid w:val="00C93A9A"/>
    <w:rsid w:val="00C93ABB"/>
    <w:rsid w:val="00C93B04"/>
    <w:rsid w:val="00C93D16"/>
    <w:rsid w:val="00C93D34"/>
    <w:rsid w:val="00C93DE5"/>
    <w:rsid w:val="00C93E1B"/>
    <w:rsid w:val="00C93E3E"/>
    <w:rsid w:val="00C93E6C"/>
    <w:rsid w:val="00C93F5B"/>
    <w:rsid w:val="00C93F83"/>
    <w:rsid w:val="00C942A3"/>
    <w:rsid w:val="00C943A0"/>
    <w:rsid w:val="00C9441A"/>
    <w:rsid w:val="00C94D8B"/>
    <w:rsid w:val="00C94F2E"/>
    <w:rsid w:val="00C94F82"/>
    <w:rsid w:val="00C951AA"/>
    <w:rsid w:val="00C953FA"/>
    <w:rsid w:val="00C9549A"/>
    <w:rsid w:val="00C954E0"/>
    <w:rsid w:val="00C954FD"/>
    <w:rsid w:val="00C9557B"/>
    <w:rsid w:val="00C95583"/>
    <w:rsid w:val="00C95A9D"/>
    <w:rsid w:val="00C95AC0"/>
    <w:rsid w:val="00C95BF5"/>
    <w:rsid w:val="00C95C5D"/>
    <w:rsid w:val="00C95DFA"/>
    <w:rsid w:val="00C96076"/>
    <w:rsid w:val="00C960B5"/>
    <w:rsid w:val="00C96223"/>
    <w:rsid w:val="00C963BE"/>
    <w:rsid w:val="00C964F1"/>
    <w:rsid w:val="00C965F7"/>
    <w:rsid w:val="00C96664"/>
    <w:rsid w:val="00C966F8"/>
    <w:rsid w:val="00C9684E"/>
    <w:rsid w:val="00C96915"/>
    <w:rsid w:val="00C969B9"/>
    <w:rsid w:val="00C96DC7"/>
    <w:rsid w:val="00C9722D"/>
    <w:rsid w:val="00C974D0"/>
    <w:rsid w:val="00C9766C"/>
    <w:rsid w:val="00C97797"/>
    <w:rsid w:val="00C97831"/>
    <w:rsid w:val="00C97AA0"/>
    <w:rsid w:val="00C97ACC"/>
    <w:rsid w:val="00CA013E"/>
    <w:rsid w:val="00CA0141"/>
    <w:rsid w:val="00CA02CD"/>
    <w:rsid w:val="00CA048F"/>
    <w:rsid w:val="00CA0761"/>
    <w:rsid w:val="00CA0822"/>
    <w:rsid w:val="00CA08BB"/>
    <w:rsid w:val="00CA08D5"/>
    <w:rsid w:val="00CA0979"/>
    <w:rsid w:val="00CA0D14"/>
    <w:rsid w:val="00CA0DD9"/>
    <w:rsid w:val="00CA0E55"/>
    <w:rsid w:val="00CA0EDB"/>
    <w:rsid w:val="00CA10BD"/>
    <w:rsid w:val="00CA118E"/>
    <w:rsid w:val="00CA1290"/>
    <w:rsid w:val="00CA13CB"/>
    <w:rsid w:val="00CA1481"/>
    <w:rsid w:val="00CA167D"/>
    <w:rsid w:val="00CA1697"/>
    <w:rsid w:val="00CA1740"/>
    <w:rsid w:val="00CA1A51"/>
    <w:rsid w:val="00CA1E63"/>
    <w:rsid w:val="00CA1F56"/>
    <w:rsid w:val="00CA2229"/>
    <w:rsid w:val="00CA2375"/>
    <w:rsid w:val="00CA245A"/>
    <w:rsid w:val="00CA26E5"/>
    <w:rsid w:val="00CA271F"/>
    <w:rsid w:val="00CA283C"/>
    <w:rsid w:val="00CA2868"/>
    <w:rsid w:val="00CA29A5"/>
    <w:rsid w:val="00CA2C10"/>
    <w:rsid w:val="00CA2E74"/>
    <w:rsid w:val="00CA32E4"/>
    <w:rsid w:val="00CA35F7"/>
    <w:rsid w:val="00CA3D29"/>
    <w:rsid w:val="00CA3D85"/>
    <w:rsid w:val="00CA41DE"/>
    <w:rsid w:val="00CA42E3"/>
    <w:rsid w:val="00CA442D"/>
    <w:rsid w:val="00CA4487"/>
    <w:rsid w:val="00CA4835"/>
    <w:rsid w:val="00CA4954"/>
    <w:rsid w:val="00CA4A1C"/>
    <w:rsid w:val="00CA4C29"/>
    <w:rsid w:val="00CA50CE"/>
    <w:rsid w:val="00CA560C"/>
    <w:rsid w:val="00CA5668"/>
    <w:rsid w:val="00CA5693"/>
    <w:rsid w:val="00CA58E4"/>
    <w:rsid w:val="00CA591C"/>
    <w:rsid w:val="00CA5A3A"/>
    <w:rsid w:val="00CA5D7A"/>
    <w:rsid w:val="00CA5E6C"/>
    <w:rsid w:val="00CA5F1E"/>
    <w:rsid w:val="00CA62D8"/>
    <w:rsid w:val="00CA6761"/>
    <w:rsid w:val="00CA694F"/>
    <w:rsid w:val="00CA69E3"/>
    <w:rsid w:val="00CA6B50"/>
    <w:rsid w:val="00CA6C31"/>
    <w:rsid w:val="00CA7227"/>
    <w:rsid w:val="00CA74DF"/>
    <w:rsid w:val="00CA75F0"/>
    <w:rsid w:val="00CA7873"/>
    <w:rsid w:val="00CA796D"/>
    <w:rsid w:val="00CA7A3B"/>
    <w:rsid w:val="00CA7ACE"/>
    <w:rsid w:val="00CA7EDE"/>
    <w:rsid w:val="00CA7F29"/>
    <w:rsid w:val="00CA7FD2"/>
    <w:rsid w:val="00CB0029"/>
    <w:rsid w:val="00CB0194"/>
    <w:rsid w:val="00CB0232"/>
    <w:rsid w:val="00CB0290"/>
    <w:rsid w:val="00CB02E7"/>
    <w:rsid w:val="00CB0364"/>
    <w:rsid w:val="00CB0465"/>
    <w:rsid w:val="00CB0466"/>
    <w:rsid w:val="00CB048A"/>
    <w:rsid w:val="00CB04BE"/>
    <w:rsid w:val="00CB057E"/>
    <w:rsid w:val="00CB093E"/>
    <w:rsid w:val="00CB0A2F"/>
    <w:rsid w:val="00CB0AD2"/>
    <w:rsid w:val="00CB0B43"/>
    <w:rsid w:val="00CB0B4C"/>
    <w:rsid w:val="00CB0CB1"/>
    <w:rsid w:val="00CB0D11"/>
    <w:rsid w:val="00CB11BC"/>
    <w:rsid w:val="00CB12FF"/>
    <w:rsid w:val="00CB174B"/>
    <w:rsid w:val="00CB1C4A"/>
    <w:rsid w:val="00CB1D47"/>
    <w:rsid w:val="00CB1E08"/>
    <w:rsid w:val="00CB2396"/>
    <w:rsid w:val="00CB2636"/>
    <w:rsid w:val="00CB2C01"/>
    <w:rsid w:val="00CB2D74"/>
    <w:rsid w:val="00CB2DC1"/>
    <w:rsid w:val="00CB3259"/>
    <w:rsid w:val="00CB3323"/>
    <w:rsid w:val="00CB3420"/>
    <w:rsid w:val="00CB354D"/>
    <w:rsid w:val="00CB39D8"/>
    <w:rsid w:val="00CB3AF9"/>
    <w:rsid w:val="00CB3D40"/>
    <w:rsid w:val="00CB3EB1"/>
    <w:rsid w:val="00CB3F9A"/>
    <w:rsid w:val="00CB4044"/>
    <w:rsid w:val="00CB40E1"/>
    <w:rsid w:val="00CB40E5"/>
    <w:rsid w:val="00CB453F"/>
    <w:rsid w:val="00CB4745"/>
    <w:rsid w:val="00CB49A6"/>
    <w:rsid w:val="00CB49B0"/>
    <w:rsid w:val="00CB4D43"/>
    <w:rsid w:val="00CB5011"/>
    <w:rsid w:val="00CB514E"/>
    <w:rsid w:val="00CB51AC"/>
    <w:rsid w:val="00CB55D2"/>
    <w:rsid w:val="00CB5878"/>
    <w:rsid w:val="00CB58D8"/>
    <w:rsid w:val="00CB5904"/>
    <w:rsid w:val="00CB5A11"/>
    <w:rsid w:val="00CB5E1B"/>
    <w:rsid w:val="00CB6005"/>
    <w:rsid w:val="00CB6278"/>
    <w:rsid w:val="00CB64E6"/>
    <w:rsid w:val="00CB662A"/>
    <w:rsid w:val="00CB669C"/>
    <w:rsid w:val="00CB66B7"/>
    <w:rsid w:val="00CB66FA"/>
    <w:rsid w:val="00CB67FA"/>
    <w:rsid w:val="00CB6C8A"/>
    <w:rsid w:val="00CB6EB3"/>
    <w:rsid w:val="00CB6FB3"/>
    <w:rsid w:val="00CB74DD"/>
    <w:rsid w:val="00CB778E"/>
    <w:rsid w:val="00CB7895"/>
    <w:rsid w:val="00CB790F"/>
    <w:rsid w:val="00CB7938"/>
    <w:rsid w:val="00CB7B05"/>
    <w:rsid w:val="00CB7B63"/>
    <w:rsid w:val="00CB7BA4"/>
    <w:rsid w:val="00CB7BB4"/>
    <w:rsid w:val="00CB7D05"/>
    <w:rsid w:val="00CB7E50"/>
    <w:rsid w:val="00CC0036"/>
    <w:rsid w:val="00CC016B"/>
    <w:rsid w:val="00CC0258"/>
    <w:rsid w:val="00CC0292"/>
    <w:rsid w:val="00CC034A"/>
    <w:rsid w:val="00CC06AE"/>
    <w:rsid w:val="00CC06D0"/>
    <w:rsid w:val="00CC06D6"/>
    <w:rsid w:val="00CC098E"/>
    <w:rsid w:val="00CC1121"/>
    <w:rsid w:val="00CC12E8"/>
    <w:rsid w:val="00CC14DF"/>
    <w:rsid w:val="00CC16AB"/>
    <w:rsid w:val="00CC170E"/>
    <w:rsid w:val="00CC19B1"/>
    <w:rsid w:val="00CC1AA7"/>
    <w:rsid w:val="00CC1B2B"/>
    <w:rsid w:val="00CC1B52"/>
    <w:rsid w:val="00CC1CB0"/>
    <w:rsid w:val="00CC1E39"/>
    <w:rsid w:val="00CC1FF6"/>
    <w:rsid w:val="00CC210B"/>
    <w:rsid w:val="00CC215B"/>
    <w:rsid w:val="00CC245F"/>
    <w:rsid w:val="00CC25E1"/>
    <w:rsid w:val="00CC266E"/>
    <w:rsid w:val="00CC2916"/>
    <w:rsid w:val="00CC2D95"/>
    <w:rsid w:val="00CC2DD3"/>
    <w:rsid w:val="00CC2F46"/>
    <w:rsid w:val="00CC312C"/>
    <w:rsid w:val="00CC314C"/>
    <w:rsid w:val="00CC335B"/>
    <w:rsid w:val="00CC347A"/>
    <w:rsid w:val="00CC351B"/>
    <w:rsid w:val="00CC3544"/>
    <w:rsid w:val="00CC3A93"/>
    <w:rsid w:val="00CC3C9E"/>
    <w:rsid w:val="00CC3D23"/>
    <w:rsid w:val="00CC3E4C"/>
    <w:rsid w:val="00CC4004"/>
    <w:rsid w:val="00CC4180"/>
    <w:rsid w:val="00CC41F8"/>
    <w:rsid w:val="00CC44FE"/>
    <w:rsid w:val="00CC47FF"/>
    <w:rsid w:val="00CC486D"/>
    <w:rsid w:val="00CC48AA"/>
    <w:rsid w:val="00CC493A"/>
    <w:rsid w:val="00CC50EA"/>
    <w:rsid w:val="00CC542E"/>
    <w:rsid w:val="00CC5533"/>
    <w:rsid w:val="00CC5535"/>
    <w:rsid w:val="00CC5B7C"/>
    <w:rsid w:val="00CC5BA3"/>
    <w:rsid w:val="00CC5C2B"/>
    <w:rsid w:val="00CC5E83"/>
    <w:rsid w:val="00CC6706"/>
    <w:rsid w:val="00CC688B"/>
    <w:rsid w:val="00CC6C84"/>
    <w:rsid w:val="00CC6D33"/>
    <w:rsid w:val="00CC6D86"/>
    <w:rsid w:val="00CC6D9E"/>
    <w:rsid w:val="00CC7633"/>
    <w:rsid w:val="00CC7683"/>
    <w:rsid w:val="00CC793C"/>
    <w:rsid w:val="00CC7A39"/>
    <w:rsid w:val="00CC7B49"/>
    <w:rsid w:val="00CC7D3C"/>
    <w:rsid w:val="00CC7E47"/>
    <w:rsid w:val="00CC7E5B"/>
    <w:rsid w:val="00CC7EE3"/>
    <w:rsid w:val="00CD00D0"/>
    <w:rsid w:val="00CD0193"/>
    <w:rsid w:val="00CD025D"/>
    <w:rsid w:val="00CD03E0"/>
    <w:rsid w:val="00CD0435"/>
    <w:rsid w:val="00CD0461"/>
    <w:rsid w:val="00CD05C6"/>
    <w:rsid w:val="00CD0D18"/>
    <w:rsid w:val="00CD0E1A"/>
    <w:rsid w:val="00CD0E9C"/>
    <w:rsid w:val="00CD1041"/>
    <w:rsid w:val="00CD1114"/>
    <w:rsid w:val="00CD11E1"/>
    <w:rsid w:val="00CD1AD1"/>
    <w:rsid w:val="00CD1FD8"/>
    <w:rsid w:val="00CD2048"/>
    <w:rsid w:val="00CD20B6"/>
    <w:rsid w:val="00CD2121"/>
    <w:rsid w:val="00CD2AE4"/>
    <w:rsid w:val="00CD2B46"/>
    <w:rsid w:val="00CD2CA6"/>
    <w:rsid w:val="00CD30A1"/>
    <w:rsid w:val="00CD3415"/>
    <w:rsid w:val="00CD3552"/>
    <w:rsid w:val="00CD35EF"/>
    <w:rsid w:val="00CD36F4"/>
    <w:rsid w:val="00CD3767"/>
    <w:rsid w:val="00CD3C08"/>
    <w:rsid w:val="00CD3CA5"/>
    <w:rsid w:val="00CD3FC2"/>
    <w:rsid w:val="00CD424D"/>
    <w:rsid w:val="00CD465F"/>
    <w:rsid w:val="00CD4715"/>
    <w:rsid w:val="00CD4925"/>
    <w:rsid w:val="00CD4A20"/>
    <w:rsid w:val="00CD4AC8"/>
    <w:rsid w:val="00CD4C79"/>
    <w:rsid w:val="00CD4D32"/>
    <w:rsid w:val="00CD4EBD"/>
    <w:rsid w:val="00CD52E2"/>
    <w:rsid w:val="00CD52FB"/>
    <w:rsid w:val="00CD5369"/>
    <w:rsid w:val="00CD56C5"/>
    <w:rsid w:val="00CD58CD"/>
    <w:rsid w:val="00CD5B64"/>
    <w:rsid w:val="00CD5E0D"/>
    <w:rsid w:val="00CD5F90"/>
    <w:rsid w:val="00CD6460"/>
    <w:rsid w:val="00CD6685"/>
    <w:rsid w:val="00CD674F"/>
    <w:rsid w:val="00CD6784"/>
    <w:rsid w:val="00CD6813"/>
    <w:rsid w:val="00CD68B7"/>
    <w:rsid w:val="00CD68E0"/>
    <w:rsid w:val="00CD6940"/>
    <w:rsid w:val="00CD6A7D"/>
    <w:rsid w:val="00CD6D18"/>
    <w:rsid w:val="00CD6ED7"/>
    <w:rsid w:val="00CD6FB0"/>
    <w:rsid w:val="00CD6FCF"/>
    <w:rsid w:val="00CD7109"/>
    <w:rsid w:val="00CD73FE"/>
    <w:rsid w:val="00CD75A3"/>
    <w:rsid w:val="00CD791E"/>
    <w:rsid w:val="00CD7930"/>
    <w:rsid w:val="00CD7D8F"/>
    <w:rsid w:val="00CD7E6F"/>
    <w:rsid w:val="00CE0110"/>
    <w:rsid w:val="00CE033D"/>
    <w:rsid w:val="00CE0590"/>
    <w:rsid w:val="00CE05B2"/>
    <w:rsid w:val="00CE06B1"/>
    <w:rsid w:val="00CE0713"/>
    <w:rsid w:val="00CE0A5C"/>
    <w:rsid w:val="00CE0ABF"/>
    <w:rsid w:val="00CE0B18"/>
    <w:rsid w:val="00CE0B6C"/>
    <w:rsid w:val="00CE0B94"/>
    <w:rsid w:val="00CE0E6A"/>
    <w:rsid w:val="00CE0EC3"/>
    <w:rsid w:val="00CE106E"/>
    <w:rsid w:val="00CE14F7"/>
    <w:rsid w:val="00CE154C"/>
    <w:rsid w:val="00CE1A7F"/>
    <w:rsid w:val="00CE2150"/>
    <w:rsid w:val="00CE2214"/>
    <w:rsid w:val="00CE2297"/>
    <w:rsid w:val="00CE23A4"/>
    <w:rsid w:val="00CE2548"/>
    <w:rsid w:val="00CE27E8"/>
    <w:rsid w:val="00CE2A0F"/>
    <w:rsid w:val="00CE2CE8"/>
    <w:rsid w:val="00CE2D18"/>
    <w:rsid w:val="00CE2EEF"/>
    <w:rsid w:val="00CE337E"/>
    <w:rsid w:val="00CE33E6"/>
    <w:rsid w:val="00CE3477"/>
    <w:rsid w:val="00CE34A0"/>
    <w:rsid w:val="00CE3625"/>
    <w:rsid w:val="00CE371E"/>
    <w:rsid w:val="00CE3A94"/>
    <w:rsid w:val="00CE3D2B"/>
    <w:rsid w:val="00CE413F"/>
    <w:rsid w:val="00CE4249"/>
    <w:rsid w:val="00CE4301"/>
    <w:rsid w:val="00CE4394"/>
    <w:rsid w:val="00CE4820"/>
    <w:rsid w:val="00CE48ED"/>
    <w:rsid w:val="00CE4A1C"/>
    <w:rsid w:val="00CE4D06"/>
    <w:rsid w:val="00CE4DDA"/>
    <w:rsid w:val="00CE4F54"/>
    <w:rsid w:val="00CE559D"/>
    <w:rsid w:val="00CE5854"/>
    <w:rsid w:val="00CE5897"/>
    <w:rsid w:val="00CE5980"/>
    <w:rsid w:val="00CE5A2B"/>
    <w:rsid w:val="00CE5AA7"/>
    <w:rsid w:val="00CE5DB4"/>
    <w:rsid w:val="00CE5E85"/>
    <w:rsid w:val="00CE5EA3"/>
    <w:rsid w:val="00CE5F64"/>
    <w:rsid w:val="00CE5FEA"/>
    <w:rsid w:val="00CE6096"/>
    <w:rsid w:val="00CE6106"/>
    <w:rsid w:val="00CE6151"/>
    <w:rsid w:val="00CE6172"/>
    <w:rsid w:val="00CE6466"/>
    <w:rsid w:val="00CE64DD"/>
    <w:rsid w:val="00CE6598"/>
    <w:rsid w:val="00CE6747"/>
    <w:rsid w:val="00CE6839"/>
    <w:rsid w:val="00CE68CD"/>
    <w:rsid w:val="00CE69A2"/>
    <w:rsid w:val="00CE6A59"/>
    <w:rsid w:val="00CE6AF0"/>
    <w:rsid w:val="00CE6C31"/>
    <w:rsid w:val="00CE6EE0"/>
    <w:rsid w:val="00CE6F03"/>
    <w:rsid w:val="00CE7195"/>
    <w:rsid w:val="00CE73BD"/>
    <w:rsid w:val="00CE759C"/>
    <w:rsid w:val="00CE78F8"/>
    <w:rsid w:val="00CE7A4C"/>
    <w:rsid w:val="00CE7DBF"/>
    <w:rsid w:val="00CE7EEC"/>
    <w:rsid w:val="00CE7F56"/>
    <w:rsid w:val="00CF035E"/>
    <w:rsid w:val="00CF0366"/>
    <w:rsid w:val="00CF07CA"/>
    <w:rsid w:val="00CF0BA0"/>
    <w:rsid w:val="00CF0C98"/>
    <w:rsid w:val="00CF0F90"/>
    <w:rsid w:val="00CF1145"/>
    <w:rsid w:val="00CF12A4"/>
    <w:rsid w:val="00CF145C"/>
    <w:rsid w:val="00CF193A"/>
    <w:rsid w:val="00CF1AA0"/>
    <w:rsid w:val="00CF1BDF"/>
    <w:rsid w:val="00CF1C6A"/>
    <w:rsid w:val="00CF1EC7"/>
    <w:rsid w:val="00CF2260"/>
    <w:rsid w:val="00CF22C0"/>
    <w:rsid w:val="00CF2443"/>
    <w:rsid w:val="00CF28E6"/>
    <w:rsid w:val="00CF2936"/>
    <w:rsid w:val="00CF299D"/>
    <w:rsid w:val="00CF2B27"/>
    <w:rsid w:val="00CF2C61"/>
    <w:rsid w:val="00CF2DAD"/>
    <w:rsid w:val="00CF2F36"/>
    <w:rsid w:val="00CF312E"/>
    <w:rsid w:val="00CF3171"/>
    <w:rsid w:val="00CF32D6"/>
    <w:rsid w:val="00CF3619"/>
    <w:rsid w:val="00CF38F2"/>
    <w:rsid w:val="00CF3A60"/>
    <w:rsid w:val="00CF3A66"/>
    <w:rsid w:val="00CF3E63"/>
    <w:rsid w:val="00CF3E6F"/>
    <w:rsid w:val="00CF3EBA"/>
    <w:rsid w:val="00CF4151"/>
    <w:rsid w:val="00CF42C0"/>
    <w:rsid w:val="00CF4337"/>
    <w:rsid w:val="00CF44B9"/>
    <w:rsid w:val="00CF46F8"/>
    <w:rsid w:val="00CF484C"/>
    <w:rsid w:val="00CF495D"/>
    <w:rsid w:val="00CF496C"/>
    <w:rsid w:val="00CF4A86"/>
    <w:rsid w:val="00CF4ABD"/>
    <w:rsid w:val="00CF4B0D"/>
    <w:rsid w:val="00CF4B68"/>
    <w:rsid w:val="00CF4E75"/>
    <w:rsid w:val="00CF5145"/>
    <w:rsid w:val="00CF5334"/>
    <w:rsid w:val="00CF539F"/>
    <w:rsid w:val="00CF5876"/>
    <w:rsid w:val="00CF595E"/>
    <w:rsid w:val="00CF5A59"/>
    <w:rsid w:val="00CF5B28"/>
    <w:rsid w:val="00CF5B5D"/>
    <w:rsid w:val="00CF5C45"/>
    <w:rsid w:val="00CF5CB3"/>
    <w:rsid w:val="00CF5D19"/>
    <w:rsid w:val="00CF5DD0"/>
    <w:rsid w:val="00CF5E49"/>
    <w:rsid w:val="00CF5E63"/>
    <w:rsid w:val="00CF60B1"/>
    <w:rsid w:val="00CF60C5"/>
    <w:rsid w:val="00CF629F"/>
    <w:rsid w:val="00CF6471"/>
    <w:rsid w:val="00CF6492"/>
    <w:rsid w:val="00CF67BC"/>
    <w:rsid w:val="00CF68B9"/>
    <w:rsid w:val="00CF6A2A"/>
    <w:rsid w:val="00CF6AE3"/>
    <w:rsid w:val="00CF6E70"/>
    <w:rsid w:val="00CF6EB9"/>
    <w:rsid w:val="00CF6FA3"/>
    <w:rsid w:val="00CF7114"/>
    <w:rsid w:val="00CF7279"/>
    <w:rsid w:val="00CF78A0"/>
    <w:rsid w:val="00CF794A"/>
    <w:rsid w:val="00CF79F6"/>
    <w:rsid w:val="00CF7A26"/>
    <w:rsid w:val="00CF7CCF"/>
    <w:rsid w:val="00CF7E8A"/>
    <w:rsid w:val="00CF7F3C"/>
    <w:rsid w:val="00CF7FBB"/>
    <w:rsid w:val="00D001F8"/>
    <w:rsid w:val="00D0033A"/>
    <w:rsid w:val="00D00341"/>
    <w:rsid w:val="00D0075B"/>
    <w:rsid w:val="00D0089F"/>
    <w:rsid w:val="00D00B6D"/>
    <w:rsid w:val="00D0135E"/>
    <w:rsid w:val="00D01398"/>
    <w:rsid w:val="00D013F7"/>
    <w:rsid w:val="00D015C7"/>
    <w:rsid w:val="00D016BD"/>
    <w:rsid w:val="00D01774"/>
    <w:rsid w:val="00D017C6"/>
    <w:rsid w:val="00D01C0A"/>
    <w:rsid w:val="00D01CA6"/>
    <w:rsid w:val="00D01F62"/>
    <w:rsid w:val="00D0204D"/>
    <w:rsid w:val="00D0245C"/>
    <w:rsid w:val="00D02588"/>
    <w:rsid w:val="00D025E6"/>
    <w:rsid w:val="00D02997"/>
    <w:rsid w:val="00D02A6E"/>
    <w:rsid w:val="00D02C29"/>
    <w:rsid w:val="00D02CCF"/>
    <w:rsid w:val="00D02DA5"/>
    <w:rsid w:val="00D02E56"/>
    <w:rsid w:val="00D03150"/>
    <w:rsid w:val="00D031F2"/>
    <w:rsid w:val="00D03722"/>
    <w:rsid w:val="00D03C9E"/>
    <w:rsid w:val="00D03E10"/>
    <w:rsid w:val="00D041A7"/>
    <w:rsid w:val="00D042C2"/>
    <w:rsid w:val="00D04657"/>
    <w:rsid w:val="00D0481B"/>
    <w:rsid w:val="00D04870"/>
    <w:rsid w:val="00D0487B"/>
    <w:rsid w:val="00D04DBE"/>
    <w:rsid w:val="00D05048"/>
    <w:rsid w:val="00D05295"/>
    <w:rsid w:val="00D052E1"/>
    <w:rsid w:val="00D05383"/>
    <w:rsid w:val="00D05442"/>
    <w:rsid w:val="00D05764"/>
    <w:rsid w:val="00D05BEA"/>
    <w:rsid w:val="00D05D8E"/>
    <w:rsid w:val="00D05DC7"/>
    <w:rsid w:val="00D05F23"/>
    <w:rsid w:val="00D05FAD"/>
    <w:rsid w:val="00D05FF2"/>
    <w:rsid w:val="00D0600F"/>
    <w:rsid w:val="00D060B3"/>
    <w:rsid w:val="00D06192"/>
    <w:rsid w:val="00D0678D"/>
    <w:rsid w:val="00D06905"/>
    <w:rsid w:val="00D069A6"/>
    <w:rsid w:val="00D06BFA"/>
    <w:rsid w:val="00D06CC0"/>
    <w:rsid w:val="00D07024"/>
    <w:rsid w:val="00D07053"/>
    <w:rsid w:val="00D07163"/>
    <w:rsid w:val="00D07337"/>
    <w:rsid w:val="00D07549"/>
    <w:rsid w:val="00D0761A"/>
    <w:rsid w:val="00D0763E"/>
    <w:rsid w:val="00D076F8"/>
    <w:rsid w:val="00D07893"/>
    <w:rsid w:val="00D078BB"/>
    <w:rsid w:val="00D07980"/>
    <w:rsid w:val="00D07A67"/>
    <w:rsid w:val="00D07B8F"/>
    <w:rsid w:val="00D07BF7"/>
    <w:rsid w:val="00D07D56"/>
    <w:rsid w:val="00D10127"/>
    <w:rsid w:val="00D10272"/>
    <w:rsid w:val="00D103AC"/>
    <w:rsid w:val="00D10466"/>
    <w:rsid w:val="00D105F7"/>
    <w:rsid w:val="00D10698"/>
    <w:rsid w:val="00D107F6"/>
    <w:rsid w:val="00D10BB7"/>
    <w:rsid w:val="00D10BEB"/>
    <w:rsid w:val="00D10C84"/>
    <w:rsid w:val="00D10CB9"/>
    <w:rsid w:val="00D10DFF"/>
    <w:rsid w:val="00D112AD"/>
    <w:rsid w:val="00D114A9"/>
    <w:rsid w:val="00D11639"/>
    <w:rsid w:val="00D116BE"/>
    <w:rsid w:val="00D1190A"/>
    <w:rsid w:val="00D11E4E"/>
    <w:rsid w:val="00D11F8E"/>
    <w:rsid w:val="00D1201B"/>
    <w:rsid w:val="00D1231D"/>
    <w:rsid w:val="00D12368"/>
    <w:rsid w:val="00D1276F"/>
    <w:rsid w:val="00D127DE"/>
    <w:rsid w:val="00D1290E"/>
    <w:rsid w:val="00D12939"/>
    <w:rsid w:val="00D12A8E"/>
    <w:rsid w:val="00D12C91"/>
    <w:rsid w:val="00D12C96"/>
    <w:rsid w:val="00D12D81"/>
    <w:rsid w:val="00D131D1"/>
    <w:rsid w:val="00D13281"/>
    <w:rsid w:val="00D13378"/>
    <w:rsid w:val="00D13465"/>
    <w:rsid w:val="00D1361E"/>
    <w:rsid w:val="00D13696"/>
    <w:rsid w:val="00D13730"/>
    <w:rsid w:val="00D137FA"/>
    <w:rsid w:val="00D1388B"/>
    <w:rsid w:val="00D13A23"/>
    <w:rsid w:val="00D13B52"/>
    <w:rsid w:val="00D13C4A"/>
    <w:rsid w:val="00D13D0B"/>
    <w:rsid w:val="00D13ECD"/>
    <w:rsid w:val="00D13EDA"/>
    <w:rsid w:val="00D13F26"/>
    <w:rsid w:val="00D13FB1"/>
    <w:rsid w:val="00D14023"/>
    <w:rsid w:val="00D142A5"/>
    <w:rsid w:val="00D149E6"/>
    <w:rsid w:val="00D14A83"/>
    <w:rsid w:val="00D14C7E"/>
    <w:rsid w:val="00D14EC1"/>
    <w:rsid w:val="00D150B8"/>
    <w:rsid w:val="00D151C8"/>
    <w:rsid w:val="00D15200"/>
    <w:rsid w:val="00D1567E"/>
    <w:rsid w:val="00D156B3"/>
    <w:rsid w:val="00D15859"/>
    <w:rsid w:val="00D159EA"/>
    <w:rsid w:val="00D15B3A"/>
    <w:rsid w:val="00D15C5F"/>
    <w:rsid w:val="00D15CE0"/>
    <w:rsid w:val="00D15D1A"/>
    <w:rsid w:val="00D15DC5"/>
    <w:rsid w:val="00D16011"/>
    <w:rsid w:val="00D16079"/>
    <w:rsid w:val="00D160F3"/>
    <w:rsid w:val="00D16157"/>
    <w:rsid w:val="00D162EA"/>
    <w:rsid w:val="00D16581"/>
    <w:rsid w:val="00D167C3"/>
    <w:rsid w:val="00D16891"/>
    <w:rsid w:val="00D16B4E"/>
    <w:rsid w:val="00D16B65"/>
    <w:rsid w:val="00D16CB5"/>
    <w:rsid w:val="00D16D3D"/>
    <w:rsid w:val="00D16F1C"/>
    <w:rsid w:val="00D17088"/>
    <w:rsid w:val="00D170BB"/>
    <w:rsid w:val="00D17145"/>
    <w:rsid w:val="00D17308"/>
    <w:rsid w:val="00D17714"/>
    <w:rsid w:val="00D1776A"/>
    <w:rsid w:val="00D17785"/>
    <w:rsid w:val="00D17926"/>
    <w:rsid w:val="00D1798F"/>
    <w:rsid w:val="00D179E6"/>
    <w:rsid w:val="00D17A9A"/>
    <w:rsid w:val="00D20346"/>
    <w:rsid w:val="00D205D8"/>
    <w:rsid w:val="00D20883"/>
    <w:rsid w:val="00D20D58"/>
    <w:rsid w:val="00D21236"/>
    <w:rsid w:val="00D212E4"/>
    <w:rsid w:val="00D21809"/>
    <w:rsid w:val="00D2187B"/>
    <w:rsid w:val="00D21CFE"/>
    <w:rsid w:val="00D21E07"/>
    <w:rsid w:val="00D21FDA"/>
    <w:rsid w:val="00D2225E"/>
    <w:rsid w:val="00D22396"/>
    <w:rsid w:val="00D22647"/>
    <w:rsid w:val="00D2277D"/>
    <w:rsid w:val="00D2283C"/>
    <w:rsid w:val="00D22DEB"/>
    <w:rsid w:val="00D23079"/>
    <w:rsid w:val="00D230ED"/>
    <w:rsid w:val="00D234A0"/>
    <w:rsid w:val="00D23544"/>
    <w:rsid w:val="00D235BA"/>
    <w:rsid w:val="00D2380A"/>
    <w:rsid w:val="00D238B3"/>
    <w:rsid w:val="00D23B59"/>
    <w:rsid w:val="00D23D25"/>
    <w:rsid w:val="00D23D88"/>
    <w:rsid w:val="00D23F43"/>
    <w:rsid w:val="00D2412A"/>
    <w:rsid w:val="00D2414D"/>
    <w:rsid w:val="00D2422F"/>
    <w:rsid w:val="00D245B0"/>
    <w:rsid w:val="00D24EE6"/>
    <w:rsid w:val="00D2504C"/>
    <w:rsid w:val="00D2523F"/>
    <w:rsid w:val="00D253B3"/>
    <w:rsid w:val="00D2544C"/>
    <w:rsid w:val="00D25495"/>
    <w:rsid w:val="00D254F3"/>
    <w:rsid w:val="00D2575B"/>
    <w:rsid w:val="00D258BC"/>
    <w:rsid w:val="00D25AFC"/>
    <w:rsid w:val="00D25BEC"/>
    <w:rsid w:val="00D25CC5"/>
    <w:rsid w:val="00D25F70"/>
    <w:rsid w:val="00D25FD1"/>
    <w:rsid w:val="00D2606E"/>
    <w:rsid w:val="00D2608C"/>
    <w:rsid w:val="00D261DF"/>
    <w:rsid w:val="00D262B0"/>
    <w:rsid w:val="00D2654C"/>
    <w:rsid w:val="00D2666A"/>
    <w:rsid w:val="00D266F9"/>
    <w:rsid w:val="00D26766"/>
    <w:rsid w:val="00D268A8"/>
    <w:rsid w:val="00D268EF"/>
    <w:rsid w:val="00D2693F"/>
    <w:rsid w:val="00D26AAF"/>
    <w:rsid w:val="00D26C8A"/>
    <w:rsid w:val="00D26D75"/>
    <w:rsid w:val="00D2710C"/>
    <w:rsid w:val="00D2725E"/>
    <w:rsid w:val="00D2739F"/>
    <w:rsid w:val="00D27415"/>
    <w:rsid w:val="00D2741C"/>
    <w:rsid w:val="00D27537"/>
    <w:rsid w:val="00D27697"/>
    <w:rsid w:val="00D276E3"/>
    <w:rsid w:val="00D27759"/>
    <w:rsid w:val="00D2777B"/>
    <w:rsid w:val="00D278B7"/>
    <w:rsid w:val="00D279B4"/>
    <w:rsid w:val="00D27AB2"/>
    <w:rsid w:val="00D27F36"/>
    <w:rsid w:val="00D30387"/>
    <w:rsid w:val="00D307CB"/>
    <w:rsid w:val="00D308A4"/>
    <w:rsid w:val="00D308B5"/>
    <w:rsid w:val="00D308BF"/>
    <w:rsid w:val="00D30978"/>
    <w:rsid w:val="00D30D52"/>
    <w:rsid w:val="00D30E31"/>
    <w:rsid w:val="00D30F9C"/>
    <w:rsid w:val="00D3153C"/>
    <w:rsid w:val="00D31613"/>
    <w:rsid w:val="00D316F5"/>
    <w:rsid w:val="00D317D0"/>
    <w:rsid w:val="00D318A4"/>
    <w:rsid w:val="00D31A94"/>
    <w:rsid w:val="00D31B2F"/>
    <w:rsid w:val="00D31BE0"/>
    <w:rsid w:val="00D3226E"/>
    <w:rsid w:val="00D32322"/>
    <w:rsid w:val="00D32597"/>
    <w:rsid w:val="00D325D7"/>
    <w:rsid w:val="00D32960"/>
    <w:rsid w:val="00D329C7"/>
    <w:rsid w:val="00D32BFF"/>
    <w:rsid w:val="00D33179"/>
    <w:rsid w:val="00D33205"/>
    <w:rsid w:val="00D33225"/>
    <w:rsid w:val="00D33395"/>
    <w:rsid w:val="00D333F6"/>
    <w:rsid w:val="00D3385E"/>
    <w:rsid w:val="00D338E8"/>
    <w:rsid w:val="00D33911"/>
    <w:rsid w:val="00D33A53"/>
    <w:rsid w:val="00D33B4C"/>
    <w:rsid w:val="00D33C03"/>
    <w:rsid w:val="00D33C47"/>
    <w:rsid w:val="00D33DCF"/>
    <w:rsid w:val="00D33E4F"/>
    <w:rsid w:val="00D33E7F"/>
    <w:rsid w:val="00D33F41"/>
    <w:rsid w:val="00D33FCD"/>
    <w:rsid w:val="00D341EB"/>
    <w:rsid w:val="00D3465B"/>
    <w:rsid w:val="00D3474B"/>
    <w:rsid w:val="00D34902"/>
    <w:rsid w:val="00D34925"/>
    <w:rsid w:val="00D34A02"/>
    <w:rsid w:val="00D34A43"/>
    <w:rsid w:val="00D34B63"/>
    <w:rsid w:val="00D34E4C"/>
    <w:rsid w:val="00D356AC"/>
    <w:rsid w:val="00D3571B"/>
    <w:rsid w:val="00D35C76"/>
    <w:rsid w:val="00D35D16"/>
    <w:rsid w:val="00D35D72"/>
    <w:rsid w:val="00D35E0E"/>
    <w:rsid w:val="00D35ED5"/>
    <w:rsid w:val="00D35F82"/>
    <w:rsid w:val="00D363D9"/>
    <w:rsid w:val="00D3669C"/>
    <w:rsid w:val="00D36769"/>
    <w:rsid w:val="00D36808"/>
    <w:rsid w:val="00D36987"/>
    <w:rsid w:val="00D36BD0"/>
    <w:rsid w:val="00D36BFC"/>
    <w:rsid w:val="00D36C4A"/>
    <w:rsid w:val="00D36E18"/>
    <w:rsid w:val="00D36FC8"/>
    <w:rsid w:val="00D3708F"/>
    <w:rsid w:val="00D37130"/>
    <w:rsid w:val="00D3713D"/>
    <w:rsid w:val="00D3732C"/>
    <w:rsid w:val="00D37454"/>
    <w:rsid w:val="00D3748D"/>
    <w:rsid w:val="00D37564"/>
    <w:rsid w:val="00D37576"/>
    <w:rsid w:val="00D375AC"/>
    <w:rsid w:val="00D37606"/>
    <w:rsid w:val="00D37877"/>
    <w:rsid w:val="00D37986"/>
    <w:rsid w:val="00D37991"/>
    <w:rsid w:val="00D379D4"/>
    <w:rsid w:val="00D37A99"/>
    <w:rsid w:val="00D37AC3"/>
    <w:rsid w:val="00D37BC7"/>
    <w:rsid w:val="00D37DC1"/>
    <w:rsid w:val="00D37E27"/>
    <w:rsid w:val="00D37F2D"/>
    <w:rsid w:val="00D37FC7"/>
    <w:rsid w:val="00D401FF"/>
    <w:rsid w:val="00D40217"/>
    <w:rsid w:val="00D403AE"/>
    <w:rsid w:val="00D40402"/>
    <w:rsid w:val="00D4042F"/>
    <w:rsid w:val="00D40434"/>
    <w:rsid w:val="00D4054C"/>
    <w:rsid w:val="00D4059C"/>
    <w:rsid w:val="00D40908"/>
    <w:rsid w:val="00D40AC7"/>
    <w:rsid w:val="00D40B2C"/>
    <w:rsid w:val="00D40D41"/>
    <w:rsid w:val="00D40E53"/>
    <w:rsid w:val="00D40F89"/>
    <w:rsid w:val="00D40FB3"/>
    <w:rsid w:val="00D4115F"/>
    <w:rsid w:val="00D41280"/>
    <w:rsid w:val="00D4179F"/>
    <w:rsid w:val="00D41D20"/>
    <w:rsid w:val="00D41F5F"/>
    <w:rsid w:val="00D420EB"/>
    <w:rsid w:val="00D4230C"/>
    <w:rsid w:val="00D4246D"/>
    <w:rsid w:val="00D42671"/>
    <w:rsid w:val="00D428A7"/>
    <w:rsid w:val="00D428E3"/>
    <w:rsid w:val="00D42C3C"/>
    <w:rsid w:val="00D42C8E"/>
    <w:rsid w:val="00D42C8F"/>
    <w:rsid w:val="00D42DB4"/>
    <w:rsid w:val="00D42DED"/>
    <w:rsid w:val="00D42F75"/>
    <w:rsid w:val="00D431EE"/>
    <w:rsid w:val="00D43351"/>
    <w:rsid w:val="00D4337D"/>
    <w:rsid w:val="00D43465"/>
    <w:rsid w:val="00D43551"/>
    <w:rsid w:val="00D437E7"/>
    <w:rsid w:val="00D4393F"/>
    <w:rsid w:val="00D43CE8"/>
    <w:rsid w:val="00D43DCA"/>
    <w:rsid w:val="00D43E1B"/>
    <w:rsid w:val="00D43F2B"/>
    <w:rsid w:val="00D44219"/>
    <w:rsid w:val="00D442E5"/>
    <w:rsid w:val="00D4431E"/>
    <w:rsid w:val="00D446C8"/>
    <w:rsid w:val="00D44BEA"/>
    <w:rsid w:val="00D44CA6"/>
    <w:rsid w:val="00D44D10"/>
    <w:rsid w:val="00D44EBB"/>
    <w:rsid w:val="00D44F40"/>
    <w:rsid w:val="00D4507E"/>
    <w:rsid w:val="00D45083"/>
    <w:rsid w:val="00D450E4"/>
    <w:rsid w:val="00D453A1"/>
    <w:rsid w:val="00D455BE"/>
    <w:rsid w:val="00D455D4"/>
    <w:rsid w:val="00D45748"/>
    <w:rsid w:val="00D457F5"/>
    <w:rsid w:val="00D45A9E"/>
    <w:rsid w:val="00D45CE5"/>
    <w:rsid w:val="00D45EB2"/>
    <w:rsid w:val="00D45F04"/>
    <w:rsid w:val="00D45FAF"/>
    <w:rsid w:val="00D46012"/>
    <w:rsid w:val="00D46415"/>
    <w:rsid w:val="00D46739"/>
    <w:rsid w:val="00D468C6"/>
    <w:rsid w:val="00D4696D"/>
    <w:rsid w:val="00D46CD8"/>
    <w:rsid w:val="00D46EF7"/>
    <w:rsid w:val="00D46FF1"/>
    <w:rsid w:val="00D471FF"/>
    <w:rsid w:val="00D47336"/>
    <w:rsid w:val="00D47434"/>
    <w:rsid w:val="00D47529"/>
    <w:rsid w:val="00D47594"/>
    <w:rsid w:val="00D47B3A"/>
    <w:rsid w:val="00D47BB2"/>
    <w:rsid w:val="00D47EBF"/>
    <w:rsid w:val="00D5046B"/>
    <w:rsid w:val="00D507ED"/>
    <w:rsid w:val="00D50BD4"/>
    <w:rsid w:val="00D50C29"/>
    <w:rsid w:val="00D50C8F"/>
    <w:rsid w:val="00D50F2B"/>
    <w:rsid w:val="00D50FB2"/>
    <w:rsid w:val="00D51458"/>
    <w:rsid w:val="00D514FE"/>
    <w:rsid w:val="00D517B1"/>
    <w:rsid w:val="00D517DB"/>
    <w:rsid w:val="00D519BC"/>
    <w:rsid w:val="00D51C47"/>
    <w:rsid w:val="00D51D09"/>
    <w:rsid w:val="00D5242E"/>
    <w:rsid w:val="00D52521"/>
    <w:rsid w:val="00D52597"/>
    <w:rsid w:val="00D525C2"/>
    <w:rsid w:val="00D52918"/>
    <w:rsid w:val="00D52951"/>
    <w:rsid w:val="00D52B24"/>
    <w:rsid w:val="00D52E91"/>
    <w:rsid w:val="00D52FB7"/>
    <w:rsid w:val="00D5302B"/>
    <w:rsid w:val="00D53331"/>
    <w:rsid w:val="00D53641"/>
    <w:rsid w:val="00D53671"/>
    <w:rsid w:val="00D5375A"/>
    <w:rsid w:val="00D537AC"/>
    <w:rsid w:val="00D53A60"/>
    <w:rsid w:val="00D53B56"/>
    <w:rsid w:val="00D53E83"/>
    <w:rsid w:val="00D54444"/>
    <w:rsid w:val="00D54619"/>
    <w:rsid w:val="00D54BEE"/>
    <w:rsid w:val="00D55058"/>
    <w:rsid w:val="00D550AE"/>
    <w:rsid w:val="00D55171"/>
    <w:rsid w:val="00D552E9"/>
    <w:rsid w:val="00D552F9"/>
    <w:rsid w:val="00D553DF"/>
    <w:rsid w:val="00D553F6"/>
    <w:rsid w:val="00D55589"/>
    <w:rsid w:val="00D5561B"/>
    <w:rsid w:val="00D55A3A"/>
    <w:rsid w:val="00D55BBB"/>
    <w:rsid w:val="00D56046"/>
    <w:rsid w:val="00D56118"/>
    <w:rsid w:val="00D56377"/>
    <w:rsid w:val="00D566F3"/>
    <w:rsid w:val="00D566FF"/>
    <w:rsid w:val="00D56896"/>
    <w:rsid w:val="00D568A3"/>
    <w:rsid w:val="00D56A90"/>
    <w:rsid w:val="00D56B59"/>
    <w:rsid w:val="00D56F42"/>
    <w:rsid w:val="00D57146"/>
    <w:rsid w:val="00D57185"/>
    <w:rsid w:val="00D572A2"/>
    <w:rsid w:val="00D5731A"/>
    <w:rsid w:val="00D57463"/>
    <w:rsid w:val="00D574C7"/>
    <w:rsid w:val="00D57643"/>
    <w:rsid w:val="00D57933"/>
    <w:rsid w:val="00D57E6C"/>
    <w:rsid w:val="00D601FC"/>
    <w:rsid w:val="00D6068F"/>
    <w:rsid w:val="00D608C0"/>
    <w:rsid w:val="00D60C67"/>
    <w:rsid w:val="00D60ECF"/>
    <w:rsid w:val="00D61266"/>
    <w:rsid w:val="00D61463"/>
    <w:rsid w:val="00D61579"/>
    <w:rsid w:val="00D61596"/>
    <w:rsid w:val="00D61609"/>
    <w:rsid w:val="00D616CA"/>
    <w:rsid w:val="00D61738"/>
    <w:rsid w:val="00D6196E"/>
    <w:rsid w:val="00D61B60"/>
    <w:rsid w:val="00D6206A"/>
    <w:rsid w:val="00D620AA"/>
    <w:rsid w:val="00D6239F"/>
    <w:rsid w:val="00D626C4"/>
    <w:rsid w:val="00D62C2F"/>
    <w:rsid w:val="00D62C91"/>
    <w:rsid w:val="00D6315F"/>
    <w:rsid w:val="00D6326A"/>
    <w:rsid w:val="00D63290"/>
    <w:rsid w:val="00D63384"/>
    <w:rsid w:val="00D63553"/>
    <w:rsid w:val="00D63582"/>
    <w:rsid w:val="00D63B65"/>
    <w:rsid w:val="00D63E29"/>
    <w:rsid w:val="00D63FB3"/>
    <w:rsid w:val="00D64444"/>
    <w:rsid w:val="00D645F2"/>
    <w:rsid w:val="00D648E0"/>
    <w:rsid w:val="00D6493E"/>
    <w:rsid w:val="00D6497E"/>
    <w:rsid w:val="00D64BAD"/>
    <w:rsid w:val="00D64C78"/>
    <w:rsid w:val="00D64E48"/>
    <w:rsid w:val="00D657C9"/>
    <w:rsid w:val="00D6582A"/>
    <w:rsid w:val="00D65CB1"/>
    <w:rsid w:val="00D6601B"/>
    <w:rsid w:val="00D667C5"/>
    <w:rsid w:val="00D668C3"/>
    <w:rsid w:val="00D668C4"/>
    <w:rsid w:val="00D669F3"/>
    <w:rsid w:val="00D66B48"/>
    <w:rsid w:val="00D66EFE"/>
    <w:rsid w:val="00D66FD1"/>
    <w:rsid w:val="00D67261"/>
    <w:rsid w:val="00D6733B"/>
    <w:rsid w:val="00D673C2"/>
    <w:rsid w:val="00D6765E"/>
    <w:rsid w:val="00D67A0C"/>
    <w:rsid w:val="00D67E99"/>
    <w:rsid w:val="00D67F96"/>
    <w:rsid w:val="00D67FCB"/>
    <w:rsid w:val="00D70602"/>
    <w:rsid w:val="00D70732"/>
    <w:rsid w:val="00D708F5"/>
    <w:rsid w:val="00D709C8"/>
    <w:rsid w:val="00D70B1D"/>
    <w:rsid w:val="00D713AA"/>
    <w:rsid w:val="00D715D3"/>
    <w:rsid w:val="00D71650"/>
    <w:rsid w:val="00D71838"/>
    <w:rsid w:val="00D71869"/>
    <w:rsid w:val="00D71B24"/>
    <w:rsid w:val="00D71C43"/>
    <w:rsid w:val="00D71C54"/>
    <w:rsid w:val="00D71EE8"/>
    <w:rsid w:val="00D72403"/>
    <w:rsid w:val="00D72619"/>
    <w:rsid w:val="00D7292C"/>
    <w:rsid w:val="00D72AA6"/>
    <w:rsid w:val="00D72BCF"/>
    <w:rsid w:val="00D72BE2"/>
    <w:rsid w:val="00D72C9C"/>
    <w:rsid w:val="00D72D19"/>
    <w:rsid w:val="00D72D55"/>
    <w:rsid w:val="00D72DBF"/>
    <w:rsid w:val="00D72EFE"/>
    <w:rsid w:val="00D72F67"/>
    <w:rsid w:val="00D72FB8"/>
    <w:rsid w:val="00D7317A"/>
    <w:rsid w:val="00D73466"/>
    <w:rsid w:val="00D735DE"/>
    <w:rsid w:val="00D73A1F"/>
    <w:rsid w:val="00D73A57"/>
    <w:rsid w:val="00D741CA"/>
    <w:rsid w:val="00D745B2"/>
    <w:rsid w:val="00D7464F"/>
    <w:rsid w:val="00D746A3"/>
    <w:rsid w:val="00D7480B"/>
    <w:rsid w:val="00D74987"/>
    <w:rsid w:val="00D74BCD"/>
    <w:rsid w:val="00D74BDB"/>
    <w:rsid w:val="00D74F26"/>
    <w:rsid w:val="00D74F27"/>
    <w:rsid w:val="00D75132"/>
    <w:rsid w:val="00D75228"/>
    <w:rsid w:val="00D7530E"/>
    <w:rsid w:val="00D755DA"/>
    <w:rsid w:val="00D75631"/>
    <w:rsid w:val="00D7568B"/>
    <w:rsid w:val="00D758AC"/>
    <w:rsid w:val="00D7594D"/>
    <w:rsid w:val="00D7595C"/>
    <w:rsid w:val="00D75B2D"/>
    <w:rsid w:val="00D76054"/>
    <w:rsid w:val="00D76103"/>
    <w:rsid w:val="00D76506"/>
    <w:rsid w:val="00D7656A"/>
    <w:rsid w:val="00D76711"/>
    <w:rsid w:val="00D76A7E"/>
    <w:rsid w:val="00D76D6F"/>
    <w:rsid w:val="00D76ED6"/>
    <w:rsid w:val="00D76FD6"/>
    <w:rsid w:val="00D77179"/>
    <w:rsid w:val="00D7729B"/>
    <w:rsid w:val="00D7730E"/>
    <w:rsid w:val="00D77B5C"/>
    <w:rsid w:val="00D77BA0"/>
    <w:rsid w:val="00D77E45"/>
    <w:rsid w:val="00D77E91"/>
    <w:rsid w:val="00D77E99"/>
    <w:rsid w:val="00D77EDA"/>
    <w:rsid w:val="00D77F67"/>
    <w:rsid w:val="00D8026B"/>
    <w:rsid w:val="00D80321"/>
    <w:rsid w:val="00D804A8"/>
    <w:rsid w:val="00D808CE"/>
    <w:rsid w:val="00D80924"/>
    <w:rsid w:val="00D8094E"/>
    <w:rsid w:val="00D80ADC"/>
    <w:rsid w:val="00D80B0F"/>
    <w:rsid w:val="00D80F0D"/>
    <w:rsid w:val="00D8112C"/>
    <w:rsid w:val="00D81977"/>
    <w:rsid w:val="00D81C86"/>
    <w:rsid w:val="00D81D70"/>
    <w:rsid w:val="00D81DBB"/>
    <w:rsid w:val="00D81EB1"/>
    <w:rsid w:val="00D822BA"/>
    <w:rsid w:val="00D824B2"/>
    <w:rsid w:val="00D8252D"/>
    <w:rsid w:val="00D82583"/>
    <w:rsid w:val="00D828E3"/>
    <w:rsid w:val="00D8295D"/>
    <w:rsid w:val="00D82EB3"/>
    <w:rsid w:val="00D83266"/>
    <w:rsid w:val="00D833FE"/>
    <w:rsid w:val="00D83462"/>
    <w:rsid w:val="00D83860"/>
    <w:rsid w:val="00D839B3"/>
    <w:rsid w:val="00D839B5"/>
    <w:rsid w:val="00D83A08"/>
    <w:rsid w:val="00D83D91"/>
    <w:rsid w:val="00D83DDC"/>
    <w:rsid w:val="00D83DF8"/>
    <w:rsid w:val="00D83E2F"/>
    <w:rsid w:val="00D840B3"/>
    <w:rsid w:val="00D840BD"/>
    <w:rsid w:val="00D84749"/>
    <w:rsid w:val="00D84761"/>
    <w:rsid w:val="00D8484D"/>
    <w:rsid w:val="00D84CF1"/>
    <w:rsid w:val="00D85087"/>
    <w:rsid w:val="00D852E3"/>
    <w:rsid w:val="00D853E0"/>
    <w:rsid w:val="00D85405"/>
    <w:rsid w:val="00D85458"/>
    <w:rsid w:val="00D854F5"/>
    <w:rsid w:val="00D8565D"/>
    <w:rsid w:val="00D856E5"/>
    <w:rsid w:val="00D859DE"/>
    <w:rsid w:val="00D85A5D"/>
    <w:rsid w:val="00D85D09"/>
    <w:rsid w:val="00D85DF2"/>
    <w:rsid w:val="00D85F88"/>
    <w:rsid w:val="00D86003"/>
    <w:rsid w:val="00D8613D"/>
    <w:rsid w:val="00D86143"/>
    <w:rsid w:val="00D86190"/>
    <w:rsid w:val="00D8626E"/>
    <w:rsid w:val="00D8653D"/>
    <w:rsid w:val="00D8678D"/>
    <w:rsid w:val="00D86BB2"/>
    <w:rsid w:val="00D86BD5"/>
    <w:rsid w:val="00D86C57"/>
    <w:rsid w:val="00D86E21"/>
    <w:rsid w:val="00D870CF"/>
    <w:rsid w:val="00D87132"/>
    <w:rsid w:val="00D87581"/>
    <w:rsid w:val="00D875F7"/>
    <w:rsid w:val="00D875FB"/>
    <w:rsid w:val="00D876FE"/>
    <w:rsid w:val="00D878CB"/>
    <w:rsid w:val="00D87A99"/>
    <w:rsid w:val="00D87B6C"/>
    <w:rsid w:val="00D87BE1"/>
    <w:rsid w:val="00D87BED"/>
    <w:rsid w:val="00D87CFE"/>
    <w:rsid w:val="00D87E65"/>
    <w:rsid w:val="00D903CE"/>
    <w:rsid w:val="00D9057A"/>
    <w:rsid w:val="00D905C5"/>
    <w:rsid w:val="00D9061B"/>
    <w:rsid w:val="00D90951"/>
    <w:rsid w:val="00D90A57"/>
    <w:rsid w:val="00D91261"/>
    <w:rsid w:val="00D91362"/>
    <w:rsid w:val="00D91513"/>
    <w:rsid w:val="00D9183F"/>
    <w:rsid w:val="00D91B88"/>
    <w:rsid w:val="00D91DD1"/>
    <w:rsid w:val="00D91E1D"/>
    <w:rsid w:val="00D91FE1"/>
    <w:rsid w:val="00D92103"/>
    <w:rsid w:val="00D9214C"/>
    <w:rsid w:val="00D92152"/>
    <w:rsid w:val="00D9229A"/>
    <w:rsid w:val="00D92376"/>
    <w:rsid w:val="00D92461"/>
    <w:rsid w:val="00D9267F"/>
    <w:rsid w:val="00D92BC0"/>
    <w:rsid w:val="00D92CA8"/>
    <w:rsid w:val="00D92D9F"/>
    <w:rsid w:val="00D92DAE"/>
    <w:rsid w:val="00D934AB"/>
    <w:rsid w:val="00D9383E"/>
    <w:rsid w:val="00D9394A"/>
    <w:rsid w:val="00D93992"/>
    <w:rsid w:val="00D93B7A"/>
    <w:rsid w:val="00D93BE2"/>
    <w:rsid w:val="00D93C2F"/>
    <w:rsid w:val="00D93E1E"/>
    <w:rsid w:val="00D93ECC"/>
    <w:rsid w:val="00D9405B"/>
    <w:rsid w:val="00D94368"/>
    <w:rsid w:val="00D9439E"/>
    <w:rsid w:val="00D94475"/>
    <w:rsid w:val="00D94931"/>
    <w:rsid w:val="00D94B19"/>
    <w:rsid w:val="00D94B27"/>
    <w:rsid w:val="00D94BBB"/>
    <w:rsid w:val="00D94FD5"/>
    <w:rsid w:val="00D951AE"/>
    <w:rsid w:val="00D9523B"/>
    <w:rsid w:val="00D9562E"/>
    <w:rsid w:val="00D95686"/>
    <w:rsid w:val="00D957C4"/>
    <w:rsid w:val="00D958BC"/>
    <w:rsid w:val="00D95C27"/>
    <w:rsid w:val="00D95C45"/>
    <w:rsid w:val="00D95D51"/>
    <w:rsid w:val="00D96108"/>
    <w:rsid w:val="00D96539"/>
    <w:rsid w:val="00D9653D"/>
    <w:rsid w:val="00D966CA"/>
    <w:rsid w:val="00D966DA"/>
    <w:rsid w:val="00D96894"/>
    <w:rsid w:val="00D96926"/>
    <w:rsid w:val="00D96A59"/>
    <w:rsid w:val="00D96DA4"/>
    <w:rsid w:val="00D96EA5"/>
    <w:rsid w:val="00D96F3C"/>
    <w:rsid w:val="00D96F48"/>
    <w:rsid w:val="00D9711F"/>
    <w:rsid w:val="00D973E1"/>
    <w:rsid w:val="00D97605"/>
    <w:rsid w:val="00D97823"/>
    <w:rsid w:val="00D97942"/>
    <w:rsid w:val="00D979D8"/>
    <w:rsid w:val="00D97A5C"/>
    <w:rsid w:val="00D97CC1"/>
    <w:rsid w:val="00DA00E6"/>
    <w:rsid w:val="00DA02AF"/>
    <w:rsid w:val="00DA034C"/>
    <w:rsid w:val="00DA03D7"/>
    <w:rsid w:val="00DA0A72"/>
    <w:rsid w:val="00DA0AAD"/>
    <w:rsid w:val="00DA0D22"/>
    <w:rsid w:val="00DA0D6A"/>
    <w:rsid w:val="00DA10BE"/>
    <w:rsid w:val="00DA121C"/>
    <w:rsid w:val="00DA1221"/>
    <w:rsid w:val="00DA15C2"/>
    <w:rsid w:val="00DA191B"/>
    <w:rsid w:val="00DA192C"/>
    <w:rsid w:val="00DA1B4E"/>
    <w:rsid w:val="00DA221C"/>
    <w:rsid w:val="00DA2258"/>
    <w:rsid w:val="00DA270C"/>
    <w:rsid w:val="00DA2717"/>
    <w:rsid w:val="00DA2844"/>
    <w:rsid w:val="00DA2868"/>
    <w:rsid w:val="00DA297F"/>
    <w:rsid w:val="00DA2998"/>
    <w:rsid w:val="00DA29ED"/>
    <w:rsid w:val="00DA2BDE"/>
    <w:rsid w:val="00DA2C27"/>
    <w:rsid w:val="00DA2C90"/>
    <w:rsid w:val="00DA2D25"/>
    <w:rsid w:val="00DA2E24"/>
    <w:rsid w:val="00DA2ECD"/>
    <w:rsid w:val="00DA2F7F"/>
    <w:rsid w:val="00DA2FE1"/>
    <w:rsid w:val="00DA30B5"/>
    <w:rsid w:val="00DA33CE"/>
    <w:rsid w:val="00DA343C"/>
    <w:rsid w:val="00DA34DB"/>
    <w:rsid w:val="00DA37E6"/>
    <w:rsid w:val="00DA3801"/>
    <w:rsid w:val="00DA389E"/>
    <w:rsid w:val="00DA3D9F"/>
    <w:rsid w:val="00DA3E69"/>
    <w:rsid w:val="00DA4045"/>
    <w:rsid w:val="00DA4448"/>
    <w:rsid w:val="00DA4503"/>
    <w:rsid w:val="00DA4757"/>
    <w:rsid w:val="00DA48CD"/>
    <w:rsid w:val="00DA4AAA"/>
    <w:rsid w:val="00DA4AAC"/>
    <w:rsid w:val="00DA4ACA"/>
    <w:rsid w:val="00DA4D7A"/>
    <w:rsid w:val="00DA50FE"/>
    <w:rsid w:val="00DA5569"/>
    <w:rsid w:val="00DA56A2"/>
    <w:rsid w:val="00DA56AC"/>
    <w:rsid w:val="00DA576C"/>
    <w:rsid w:val="00DA5961"/>
    <w:rsid w:val="00DA5B02"/>
    <w:rsid w:val="00DA5EC5"/>
    <w:rsid w:val="00DA645B"/>
    <w:rsid w:val="00DA68B5"/>
    <w:rsid w:val="00DA6A2B"/>
    <w:rsid w:val="00DA6A32"/>
    <w:rsid w:val="00DA6D66"/>
    <w:rsid w:val="00DA6DA6"/>
    <w:rsid w:val="00DA6EB4"/>
    <w:rsid w:val="00DA6FAE"/>
    <w:rsid w:val="00DA6FC3"/>
    <w:rsid w:val="00DA730A"/>
    <w:rsid w:val="00DA7361"/>
    <w:rsid w:val="00DA7572"/>
    <w:rsid w:val="00DA78D9"/>
    <w:rsid w:val="00DA7959"/>
    <w:rsid w:val="00DA79A7"/>
    <w:rsid w:val="00DA7BFB"/>
    <w:rsid w:val="00DA7CC8"/>
    <w:rsid w:val="00DA7D88"/>
    <w:rsid w:val="00DB006C"/>
    <w:rsid w:val="00DB037C"/>
    <w:rsid w:val="00DB04CE"/>
    <w:rsid w:val="00DB0579"/>
    <w:rsid w:val="00DB0580"/>
    <w:rsid w:val="00DB0B4F"/>
    <w:rsid w:val="00DB0B86"/>
    <w:rsid w:val="00DB0BE6"/>
    <w:rsid w:val="00DB0C34"/>
    <w:rsid w:val="00DB0C67"/>
    <w:rsid w:val="00DB0DB7"/>
    <w:rsid w:val="00DB0DFD"/>
    <w:rsid w:val="00DB0EC2"/>
    <w:rsid w:val="00DB0EC5"/>
    <w:rsid w:val="00DB1019"/>
    <w:rsid w:val="00DB1816"/>
    <w:rsid w:val="00DB190B"/>
    <w:rsid w:val="00DB2288"/>
    <w:rsid w:val="00DB2391"/>
    <w:rsid w:val="00DB2423"/>
    <w:rsid w:val="00DB26A6"/>
    <w:rsid w:val="00DB2866"/>
    <w:rsid w:val="00DB2CFC"/>
    <w:rsid w:val="00DB36CF"/>
    <w:rsid w:val="00DB37B6"/>
    <w:rsid w:val="00DB3F17"/>
    <w:rsid w:val="00DB3FA9"/>
    <w:rsid w:val="00DB4049"/>
    <w:rsid w:val="00DB465A"/>
    <w:rsid w:val="00DB4753"/>
    <w:rsid w:val="00DB4B6D"/>
    <w:rsid w:val="00DB51D2"/>
    <w:rsid w:val="00DB525D"/>
    <w:rsid w:val="00DB52B4"/>
    <w:rsid w:val="00DB5383"/>
    <w:rsid w:val="00DB5AD1"/>
    <w:rsid w:val="00DB5D0E"/>
    <w:rsid w:val="00DB5DAC"/>
    <w:rsid w:val="00DB5F6A"/>
    <w:rsid w:val="00DB5FF8"/>
    <w:rsid w:val="00DB6028"/>
    <w:rsid w:val="00DB612F"/>
    <w:rsid w:val="00DB630A"/>
    <w:rsid w:val="00DB6400"/>
    <w:rsid w:val="00DB65DF"/>
    <w:rsid w:val="00DB6709"/>
    <w:rsid w:val="00DB67DC"/>
    <w:rsid w:val="00DB6A65"/>
    <w:rsid w:val="00DB6BAB"/>
    <w:rsid w:val="00DB7011"/>
    <w:rsid w:val="00DB701A"/>
    <w:rsid w:val="00DB7130"/>
    <w:rsid w:val="00DB723B"/>
    <w:rsid w:val="00DB73A3"/>
    <w:rsid w:val="00DB777E"/>
    <w:rsid w:val="00DB78BF"/>
    <w:rsid w:val="00DB78FA"/>
    <w:rsid w:val="00DB791F"/>
    <w:rsid w:val="00DB7AE8"/>
    <w:rsid w:val="00DB7B3F"/>
    <w:rsid w:val="00DB7D5A"/>
    <w:rsid w:val="00DB7DC8"/>
    <w:rsid w:val="00DC0081"/>
    <w:rsid w:val="00DC0380"/>
    <w:rsid w:val="00DC0462"/>
    <w:rsid w:val="00DC04C7"/>
    <w:rsid w:val="00DC0586"/>
    <w:rsid w:val="00DC0991"/>
    <w:rsid w:val="00DC0A2F"/>
    <w:rsid w:val="00DC0EE3"/>
    <w:rsid w:val="00DC0F5E"/>
    <w:rsid w:val="00DC1081"/>
    <w:rsid w:val="00DC1218"/>
    <w:rsid w:val="00DC1525"/>
    <w:rsid w:val="00DC163B"/>
    <w:rsid w:val="00DC1734"/>
    <w:rsid w:val="00DC17F7"/>
    <w:rsid w:val="00DC1A40"/>
    <w:rsid w:val="00DC1B90"/>
    <w:rsid w:val="00DC1CD2"/>
    <w:rsid w:val="00DC1D3A"/>
    <w:rsid w:val="00DC219F"/>
    <w:rsid w:val="00DC292F"/>
    <w:rsid w:val="00DC29CD"/>
    <w:rsid w:val="00DC2AA0"/>
    <w:rsid w:val="00DC2AF3"/>
    <w:rsid w:val="00DC2B61"/>
    <w:rsid w:val="00DC2BFC"/>
    <w:rsid w:val="00DC2C2D"/>
    <w:rsid w:val="00DC2EE8"/>
    <w:rsid w:val="00DC3088"/>
    <w:rsid w:val="00DC31B1"/>
    <w:rsid w:val="00DC3429"/>
    <w:rsid w:val="00DC34D7"/>
    <w:rsid w:val="00DC3863"/>
    <w:rsid w:val="00DC38A3"/>
    <w:rsid w:val="00DC3934"/>
    <w:rsid w:val="00DC3D0D"/>
    <w:rsid w:val="00DC3DF9"/>
    <w:rsid w:val="00DC3E37"/>
    <w:rsid w:val="00DC438D"/>
    <w:rsid w:val="00DC45DE"/>
    <w:rsid w:val="00DC49E7"/>
    <w:rsid w:val="00DC4A20"/>
    <w:rsid w:val="00DC4AE9"/>
    <w:rsid w:val="00DC4BFA"/>
    <w:rsid w:val="00DC4C2A"/>
    <w:rsid w:val="00DC4C81"/>
    <w:rsid w:val="00DC4FCD"/>
    <w:rsid w:val="00DC50B0"/>
    <w:rsid w:val="00DC5458"/>
    <w:rsid w:val="00DC552A"/>
    <w:rsid w:val="00DC58F6"/>
    <w:rsid w:val="00DC5F66"/>
    <w:rsid w:val="00DC60CA"/>
    <w:rsid w:val="00DC6435"/>
    <w:rsid w:val="00DC64C2"/>
    <w:rsid w:val="00DC673C"/>
    <w:rsid w:val="00DC6779"/>
    <w:rsid w:val="00DC696D"/>
    <w:rsid w:val="00DC6A34"/>
    <w:rsid w:val="00DC6BA8"/>
    <w:rsid w:val="00DC6BE4"/>
    <w:rsid w:val="00DC6D61"/>
    <w:rsid w:val="00DC7116"/>
    <w:rsid w:val="00DC71B4"/>
    <w:rsid w:val="00DC723D"/>
    <w:rsid w:val="00DC7533"/>
    <w:rsid w:val="00DC75AC"/>
    <w:rsid w:val="00DC76F6"/>
    <w:rsid w:val="00DC77B7"/>
    <w:rsid w:val="00DD01CE"/>
    <w:rsid w:val="00DD0236"/>
    <w:rsid w:val="00DD041C"/>
    <w:rsid w:val="00DD04ED"/>
    <w:rsid w:val="00DD060A"/>
    <w:rsid w:val="00DD07D5"/>
    <w:rsid w:val="00DD0BBD"/>
    <w:rsid w:val="00DD0C03"/>
    <w:rsid w:val="00DD0C96"/>
    <w:rsid w:val="00DD0E82"/>
    <w:rsid w:val="00DD161D"/>
    <w:rsid w:val="00DD16DC"/>
    <w:rsid w:val="00DD16E9"/>
    <w:rsid w:val="00DD1902"/>
    <w:rsid w:val="00DD1A01"/>
    <w:rsid w:val="00DD1D19"/>
    <w:rsid w:val="00DD1E94"/>
    <w:rsid w:val="00DD219C"/>
    <w:rsid w:val="00DD2277"/>
    <w:rsid w:val="00DD285F"/>
    <w:rsid w:val="00DD288A"/>
    <w:rsid w:val="00DD2B3E"/>
    <w:rsid w:val="00DD2B55"/>
    <w:rsid w:val="00DD2E1E"/>
    <w:rsid w:val="00DD2F6C"/>
    <w:rsid w:val="00DD2FAD"/>
    <w:rsid w:val="00DD308B"/>
    <w:rsid w:val="00DD30C5"/>
    <w:rsid w:val="00DD32E6"/>
    <w:rsid w:val="00DD3717"/>
    <w:rsid w:val="00DD38A0"/>
    <w:rsid w:val="00DD38F9"/>
    <w:rsid w:val="00DD3E1E"/>
    <w:rsid w:val="00DD40E2"/>
    <w:rsid w:val="00DD40FE"/>
    <w:rsid w:val="00DD4129"/>
    <w:rsid w:val="00DD41F2"/>
    <w:rsid w:val="00DD4419"/>
    <w:rsid w:val="00DD4706"/>
    <w:rsid w:val="00DD4979"/>
    <w:rsid w:val="00DD4E2B"/>
    <w:rsid w:val="00DD4E74"/>
    <w:rsid w:val="00DD4E99"/>
    <w:rsid w:val="00DD5158"/>
    <w:rsid w:val="00DD5215"/>
    <w:rsid w:val="00DD52C8"/>
    <w:rsid w:val="00DD54DC"/>
    <w:rsid w:val="00DD55BE"/>
    <w:rsid w:val="00DD57CD"/>
    <w:rsid w:val="00DD58F0"/>
    <w:rsid w:val="00DD5EFB"/>
    <w:rsid w:val="00DD61E5"/>
    <w:rsid w:val="00DD6355"/>
    <w:rsid w:val="00DD6494"/>
    <w:rsid w:val="00DD64EB"/>
    <w:rsid w:val="00DD65EB"/>
    <w:rsid w:val="00DD66A2"/>
    <w:rsid w:val="00DD6917"/>
    <w:rsid w:val="00DD6BE8"/>
    <w:rsid w:val="00DD6E8C"/>
    <w:rsid w:val="00DD6F7B"/>
    <w:rsid w:val="00DD6F95"/>
    <w:rsid w:val="00DD7018"/>
    <w:rsid w:val="00DD7166"/>
    <w:rsid w:val="00DD716C"/>
    <w:rsid w:val="00DD7235"/>
    <w:rsid w:val="00DD7452"/>
    <w:rsid w:val="00DD746A"/>
    <w:rsid w:val="00DD7931"/>
    <w:rsid w:val="00DD7A09"/>
    <w:rsid w:val="00DD7BC7"/>
    <w:rsid w:val="00DD7CAE"/>
    <w:rsid w:val="00DD7FD3"/>
    <w:rsid w:val="00DE03D9"/>
    <w:rsid w:val="00DE07A0"/>
    <w:rsid w:val="00DE0831"/>
    <w:rsid w:val="00DE0B74"/>
    <w:rsid w:val="00DE0D36"/>
    <w:rsid w:val="00DE10CF"/>
    <w:rsid w:val="00DE114E"/>
    <w:rsid w:val="00DE1405"/>
    <w:rsid w:val="00DE14F2"/>
    <w:rsid w:val="00DE15FE"/>
    <w:rsid w:val="00DE1A44"/>
    <w:rsid w:val="00DE1A7E"/>
    <w:rsid w:val="00DE1C89"/>
    <w:rsid w:val="00DE1D9A"/>
    <w:rsid w:val="00DE2002"/>
    <w:rsid w:val="00DE206A"/>
    <w:rsid w:val="00DE20C9"/>
    <w:rsid w:val="00DE24DD"/>
    <w:rsid w:val="00DE2616"/>
    <w:rsid w:val="00DE2653"/>
    <w:rsid w:val="00DE27DC"/>
    <w:rsid w:val="00DE2A1F"/>
    <w:rsid w:val="00DE2C09"/>
    <w:rsid w:val="00DE2EB5"/>
    <w:rsid w:val="00DE308E"/>
    <w:rsid w:val="00DE3144"/>
    <w:rsid w:val="00DE32B4"/>
    <w:rsid w:val="00DE3397"/>
    <w:rsid w:val="00DE3435"/>
    <w:rsid w:val="00DE3626"/>
    <w:rsid w:val="00DE362A"/>
    <w:rsid w:val="00DE3B1F"/>
    <w:rsid w:val="00DE3B81"/>
    <w:rsid w:val="00DE3F88"/>
    <w:rsid w:val="00DE3FF9"/>
    <w:rsid w:val="00DE4177"/>
    <w:rsid w:val="00DE41B9"/>
    <w:rsid w:val="00DE4722"/>
    <w:rsid w:val="00DE49E0"/>
    <w:rsid w:val="00DE4DA1"/>
    <w:rsid w:val="00DE4E98"/>
    <w:rsid w:val="00DE4FCE"/>
    <w:rsid w:val="00DE4FDF"/>
    <w:rsid w:val="00DE4FE2"/>
    <w:rsid w:val="00DE5189"/>
    <w:rsid w:val="00DE532E"/>
    <w:rsid w:val="00DE59BF"/>
    <w:rsid w:val="00DE5BDA"/>
    <w:rsid w:val="00DE5D84"/>
    <w:rsid w:val="00DE5ECB"/>
    <w:rsid w:val="00DE6057"/>
    <w:rsid w:val="00DE60A4"/>
    <w:rsid w:val="00DE6197"/>
    <w:rsid w:val="00DE630C"/>
    <w:rsid w:val="00DE6469"/>
    <w:rsid w:val="00DE65EC"/>
    <w:rsid w:val="00DE6701"/>
    <w:rsid w:val="00DE6944"/>
    <w:rsid w:val="00DE6AF9"/>
    <w:rsid w:val="00DE6B57"/>
    <w:rsid w:val="00DE6CC9"/>
    <w:rsid w:val="00DE6D60"/>
    <w:rsid w:val="00DE6DAD"/>
    <w:rsid w:val="00DE6DB1"/>
    <w:rsid w:val="00DE6E46"/>
    <w:rsid w:val="00DE6FA2"/>
    <w:rsid w:val="00DE7289"/>
    <w:rsid w:val="00DE739C"/>
    <w:rsid w:val="00DE74A4"/>
    <w:rsid w:val="00DE769D"/>
    <w:rsid w:val="00DE76C4"/>
    <w:rsid w:val="00DE76F8"/>
    <w:rsid w:val="00DE7DD5"/>
    <w:rsid w:val="00DE7E11"/>
    <w:rsid w:val="00DE7E93"/>
    <w:rsid w:val="00DF01E6"/>
    <w:rsid w:val="00DF03C4"/>
    <w:rsid w:val="00DF0CA2"/>
    <w:rsid w:val="00DF0F24"/>
    <w:rsid w:val="00DF10E6"/>
    <w:rsid w:val="00DF1376"/>
    <w:rsid w:val="00DF1524"/>
    <w:rsid w:val="00DF1B1E"/>
    <w:rsid w:val="00DF1BD0"/>
    <w:rsid w:val="00DF1CBF"/>
    <w:rsid w:val="00DF1D00"/>
    <w:rsid w:val="00DF1EC7"/>
    <w:rsid w:val="00DF235C"/>
    <w:rsid w:val="00DF2379"/>
    <w:rsid w:val="00DF24DE"/>
    <w:rsid w:val="00DF271A"/>
    <w:rsid w:val="00DF28E5"/>
    <w:rsid w:val="00DF29F1"/>
    <w:rsid w:val="00DF29F7"/>
    <w:rsid w:val="00DF2C22"/>
    <w:rsid w:val="00DF2CC2"/>
    <w:rsid w:val="00DF2ECD"/>
    <w:rsid w:val="00DF3054"/>
    <w:rsid w:val="00DF3382"/>
    <w:rsid w:val="00DF35FC"/>
    <w:rsid w:val="00DF399D"/>
    <w:rsid w:val="00DF3D93"/>
    <w:rsid w:val="00DF3E3C"/>
    <w:rsid w:val="00DF420A"/>
    <w:rsid w:val="00DF42FC"/>
    <w:rsid w:val="00DF47CC"/>
    <w:rsid w:val="00DF47D9"/>
    <w:rsid w:val="00DF4852"/>
    <w:rsid w:val="00DF49D3"/>
    <w:rsid w:val="00DF4CAF"/>
    <w:rsid w:val="00DF4D42"/>
    <w:rsid w:val="00DF4F7F"/>
    <w:rsid w:val="00DF50C9"/>
    <w:rsid w:val="00DF5117"/>
    <w:rsid w:val="00DF5196"/>
    <w:rsid w:val="00DF5210"/>
    <w:rsid w:val="00DF52E7"/>
    <w:rsid w:val="00DF53E8"/>
    <w:rsid w:val="00DF583E"/>
    <w:rsid w:val="00DF589C"/>
    <w:rsid w:val="00DF59A7"/>
    <w:rsid w:val="00DF5ADF"/>
    <w:rsid w:val="00DF5B19"/>
    <w:rsid w:val="00DF5B1D"/>
    <w:rsid w:val="00DF5CDF"/>
    <w:rsid w:val="00DF5D04"/>
    <w:rsid w:val="00DF5E9E"/>
    <w:rsid w:val="00DF5F7B"/>
    <w:rsid w:val="00DF5FE8"/>
    <w:rsid w:val="00DF62CD"/>
    <w:rsid w:val="00DF6305"/>
    <w:rsid w:val="00DF667E"/>
    <w:rsid w:val="00DF6865"/>
    <w:rsid w:val="00DF6981"/>
    <w:rsid w:val="00DF6D40"/>
    <w:rsid w:val="00DF6F9A"/>
    <w:rsid w:val="00DF70C0"/>
    <w:rsid w:val="00DF72E4"/>
    <w:rsid w:val="00DF7385"/>
    <w:rsid w:val="00DF7432"/>
    <w:rsid w:val="00DF759C"/>
    <w:rsid w:val="00DF77CA"/>
    <w:rsid w:val="00DF7903"/>
    <w:rsid w:val="00DF7A49"/>
    <w:rsid w:val="00DF7C0F"/>
    <w:rsid w:val="00DF7C2A"/>
    <w:rsid w:val="00DF7D06"/>
    <w:rsid w:val="00DF7D74"/>
    <w:rsid w:val="00DF7FE3"/>
    <w:rsid w:val="00E00044"/>
    <w:rsid w:val="00E002E0"/>
    <w:rsid w:val="00E002EC"/>
    <w:rsid w:val="00E003A8"/>
    <w:rsid w:val="00E0055B"/>
    <w:rsid w:val="00E00604"/>
    <w:rsid w:val="00E00715"/>
    <w:rsid w:val="00E00A7E"/>
    <w:rsid w:val="00E00B80"/>
    <w:rsid w:val="00E00D19"/>
    <w:rsid w:val="00E00E88"/>
    <w:rsid w:val="00E0108D"/>
    <w:rsid w:val="00E011B4"/>
    <w:rsid w:val="00E01201"/>
    <w:rsid w:val="00E01871"/>
    <w:rsid w:val="00E01A22"/>
    <w:rsid w:val="00E01B32"/>
    <w:rsid w:val="00E01C45"/>
    <w:rsid w:val="00E01DD1"/>
    <w:rsid w:val="00E01EA9"/>
    <w:rsid w:val="00E022AD"/>
    <w:rsid w:val="00E025AC"/>
    <w:rsid w:val="00E026D4"/>
    <w:rsid w:val="00E02757"/>
    <w:rsid w:val="00E02B8C"/>
    <w:rsid w:val="00E02CF2"/>
    <w:rsid w:val="00E02CFB"/>
    <w:rsid w:val="00E02CFF"/>
    <w:rsid w:val="00E02D02"/>
    <w:rsid w:val="00E0327B"/>
    <w:rsid w:val="00E0371D"/>
    <w:rsid w:val="00E038A8"/>
    <w:rsid w:val="00E03AA6"/>
    <w:rsid w:val="00E03AEA"/>
    <w:rsid w:val="00E0401B"/>
    <w:rsid w:val="00E042D5"/>
    <w:rsid w:val="00E04580"/>
    <w:rsid w:val="00E04587"/>
    <w:rsid w:val="00E04599"/>
    <w:rsid w:val="00E04601"/>
    <w:rsid w:val="00E047B4"/>
    <w:rsid w:val="00E047EA"/>
    <w:rsid w:val="00E0482C"/>
    <w:rsid w:val="00E048C3"/>
    <w:rsid w:val="00E04B70"/>
    <w:rsid w:val="00E04C91"/>
    <w:rsid w:val="00E04DFE"/>
    <w:rsid w:val="00E04DFF"/>
    <w:rsid w:val="00E04FD3"/>
    <w:rsid w:val="00E05067"/>
    <w:rsid w:val="00E05120"/>
    <w:rsid w:val="00E05146"/>
    <w:rsid w:val="00E05149"/>
    <w:rsid w:val="00E0553A"/>
    <w:rsid w:val="00E05706"/>
    <w:rsid w:val="00E05A6F"/>
    <w:rsid w:val="00E05B95"/>
    <w:rsid w:val="00E05E78"/>
    <w:rsid w:val="00E06236"/>
    <w:rsid w:val="00E0640B"/>
    <w:rsid w:val="00E0655A"/>
    <w:rsid w:val="00E06575"/>
    <w:rsid w:val="00E0666C"/>
    <w:rsid w:val="00E06A5B"/>
    <w:rsid w:val="00E06C35"/>
    <w:rsid w:val="00E06D05"/>
    <w:rsid w:val="00E06E71"/>
    <w:rsid w:val="00E06EFD"/>
    <w:rsid w:val="00E0727A"/>
    <w:rsid w:val="00E07420"/>
    <w:rsid w:val="00E075E1"/>
    <w:rsid w:val="00E077F7"/>
    <w:rsid w:val="00E07975"/>
    <w:rsid w:val="00E07D75"/>
    <w:rsid w:val="00E07DA5"/>
    <w:rsid w:val="00E07E76"/>
    <w:rsid w:val="00E07EDA"/>
    <w:rsid w:val="00E07F69"/>
    <w:rsid w:val="00E07FE2"/>
    <w:rsid w:val="00E1017C"/>
    <w:rsid w:val="00E101A7"/>
    <w:rsid w:val="00E102BA"/>
    <w:rsid w:val="00E10317"/>
    <w:rsid w:val="00E10401"/>
    <w:rsid w:val="00E10582"/>
    <w:rsid w:val="00E10718"/>
    <w:rsid w:val="00E107A5"/>
    <w:rsid w:val="00E10B67"/>
    <w:rsid w:val="00E10BAD"/>
    <w:rsid w:val="00E10E97"/>
    <w:rsid w:val="00E110F0"/>
    <w:rsid w:val="00E1144F"/>
    <w:rsid w:val="00E114EB"/>
    <w:rsid w:val="00E11573"/>
    <w:rsid w:val="00E115A5"/>
    <w:rsid w:val="00E119EE"/>
    <w:rsid w:val="00E11E85"/>
    <w:rsid w:val="00E1237E"/>
    <w:rsid w:val="00E1238A"/>
    <w:rsid w:val="00E124A6"/>
    <w:rsid w:val="00E124AB"/>
    <w:rsid w:val="00E126B4"/>
    <w:rsid w:val="00E1275E"/>
    <w:rsid w:val="00E12995"/>
    <w:rsid w:val="00E129FD"/>
    <w:rsid w:val="00E12AEE"/>
    <w:rsid w:val="00E12AF1"/>
    <w:rsid w:val="00E12F39"/>
    <w:rsid w:val="00E1310B"/>
    <w:rsid w:val="00E1315F"/>
    <w:rsid w:val="00E133AD"/>
    <w:rsid w:val="00E135BD"/>
    <w:rsid w:val="00E137CD"/>
    <w:rsid w:val="00E1395D"/>
    <w:rsid w:val="00E13B5D"/>
    <w:rsid w:val="00E13B6C"/>
    <w:rsid w:val="00E13D03"/>
    <w:rsid w:val="00E13D11"/>
    <w:rsid w:val="00E13E93"/>
    <w:rsid w:val="00E13EC6"/>
    <w:rsid w:val="00E13EFA"/>
    <w:rsid w:val="00E143F4"/>
    <w:rsid w:val="00E14915"/>
    <w:rsid w:val="00E14B33"/>
    <w:rsid w:val="00E14C2B"/>
    <w:rsid w:val="00E14CA3"/>
    <w:rsid w:val="00E14CBC"/>
    <w:rsid w:val="00E14D7A"/>
    <w:rsid w:val="00E14D93"/>
    <w:rsid w:val="00E14F12"/>
    <w:rsid w:val="00E15433"/>
    <w:rsid w:val="00E15575"/>
    <w:rsid w:val="00E15601"/>
    <w:rsid w:val="00E1560A"/>
    <w:rsid w:val="00E1574B"/>
    <w:rsid w:val="00E15835"/>
    <w:rsid w:val="00E15D4A"/>
    <w:rsid w:val="00E15F39"/>
    <w:rsid w:val="00E160C5"/>
    <w:rsid w:val="00E16490"/>
    <w:rsid w:val="00E165F8"/>
    <w:rsid w:val="00E16656"/>
    <w:rsid w:val="00E16772"/>
    <w:rsid w:val="00E16990"/>
    <w:rsid w:val="00E16D1E"/>
    <w:rsid w:val="00E1767D"/>
    <w:rsid w:val="00E17A4D"/>
    <w:rsid w:val="00E17BD1"/>
    <w:rsid w:val="00E17C3D"/>
    <w:rsid w:val="00E17CBC"/>
    <w:rsid w:val="00E17E42"/>
    <w:rsid w:val="00E17EA2"/>
    <w:rsid w:val="00E20066"/>
    <w:rsid w:val="00E20257"/>
    <w:rsid w:val="00E205A8"/>
    <w:rsid w:val="00E2093C"/>
    <w:rsid w:val="00E20A21"/>
    <w:rsid w:val="00E20A51"/>
    <w:rsid w:val="00E20B4B"/>
    <w:rsid w:val="00E20F37"/>
    <w:rsid w:val="00E210C1"/>
    <w:rsid w:val="00E21112"/>
    <w:rsid w:val="00E2127A"/>
    <w:rsid w:val="00E21466"/>
    <w:rsid w:val="00E21798"/>
    <w:rsid w:val="00E21D6C"/>
    <w:rsid w:val="00E22228"/>
    <w:rsid w:val="00E2224D"/>
    <w:rsid w:val="00E22645"/>
    <w:rsid w:val="00E22673"/>
    <w:rsid w:val="00E22718"/>
    <w:rsid w:val="00E228C1"/>
    <w:rsid w:val="00E22A84"/>
    <w:rsid w:val="00E22C8D"/>
    <w:rsid w:val="00E22DAE"/>
    <w:rsid w:val="00E22F52"/>
    <w:rsid w:val="00E2308B"/>
    <w:rsid w:val="00E2326B"/>
    <w:rsid w:val="00E23276"/>
    <w:rsid w:val="00E2330D"/>
    <w:rsid w:val="00E23530"/>
    <w:rsid w:val="00E23992"/>
    <w:rsid w:val="00E23E0A"/>
    <w:rsid w:val="00E23F4F"/>
    <w:rsid w:val="00E24141"/>
    <w:rsid w:val="00E2481F"/>
    <w:rsid w:val="00E24B5D"/>
    <w:rsid w:val="00E24DC3"/>
    <w:rsid w:val="00E24E04"/>
    <w:rsid w:val="00E24E10"/>
    <w:rsid w:val="00E24E2C"/>
    <w:rsid w:val="00E24FDF"/>
    <w:rsid w:val="00E25105"/>
    <w:rsid w:val="00E25191"/>
    <w:rsid w:val="00E25284"/>
    <w:rsid w:val="00E25922"/>
    <w:rsid w:val="00E25A1F"/>
    <w:rsid w:val="00E25ABD"/>
    <w:rsid w:val="00E25BC2"/>
    <w:rsid w:val="00E25D54"/>
    <w:rsid w:val="00E25E63"/>
    <w:rsid w:val="00E2602C"/>
    <w:rsid w:val="00E262C9"/>
    <w:rsid w:val="00E26356"/>
    <w:rsid w:val="00E26459"/>
    <w:rsid w:val="00E26677"/>
    <w:rsid w:val="00E266C9"/>
    <w:rsid w:val="00E267D8"/>
    <w:rsid w:val="00E269A3"/>
    <w:rsid w:val="00E26DC3"/>
    <w:rsid w:val="00E26F20"/>
    <w:rsid w:val="00E26F9E"/>
    <w:rsid w:val="00E27107"/>
    <w:rsid w:val="00E2787E"/>
    <w:rsid w:val="00E27A4D"/>
    <w:rsid w:val="00E27B8E"/>
    <w:rsid w:val="00E27D85"/>
    <w:rsid w:val="00E27E35"/>
    <w:rsid w:val="00E27EA4"/>
    <w:rsid w:val="00E27ED9"/>
    <w:rsid w:val="00E30075"/>
    <w:rsid w:val="00E3008B"/>
    <w:rsid w:val="00E3017A"/>
    <w:rsid w:val="00E302D8"/>
    <w:rsid w:val="00E30471"/>
    <w:rsid w:val="00E30504"/>
    <w:rsid w:val="00E3056E"/>
    <w:rsid w:val="00E307D3"/>
    <w:rsid w:val="00E30938"/>
    <w:rsid w:val="00E30AF5"/>
    <w:rsid w:val="00E30B63"/>
    <w:rsid w:val="00E30C13"/>
    <w:rsid w:val="00E30CED"/>
    <w:rsid w:val="00E30FA3"/>
    <w:rsid w:val="00E3105C"/>
    <w:rsid w:val="00E312C0"/>
    <w:rsid w:val="00E3176D"/>
    <w:rsid w:val="00E3184F"/>
    <w:rsid w:val="00E318A5"/>
    <w:rsid w:val="00E319E7"/>
    <w:rsid w:val="00E31B10"/>
    <w:rsid w:val="00E31CC7"/>
    <w:rsid w:val="00E31EFB"/>
    <w:rsid w:val="00E3205B"/>
    <w:rsid w:val="00E32080"/>
    <w:rsid w:val="00E320BF"/>
    <w:rsid w:val="00E321DA"/>
    <w:rsid w:val="00E32378"/>
    <w:rsid w:val="00E323E3"/>
    <w:rsid w:val="00E32786"/>
    <w:rsid w:val="00E32A16"/>
    <w:rsid w:val="00E33039"/>
    <w:rsid w:val="00E330E7"/>
    <w:rsid w:val="00E33363"/>
    <w:rsid w:val="00E33571"/>
    <w:rsid w:val="00E339E2"/>
    <w:rsid w:val="00E33AB7"/>
    <w:rsid w:val="00E33AD0"/>
    <w:rsid w:val="00E33B7A"/>
    <w:rsid w:val="00E33CB0"/>
    <w:rsid w:val="00E33D20"/>
    <w:rsid w:val="00E33E35"/>
    <w:rsid w:val="00E33E4D"/>
    <w:rsid w:val="00E33FA7"/>
    <w:rsid w:val="00E34051"/>
    <w:rsid w:val="00E34099"/>
    <w:rsid w:val="00E3463E"/>
    <w:rsid w:val="00E3471A"/>
    <w:rsid w:val="00E3471F"/>
    <w:rsid w:val="00E347B5"/>
    <w:rsid w:val="00E348D9"/>
    <w:rsid w:val="00E34BB2"/>
    <w:rsid w:val="00E34DFF"/>
    <w:rsid w:val="00E352C2"/>
    <w:rsid w:val="00E355FF"/>
    <w:rsid w:val="00E35600"/>
    <w:rsid w:val="00E35C92"/>
    <w:rsid w:val="00E35D89"/>
    <w:rsid w:val="00E362B6"/>
    <w:rsid w:val="00E362E0"/>
    <w:rsid w:val="00E36388"/>
    <w:rsid w:val="00E36464"/>
    <w:rsid w:val="00E3695D"/>
    <w:rsid w:val="00E36DA5"/>
    <w:rsid w:val="00E36DBE"/>
    <w:rsid w:val="00E371F4"/>
    <w:rsid w:val="00E378CA"/>
    <w:rsid w:val="00E37A3F"/>
    <w:rsid w:val="00E37AA5"/>
    <w:rsid w:val="00E37B38"/>
    <w:rsid w:val="00E40083"/>
    <w:rsid w:val="00E40109"/>
    <w:rsid w:val="00E40456"/>
    <w:rsid w:val="00E40731"/>
    <w:rsid w:val="00E408C1"/>
    <w:rsid w:val="00E409BB"/>
    <w:rsid w:val="00E40A45"/>
    <w:rsid w:val="00E40B30"/>
    <w:rsid w:val="00E40B84"/>
    <w:rsid w:val="00E40E49"/>
    <w:rsid w:val="00E40EF8"/>
    <w:rsid w:val="00E4152D"/>
    <w:rsid w:val="00E417C0"/>
    <w:rsid w:val="00E41816"/>
    <w:rsid w:val="00E41A69"/>
    <w:rsid w:val="00E41DF3"/>
    <w:rsid w:val="00E4224B"/>
    <w:rsid w:val="00E42271"/>
    <w:rsid w:val="00E4228D"/>
    <w:rsid w:val="00E422AB"/>
    <w:rsid w:val="00E422BC"/>
    <w:rsid w:val="00E4232F"/>
    <w:rsid w:val="00E4258B"/>
    <w:rsid w:val="00E425D3"/>
    <w:rsid w:val="00E425D8"/>
    <w:rsid w:val="00E4278E"/>
    <w:rsid w:val="00E427ED"/>
    <w:rsid w:val="00E42847"/>
    <w:rsid w:val="00E42975"/>
    <w:rsid w:val="00E42976"/>
    <w:rsid w:val="00E429AD"/>
    <w:rsid w:val="00E42B77"/>
    <w:rsid w:val="00E42D71"/>
    <w:rsid w:val="00E42DAC"/>
    <w:rsid w:val="00E432B0"/>
    <w:rsid w:val="00E433A0"/>
    <w:rsid w:val="00E4342F"/>
    <w:rsid w:val="00E4345D"/>
    <w:rsid w:val="00E434DF"/>
    <w:rsid w:val="00E43589"/>
    <w:rsid w:val="00E436D0"/>
    <w:rsid w:val="00E43844"/>
    <w:rsid w:val="00E4390C"/>
    <w:rsid w:val="00E43A6D"/>
    <w:rsid w:val="00E43ABF"/>
    <w:rsid w:val="00E43AD7"/>
    <w:rsid w:val="00E43B39"/>
    <w:rsid w:val="00E43DF5"/>
    <w:rsid w:val="00E43E7F"/>
    <w:rsid w:val="00E442AD"/>
    <w:rsid w:val="00E443AF"/>
    <w:rsid w:val="00E443C9"/>
    <w:rsid w:val="00E44434"/>
    <w:rsid w:val="00E4451B"/>
    <w:rsid w:val="00E44568"/>
    <w:rsid w:val="00E446C9"/>
    <w:rsid w:val="00E44863"/>
    <w:rsid w:val="00E44866"/>
    <w:rsid w:val="00E4492A"/>
    <w:rsid w:val="00E44AAF"/>
    <w:rsid w:val="00E44B92"/>
    <w:rsid w:val="00E44BCF"/>
    <w:rsid w:val="00E44EAF"/>
    <w:rsid w:val="00E44EEC"/>
    <w:rsid w:val="00E45217"/>
    <w:rsid w:val="00E453BF"/>
    <w:rsid w:val="00E45605"/>
    <w:rsid w:val="00E4568C"/>
    <w:rsid w:val="00E4599D"/>
    <w:rsid w:val="00E459EB"/>
    <w:rsid w:val="00E461DA"/>
    <w:rsid w:val="00E461E9"/>
    <w:rsid w:val="00E46286"/>
    <w:rsid w:val="00E462D3"/>
    <w:rsid w:val="00E463BF"/>
    <w:rsid w:val="00E46498"/>
    <w:rsid w:val="00E465DC"/>
    <w:rsid w:val="00E46783"/>
    <w:rsid w:val="00E46945"/>
    <w:rsid w:val="00E46C46"/>
    <w:rsid w:val="00E46D9D"/>
    <w:rsid w:val="00E46E44"/>
    <w:rsid w:val="00E47084"/>
    <w:rsid w:val="00E47147"/>
    <w:rsid w:val="00E4721C"/>
    <w:rsid w:val="00E4734D"/>
    <w:rsid w:val="00E47B2D"/>
    <w:rsid w:val="00E50123"/>
    <w:rsid w:val="00E50157"/>
    <w:rsid w:val="00E5025F"/>
    <w:rsid w:val="00E5040E"/>
    <w:rsid w:val="00E50436"/>
    <w:rsid w:val="00E50688"/>
    <w:rsid w:val="00E507B1"/>
    <w:rsid w:val="00E50811"/>
    <w:rsid w:val="00E50959"/>
    <w:rsid w:val="00E50F60"/>
    <w:rsid w:val="00E51265"/>
    <w:rsid w:val="00E512D4"/>
    <w:rsid w:val="00E515F5"/>
    <w:rsid w:val="00E51796"/>
    <w:rsid w:val="00E51943"/>
    <w:rsid w:val="00E51BF3"/>
    <w:rsid w:val="00E5213C"/>
    <w:rsid w:val="00E522B6"/>
    <w:rsid w:val="00E52353"/>
    <w:rsid w:val="00E52558"/>
    <w:rsid w:val="00E52681"/>
    <w:rsid w:val="00E528FD"/>
    <w:rsid w:val="00E52973"/>
    <w:rsid w:val="00E52C5E"/>
    <w:rsid w:val="00E52C78"/>
    <w:rsid w:val="00E52F12"/>
    <w:rsid w:val="00E53106"/>
    <w:rsid w:val="00E53197"/>
    <w:rsid w:val="00E53400"/>
    <w:rsid w:val="00E5341C"/>
    <w:rsid w:val="00E53444"/>
    <w:rsid w:val="00E534B0"/>
    <w:rsid w:val="00E5372A"/>
    <w:rsid w:val="00E53D14"/>
    <w:rsid w:val="00E53D78"/>
    <w:rsid w:val="00E5414E"/>
    <w:rsid w:val="00E54199"/>
    <w:rsid w:val="00E541FE"/>
    <w:rsid w:val="00E542D9"/>
    <w:rsid w:val="00E543DA"/>
    <w:rsid w:val="00E5473E"/>
    <w:rsid w:val="00E549CE"/>
    <w:rsid w:val="00E54A9C"/>
    <w:rsid w:val="00E54BDA"/>
    <w:rsid w:val="00E54C4B"/>
    <w:rsid w:val="00E54FAA"/>
    <w:rsid w:val="00E550C2"/>
    <w:rsid w:val="00E553B4"/>
    <w:rsid w:val="00E55878"/>
    <w:rsid w:val="00E558F8"/>
    <w:rsid w:val="00E55AC9"/>
    <w:rsid w:val="00E55BBD"/>
    <w:rsid w:val="00E55D31"/>
    <w:rsid w:val="00E55DE9"/>
    <w:rsid w:val="00E55F2D"/>
    <w:rsid w:val="00E55F5F"/>
    <w:rsid w:val="00E56342"/>
    <w:rsid w:val="00E56359"/>
    <w:rsid w:val="00E565DE"/>
    <w:rsid w:val="00E56632"/>
    <w:rsid w:val="00E567D0"/>
    <w:rsid w:val="00E56871"/>
    <w:rsid w:val="00E568C7"/>
    <w:rsid w:val="00E56A19"/>
    <w:rsid w:val="00E56B2B"/>
    <w:rsid w:val="00E56D32"/>
    <w:rsid w:val="00E56DE0"/>
    <w:rsid w:val="00E57530"/>
    <w:rsid w:val="00E57559"/>
    <w:rsid w:val="00E575D1"/>
    <w:rsid w:val="00E57A96"/>
    <w:rsid w:val="00E57C04"/>
    <w:rsid w:val="00E57D11"/>
    <w:rsid w:val="00E57DBE"/>
    <w:rsid w:val="00E60219"/>
    <w:rsid w:val="00E603FB"/>
    <w:rsid w:val="00E60434"/>
    <w:rsid w:val="00E604DB"/>
    <w:rsid w:val="00E605F7"/>
    <w:rsid w:val="00E607CD"/>
    <w:rsid w:val="00E608D7"/>
    <w:rsid w:val="00E609B0"/>
    <w:rsid w:val="00E60C61"/>
    <w:rsid w:val="00E60C67"/>
    <w:rsid w:val="00E60CA0"/>
    <w:rsid w:val="00E60D04"/>
    <w:rsid w:val="00E610FF"/>
    <w:rsid w:val="00E612C4"/>
    <w:rsid w:val="00E6160F"/>
    <w:rsid w:val="00E6163A"/>
    <w:rsid w:val="00E6188F"/>
    <w:rsid w:val="00E61976"/>
    <w:rsid w:val="00E6198F"/>
    <w:rsid w:val="00E619A2"/>
    <w:rsid w:val="00E61AF5"/>
    <w:rsid w:val="00E61CEB"/>
    <w:rsid w:val="00E62030"/>
    <w:rsid w:val="00E621F7"/>
    <w:rsid w:val="00E624A3"/>
    <w:rsid w:val="00E62678"/>
    <w:rsid w:val="00E6279E"/>
    <w:rsid w:val="00E62BAC"/>
    <w:rsid w:val="00E62BED"/>
    <w:rsid w:val="00E62C81"/>
    <w:rsid w:val="00E62DA1"/>
    <w:rsid w:val="00E62F83"/>
    <w:rsid w:val="00E62FCE"/>
    <w:rsid w:val="00E63054"/>
    <w:rsid w:val="00E637A3"/>
    <w:rsid w:val="00E6381A"/>
    <w:rsid w:val="00E638F3"/>
    <w:rsid w:val="00E63ABC"/>
    <w:rsid w:val="00E63D8A"/>
    <w:rsid w:val="00E63E22"/>
    <w:rsid w:val="00E64140"/>
    <w:rsid w:val="00E6429C"/>
    <w:rsid w:val="00E644AC"/>
    <w:rsid w:val="00E645AA"/>
    <w:rsid w:val="00E64607"/>
    <w:rsid w:val="00E64789"/>
    <w:rsid w:val="00E64B0B"/>
    <w:rsid w:val="00E64BBA"/>
    <w:rsid w:val="00E64DA3"/>
    <w:rsid w:val="00E64E2D"/>
    <w:rsid w:val="00E64EB4"/>
    <w:rsid w:val="00E64FA3"/>
    <w:rsid w:val="00E64FFA"/>
    <w:rsid w:val="00E65061"/>
    <w:rsid w:val="00E6522E"/>
    <w:rsid w:val="00E65490"/>
    <w:rsid w:val="00E65544"/>
    <w:rsid w:val="00E65599"/>
    <w:rsid w:val="00E656BA"/>
    <w:rsid w:val="00E65911"/>
    <w:rsid w:val="00E65E89"/>
    <w:rsid w:val="00E661F8"/>
    <w:rsid w:val="00E665C3"/>
    <w:rsid w:val="00E6674C"/>
    <w:rsid w:val="00E66775"/>
    <w:rsid w:val="00E6681A"/>
    <w:rsid w:val="00E66BEA"/>
    <w:rsid w:val="00E66ED8"/>
    <w:rsid w:val="00E67029"/>
    <w:rsid w:val="00E67262"/>
    <w:rsid w:val="00E672E5"/>
    <w:rsid w:val="00E675F2"/>
    <w:rsid w:val="00E6768D"/>
    <w:rsid w:val="00E6790F"/>
    <w:rsid w:val="00E67925"/>
    <w:rsid w:val="00E67997"/>
    <w:rsid w:val="00E67B31"/>
    <w:rsid w:val="00E67F3F"/>
    <w:rsid w:val="00E70037"/>
    <w:rsid w:val="00E700C6"/>
    <w:rsid w:val="00E7014A"/>
    <w:rsid w:val="00E70257"/>
    <w:rsid w:val="00E70490"/>
    <w:rsid w:val="00E70918"/>
    <w:rsid w:val="00E70A44"/>
    <w:rsid w:val="00E70B6C"/>
    <w:rsid w:val="00E70F5C"/>
    <w:rsid w:val="00E70FC7"/>
    <w:rsid w:val="00E710F8"/>
    <w:rsid w:val="00E71489"/>
    <w:rsid w:val="00E7183A"/>
    <w:rsid w:val="00E71A6E"/>
    <w:rsid w:val="00E71C4E"/>
    <w:rsid w:val="00E720DF"/>
    <w:rsid w:val="00E720EA"/>
    <w:rsid w:val="00E72147"/>
    <w:rsid w:val="00E721CE"/>
    <w:rsid w:val="00E72215"/>
    <w:rsid w:val="00E7228F"/>
    <w:rsid w:val="00E725E3"/>
    <w:rsid w:val="00E7266B"/>
    <w:rsid w:val="00E726E4"/>
    <w:rsid w:val="00E727E2"/>
    <w:rsid w:val="00E7285C"/>
    <w:rsid w:val="00E7286D"/>
    <w:rsid w:val="00E729F8"/>
    <w:rsid w:val="00E72ABD"/>
    <w:rsid w:val="00E72BD6"/>
    <w:rsid w:val="00E72DF4"/>
    <w:rsid w:val="00E72DFB"/>
    <w:rsid w:val="00E72F79"/>
    <w:rsid w:val="00E7338D"/>
    <w:rsid w:val="00E734F9"/>
    <w:rsid w:val="00E7368C"/>
    <w:rsid w:val="00E73735"/>
    <w:rsid w:val="00E73A7A"/>
    <w:rsid w:val="00E73C6A"/>
    <w:rsid w:val="00E73E1D"/>
    <w:rsid w:val="00E7411A"/>
    <w:rsid w:val="00E746B3"/>
    <w:rsid w:val="00E747BF"/>
    <w:rsid w:val="00E74872"/>
    <w:rsid w:val="00E74B4D"/>
    <w:rsid w:val="00E7522F"/>
    <w:rsid w:val="00E7538A"/>
    <w:rsid w:val="00E75848"/>
    <w:rsid w:val="00E75858"/>
    <w:rsid w:val="00E75A99"/>
    <w:rsid w:val="00E75EAF"/>
    <w:rsid w:val="00E75EC8"/>
    <w:rsid w:val="00E75EDC"/>
    <w:rsid w:val="00E75FBA"/>
    <w:rsid w:val="00E761FA"/>
    <w:rsid w:val="00E76BC4"/>
    <w:rsid w:val="00E76BDB"/>
    <w:rsid w:val="00E76C46"/>
    <w:rsid w:val="00E76CB5"/>
    <w:rsid w:val="00E76D70"/>
    <w:rsid w:val="00E76FBD"/>
    <w:rsid w:val="00E770CA"/>
    <w:rsid w:val="00E77105"/>
    <w:rsid w:val="00E77338"/>
    <w:rsid w:val="00E773C3"/>
    <w:rsid w:val="00E7746F"/>
    <w:rsid w:val="00E774EB"/>
    <w:rsid w:val="00E77744"/>
    <w:rsid w:val="00E778B4"/>
    <w:rsid w:val="00E77A08"/>
    <w:rsid w:val="00E8024C"/>
    <w:rsid w:val="00E802C3"/>
    <w:rsid w:val="00E80480"/>
    <w:rsid w:val="00E804D2"/>
    <w:rsid w:val="00E8051E"/>
    <w:rsid w:val="00E8057C"/>
    <w:rsid w:val="00E80C6C"/>
    <w:rsid w:val="00E80CC2"/>
    <w:rsid w:val="00E80D9B"/>
    <w:rsid w:val="00E80E27"/>
    <w:rsid w:val="00E80FE6"/>
    <w:rsid w:val="00E810F5"/>
    <w:rsid w:val="00E8142A"/>
    <w:rsid w:val="00E814CE"/>
    <w:rsid w:val="00E816AA"/>
    <w:rsid w:val="00E816DC"/>
    <w:rsid w:val="00E8179B"/>
    <w:rsid w:val="00E8189D"/>
    <w:rsid w:val="00E81CBB"/>
    <w:rsid w:val="00E81D4B"/>
    <w:rsid w:val="00E820CB"/>
    <w:rsid w:val="00E821C8"/>
    <w:rsid w:val="00E82325"/>
    <w:rsid w:val="00E82378"/>
    <w:rsid w:val="00E82485"/>
    <w:rsid w:val="00E824EE"/>
    <w:rsid w:val="00E82566"/>
    <w:rsid w:val="00E825BB"/>
    <w:rsid w:val="00E82660"/>
    <w:rsid w:val="00E82673"/>
    <w:rsid w:val="00E826A6"/>
    <w:rsid w:val="00E827D5"/>
    <w:rsid w:val="00E82AA9"/>
    <w:rsid w:val="00E82AFF"/>
    <w:rsid w:val="00E8316F"/>
    <w:rsid w:val="00E83568"/>
    <w:rsid w:val="00E8366C"/>
    <w:rsid w:val="00E83775"/>
    <w:rsid w:val="00E837FE"/>
    <w:rsid w:val="00E83860"/>
    <w:rsid w:val="00E83956"/>
    <w:rsid w:val="00E839C0"/>
    <w:rsid w:val="00E83CDE"/>
    <w:rsid w:val="00E83CF1"/>
    <w:rsid w:val="00E840B5"/>
    <w:rsid w:val="00E84143"/>
    <w:rsid w:val="00E84178"/>
    <w:rsid w:val="00E84448"/>
    <w:rsid w:val="00E84652"/>
    <w:rsid w:val="00E847D5"/>
    <w:rsid w:val="00E84A5B"/>
    <w:rsid w:val="00E84CC4"/>
    <w:rsid w:val="00E84E6C"/>
    <w:rsid w:val="00E84EA1"/>
    <w:rsid w:val="00E8535F"/>
    <w:rsid w:val="00E853C3"/>
    <w:rsid w:val="00E85549"/>
    <w:rsid w:val="00E85929"/>
    <w:rsid w:val="00E85BF5"/>
    <w:rsid w:val="00E85C08"/>
    <w:rsid w:val="00E85E8E"/>
    <w:rsid w:val="00E861C8"/>
    <w:rsid w:val="00E86213"/>
    <w:rsid w:val="00E863D2"/>
    <w:rsid w:val="00E86781"/>
    <w:rsid w:val="00E867AF"/>
    <w:rsid w:val="00E868EF"/>
    <w:rsid w:val="00E86C50"/>
    <w:rsid w:val="00E86D80"/>
    <w:rsid w:val="00E86F2A"/>
    <w:rsid w:val="00E86F58"/>
    <w:rsid w:val="00E8700D"/>
    <w:rsid w:val="00E87196"/>
    <w:rsid w:val="00E872DF"/>
    <w:rsid w:val="00E8744E"/>
    <w:rsid w:val="00E874FC"/>
    <w:rsid w:val="00E87BFF"/>
    <w:rsid w:val="00E87D59"/>
    <w:rsid w:val="00E87EA7"/>
    <w:rsid w:val="00E900E8"/>
    <w:rsid w:val="00E901B7"/>
    <w:rsid w:val="00E9024F"/>
    <w:rsid w:val="00E903EA"/>
    <w:rsid w:val="00E90474"/>
    <w:rsid w:val="00E90608"/>
    <w:rsid w:val="00E90651"/>
    <w:rsid w:val="00E906A9"/>
    <w:rsid w:val="00E9081D"/>
    <w:rsid w:val="00E9090C"/>
    <w:rsid w:val="00E90978"/>
    <w:rsid w:val="00E909CD"/>
    <w:rsid w:val="00E90B3F"/>
    <w:rsid w:val="00E90BF8"/>
    <w:rsid w:val="00E90C03"/>
    <w:rsid w:val="00E910AB"/>
    <w:rsid w:val="00E9130D"/>
    <w:rsid w:val="00E913AB"/>
    <w:rsid w:val="00E914B7"/>
    <w:rsid w:val="00E91500"/>
    <w:rsid w:val="00E915C8"/>
    <w:rsid w:val="00E91606"/>
    <w:rsid w:val="00E916F9"/>
    <w:rsid w:val="00E9173F"/>
    <w:rsid w:val="00E91804"/>
    <w:rsid w:val="00E9197C"/>
    <w:rsid w:val="00E91A79"/>
    <w:rsid w:val="00E91CB4"/>
    <w:rsid w:val="00E91DB6"/>
    <w:rsid w:val="00E91E87"/>
    <w:rsid w:val="00E920D4"/>
    <w:rsid w:val="00E923D5"/>
    <w:rsid w:val="00E9280A"/>
    <w:rsid w:val="00E92917"/>
    <w:rsid w:val="00E92AB8"/>
    <w:rsid w:val="00E92D0B"/>
    <w:rsid w:val="00E93283"/>
    <w:rsid w:val="00E9329D"/>
    <w:rsid w:val="00E9339E"/>
    <w:rsid w:val="00E933EE"/>
    <w:rsid w:val="00E9374F"/>
    <w:rsid w:val="00E937EF"/>
    <w:rsid w:val="00E93A14"/>
    <w:rsid w:val="00E93A5A"/>
    <w:rsid w:val="00E93B2D"/>
    <w:rsid w:val="00E93CFF"/>
    <w:rsid w:val="00E940A3"/>
    <w:rsid w:val="00E941A7"/>
    <w:rsid w:val="00E9422E"/>
    <w:rsid w:val="00E94332"/>
    <w:rsid w:val="00E94564"/>
    <w:rsid w:val="00E949BC"/>
    <w:rsid w:val="00E94BC9"/>
    <w:rsid w:val="00E94CB5"/>
    <w:rsid w:val="00E94DEF"/>
    <w:rsid w:val="00E94FD8"/>
    <w:rsid w:val="00E95114"/>
    <w:rsid w:val="00E9534F"/>
    <w:rsid w:val="00E95443"/>
    <w:rsid w:val="00E955BD"/>
    <w:rsid w:val="00E956DE"/>
    <w:rsid w:val="00E95BF1"/>
    <w:rsid w:val="00E95DF0"/>
    <w:rsid w:val="00E9612E"/>
    <w:rsid w:val="00E965FB"/>
    <w:rsid w:val="00E966C1"/>
    <w:rsid w:val="00E96B9B"/>
    <w:rsid w:val="00E96E23"/>
    <w:rsid w:val="00E9704A"/>
    <w:rsid w:val="00E973F3"/>
    <w:rsid w:val="00E974EA"/>
    <w:rsid w:val="00E97529"/>
    <w:rsid w:val="00E9757E"/>
    <w:rsid w:val="00E9759A"/>
    <w:rsid w:val="00E977C5"/>
    <w:rsid w:val="00E97AF6"/>
    <w:rsid w:val="00E97E64"/>
    <w:rsid w:val="00E97F3A"/>
    <w:rsid w:val="00EA0139"/>
    <w:rsid w:val="00EA026C"/>
    <w:rsid w:val="00EA04FE"/>
    <w:rsid w:val="00EA05F6"/>
    <w:rsid w:val="00EA09DC"/>
    <w:rsid w:val="00EA0B03"/>
    <w:rsid w:val="00EA0BD3"/>
    <w:rsid w:val="00EA0C6A"/>
    <w:rsid w:val="00EA0CBA"/>
    <w:rsid w:val="00EA0CCA"/>
    <w:rsid w:val="00EA0D48"/>
    <w:rsid w:val="00EA12C3"/>
    <w:rsid w:val="00EA13C6"/>
    <w:rsid w:val="00EA1528"/>
    <w:rsid w:val="00EA1796"/>
    <w:rsid w:val="00EA18CB"/>
    <w:rsid w:val="00EA1E9C"/>
    <w:rsid w:val="00EA210D"/>
    <w:rsid w:val="00EA21C2"/>
    <w:rsid w:val="00EA23D8"/>
    <w:rsid w:val="00EA240F"/>
    <w:rsid w:val="00EA2528"/>
    <w:rsid w:val="00EA252C"/>
    <w:rsid w:val="00EA26EB"/>
    <w:rsid w:val="00EA28A2"/>
    <w:rsid w:val="00EA2AA7"/>
    <w:rsid w:val="00EA2E14"/>
    <w:rsid w:val="00EA2EB0"/>
    <w:rsid w:val="00EA32F6"/>
    <w:rsid w:val="00EA35B3"/>
    <w:rsid w:val="00EA36A9"/>
    <w:rsid w:val="00EA3B43"/>
    <w:rsid w:val="00EA3DA5"/>
    <w:rsid w:val="00EA3E86"/>
    <w:rsid w:val="00EA415B"/>
    <w:rsid w:val="00EA442D"/>
    <w:rsid w:val="00EA446F"/>
    <w:rsid w:val="00EA487F"/>
    <w:rsid w:val="00EA49AA"/>
    <w:rsid w:val="00EA4A6A"/>
    <w:rsid w:val="00EA4ACD"/>
    <w:rsid w:val="00EA4C5B"/>
    <w:rsid w:val="00EA4D10"/>
    <w:rsid w:val="00EA4E05"/>
    <w:rsid w:val="00EA4E9A"/>
    <w:rsid w:val="00EA4E9E"/>
    <w:rsid w:val="00EA50F1"/>
    <w:rsid w:val="00EA529C"/>
    <w:rsid w:val="00EA5666"/>
    <w:rsid w:val="00EA5976"/>
    <w:rsid w:val="00EA5A07"/>
    <w:rsid w:val="00EA5A60"/>
    <w:rsid w:val="00EA5A85"/>
    <w:rsid w:val="00EA5C0F"/>
    <w:rsid w:val="00EA5E80"/>
    <w:rsid w:val="00EA60B8"/>
    <w:rsid w:val="00EA60F7"/>
    <w:rsid w:val="00EA61A6"/>
    <w:rsid w:val="00EA62CE"/>
    <w:rsid w:val="00EA6471"/>
    <w:rsid w:val="00EA6851"/>
    <w:rsid w:val="00EA6882"/>
    <w:rsid w:val="00EA6AEC"/>
    <w:rsid w:val="00EA6E2A"/>
    <w:rsid w:val="00EA702F"/>
    <w:rsid w:val="00EA706B"/>
    <w:rsid w:val="00EA7097"/>
    <w:rsid w:val="00EA716D"/>
    <w:rsid w:val="00EA735D"/>
    <w:rsid w:val="00EA785E"/>
    <w:rsid w:val="00EA785F"/>
    <w:rsid w:val="00EA78EF"/>
    <w:rsid w:val="00EA79C1"/>
    <w:rsid w:val="00EA7D37"/>
    <w:rsid w:val="00EA7DD0"/>
    <w:rsid w:val="00EB0026"/>
    <w:rsid w:val="00EB00C7"/>
    <w:rsid w:val="00EB06B4"/>
    <w:rsid w:val="00EB0717"/>
    <w:rsid w:val="00EB071E"/>
    <w:rsid w:val="00EB072B"/>
    <w:rsid w:val="00EB08DC"/>
    <w:rsid w:val="00EB0AA7"/>
    <w:rsid w:val="00EB0B40"/>
    <w:rsid w:val="00EB0D6C"/>
    <w:rsid w:val="00EB0D71"/>
    <w:rsid w:val="00EB0E9F"/>
    <w:rsid w:val="00EB1022"/>
    <w:rsid w:val="00EB1327"/>
    <w:rsid w:val="00EB1A5F"/>
    <w:rsid w:val="00EB1B7B"/>
    <w:rsid w:val="00EB1E91"/>
    <w:rsid w:val="00EB20B4"/>
    <w:rsid w:val="00EB22C6"/>
    <w:rsid w:val="00EB236C"/>
    <w:rsid w:val="00EB23E3"/>
    <w:rsid w:val="00EB25D1"/>
    <w:rsid w:val="00EB27F9"/>
    <w:rsid w:val="00EB2AEE"/>
    <w:rsid w:val="00EB3028"/>
    <w:rsid w:val="00EB31F2"/>
    <w:rsid w:val="00EB331F"/>
    <w:rsid w:val="00EB3473"/>
    <w:rsid w:val="00EB353A"/>
    <w:rsid w:val="00EB3782"/>
    <w:rsid w:val="00EB38E5"/>
    <w:rsid w:val="00EB3C6B"/>
    <w:rsid w:val="00EB3E3E"/>
    <w:rsid w:val="00EB3EE4"/>
    <w:rsid w:val="00EB4287"/>
    <w:rsid w:val="00EB436E"/>
    <w:rsid w:val="00EB438C"/>
    <w:rsid w:val="00EB4490"/>
    <w:rsid w:val="00EB452E"/>
    <w:rsid w:val="00EB4594"/>
    <w:rsid w:val="00EB469A"/>
    <w:rsid w:val="00EB4856"/>
    <w:rsid w:val="00EB48A1"/>
    <w:rsid w:val="00EB4B3B"/>
    <w:rsid w:val="00EB4E1A"/>
    <w:rsid w:val="00EB4F6B"/>
    <w:rsid w:val="00EB51AA"/>
    <w:rsid w:val="00EB51EF"/>
    <w:rsid w:val="00EB5281"/>
    <w:rsid w:val="00EB5603"/>
    <w:rsid w:val="00EB56B7"/>
    <w:rsid w:val="00EB578E"/>
    <w:rsid w:val="00EB5984"/>
    <w:rsid w:val="00EB5CE1"/>
    <w:rsid w:val="00EB6083"/>
    <w:rsid w:val="00EB64D9"/>
    <w:rsid w:val="00EB64F7"/>
    <w:rsid w:val="00EB65A7"/>
    <w:rsid w:val="00EB675F"/>
    <w:rsid w:val="00EB6797"/>
    <w:rsid w:val="00EB68FC"/>
    <w:rsid w:val="00EB695B"/>
    <w:rsid w:val="00EB6D77"/>
    <w:rsid w:val="00EB6E52"/>
    <w:rsid w:val="00EB6E9A"/>
    <w:rsid w:val="00EB6EAB"/>
    <w:rsid w:val="00EB7169"/>
    <w:rsid w:val="00EB74AB"/>
    <w:rsid w:val="00EB773A"/>
    <w:rsid w:val="00EB787C"/>
    <w:rsid w:val="00EB7A03"/>
    <w:rsid w:val="00EB7B33"/>
    <w:rsid w:val="00EB7BAB"/>
    <w:rsid w:val="00EB7C8C"/>
    <w:rsid w:val="00EB7E16"/>
    <w:rsid w:val="00EB7E31"/>
    <w:rsid w:val="00EC0155"/>
    <w:rsid w:val="00EC026E"/>
    <w:rsid w:val="00EC08B9"/>
    <w:rsid w:val="00EC09D7"/>
    <w:rsid w:val="00EC0B8A"/>
    <w:rsid w:val="00EC0D1E"/>
    <w:rsid w:val="00EC0D93"/>
    <w:rsid w:val="00EC109F"/>
    <w:rsid w:val="00EC15BE"/>
    <w:rsid w:val="00EC18C8"/>
    <w:rsid w:val="00EC1B6A"/>
    <w:rsid w:val="00EC1C4F"/>
    <w:rsid w:val="00EC1D34"/>
    <w:rsid w:val="00EC1E49"/>
    <w:rsid w:val="00EC2058"/>
    <w:rsid w:val="00EC20AB"/>
    <w:rsid w:val="00EC2470"/>
    <w:rsid w:val="00EC2610"/>
    <w:rsid w:val="00EC2846"/>
    <w:rsid w:val="00EC29DF"/>
    <w:rsid w:val="00EC2C28"/>
    <w:rsid w:val="00EC2CF8"/>
    <w:rsid w:val="00EC2D8B"/>
    <w:rsid w:val="00EC30F0"/>
    <w:rsid w:val="00EC32B4"/>
    <w:rsid w:val="00EC3588"/>
    <w:rsid w:val="00EC3BCB"/>
    <w:rsid w:val="00EC3C95"/>
    <w:rsid w:val="00EC3D75"/>
    <w:rsid w:val="00EC3E10"/>
    <w:rsid w:val="00EC3E5C"/>
    <w:rsid w:val="00EC3F2F"/>
    <w:rsid w:val="00EC4190"/>
    <w:rsid w:val="00EC437A"/>
    <w:rsid w:val="00EC4538"/>
    <w:rsid w:val="00EC45D0"/>
    <w:rsid w:val="00EC4874"/>
    <w:rsid w:val="00EC4926"/>
    <w:rsid w:val="00EC4D59"/>
    <w:rsid w:val="00EC4EB9"/>
    <w:rsid w:val="00EC5160"/>
    <w:rsid w:val="00EC5226"/>
    <w:rsid w:val="00EC5346"/>
    <w:rsid w:val="00EC5CDF"/>
    <w:rsid w:val="00EC5E21"/>
    <w:rsid w:val="00EC5F92"/>
    <w:rsid w:val="00EC5FB0"/>
    <w:rsid w:val="00EC61F8"/>
    <w:rsid w:val="00EC63B4"/>
    <w:rsid w:val="00EC63C7"/>
    <w:rsid w:val="00EC6622"/>
    <w:rsid w:val="00EC66CD"/>
    <w:rsid w:val="00EC6C0F"/>
    <w:rsid w:val="00EC6C9C"/>
    <w:rsid w:val="00EC6D28"/>
    <w:rsid w:val="00EC709F"/>
    <w:rsid w:val="00EC71EF"/>
    <w:rsid w:val="00EC738E"/>
    <w:rsid w:val="00EC7C78"/>
    <w:rsid w:val="00EC7E1E"/>
    <w:rsid w:val="00EC7EBF"/>
    <w:rsid w:val="00EC7EF3"/>
    <w:rsid w:val="00EC7F7F"/>
    <w:rsid w:val="00ED02E4"/>
    <w:rsid w:val="00ED052D"/>
    <w:rsid w:val="00ED06BA"/>
    <w:rsid w:val="00ED0815"/>
    <w:rsid w:val="00ED0864"/>
    <w:rsid w:val="00ED09BE"/>
    <w:rsid w:val="00ED0A1A"/>
    <w:rsid w:val="00ED0A49"/>
    <w:rsid w:val="00ED0B96"/>
    <w:rsid w:val="00ED0C20"/>
    <w:rsid w:val="00ED0E9C"/>
    <w:rsid w:val="00ED1040"/>
    <w:rsid w:val="00ED10CF"/>
    <w:rsid w:val="00ED1112"/>
    <w:rsid w:val="00ED11D6"/>
    <w:rsid w:val="00ED145B"/>
    <w:rsid w:val="00ED16EF"/>
    <w:rsid w:val="00ED1A1C"/>
    <w:rsid w:val="00ED1B90"/>
    <w:rsid w:val="00ED1B94"/>
    <w:rsid w:val="00ED1C27"/>
    <w:rsid w:val="00ED1D64"/>
    <w:rsid w:val="00ED1D86"/>
    <w:rsid w:val="00ED213D"/>
    <w:rsid w:val="00ED22AF"/>
    <w:rsid w:val="00ED253A"/>
    <w:rsid w:val="00ED28D5"/>
    <w:rsid w:val="00ED2CA4"/>
    <w:rsid w:val="00ED2E3F"/>
    <w:rsid w:val="00ED338F"/>
    <w:rsid w:val="00ED3407"/>
    <w:rsid w:val="00ED36A1"/>
    <w:rsid w:val="00ED3819"/>
    <w:rsid w:val="00ED38CE"/>
    <w:rsid w:val="00ED39D8"/>
    <w:rsid w:val="00ED3BC1"/>
    <w:rsid w:val="00ED4153"/>
    <w:rsid w:val="00ED43A8"/>
    <w:rsid w:val="00ED447A"/>
    <w:rsid w:val="00ED461C"/>
    <w:rsid w:val="00ED477F"/>
    <w:rsid w:val="00ED4A58"/>
    <w:rsid w:val="00ED4CBF"/>
    <w:rsid w:val="00ED4F99"/>
    <w:rsid w:val="00ED51D3"/>
    <w:rsid w:val="00ED5719"/>
    <w:rsid w:val="00ED58F5"/>
    <w:rsid w:val="00ED59AB"/>
    <w:rsid w:val="00ED5A76"/>
    <w:rsid w:val="00ED5A9F"/>
    <w:rsid w:val="00ED5B9A"/>
    <w:rsid w:val="00ED5F5E"/>
    <w:rsid w:val="00ED600A"/>
    <w:rsid w:val="00ED6080"/>
    <w:rsid w:val="00ED620F"/>
    <w:rsid w:val="00ED6AEB"/>
    <w:rsid w:val="00ED6B28"/>
    <w:rsid w:val="00ED6BAA"/>
    <w:rsid w:val="00ED6BBB"/>
    <w:rsid w:val="00ED7034"/>
    <w:rsid w:val="00ED7467"/>
    <w:rsid w:val="00ED77BF"/>
    <w:rsid w:val="00ED7865"/>
    <w:rsid w:val="00ED7A66"/>
    <w:rsid w:val="00ED7B0A"/>
    <w:rsid w:val="00ED7B72"/>
    <w:rsid w:val="00ED7CEA"/>
    <w:rsid w:val="00ED7E0E"/>
    <w:rsid w:val="00ED7F3C"/>
    <w:rsid w:val="00ED7FC2"/>
    <w:rsid w:val="00EE0183"/>
    <w:rsid w:val="00EE01B4"/>
    <w:rsid w:val="00EE01EB"/>
    <w:rsid w:val="00EE0401"/>
    <w:rsid w:val="00EE0626"/>
    <w:rsid w:val="00EE07B7"/>
    <w:rsid w:val="00EE0806"/>
    <w:rsid w:val="00EE0990"/>
    <w:rsid w:val="00EE0B91"/>
    <w:rsid w:val="00EE0C01"/>
    <w:rsid w:val="00EE0CBE"/>
    <w:rsid w:val="00EE13E1"/>
    <w:rsid w:val="00EE148C"/>
    <w:rsid w:val="00EE16EB"/>
    <w:rsid w:val="00EE196A"/>
    <w:rsid w:val="00EE197C"/>
    <w:rsid w:val="00EE1AE3"/>
    <w:rsid w:val="00EE1B16"/>
    <w:rsid w:val="00EE1D39"/>
    <w:rsid w:val="00EE2309"/>
    <w:rsid w:val="00EE23D9"/>
    <w:rsid w:val="00EE25F3"/>
    <w:rsid w:val="00EE273B"/>
    <w:rsid w:val="00EE2995"/>
    <w:rsid w:val="00EE2B10"/>
    <w:rsid w:val="00EE2BA8"/>
    <w:rsid w:val="00EE2C98"/>
    <w:rsid w:val="00EE3094"/>
    <w:rsid w:val="00EE30E8"/>
    <w:rsid w:val="00EE3255"/>
    <w:rsid w:val="00EE3731"/>
    <w:rsid w:val="00EE378E"/>
    <w:rsid w:val="00EE3924"/>
    <w:rsid w:val="00EE39F7"/>
    <w:rsid w:val="00EE3A3F"/>
    <w:rsid w:val="00EE3A9F"/>
    <w:rsid w:val="00EE3C3C"/>
    <w:rsid w:val="00EE3DB9"/>
    <w:rsid w:val="00EE40D5"/>
    <w:rsid w:val="00EE431A"/>
    <w:rsid w:val="00EE462B"/>
    <w:rsid w:val="00EE4634"/>
    <w:rsid w:val="00EE4B9F"/>
    <w:rsid w:val="00EE4F0B"/>
    <w:rsid w:val="00EE5075"/>
    <w:rsid w:val="00EE514E"/>
    <w:rsid w:val="00EE55AC"/>
    <w:rsid w:val="00EE5A3E"/>
    <w:rsid w:val="00EE5D4B"/>
    <w:rsid w:val="00EE606C"/>
    <w:rsid w:val="00EE61FD"/>
    <w:rsid w:val="00EE622F"/>
    <w:rsid w:val="00EE63F7"/>
    <w:rsid w:val="00EE63F8"/>
    <w:rsid w:val="00EE6620"/>
    <w:rsid w:val="00EE69D4"/>
    <w:rsid w:val="00EE6A03"/>
    <w:rsid w:val="00EE6F52"/>
    <w:rsid w:val="00EE6FF4"/>
    <w:rsid w:val="00EE708C"/>
    <w:rsid w:val="00EE733E"/>
    <w:rsid w:val="00EE76E1"/>
    <w:rsid w:val="00EE76FC"/>
    <w:rsid w:val="00EE7880"/>
    <w:rsid w:val="00EE7A81"/>
    <w:rsid w:val="00EE7A87"/>
    <w:rsid w:val="00EE7A8A"/>
    <w:rsid w:val="00EE7BB1"/>
    <w:rsid w:val="00EE7CCE"/>
    <w:rsid w:val="00EE7D1F"/>
    <w:rsid w:val="00EE7D40"/>
    <w:rsid w:val="00EE7F38"/>
    <w:rsid w:val="00EE7F3D"/>
    <w:rsid w:val="00EE7F6D"/>
    <w:rsid w:val="00EF0074"/>
    <w:rsid w:val="00EF02CD"/>
    <w:rsid w:val="00EF04E7"/>
    <w:rsid w:val="00EF09C8"/>
    <w:rsid w:val="00EF0B7C"/>
    <w:rsid w:val="00EF0BCC"/>
    <w:rsid w:val="00EF0CBD"/>
    <w:rsid w:val="00EF0ED8"/>
    <w:rsid w:val="00EF0F18"/>
    <w:rsid w:val="00EF1000"/>
    <w:rsid w:val="00EF137C"/>
    <w:rsid w:val="00EF1511"/>
    <w:rsid w:val="00EF17F1"/>
    <w:rsid w:val="00EF1BEA"/>
    <w:rsid w:val="00EF1C44"/>
    <w:rsid w:val="00EF1C88"/>
    <w:rsid w:val="00EF1E0B"/>
    <w:rsid w:val="00EF1EA2"/>
    <w:rsid w:val="00EF1F2B"/>
    <w:rsid w:val="00EF22BE"/>
    <w:rsid w:val="00EF235C"/>
    <w:rsid w:val="00EF247C"/>
    <w:rsid w:val="00EF2732"/>
    <w:rsid w:val="00EF28FC"/>
    <w:rsid w:val="00EF2AFE"/>
    <w:rsid w:val="00EF2B33"/>
    <w:rsid w:val="00EF2F60"/>
    <w:rsid w:val="00EF31DF"/>
    <w:rsid w:val="00EF35BB"/>
    <w:rsid w:val="00EF3605"/>
    <w:rsid w:val="00EF373F"/>
    <w:rsid w:val="00EF380A"/>
    <w:rsid w:val="00EF3900"/>
    <w:rsid w:val="00EF3CD2"/>
    <w:rsid w:val="00EF3DC6"/>
    <w:rsid w:val="00EF3FDD"/>
    <w:rsid w:val="00EF4036"/>
    <w:rsid w:val="00EF44A0"/>
    <w:rsid w:val="00EF4748"/>
    <w:rsid w:val="00EF4821"/>
    <w:rsid w:val="00EF4B28"/>
    <w:rsid w:val="00EF4C0E"/>
    <w:rsid w:val="00EF4DAA"/>
    <w:rsid w:val="00EF4FE0"/>
    <w:rsid w:val="00EF5213"/>
    <w:rsid w:val="00EF5264"/>
    <w:rsid w:val="00EF5590"/>
    <w:rsid w:val="00EF5854"/>
    <w:rsid w:val="00EF58D9"/>
    <w:rsid w:val="00EF590C"/>
    <w:rsid w:val="00EF5B2B"/>
    <w:rsid w:val="00EF631E"/>
    <w:rsid w:val="00EF633F"/>
    <w:rsid w:val="00EF63E7"/>
    <w:rsid w:val="00EF640E"/>
    <w:rsid w:val="00EF6416"/>
    <w:rsid w:val="00EF652B"/>
    <w:rsid w:val="00EF6562"/>
    <w:rsid w:val="00EF6580"/>
    <w:rsid w:val="00EF66AF"/>
    <w:rsid w:val="00EF673B"/>
    <w:rsid w:val="00EF674A"/>
    <w:rsid w:val="00EF6983"/>
    <w:rsid w:val="00EF6AA9"/>
    <w:rsid w:val="00EF6B37"/>
    <w:rsid w:val="00EF6F78"/>
    <w:rsid w:val="00EF7082"/>
    <w:rsid w:val="00EF7364"/>
    <w:rsid w:val="00EF73D7"/>
    <w:rsid w:val="00EF753E"/>
    <w:rsid w:val="00EF756A"/>
    <w:rsid w:val="00EF765A"/>
    <w:rsid w:val="00EF7996"/>
    <w:rsid w:val="00F000A1"/>
    <w:rsid w:val="00F0014F"/>
    <w:rsid w:val="00F0018F"/>
    <w:rsid w:val="00F003A7"/>
    <w:rsid w:val="00F0040E"/>
    <w:rsid w:val="00F0055D"/>
    <w:rsid w:val="00F005A9"/>
    <w:rsid w:val="00F0060D"/>
    <w:rsid w:val="00F00663"/>
    <w:rsid w:val="00F008F4"/>
    <w:rsid w:val="00F00925"/>
    <w:rsid w:val="00F00C8E"/>
    <w:rsid w:val="00F01170"/>
    <w:rsid w:val="00F01219"/>
    <w:rsid w:val="00F012C8"/>
    <w:rsid w:val="00F012FC"/>
    <w:rsid w:val="00F0155D"/>
    <w:rsid w:val="00F015E9"/>
    <w:rsid w:val="00F01A6C"/>
    <w:rsid w:val="00F01B13"/>
    <w:rsid w:val="00F01B7C"/>
    <w:rsid w:val="00F01D9E"/>
    <w:rsid w:val="00F01E22"/>
    <w:rsid w:val="00F02214"/>
    <w:rsid w:val="00F02588"/>
    <w:rsid w:val="00F025D2"/>
    <w:rsid w:val="00F02906"/>
    <w:rsid w:val="00F02B9D"/>
    <w:rsid w:val="00F02DB4"/>
    <w:rsid w:val="00F02E76"/>
    <w:rsid w:val="00F02F7C"/>
    <w:rsid w:val="00F02F9C"/>
    <w:rsid w:val="00F03203"/>
    <w:rsid w:val="00F032BD"/>
    <w:rsid w:val="00F033C4"/>
    <w:rsid w:val="00F0348C"/>
    <w:rsid w:val="00F03499"/>
    <w:rsid w:val="00F035D0"/>
    <w:rsid w:val="00F03715"/>
    <w:rsid w:val="00F037D4"/>
    <w:rsid w:val="00F03955"/>
    <w:rsid w:val="00F03B4B"/>
    <w:rsid w:val="00F03C89"/>
    <w:rsid w:val="00F03F15"/>
    <w:rsid w:val="00F03F53"/>
    <w:rsid w:val="00F04089"/>
    <w:rsid w:val="00F040A6"/>
    <w:rsid w:val="00F04179"/>
    <w:rsid w:val="00F04226"/>
    <w:rsid w:val="00F04402"/>
    <w:rsid w:val="00F04450"/>
    <w:rsid w:val="00F0478A"/>
    <w:rsid w:val="00F0498C"/>
    <w:rsid w:val="00F04996"/>
    <w:rsid w:val="00F04C84"/>
    <w:rsid w:val="00F04DBB"/>
    <w:rsid w:val="00F04DDA"/>
    <w:rsid w:val="00F04E8B"/>
    <w:rsid w:val="00F04FCC"/>
    <w:rsid w:val="00F05041"/>
    <w:rsid w:val="00F0513D"/>
    <w:rsid w:val="00F0532B"/>
    <w:rsid w:val="00F054A6"/>
    <w:rsid w:val="00F0552E"/>
    <w:rsid w:val="00F05532"/>
    <w:rsid w:val="00F0568A"/>
    <w:rsid w:val="00F0570B"/>
    <w:rsid w:val="00F0571B"/>
    <w:rsid w:val="00F05A05"/>
    <w:rsid w:val="00F05A37"/>
    <w:rsid w:val="00F05B41"/>
    <w:rsid w:val="00F05C3E"/>
    <w:rsid w:val="00F05D7B"/>
    <w:rsid w:val="00F05E21"/>
    <w:rsid w:val="00F05F56"/>
    <w:rsid w:val="00F06349"/>
    <w:rsid w:val="00F063A8"/>
    <w:rsid w:val="00F06560"/>
    <w:rsid w:val="00F06912"/>
    <w:rsid w:val="00F06997"/>
    <w:rsid w:val="00F06B41"/>
    <w:rsid w:val="00F06E79"/>
    <w:rsid w:val="00F06E91"/>
    <w:rsid w:val="00F07101"/>
    <w:rsid w:val="00F072AD"/>
    <w:rsid w:val="00F07495"/>
    <w:rsid w:val="00F075A5"/>
    <w:rsid w:val="00F0779D"/>
    <w:rsid w:val="00F077DF"/>
    <w:rsid w:val="00F07923"/>
    <w:rsid w:val="00F07A0D"/>
    <w:rsid w:val="00F07A7D"/>
    <w:rsid w:val="00F07B61"/>
    <w:rsid w:val="00F07CAA"/>
    <w:rsid w:val="00F07EC4"/>
    <w:rsid w:val="00F10092"/>
    <w:rsid w:val="00F10144"/>
    <w:rsid w:val="00F1016D"/>
    <w:rsid w:val="00F10343"/>
    <w:rsid w:val="00F103A4"/>
    <w:rsid w:val="00F10491"/>
    <w:rsid w:val="00F1058C"/>
    <w:rsid w:val="00F105BA"/>
    <w:rsid w:val="00F10922"/>
    <w:rsid w:val="00F10B0B"/>
    <w:rsid w:val="00F10CCB"/>
    <w:rsid w:val="00F10D2F"/>
    <w:rsid w:val="00F10D64"/>
    <w:rsid w:val="00F10FC6"/>
    <w:rsid w:val="00F10FEA"/>
    <w:rsid w:val="00F11478"/>
    <w:rsid w:val="00F11707"/>
    <w:rsid w:val="00F1172A"/>
    <w:rsid w:val="00F1172B"/>
    <w:rsid w:val="00F11B4E"/>
    <w:rsid w:val="00F11CC3"/>
    <w:rsid w:val="00F1209B"/>
    <w:rsid w:val="00F123BC"/>
    <w:rsid w:val="00F1252E"/>
    <w:rsid w:val="00F12694"/>
    <w:rsid w:val="00F126CB"/>
    <w:rsid w:val="00F12804"/>
    <w:rsid w:val="00F12F8C"/>
    <w:rsid w:val="00F132CE"/>
    <w:rsid w:val="00F13C7E"/>
    <w:rsid w:val="00F14283"/>
    <w:rsid w:val="00F142AC"/>
    <w:rsid w:val="00F14463"/>
    <w:rsid w:val="00F144B5"/>
    <w:rsid w:val="00F14A85"/>
    <w:rsid w:val="00F14ADA"/>
    <w:rsid w:val="00F14EC4"/>
    <w:rsid w:val="00F1528A"/>
    <w:rsid w:val="00F1584B"/>
    <w:rsid w:val="00F158DA"/>
    <w:rsid w:val="00F158E9"/>
    <w:rsid w:val="00F1595F"/>
    <w:rsid w:val="00F15BDA"/>
    <w:rsid w:val="00F15C4F"/>
    <w:rsid w:val="00F15FE9"/>
    <w:rsid w:val="00F1602F"/>
    <w:rsid w:val="00F16123"/>
    <w:rsid w:val="00F1624A"/>
    <w:rsid w:val="00F16336"/>
    <w:rsid w:val="00F166B8"/>
    <w:rsid w:val="00F169A7"/>
    <w:rsid w:val="00F16A2B"/>
    <w:rsid w:val="00F16A4A"/>
    <w:rsid w:val="00F16B4A"/>
    <w:rsid w:val="00F16C9A"/>
    <w:rsid w:val="00F16DE5"/>
    <w:rsid w:val="00F16ECC"/>
    <w:rsid w:val="00F17032"/>
    <w:rsid w:val="00F17425"/>
    <w:rsid w:val="00F17462"/>
    <w:rsid w:val="00F17584"/>
    <w:rsid w:val="00F17935"/>
    <w:rsid w:val="00F17D51"/>
    <w:rsid w:val="00F17E40"/>
    <w:rsid w:val="00F17EDD"/>
    <w:rsid w:val="00F20003"/>
    <w:rsid w:val="00F20036"/>
    <w:rsid w:val="00F20319"/>
    <w:rsid w:val="00F203C5"/>
    <w:rsid w:val="00F20470"/>
    <w:rsid w:val="00F20538"/>
    <w:rsid w:val="00F20640"/>
    <w:rsid w:val="00F207B8"/>
    <w:rsid w:val="00F20A59"/>
    <w:rsid w:val="00F20CAC"/>
    <w:rsid w:val="00F20CC2"/>
    <w:rsid w:val="00F20D50"/>
    <w:rsid w:val="00F20E98"/>
    <w:rsid w:val="00F21354"/>
    <w:rsid w:val="00F21781"/>
    <w:rsid w:val="00F2189D"/>
    <w:rsid w:val="00F21ABA"/>
    <w:rsid w:val="00F21D59"/>
    <w:rsid w:val="00F21D72"/>
    <w:rsid w:val="00F21E6E"/>
    <w:rsid w:val="00F21E91"/>
    <w:rsid w:val="00F21EC6"/>
    <w:rsid w:val="00F2200D"/>
    <w:rsid w:val="00F2200F"/>
    <w:rsid w:val="00F2227B"/>
    <w:rsid w:val="00F22355"/>
    <w:rsid w:val="00F22368"/>
    <w:rsid w:val="00F2255B"/>
    <w:rsid w:val="00F2269B"/>
    <w:rsid w:val="00F2298B"/>
    <w:rsid w:val="00F22CCA"/>
    <w:rsid w:val="00F22D3F"/>
    <w:rsid w:val="00F22DCD"/>
    <w:rsid w:val="00F23016"/>
    <w:rsid w:val="00F23570"/>
    <w:rsid w:val="00F235C5"/>
    <w:rsid w:val="00F235FC"/>
    <w:rsid w:val="00F23808"/>
    <w:rsid w:val="00F239DE"/>
    <w:rsid w:val="00F23B7A"/>
    <w:rsid w:val="00F23D59"/>
    <w:rsid w:val="00F23D8D"/>
    <w:rsid w:val="00F23F07"/>
    <w:rsid w:val="00F2403A"/>
    <w:rsid w:val="00F24242"/>
    <w:rsid w:val="00F244A5"/>
    <w:rsid w:val="00F24577"/>
    <w:rsid w:val="00F24597"/>
    <w:rsid w:val="00F24A06"/>
    <w:rsid w:val="00F24A24"/>
    <w:rsid w:val="00F24DD9"/>
    <w:rsid w:val="00F24FA9"/>
    <w:rsid w:val="00F25310"/>
    <w:rsid w:val="00F25391"/>
    <w:rsid w:val="00F253A1"/>
    <w:rsid w:val="00F254A2"/>
    <w:rsid w:val="00F2569D"/>
    <w:rsid w:val="00F2572C"/>
    <w:rsid w:val="00F257F8"/>
    <w:rsid w:val="00F25944"/>
    <w:rsid w:val="00F25BF3"/>
    <w:rsid w:val="00F25EEC"/>
    <w:rsid w:val="00F25FFB"/>
    <w:rsid w:val="00F26201"/>
    <w:rsid w:val="00F26205"/>
    <w:rsid w:val="00F262A7"/>
    <w:rsid w:val="00F26926"/>
    <w:rsid w:val="00F26954"/>
    <w:rsid w:val="00F26ACF"/>
    <w:rsid w:val="00F26ADF"/>
    <w:rsid w:val="00F26BA2"/>
    <w:rsid w:val="00F26BF3"/>
    <w:rsid w:val="00F26C2F"/>
    <w:rsid w:val="00F26CBA"/>
    <w:rsid w:val="00F26CFA"/>
    <w:rsid w:val="00F270A5"/>
    <w:rsid w:val="00F27268"/>
    <w:rsid w:val="00F272EC"/>
    <w:rsid w:val="00F27533"/>
    <w:rsid w:val="00F2793E"/>
    <w:rsid w:val="00F27B0D"/>
    <w:rsid w:val="00F27B42"/>
    <w:rsid w:val="00F27C56"/>
    <w:rsid w:val="00F27F3B"/>
    <w:rsid w:val="00F300D9"/>
    <w:rsid w:val="00F30128"/>
    <w:rsid w:val="00F308B7"/>
    <w:rsid w:val="00F30B6C"/>
    <w:rsid w:val="00F30BF9"/>
    <w:rsid w:val="00F30E35"/>
    <w:rsid w:val="00F31157"/>
    <w:rsid w:val="00F31160"/>
    <w:rsid w:val="00F312F7"/>
    <w:rsid w:val="00F31363"/>
    <w:rsid w:val="00F31395"/>
    <w:rsid w:val="00F31491"/>
    <w:rsid w:val="00F314BC"/>
    <w:rsid w:val="00F3161B"/>
    <w:rsid w:val="00F31A9D"/>
    <w:rsid w:val="00F32006"/>
    <w:rsid w:val="00F32120"/>
    <w:rsid w:val="00F323FC"/>
    <w:rsid w:val="00F32411"/>
    <w:rsid w:val="00F32537"/>
    <w:rsid w:val="00F32693"/>
    <w:rsid w:val="00F326EC"/>
    <w:rsid w:val="00F32702"/>
    <w:rsid w:val="00F32B5B"/>
    <w:rsid w:val="00F32B5D"/>
    <w:rsid w:val="00F3304A"/>
    <w:rsid w:val="00F330C8"/>
    <w:rsid w:val="00F3311D"/>
    <w:rsid w:val="00F3336C"/>
    <w:rsid w:val="00F333B2"/>
    <w:rsid w:val="00F33B71"/>
    <w:rsid w:val="00F33EA7"/>
    <w:rsid w:val="00F34148"/>
    <w:rsid w:val="00F34514"/>
    <w:rsid w:val="00F34694"/>
    <w:rsid w:val="00F349B0"/>
    <w:rsid w:val="00F349F2"/>
    <w:rsid w:val="00F34CB9"/>
    <w:rsid w:val="00F34FCC"/>
    <w:rsid w:val="00F3509E"/>
    <w:rsid w:val="00F35397"/>
    <w:rsid w:val="00F355CC"/>
    <w:rsid w:val="00F3569F"/>
    <w:rsid w:val="00F356A4"/>
    <w:rsid w:val="00F358F1"/>
    <w:rsid w:val="00F35D7D"/>
    <w:rsid w:val="00F35D9B"/>
    <w:rsid w:val="00F35EAC"/>
    <w:rsid w:val="00F3636F"/>
    <w:rsid w:val="00F36434"/>
    <w:rsid w:val="00F3662E"/>
    <w:rsid w:val="00F366CC"/>
    <w:rsid w:val="00F369F6"/>
    <w:rsid w:val="00F36B05"/>
    <w:rsid w:val="00F370F7"/>
    <w:rsid w:val="00F371F8"/>
    <w:rsid w:val="00F37244"/>
    <w:rsid w:val="00F3749E"/>
    <w:rsid w:val="00F37B3E"/>
    <w:rsid w:val="00F37D50"/>
    <w:rsid w:val="00F37E78"/>
    <w:rsid w:val="00F40568"/>
    <w:rsid w:val="00F40607"/>
    <w:rsid w:val="00F40654"/>
    <w:rsid w:val="00F4066C"/>
    <w:rsid w:val="00F406A2"/>
    <w:rsid w:val="00F406C1"/>
    <w:rsid w:val="00F40BA8"/>
    <w:rsid w:val="00F40D16"/>
    <w:rsid w:val="00F40DEA"/>
    <w:rsid w:val="00F41051"/>
    <w:rsid w:val="00F412A9"/>
    <w:rsid w:val="00F41336"/>
    <w:rsid w:val="00F41853"/>
    <w:rsid w:val="00F41A8F"/>
    <w:rsid w:val="00F41CA3"/>
    <w:rsid w:val="00F42027"/>
    <w:rsid w:val="00F420CB"/>
    <w:rsid w:val="00F4236C"/>
    <w:rsid w:val="00F423DF"/>
    <w:rsid w:val="00F42496"/>
    <w:rsid w:val="00F429C3"/>
    <w:rsid w:val="00F42AA2"/>
    <w:rsid w:val="00F43010"/>
    <w:rsid w:val="00F43056"/>
    <w:rsid w:val="00F4312D"/>
    <w:rsid w:val="00F431EE"/>
    <w:rsid w:val="00F4329B"/>
    <w:rsid w:val="00F43A67"/>
    <w:rsid w:val="00F43C2A"/>
    <w:rsid w:val="00F43D22"/>
    <w:rsid w:val="00F43D7F"/>
    <w:rsid w:val="00F43EC8"/>
    <w:rsid w:val="00F44182"/>
    <w:rsid w:val="00F442B6"/>
    <w:rsid w:val="00F442CD"/>
    <w:rsid w:val="00F443F5"/>
    <w:rsid w:val="00F444DF"/>
    <w:rsid w:val="00F4458F"/>
    <w:rsid w:val="00F44693"/>
    <w:rsid w:val="00F44699"/>
    <w:rsid w:val="00F4482E"/>
    <w:rsid w:val="00F44881"/>
    <w:rsid w:val="00F44AE6"/>
    <w:rsid w:val="00F44CAF"/>
    <w:rsid w:val="00F44DA9"/>
    <w:rsid w:val="00F44DB8"/>
    <w:rsid w:val="00F45039"/>
    <w:rsid w:val="00F451EA"/>
    <w:rsid w:val="00F453CA"/>
    <w:rsid w:val="00F454C0"/>
    <w:rsid w:val="00F45875"/>
    <w:rsid w:val="00F459F5"/>
    <w:rsid w:val="00F45C6D"/>
    <w:rsid w:val="00F45C9E"/>
    <w:rsid w:val="00F45DC8"/>
    <w:rsid w:val="00F45E0A"/>
    <w:rsid w:val="00F4606C"/>
    <w:rsid w:val="00F4627B"/>
    <w:rsid w:val="00F46612"/>
    <w:rsid w:val="00F46C43"/>
    <w:rsid w:val="00F46F59"/>
    <w:rsid w:val="00F47187"/>
    <w:rsid w:val="00F47440"/>
    <w:rsid w:val="00F474DC"/>
    <w:rsid w:val="00F47B72"/>
    <w:rsid w:val="00F47C5D"/>
    <w:rsid w:val="00F50172"/>
    <w:rsid w:val="00F50260"/>
    <w:rsid w:val="00F505C9"/>
    <w:rsid w:val="00F505FF"/>
    <w:rsid w:val="00F50730"/>
    <w:rsid w:val="00F5086E"/>
    <w:rsid w:val="00F50DEC"/>
    <w:rsid w:val="00F50EFB"/>
    <w:rsid w:val="00F51008"/>
    <w:rsid w:val="00F5112A"/>
    <w:rsid w:val="00F511DB"/>
    <w:rsid w:val="00F5129E"/>
    <w:rsid w:val="00F5142D"/>
    <w:rsid w:val="00F51688"/>
    <w:rsid w:val="00F51778"/>
    <w:rsid w:val="00F5177B"/>
    <w:rsid w:val="00F518C1"/>
    <w:rsid w:val="00F519CA"/>
    <w:rsid w:val="00F51A00"/>
    <w:rsid w:val="00F51B4D"/>
    <w:rsid w:val="00F51CEF"/>
    <w:rsid w:val="00F51DB8"/>
    <w:rsid w:val="00F51DEB"/>
    <w:rsid w:val="00F51E5F"/>
    <w:rsid w:val="00F5212E"/>
    <w:rsid w:val="00F521DF"/>
    <w:rsid w:val="00F5234E"/>
    <w:rsid w:val="00F5236F"/>
    <w:rsid w:val="00F524C8"/>
    <w:rsid w:val="00F52ADB"/>
    <w:rsid w:val="00F52CBE"/>
    <w:rsid w:val="00F52DA4"/>
    <w:rsid w:val="00F52FA1"/>
    <w:rsid w:val="00F5315D"/>
    <w:rsid w:val="00F534FF"/>
    <w:rsid w:val="00F5357C"/>
    <w:rsid w:val="00F53652"/>
    <w:rsid w:val="00F53723"/>
    <w:rsid w:val="00F537B4"/>
    <w:rsid w:val="00F53828"/>
    <w:rsid w:val="00F5394D"/>
    <w:rsid w:val="00F5397C"/>
    <w:rsid w:val="00F53A4C"/>
    <w:rsid w:val="00F53AF2"/>
    <w:rsid w:val="00F53C80"/>
    <w:rsid w:val="00F53EBB"/>
    <w:rsid w:val="00F53EC3"/>
    <w:rsid w:val="00F54075"/>
    <w:rsid w:val="00F543D6"/>
    <w:rsid w:val="00F545F3"/>
    <w:rsid w:val="00F54C52"/>
    <w:rsid w:val="00F54C70"/>
    <w:rsid w:val="00F54D7D"/>
    <w:rsid w:val="00F54E7D"/>
    <w:rsid w:val="00F54ED2"/>
    <w:rsid w:val="00F54F83"/>
    <w:rsid w:val="00F54FC4"/>
    <w:rsid w:val="00F55110"/>
    <w:rsid w:val="00F55189"/>
    <w:rsid w:val="00F5521A"/>
    <w:rsid w:val="00F5525B"/>
    <w:rsid w:val="00F55366"/>
    <w:rsid w:val="00F554AA"/>
    <w:rsid w:val="00F55582"/>
    <w:rsid w:val="00F55AD9"/>
    <w:rsid w:val="00F55B79"/>
    <w:rsid w:val="00F55B85"/>
    <w:rsid w:val="00F55BED"/>
    <w:rsid w:val="00F55C97"/>
    <w:rsid w:val="00F55D0B"/>
    <w:rsid w:val="00F56090"/>
    <w:rsid w:val="00F561AC"/>
    <w:rsid w:val="00F5623A"/>
    <w:rsid w:val="00F563BC"/>
    <w:rsid w:val="00F564F0"/>
    <w:rsid w:val="00F56540"/>
    <w:rsid w:val="00F565AB"/>
    <w:rsid w:val="00F56B81"/>
    <w:rsid w:val="00F56BDE"/>
    <w:rsid w:val="00F56BE9"/>
    <w:rsid w:val="00F56E1F"/>
    <w:rsid w:val="00F57254"/>
    <w:rsid w:val="00F57342"/>
    <w:rsid w:val="00F578E5"/>
    <w:rsid w:val="00F578F2"/>
    <w:rsid w:val="00F579DF"/>
    <w:rsid w:val="00F57A9F"/>
    <w:rsid w:val="00F57DBE"/>
    <w:rsid w:val="00F57F59"/>
    <w:rsid w:val="00F6009A"/>
    <w:rsid w:val="00F602DE"/>
    <w:rsid w:val="00F603C4"/>
    <w:rsid w:val="00F60657"/>
    <w:rsid w:val="00F60937"/>
    <w:rsid w:val="00F609DD"/>
    <w:rsid w:val="00F60BF9"/>
    <w:rsid w:val="00F60CEE"/>
    <w:rsid w:val="00F60E0D"/>
    <w:rsid w:val="00F60F38"/>
    <w:rsid w:val="00F61191"/>
    <w:rsid w:val="00F61194"/>
    <w:rsid w:val="00F611F7"/>
    <w:rsid w:val="00F61E31"/>
    <w:rsid w:val="00F62124"/>
    <w:rsid w:val="00F62126"/>
    <w:rsid w:val="00F62133"/>
    <w:rsid w:val="00F621FB"/>
    <w:rsid w:val="00F625A2"/>
    <w:rsid w:val="00F626D3"/>
    <w:rsid w:val="00F62832"/>
    <w:rsid w:val="00F628BC"/>
    <w:rsid w:val="00F62C2E"/>
    <w:rsid w:val="00F62C55"/>
    <w:rsid w:val="00F63053"/>
    <w:rsid w:val="00F6313A"/>
    <w:rsid w:val="00F63149"/>
    <w:rsid w:val="00F631BB"/>
    <w:rsid w:val="00F6345C"/>
    <w:rsid w:val="00F63526"/>
    <w:rsid w:val="00F63818"/>
    <w:rsid w:val="00F638B4"/>
    <w:rsid w:val="00F63935"/>
    <w:rsid w:val="00F63DBB"/>
    <w:rsid w:val="00F63E2E"/>
    <w:rsid w:val="00F64197"/>
    <w:rsid w:val="00F6437A"/>
    <w:rsid w:val="00F64419"/>
    <w:rsid w:val="00F64E2D"/>
    <w:rsid w:val="00F650B3"/>
    <w:rsid w:val="00F65386"/>
    <w:rsid w:val="00F6540D"/>
    <w:rsid w:val="00F654EB"/>
    <w:rsid w:val="00F65889"/>
    <w:rsid w:val="00F659C5"/>
    <w:rsid w:val="00F65D3A"/>
    <w:rsid w:val="00F65F5F"/>
    <w:rsid w:val="00F66378"/>
    <w:rsid w:val="00F6675A"/>
    <w:rsid w:val="00F66B5B"/>
    <w:rsid w:val="00F66FF3"/>
    <w:rsid w:val="00F67338"/>
    <w:rsid w:val="00F67420"/>
    <w:rsid w:val="00F67610"/>
    <w:rsid w:val="00F676DB"/>
    <w:rsid w:val="00F67953"/>
    <w:rsid w:val="00F67DD1"/>
    <w:rsid w:val="00F67DE8"/>
    <w:rsid w:val="00F67E7D"/>
    <w:rsid w:val="00F70044"/>
    <w:rsid w:val="00F7020E"/>
    <w:rsid w:val="00F70387"/>
    <w:rsid w:val="00F703DC"/>
    <w:rsid w:val="00F70CA7"/>
    <w:rsid w:val="00F71050"/>
    <w:rsid w:val="00F7106A"/>
    <w:rsid w:val="00F71378"/>
    <w:rsid w:val="00F7137C"/>
    <w:rsid w:val="00F7177D"/>
    <w:rsid w:val="00F717EA"/>
    <w:rsid w:val="00F7194C"/>
    <w:rsid w:val="00F72252"/>
    <w:rsid w:val="00F72639"/>
    <w:rsid w:val="00F7264E"/>
    <w:rsid w:val="00F72AF3"/>
    <w:rsid w:val="00F72B3E"/>
    <w:rsid w:val="00F72BA6"/>
    <w:rsid w:val="00F72BC1"/>
    <w:rsid w:val="00F72C42"/>
    <w:rsid w:val="00F72C93"/>
    <w:rsid w:val="00F72DA0"/>
    <w:rsid w:val="00F72DC0"/>
    <w:rsid w:val="00F73024"/>
    <w:rsid w:val="00F730BE"/>
    <w:rsid w:val="00F730E1"/>
    <w:rsid w:val="00F730F1"/>
    <w:rsid w:val="00F73211"/>
    <w:rsid w:val="00F73285"/>
    <w:rsid w:val="00F73405"/>
    <w:rsid w:val="00F7340F"/>
    <w:rsid w:val="00F734E3"/>
    <w:rsid w:val="00F736DE"/>
    <w:rsid w:val="00F73AFC"/>
    <w:rsid w:val="00F73BF0"/>
    <w:rsid w:val="00F7409F"/>
    <w:rsid w:val="00F7451E"/>
    <w:rsid w:val="00F745CE"/>
    <w:rsid w:val="00F746CF"/>
    <w:rsid w:val="00F748AA"/>
    <w:rsid w:val="00F74AEF"/>
    <w:rsid w:val="00F74B1B"/>
    <w:rsid w:val="00F74D04"/>
    <w:rsid w:val="00F74D4B"/>
    <w:rsid w:val="00F74FC7"/>
    <w:rsid w:val="00F753EC"/>
    <w:rsid w:val="00F7561F"/>
    <w:rsid w:val="00F7578A"/>
    <w:rsid w:val="00F75CB4"/>
    <w:rsid w:val="00F75CF0"/>
    <w:rsid w:val="00F75ED1"/>
    <w:rsid w:val="00F7651F"/>
    <w:rsid w:val="00F76BEB"/>
    <w:rsid w:val="00F77026"/>
    <w:rsid w:val="00F77138"/>
    <w:rsid w:val="00F772A3"/>
    <w:rsid w:val="00F773C2"/>
    <w:rsid w:val="00F77B38"/>
    <w:rsid w:val="00F77D2C"/>
    <w:rsid w:val="00F77D49"/>
    <w:rsid w:val="00F77E5E"/>
    <w:rsid w:val="00F77EAD"/>
    <w:rsid w:val="00F77EC4"/>
    <w:rsid w:val="00F801CE"/>
    <w:rsid w:val="00F8071E"/>
    <w:rsid w:val="00F80C22"/>
    <w:rsid w:val="00F80E6C"/>
    <w:rsid w:val="00F80E76"/>
    <w:rsid w:val="00F80FF8"/>
    <w:rsid w:val="00F81156"/>
    <w:rsid w:val="00F81358"/>
    <w:rsid w:val="00F816C9"/>
    <w:rsid w:val="00F8179E"/>
    <w:rsid w:val="00F81846"/>
    <w:rsid w:val="00F81BD8"/>
    <w:rsid w:val="00F81D3A"/>
    <w:rsid w:val="00F81D79"/>
    <w:rsid w:val="00F81F9B"/>
    <w:rsid w:val="00F824DD"/>
    <w:rsid w:val="00F825E3"/>
    <w:rsid w:val="00F8272E"/>
    <w:rsid w:val="00F82741"/>
    <w:rsid w:val="00F828AB"/>
    <w:rsid w:val="00F82A35"/>
    <w:rsid w:val="00F82A85"/>
    <w:rsid w:val="00F82BC6"/>
    <w:rsid w:val="00F8321B"/>
    <w:rsid w:val="00F8322C"/>
    <w:rsid w:val="00F83379"/>
    <w:rsid w:val="00F8371C"/>
    <w:rsid w:val="00F839A8"/>
    <w:rsid w:val="00F83C50"/>
    <w:rsid w:val="00F83DD1"/>
    <w:rsid w:val="00F83FC7"/>
    <w:rsid w:val="00F841C6"/>
    <w:rsid w:val="00F842E7"/>
    <w:rsid w:val="00F8437E"/>
    <w:rsid w:val="00F843B6"/>
    <w:rsid w:val="00F84449"/>
    <w:rsid w:val="00F84508"/>
    <w:rsid w:val="00F84569"/>
    <w:rsid w:val="00F849BE"/>
    <w:rsid w:val="00F84C10"/>
    <w:rsid w:val="00F84E7C"/>
    <w:rsid w:val="00F84E8A"/>
    <w:rsid w:val="00F8509F"/>
    <w:rsid w:val="00F852DC"/>
    <w:rsid w:val="00F8543E"/>
    <w:rsid w:val="00F855C3"/>
    <w:rsid w:val="00F856FD"/>
    <w:rsid w:val="00F85B7A"/>
    <w:rsid w:val="00F85C82"/>
    <w:rsid w:val="00F85E9D"/>
    <w:rsid w:val="00F85EC1"/>
    <w:rsid w:val="00F85FD0"/>
    <w:rsid w:val="00F861DB"/>
    <w:rsid w:val="00F862DE"/>
    <w:rsid w:val="00F86385"/>
    <w:rsid w:val="00F86703"/>
    <w:rsid w:val="00F86F41"/>
    <w:rsid w:val="00F87168"/>
    <w:rsid w:val="00F8744F"/>
    <w:rsid w:val="00F87A84"/>
    <w:rsid w:val="00F87A98"/>
    <w:rsid w:val="00F87AB5"/>
    <w:rsid w:val="00F87CA8"/>
    <w:rsid w:val="00F87DED"/>
    <w:rsid w:val="00F87E63"/>
    <w:rsid w:val="00F87F97"/>
    <w:rsid w:val="00F87FAB"/>
    <w:rsid w:val="00F901AE"/>
    <w:rsid w:val="00F9023F"/>
    <w:rsid w:val="00F907E1"/>
    <w:rsid w:val="00F9083E"/>
    <w:rsid w:val="00F90BCA"/>
    <w:rsid w:val="00F90BD1"/>
    <w:rsid w:val="00F90C00"/>
    <w:rsid w:val="00F90C1B"/>
    <w:rsid w:val="00F91321"/>
    <w:rsid w:val="00F913ED"/>
    <w:rsid w:val="00F91893"/>
    <w:rsid w:val="00F918D1"/>
    <w:rsid w:val="00F91AE0"/>
    <w:rsid w:val="00F91BDC"/>
    <w:rsid w:val="00F91C69"/>
    <w:rsid w:val="00F91DAA"/>
    <w:rsid w:val="00F91FC9"/>
    <w:rsid w:val="00F91FE5"/>
    <w:rsid w:val="00F9201C"/>
    <w:rsid w:val="00F920C8"/>
    <w:rsid w:val="00F920D9"/>
    <w:rsid w:val="00F925A3"/>
    <w:rsid w:val="00F9278E"/>
    <w:rsid w:val="00F9297F"/>
    <w:rsid w:val="00F929D1"/>
    <w:rsid w:val="00F929E5"/>
    <w:rsid w:val="00F92ABC"/>
    <w:rsid w:val="00F9313A"/>
    <w:rsid w:val="00F931E6"/>
    <w:rsid w:val="00F93C79"/>
    <w:rsid w:val="00F93CB5"/>
    <w:rsid w:val="00F93FC4"/>
    <w:rsid w:val="00F94848"/>
    <w:rsid w:val="00F94942"/>
    <w:rsid w:val="00F94964"/>
    <w:rsid w:val="00F94B1E"/>
    <w:rsid w:val="00F94BF8"/>
    <w:rsid w:val="00F94DD5"/>
    <w:rsid w:val="00F94E32"/>
    <w:rsid w:val="00F95083"/>
    <w:rsid w:val="00F95281"/>
    <w:rsid w:val="00F952EE"/>
    <w:rsid w:val="00F95326"/>
    <w:rsid w:val="00F95AC1"/>
    <w:rsid w:val="00F95BC8"/>
    <w:rsid w:val="00F95CBC"/>
    <w:rsid w:val="00F95D27"/>
    <w:rsid w:val="00F95F2D"/>
    <w:rsid w:val="00F962F7"/>
    <w:rsid w:val="00F96A28"/>
    <w:rsid w:val="00F96A81"/>
    <w:rsid w:val="00F96B2C"/>
    <w:rsid w:val="00F96BC2"/>
    <w:rsid w:val="00F96E28"/>
    <w:rsid w:val="00F96FA3"/>
    <w:rsid w:val="00F972A0"/>
    <w:rsid w:val="00F972FF"/>
    <w:rsid w:val="00F973A6"/>
    <w:rsid w:val="00F97421"/>
    <w:rsid w:val="00F976A8"/>
    <w:rsid w:val="00F976ED"/>
    <w:rsid w:val="00F97823"/>
    <w:rsid w:val="00F97CCE"/>
    <w:rsid w:val="00FA0178"/>
    <w:rsid w:val="00FA0366"/>
    <w:rsid w:val="00FA0384"/>
    <w:rsid w:val="00FA043C"/>
    <w:rsid w:val="00FA0476"/>
    <w:rsid w:val="00FA0703"/>
    <w:rsid w:val="00FA078A"/>
    <w:rsid w:val="00FA0801"/>
    <w:rsid w:val="00FA085A"/>
    <w:rsid w:val="00FA09E3"/>
    <w:rsid w:val="00FA0B51"/>
    <w:rsid w:val="00FA0EB3"/>
    <w:rsid w:val="00FA114D"/>
    <w:rsid w:val="00FA15D5"/>
    <w:rsid w:val="00FA15D7"/>
    <w:rsid w:val="00FA1850"/>
    <w:rsid w:val="00FA187B"/>
    <w:rsid w:val="00FA1DBC"/>
    <w:rsid w:val="00FA1FE8"/>
    <w:rsid w:val="00FA22C4"/>
    <w:rsid w:val="00FA22D4"/>
    <w:rsid w:val="00FA2308"/>
    <w:rsid w:val="00FA2388"/>
    <w:rsid w:val="00FA2696"/>
    <w:rsid w:val="00FA2837"/>
    <w:rsid w:val="00FA287C"/>
    <w:rsid w:val="00FA29D8"/>
    <w:rsid w:val="00FA29F5"/>
    <w:rsid w:val="00FA2AD4"/>
    <w:rsid w:val="00FA2B5E"/>
    <w:rsid w:val="00FA2BB7"/>
    <w:rsid w:val="00FA2C1D"/>
    <w:rsid w:val="00FA2C52"/>
    <w:rsid w:val="00FA30B3"/>
    <w:rsid w:val="00FA323A"/>
    <w:rsid w:val="00FA3268"/>
    <w:rsid w:val="00FA3372"/>
    <w:rsid w:val="00FA3602"/>
    <w:rsid w:val="00FA37B8"/>
    <w:rsid w:val="00FA3A4F"/>
    <w:rsid w:val="00FA3C26"/>
    <w:rsid w:val="00FA3EE6"/>
    <w:rsid w:val="00FA4061"/>
    <w:rsid w:val="00FA4516"/>
    <w:rsid w:val="00FA47E7"/>
    <w:rsid w:val="00FA48CF"/>
    <w:rsid w:val="00FA4956"/>
    <w:rsid w:val="00FA49F2"/>
    <w:rsid w:val="00FA4B91"/>
    <w:rsid w:val="00FA4BC0"/>
    <w:rsid w:val="00FA4BF5"/>
    <w:rsid w:val="00FA502B"/>
    <w:rsid w:val="00FA50F5"/>
    <w:rsid w:val="00FA5259"/>
    <w:rsid w:val="00FA542A"/>
    <w:rsid w:val="00FA5A09"/>
    <w:rsid w:val="00FA5B1A"/>
    <w:rsid w:val="00FA5C74"/>
    <w:rsid w:val="00FA6147"/>
    <w:rsid w:val="00FA6489"/>
    <w:rsid w:val="00FA67F7"/>
    <w:rsid w:val="00FA6A55"/>
    <w:rsid w:val="00FA6A63"/>
    <w:rsid w:val="00FA71A0"/>
    <w:rsid w:val="00FA71B7"/>
    <w:rsid w:val="00FA7565"/>
    <w:rsid w:val="00FA79BE"/>
    <w:rsid w:val="00FA7BB7"/>
    <w:rsid w:val="00FA7CB1"/>
    <w:rsid w:val="00FB017D"/>
    <w:rsid w:val="00FB02F2"/>
    <w:rsid w:val="00FB041E"/>
    <w:rsid w:val="00FB045B"/>
    <w:rsid w:val="00FB05F6"/>
    <w:rsid w:val="00FB06D9"/>
    <w:rsid w:val="00FB06F2"/>
    <w:rsid w:val="00FB08D5"/>
    <w:rsid w:val="00FB0B0D"/>
    <w:rsid w:val="00FB0BAF"/>
    <w:rsid w:val="00FB0E4A"/>
    <w:rsid w:val="00FB0FBA"/>
    <w:rsid w:val="00FB1177"/>
    <w:rsid w:val="00FB12EC"/>
    <w:rsid w:val="00FB133E"/>
    <w:rsid w:val="00FB1485"/>
    <w:rsid w:val="00FB1762"/>
    <w:rsid w:val="00FB1CE8"/>
    <w:rsid w:val="00FB1E4F"/>
    <w:rsid w:val="00FB21EF"/>
    <w:rsid w:val="00FB223C"/>
    <w:rsid w:val="00FB2409"/>
    <w:rsid w:val="00FB2559"/>
    <w:rsid w:val="00FB26F8"/>
    <w:rsid w:val="00FB2717"/>
    <w:rsid w:val="00FB2A05"/>
    <w:rsid w:val="00FB2CDC"/>
    <w:rsid w:val="00FB2E7E"/>
    <w:rsid w:val="00FB3093"/>
    <w:rsid w:val="00FB332F"/>
    <w:rsid w:val="00FB3575"/>
    <w:rsid w:val="00FB38E9"/>
    <w:rsid w:val="00FB3914"/>
    <w:rsid w:val="00FB396F"/>
    <w:rsid w:val="00FB3A3F"/>
    <w:rsid w:val="00FB3BAF"/>
    <w:rsid w:val="00FB3E23"/>
    <w:rsid w:val="00FB3E60"/>
    <w:rsid w:val="00FB3EBA"/>
    <w:rsid w:val="00FB4487"/>
    <w:rsid w:val="00FB44DC"/>
    <w:rsid w:val="00FB47AE"/>
    <w:rsid w:val="00FB482B"/>
    <w:rsid w:val="00FB483F"/>
    <w:rsid w:val="00FB48A0"/>
    <w:rsid w:val="00FB4C9F"/>
    <w:rsid w:val="00FB4F33"/>
    <w:rsid w:val="00FB5193"/>
    <w:rsid w:val="00FB51B5"/>
    <w:rsid w:val="00FB5505"/>
    <w:rsid w:val="00FB566E"/>
    <w:rsid w:val="00FB56B3"/>
    <w:rsid w:val="00FB56C8"/>
    <w:rsid w:val="00FB5709"/>
    <w:rsid w:val="00FB5785"/>
    <w:rsid w:val="00FB57BF"/>
    <w:rsid w:val="00FB5F63"/>
    <w:rsid w:val="00FB6042"/>
    <w:rsid w:val="00FB60DA"/>
    <w:rsid w:val="00FB6307"/>
    <w:rsid w:val="00FB661F"/>
    <w:rsid w:val="00FB6663"/>
    <w:rsid w:val="00FB66CD"/>
    <w:rsid w:val="00FB67AC"/>
    <w:rsid w:val="00FB6871"/>
    <w:rsid w:val="00FB6C94"/>
    <w:rsid w:val="00FB6CB7"/>
    <w:rsid w:val="00FB6D39"/>
    <w:rsid w:val="00FB6F38"/>
    <w:rsid w:val="00FB700E"/>
    <w:rsid w:val="00FB717C"/>
    <w:rsid w:val="00FB71DC"/>
    <w:rsid w:val="00FB72C8"/>
    <w:rsid w:val="00FB7403"/>
    <w:rsid w:val="00FB7A91"/>
    <w:rsid w:val="00FB7B4C"/>
    <w:rsid w:val="00FB7DE0"/>
    <w:rsid w:val="00FB7E0A"/>
    <w:rsid w:val="00FB7E46"/>
    <w:rsid w:val="00FB7EC1"/>
    <w:rsid w:val="00FB7F42"/>
    <w:rsid w:val="00FC0004"/>
    <w:rsid w:val="00FC022E"/>
    <w:rsid w:val="00FC025C"/>
    <w:rsid w:val="00FC0354"/>
    <w:rsid w:val="00FC08AB"/>
    <w:rsid w:val="00FC0D45"/>
    <w:rsid w:val="00FC0DB0"/>
    <w:rsid w:val="00FC1502"/>
    <w:rsid w:val="00FC15E3"/>
    <w:rsid w:val="00FC1683"/>
    <w:rsid w:val="00FC16CA"/>
    <w:rsid w:val="00FC1A9B"/>
    <w:rsid w:val="00FC1B40"/>
    <w:rsid w:val="00FC1BE7"/>
    <w:rsid w:val="00FC1D95"/>
    <w:rsid w:val="00FC1DE3"/>
    <w:rsid w:val="00FC1F68"/>
    <w:rsid w:val="00FC2090"/>
    <w:rsid w:val="00FC2327"/>
    <w:rsid w:val="00FC2423"/>
    <w:rsid w:val="00FC2548"/>
    <w:rsid w:val="00FC27F2"/>
    <w:rsid w:val="00FC28D8"/>
    <w:rsid w:val="00FC298F"/>
    <w:rsid w:val="00FC29F6"/>
    <w:rsid w:val="00FC2B31"/>
    <w:rsid w:val="00FC2B47"/>
    <w:rsid w:val="00FC2B9D"/>
    <w:rsid w:val="00FC2DBA"/>
    <w:rsid w:val="00FC3231"/>
    <w:rsid w:val="00FC3596"/>
    <w:rsid w:val="00FC35D7"/>
    <w:rsid w:val="00FC3648"/>
    <w:rsid w:val="00FC3749"/>
    <w:rsid w:val="00FC37F1"/>
    <w:rsid w:val="00FC3853"/>
    <w:rsid w:val="00FC3895"/>
    <w:rsid w:val="00FC3977"/>
    <w:rsid w:val="00FC3AA0"/>
    <w:rsid w:val="00FC3ACA"/>
    <w:rsid w:val="00FC3AD9"/>
    <w:rsid w:val="00FC3B6E"/>
    <w:rsid w:val="00FC3EA2"/>
    <w:rsid w:val="00FC4388"/>
    <w:rsid w:val="00FC45E3"/>
    <w:rsid w:val="00FC4762"/>
    <w:rsid w:val="00FC47EB"/>
    <w:rsid w:val="00FC4B33"/>
    <w:rsid w:val="00FC4BE0"/>
    <w:rsid w:val="00FC4FD0"/>
    <w:rsid w:val="00FC50F3"/>
    <w:rsid w:val="00FC52A5"/>
    <w:rsid w:val="00FC5497"/>
    <w:rsid w:val="00FC55B4"/>
    <w:rsid w:val="00FC575B"/>
    <w:rsid w:val="00FC57D1"/>
    <w:rsid w:val="00FC5AE8"/>
    <w:rsid w:val="00FC5C5B"/>
    <w:rsid w:val="00FC5E48"/>
    <w:rsid w:val="00FC5F4E"/>
    <w:rsid w:val="00FC6005"/>
    <w:rsid w:val="00FC610E"/>
    <w:rsid w:val="00FC64FC"/>
    <w:rsid w:val="00FC6630"/>
    <w:rsid w:val="00FC68E6"/>
    <w:rsid w:val="00FC68F9"/>
    <w:rsid w:val="00FC69AA"/>
    <w:rsid w:val="00FC6F59"/>
    <w:rsid w:val="00FC7032"/>
    <w:rsid w:val="00FC72EC"/>
    <w:rsid w:val="00FC73AF"/>
    <w:rsid w:val="00FC7615"/>
    <w:rsid w:val="00FC788F"/>
    <w:rsid w:val="00FC78A4"/>
    <w:rsid w:val="00FC78C0"/>
    <w:rsid w:val="00FC78E2"/>
    <w:rsid w:val="00FC7946"/>
    <w:rsid w:val="00FC79D0"/>
    <w:rsid w:val="00FC7A0D"/>
    <w:rsid w:val="00FC7DBC"/>
    <w:rsid w:val="00FC7DC5"/>
    <w:rsid w:val="00FC7F27"/>
    <w:rsid w:val="00FC7FB6"/>
    <w:rsid w:val="00FC7FEF"/>
    <w:rsid w:val="00FD03DB"/>
    <w:rsid w:val="00FD079F"/>
    <w:rsid w:val="00FD080D"/>
    <w:rsid w:val="00FD08AA"/>
    <w:rsid w:val="00FD08D9"/>
    <w:rsid w:val="00FD08F6"/>
    <w:rsid w:val="00FD0919"/>
    <w:rsid w:val="00FD0976"/>
    <w:rsid w:val="00FD0AD6"/>
    <w:rsid w:val="00FD111A"/>
    <w:rsid w:val="00FD11BC"/>
    <w:rsid w:val="00FD130D"/>
    <w:rsid w:val="00FD156C"/>
    <w:rsid w:val="00FD198B"/>
    <w:rsid w:val="00FD1A1E"/>
    <w:rsid w:val="00FD1AE6"/>
    <w:rsid w:val="00FD1C17"/>
    <w:rsid w:val="00FD1C1E"/>
    <w:rsid w:val="00FD2045"/>
    <w:rsid w:val="00FD213D"/>
    <w:rsid w:val="00FD22A4"/>
    <w:rsid w:val="00FD22E8"/>
    <w:rsid w:val="00FD23CC"/>
    <w:rsid w:val="00FD2483"/>
    <w:rsid w:val="00FD2564"/>
    <w:rsid w:val="00FD2792"/>
    <w:rsid w:val="00FD2818"/>
    <w:rsid w:val="00FD28A6"/>
    <w:rsid w:val="00FD29F0"/>
    <w:rsid w:val="00FD2BCC"/>
    <w:rsid w:val="00FD2E57"/>
    <w:rsid w:val="00FD2E9D"/>
    <w:rsid w:val="00FD31E0"/>
    <w:rsid w:val="00FD3521"/>
    <w:rsid w:val="00FD3553"/>
    <w:rsid w:val="00FD367E"/>
    <w:rsid w:val="00FD3B0B"/>
    <w:rsid w:val="00FD3D4B"/>
    <w:rsid w:val="00FD3E25"/>
    <w:rsid w:val="00FD4275"/>
    <w:rsid w:val="00FD45DD"/>
    <w:rsid w:val="00FD47E2"/>
    <w:rsid w:val="00FD48A1"/>
    <w:rsid w:val="00FD48AA"/>
    <w:rsid w:val="00FD48AD"/>
    <w:rsid w:val="00FD4993"/>
    <w:rsid w:val="00FD4CE0"/>
    <w:rsid w:val="00FD4F08"/>
    <w:rsid w:val="00FD4F77"/>
    <w:rsid w:val="00FD50E4"/>
    <w:rsid w:val="00FD514E"/>
    <w:rsid w:val="00FD5162"/>
    <w:rsid w:val="00FD53C8"/>
    <w:rsid w:val="00FD57A9"/>
    <w:rsid w:val="00FD596F"/>
    <w:rsid w:val="00FD5FF1"/>
    <w:rsid w:val="00FD6071"/>
    <w:rsid w:val="00FD6134"/>
    <w:rsid w:val="00FD619C"/>
    <w:rsid w:val="00FD62BE"/>
    <w:rsid w:val="00FD6492"/>
    <w:rsid w:val="00FD6A5D"/>
    <w:rsid w:val="00FD6A78"/>
    <w:rsid w:val="00FD6A98"/>
    <w:rsid w:val="00FD6B5B"/>
    <w:rsid w:val="00FD6B61"/>
    <w:rsid w:val="00FD6F59"/>
    <w:rsid w:val="00FD6F6A"/>
    <w:rsid w:val="00FD70E6"/>
    <w:rsid w:val="00FD718D"/>
    <w:rsid w:val="00FD729F"/>
    <w:rsid w:val="00FD73CE"/>
    <w:rsid w:val="00FD7430"/>
    <w:rsid w:val="00FD75EC"/>
    <w:rsid w:val="00FD79D2"/>
    <w:rsid w:val="00FD79E7"/>
    <w:rsid w:val="00FD7A25"/>
    <w:rsid w:val="00FE008D"/>
    <w:rsid w:val="00FE036C"/>
    <w:rsid w:val="00FE06FD"/>
    <w:rsid w:val="00FE0B3A"/>
    <w:rsid w:val="00FE0D13"/>
    <w:rsid w:val="00FE0FC6"/>
    <w:rsid w:val="00FE1017"/>
    <w:rsid w:val="00FE119C"/>
    <w:rsid w:val="00FE119D"/>
    <w:rsid w:val="00FE12A9"/>
    <w:rsid w:val="00FE145F"/>
    <w:rsid w:val="00FE15C0"/>
    <w:rsid w:val="00FE1806"/>
    <w:rsid w:val="00FE18DD"/>
    <w:rsid w:val="00FE1904"/>
    <w:rsid w:val="00FE1C53"/>
    <w:rsid w:val="00FE1C6D"/>
    <w:rsid w:val="00FE1C7A"/>
    <w:rsid w:val="00FE1DA4"/>
    <w:rsid w:val="00FE1E61"/>
    <w:rsid w:val="00FE1FCC"/>
    <w:rsid w:val="00FE2008"/>
    <w:rsid w:val="00FE20E4"/>
    <w:rsid w:val="00FE2115"/>
    <w:rsid w:val="00FE2235"/>
    <w:rsid w:val="00FE23D9"/>
    <w:rsid w:val="00FE23DA"/>
    <w:rsid w:val="00FE257F"/>
    <w:rsid w:val="00FE25C7"/>
    <w:rsid w:val="00FE26BF"/>
    <w:rsid w:val="00FE2913"/>
    <w:rsid w:val="00FE298C"/>
    <w:rsid w:val="00FE2DD1"/>
    <w:rsid w:val="00FE2F55"/>
    <w:rsid w:val="00FE2FF3"/>
    <w:rsid w:val="00FE300D"/>
    <w:rsid w:val="00FE30FB"/>
    <w:rsid w:val="00FE3272"/>
    <w:rsid w:val="00FE3315"/>
    <w:rsid w:val="00FE3339"/>
    <w:rsid w:val="00FE3350"/>
    <w:rsid w:val="00FE33D9"/>
    <w:rsid w:val="00FE3580"/>
    <w:rsid w:val="00FE3BC3"/>
    <w:rsid w:val="00FE3BF1"/>
    <w:rsid w:val="00FE3FF3"/>
    <w:rsid w:val="00FE40AB"/>
    <w:rsid w:val="00FE4284"/>
    <w:rsid w:val="00FE43D3"/>
    <w:rsid w:val="00FE4578"/>
    <w:rsid w:val="00FE465B"/>
    <w:rsid w:val="00FE4766"/>
    <w:rsid w:val="00FE4D5E"/>
    <w:rsid w:val="00FE4E2F"/>
    <w:rsid w:val="00FE512C"/>
    <w:rsid w:val="00FE5387"/>
    <w:rsid w:val="00FE538C"/>
    <w:rsid w:val="00FE5545"/>
    <w:rsid w:val="00FE5571"/>
    <w:rsid w:val="00FE5CFA"/>
    <w:rsid w:val="00FE6103"/>
    <w:rsid w:val="00FE6276"/>
    <w:rsid w:val="00FE6359"/>
    <w:rsid w:val="00FE637F"/>
    <w:rsid w:val="00FE6C08"/>
    <w:rsid w:val="00FE6C48"/>
    <w:rsid w:val="00FE6F8C"/>
    <w:rsid w:val="00FE705F"/>
    <w:rsid w:val="00FE724C"/>
    <w:rsid w:val="00FE73D4"/>
    <w:rsid w:val="00FE76E7"/>
    <w:rsid w:val="00FE7B00"/>
    <w:rsid w:val="00FE7B8E"/>
    <w:rsid w:val="00FE7C51"/>
    <w:rsid w:val="00FE7C9B"/>
    <w:rsid w:val="00FE7EC4"/>
    <w:rsid w:val="00FF0140"/>
    <w:rsid w:val="00FF0418"/>
    <w:rsid w:val="00FF0452"/>
    <w:rsid w:val="00FF055E"/>
    <w:rsid w:val="00FF0C78"/>
    <w:rsid w:val="00FF0C89"/>
    <w:rsid w:val="00FF0CD9"/>
    <w:rsid w:val="00FF0EDF"/>
    <w:rsid w:val="00FF0F81"/>
    <w:rsid w:val="00FF0F95"/>
    <w:rsid w:val="00FF113A"/>
    <w:rsid w:val="00FF12D1"/>
    <w:rsid w:val="00FF1353"/>
    <w:rsid w:val="00FF14BD"/>
    <w:rsid w:val="00FF17A9"/>
    <w:rsid w:val="00FF1915"/>
    <w:rsid w:val="00FF2206"/>
    <w:rsid w:val="00FF220C"/>
    <w:rsid w:val="00FF2241"/>
    <w:rsid w:val="00FF22F2"/>
    <w:rsid w:val="00FF2DC7"/>
    <w:rsid w:val="00FF3236"/>
    <w:rsid w:val="00FF389E"/>
    <w:rsid w:val="00FF3B55"/>
    <w:rsid w:val="00FF3D0F"/>
    <w:rsid w:val="00FF3D25"/>
    <w:rsid w:val="00FF3F52"/>
    <w:rsid w:val="00FF3F73"/>
    <w:rsid w:val="00FF3FF1"/>
    <w:rsid w:val="00FF3FF8"/>
    <w:rsid w:val="00FF40B2"/>
    <w:rsid w:val="00FF42C1"/>
    <w:rsid w:val="00FF4314"/>
    <w:rsid w:val="00FF4478"/>
    <w:rsid w:val="00FF4624"/>
    <w:rsid w:val="00FF468B"/>
    <w:rsid w:val="00FF478F"/>
    <w:rsid w:val="00FF47CF"/>
    <w:rsid w:val="00FF4803"/>
    <w:rsid w:val="00FF4A07"/>
    <w:rsid w:val="00FF4C33"/>
    <w:rsid w:val="00FF4E3F"/>
    <w:rsid w:val="00FF5042"/>
    <w:rsid w:val="00FF54A5"/>
    <w:rsid w:val="00FF5549"/>
    <w:rsid w:val="00FF5583"/>
    <w:rsid w:val="00FF5653"/>
    <w:rsid w:val="00FF56DD"/>
    <w:rsid w:val="00FF582D"/>
    <w:rsid w:val="00FF59B2"/>
    <w:rsid w:val="00FF5DC3"/>
    <w:rsid w:val="00FF5F18"/>
    <w:rsid w:val="00FF60FE"/>
    <w:rsid w:val="00FF61D5"/>
    <w:rsid w:val="00FF663E"/>
    <w:rsid w:val="00FF66FA"/>
    <w:rsid w:val="00FF670C"/>
    <w:rsid w:val="00FF6955"/>
    <w:rsid w:val="00FF73ED"/>
    <w:rsid w:val="00FF73F2"/>
    <w:rsid w:val="00FF75E7"/>
    <w:rsid w:val="00FF76F7"/>
    <w:rsid w:val="00FF7966"/>
    <w:rsid w:val="00FF7989"/>
    <w:rsid w:val="00FF7C83"/>
    <w:rsid w:val="0A648D5A"/>
    <w:rsid w:val="1574C02B"/>
    <w:rsid w:val="1A4C200B"/>
    <w:rsid w:val="1C23663E"/>
    <w:rsid w:val="21F9AA1C"/>
    <w:rsid w:val="246D5D10"/>
    <w:rsid w:val="6C0456D2"/>
    <w:rsid w:val="78258455"/>
    <w:rsid w:val="788C59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D7031"/>
  <w15:docId w15:val="{CD99C7E0-141D-4FF7-B6F5-8F021B1B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AD"/>
    <w:pPr>
      <w:spacing w:line="360" w:lineRule="auto"/>
      <w:jc w:val="both"/>
    </w:pPr>
    <w:rPr>
      <w:rFonts w:ascii="Arial" w:hAnsi="Arial"/>
      <w:sz w:val="22"/>
      <w:szCs w:val="24"/>
    </w:rPr>
  </w:style>
  <w:style w:type="paragraph" w:styleId="Titre1">
    <w:name w:val="heading 1"/>
    <w:next w:val="Paragraphe"/>
    <w:link w:val="Titre1Car"/>
    <w:qFormat/>
    <w:rsid w:val="00227A1B"/>
    <w:pPr>
      <w:keepNext/>
      <w:numPr>
        <w:numId w:val="1"/>
      </w:numPr>
      <w:outlineLvl w:val="0"/>
    </w:pPr>
    <w:rPr>
      <w:rFonts w:ascii="Arial" w:hAnsi="Arial"/>
      <w:b/>
      <w:bCs/>
      <w:caps/>
      <w:kern w:val="28"/>
      <w:sz w:val="22"/>
      <w:szCs w:val="22"/>
    </w:rPr>
  </w:style>
  <w:style w:type="paragraph" w:styleId="Titre2">
    <w:name w:val="heading 2"/>
    <w:basedOn w:val="Titre1"/>
    <w:next w:val="Paragraphe"/>
    <w:link w:val="Titre2Car"/>
    <w:autoRedefine/>
    <w:qFormat/>
    <w:rsid w:val="00E4721C"/>
    <w:pPr>
      <w:numPr>
        <w:numId w:val="0"/>
      </w:numPr>
      <w:spacing w:before="240" w:after="240"/>
      <w:ind w:left="709" w:hanging="709"/>
      <w:outlineLvl w:val="1"/>
    </w:pPr>
    <w:rPr>
      <w:rFonts w:ascii="Arial Gras" w:eastAsia="Calibri" w:hAnsi="Arial Gras"/>
      <w:bCs w:val="0"/>
      <w:caps w:val="0"/>
    </w:rPr>
  </w:style>
  <w:style w:type="paragraph" w:styleId="Titre3">
    <w:name w:val="heading 3"/>
    <w:basedOn w:val="Titre2"/>
    <w:next w:val="Paragraphe"/>
    <w:link w:val="Titre3Car"/>
    <w:qFormat/>
    <w:rsid w:val="00EE3731"/>
    <w:pPr>
      <w:outlineLvl w:val="2"/>
    </w:pPr>
    <w:rPr>
      <w:b w:val="0"/>
      <w:bCs/>
      <w:i/>
      <w:iCs/>
    </w:rPr>
  </w:style>
  <w:style w:type="paragraph" w:styleId="Titre4">
    <w:name w:val="heading 4"/>
    <w:basedOn w:val="Titre3"/>
    <w:next w:val="Paragraphe"/>
    <w:link w:val="Titre4Car"/>
    <w:qFormat/>
    <w:rsid w:val="001176F9"/>
    <w:pPr>
      <w:numPr>
        <w:numId w:val="8"/>
      </w:numPr>
      <w:ind w:left="709" w:hanging="709"/>
      <w:outlineLvl w:val="3"/>
    </w:pPr>
    <w:rPr>
      <w:b/>
      <w:i w:val="0"/>
      <w:iCs w:val="0"/>
      <w:caps/>
    </w:rPr>
  </w:style>
  <w:style w:type="paragraph" w:styleId="Titre5">
    <w:name w:val="heading 5"/>
    <w:basedOn w:val="Normal"/>
    <w:next w:val="Normal"/>
    <w:link w:val="Titre5Car"/>
    <w:qFormat/>
    <w:pPr>
      <w:numPr>
        <w:ilvl w:val="4"/>
        <w:numId w:val="1"/>
      </w:numPr>
      <w:spacing w:before="240" w:after="60"/>
      <w:outlineLvl w:val="4"/>
    </w:pPr>
    <w:rPr>
      <w:szCs w:val="22"/>
    </w:rPr>
  </w:style>
  <w:style w:type="paragraph" w:styleId="Titre6">
    <w:name w:val="heading 6"/>
    <w:basedOn w:val="Paragraphe"/>
    <w:next w:val="Normal"/>
    <w:link w:val="Titre6Car"/>
    <w:qFormat/>
    <w:rsid w:val="00710427"/>
    <w:pPr>
      <w:outlineLvl w:val="5"/>
    </w:pPr>
    <w:rPr>
      <w:rFonts w:eastAsia="Calibri"/>
    </w:rPr>
  </w:style>
  <w:style w:type="paragraph" w:styleId="Titre7">
    <w:name w:val="heading 7"/>
    <w:basedOn w:val="Normal"/>
    <w:next w:val="Normal"/>
    <w:link w:val="Titre7Car"/>
    <w:pPr>
      <w:numPr>
        <w:ilvl w:val="6"/>
        <w:numId w:val="1"/>
      </w:numPr>
      <w:spacing w:before="240" w:after="60"/>
      <w:outlineLvl w:val="6"/>
    </w:pPr>
    <w:rPr>
      <w:rFonts w:cs="Arial"/>
      <w:sz w:val="20"/>
      <w:szCs w:val="20"/>
    </w:rPr>
  </w:style>
  <w:style w:type="paragraph" w:styleId="Titre8">
    <w:name w:val="heading 8"/>
    <w:basedOn w:val="Normal"/>
    <w:next w:val="Normal"/>
    <w:link w:val="Titre8Car"/>
    <w:qFormat/>
    <w:pPr>
      <w:numPr>
        <w:ilvl w:val="7"/>
        <w:numId w:val="1"/>
      </w:numPr>
      <w:spacing w:before="240" w:after="60"/>
      <w:outlineLvl w:val="7"/>
    </w:pPr>
    <w:rPr>
      <w:rFonts w:cs="Arial"/>
      <w:i/>
      <w:iCs/>
      <w:sz w:val="20"/>
      <w:szCs w:val="20"/>
    </w:rPr>
  </w:style>
  <w:style w:type="paragraph" w:styleId="Titre9">
    <w:name w:val="heading 9"/>
    <w:basedOn w:val="Normal"/>
    <w:next w:val="Normal"/>
    <w:link w:val="Titre9Car"/>
    <w:pPr>
      <w:numPr>
        <w:ilvl w:val="8"/>
        <w:numId w:val="1"/>
      </w:num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 Car Car,Car Car Car Car, Car Car Car Car Car,Car Car Car,Car Car Car Car Car Car,Car,Note de bas de page1,5_G,fn,Footnote ak,Footnotes,Footnote Text Char1,Footnote Text Char Char,fn Char Char,footnote text Char Char,fn Char1,ft"/>
    <w:basedOn w:val="Normal"/>
    <w:link w:val="NotedebasdepageCar"/>
    <w:uiPriority w:val="99"/>
    <w:qFormat/>
  </w:style>
  <w:style w:type="character" w:styleId="Appelnotedebasdep">
    <w:name w:val="footnote reference"/>
    <w:aliases w:val="Ref,de nota al pie,Appel note de bas de p,de nota al pie + (Asian) MS Mincho,11 pt,4_G"/>
    <w:basedOn w:val="Policepardfaut"/>
    <w:uiPriority w:val="99"/>
    <w:unhideWhenUsed/>
    <w:qFormat/>
    <w:rsid w:val="00227A1B"/>
    <w:rPr>
      <w:vertAlign w:val="superscript"/>
    </w:rPr>
  </w:style>
  <w:style w:type="paragraph" w:styleId="Citation">
    <w:name w:val="Quote"/>
    <w:next w:val="Paragraphe"/>
    <w:link w:val="CitationCar"/>
    <w:qFormat/>
    <w:rsid w:val="00176F7C"/>
    <w:pPr>
      <w:spacing w:before="120" w:after="120"/>
      <w:ind w:left="720" w:right="720"/>
    </w:pPr>
    <w:rPr>
      <w:rFonts w:ascii="Arial" w:hAnsi="Arial"/>
      <w:szCs w:val="22"/>
    </w:rPr>
  </w:style>
  <w:style w:type="paragraph" w:styleId="Titre">
    <w:name w:val="Title"/>
    <w:basedOn w:val="Normal"/>
    <w:next w:val="Normal"/>
    <w:link w:val="TitreCar"/>
    <w:qFormat/>
    <w:rsid w:val="007A1966"/>
    <w:pPr>
      <w:outlineLvl w:val="0"/>
    </w:pPr>
    <w:rPr>
      <w:b/>
      <w:bCs/>
      <w:caps/>
      <w:kern w:val="28"/>
      <w:szCs w:val="22"/>
    </w:rPr>
  </w:style>
  <w:style w:type="paragraph" w:styleId="En-tte">
    <w:name w:val="header"/>
    <w:basedOn w:val="Normal"/>
    <w:link w:val="En-tteCar"/>
    <w:uiPriority w:val="99"/>
    <w:pPr>
      <w:tabs>
        <w:tab w:val="center" w:pos="4320"/>
        <w:tab w:val="right" w:pos="8640"/>
      </w:tabs>
    </w:pPr>
  </w:style>
  <w:style w:type="paragraph" w:styleId="Corpsdetexte">
    <w:name w:val="Body Text"/>
    <w:basedOn w:val="Normal"/>
    <w:link w:val="CorpsdetexteCar"/>
    <w:unhideWhenUsed/>
    <w:rsid w:val="00381BDA"/>
    <w:pPr>
      <w:spacing w:after="120"/>
    </w:pPr>
  </w:style>
  <w:style w:type="paragraph" w:styleId="Textedebulles">
    <w:name w:val="Balloon Text"/>
    <w:basedOn w:val="Normal"/>
    <w:link w:val="TextedebullesCar"/>
    <w:semiHidden/>
    <w:rsid w:val="00212687"/>
    <w:rPr>
      <w:rFonts w:ascii="Tahoma" w:hAnsi="Tahoma" w:cs="Tahoma"/>
      <w:sz w:val="16"/>
      <w:szCs w:val="16"/>
    </w:rPr>
  </w:style>
  <w:style w:type="character" w:styleId="Lienhypertexte">
    <w:name w:val="Hyperlink"/>
    <w:uiPriority w:val="99"/>
    <w:rsid w:val="00D715D3"/>
    <w:rPr>
      <w:color w:val="0000FF"/>
      <w:u w:val="single"/>
    </w:rPr>
  </w:style>
  <w:style w:type="paragraph" w:styleId="Citationintense">
    <w:name w:val="Intense Quote"/>
    <w:basedOn w:val="Normal"/>
    <w:next w:val="Normal"/>
    <w:link w:val="CitationintenseCar"/>
    <w:uiPriority w:val="30"/>
    <w:qFormat/>
    <w:rsid w:val="0056553A"/>
    <w:pPr>
      <w:ind w:left="720" w:right="720"/>
      <w:jc w:val="left"/>
    </w:pPr>
    <w:rPr>
      <w:bCs/>
      <w:iCs/>
      <w:sz w:val="20"/>
    </w:rPr>
  </w:style>
  <w:style w:type="character" w:customStyle="1" w:styleId="CitationintenseCar">
    <w:name w:val="Citation intense Car"/>
    <w:link w:val="Citationintense"/>
    <w:uiPriority w:val="30"/>
    <w:rsid w:val="0056553A"/>
    <w:rPr>
      <w:rFonts w:ascii="Arial" w:hAnsi="Arial"/>
      <w:bCs/>
      <w:iCs/>
      <w:szCs w:val="24"/>
    </w:rPr>
  </w:style>
  <w:style w:type="numbering" w:customStyle="1" w:styleId="Aucuneliste1">
    <w:name w:val="Aucune liste1"/>
    <w:next w:val="Aucuneliste"/>
    <w:uiPriority w:val="99"/>
    <w:semiHidden/>
    <w:unhideWhenUsed/>
    <w:rsid w:val="00DE3F88"/>
  </w:style>
  <w:style w:type="character" w:customStyle="1" w:styleId="CorpsdetexteCar">
    <w:name w:val="Corps de texte Car"/>
    <w:basedOn w:val="Policepardfaut"/>
    <w:link w:val="Corpsdetexte"/>
    <w:rsid w:val="00381BDA"/>
    <w:rPr>
      <w:rFonts w:ascii="Arial" w:hAnsi="Arial"/>
      <w:sz w:val="22"/>
      <w:szCs w:val="24"/>
    </w:rPr>
  </w:style>
  <w:style w:type="character" w:customStyle="1" w:styleId="NotedebasdepageCar">
    <w:name w:val="Note de bas de page Car"/>
    <w:aliases w:val=" Car Car Car Car,Car Car Car Car Car, Car Car Car Car Car Car,Car Car Car Car1,Car Car Car Car Car Car Car1,Car Car,Note de bas de page1 Car,5_G Car,fn Car,Footnote ak Car,Footnotes Car,Footnote Text Char1 Car,fn Char Char Car"/>
    <w:link w:val="Notedebasdepage"/>
    <w:uiPriority w:val="99"/>
    <w:qFormat/>
    <w:rsid w:val="00DE3F88"/>
    <w:rPr>
      <w:rFonts w:ascii="Gill Sans" w:hAnsi="Gill Sans"/>
      <w:sz w:val="24"/>
      <w:szCs w:val="24"/>
    </w:rPr>
  </w:style>
  <w:style w:type="paragraph" w:customStyle="1" w:styleId="TitreRecommandation">
    <w:name w:val="Titre Recommandation"/>
    <w:qFormat/>
    <w:rsid w:val="00227A1B"/>
    <w:pPr>
      <w:spacing w:after="120"/>
    </w:pPr>
    <w:rPr>
      <w:rFonts w:ascii="Arial Gras" w:hAnsi="Arial Gras"/>
      <w:b/>
      <w:caps/>
      <w:sz w:val="22"/>
      <w:szCs w:val="24"/>
    </w:rPr>
  </w:style>
  <w:style w:type="paragraph" w:customStyle="1" w:styleId="Texterecommandation">
    <w:name w:val="Texte recommandation"/>
    <w:next w:val="Paragraphe"/>
    <w:link w:val="TexterecommandationCar"/>
    <w:qFormat/>
    <w:rsid w:val="00227A1B"/>
    <w:pPr>
      <w:tabs>
        <w:tab w:val="left" w:pos="709"/>
      </w:tabs>
      <w:spacing w:after="120"/>
    </w:pPr>
    <w:rPr>
      <w:rFonts w:ascii="Arial Gras" w:eastAsia="Calibri" w:hAnsi="Arial Gras"/>
      <w:b/>
      <w:sz w:val="22"/>
      <w:szCs w:val="24"/>
    </w:rPr>
  </w:style>
  <w:style w:type="paragraph" w:styleId="TM1">
    <w:name w:val="toc 1"/>
    <w:next w:val="Paragraphe"/>
    <w:autoRedefine/>
    <w:uiPriority w:val="39"/>
    <w:unhideWhenUsed/>
    <w:rsid w:val="00CE48ED"/>
    <w:pPr>
      <w:tabs>
        <w:tab w:val="left" w:pos="709"/>
        <w:tab w:val="right" w:leader="dot" w:pos="9350"/>
      </w:tabs>
      <w:ind w:left="709" w:hanging="709"/>
    </w:pPr>
    <w:rPr>
      <w:rFonts w:ascii="Arial Gras" w:hAnsi="Arial Gras"/>
      <w:b/>
      <w:caps/>
      <w:sz w:val="22"/>
      <w:szCs w:val="24"/>
    </w:rPr>
  </w:style>
  <w:style w:type="character" w:customStyle="1" w:styleId="TexterecommandationCar">
    <w:name w:val="Texte recommandation Car"/>
    <w:basedOn w:val="Policepardfaut"/>
    <w:link w:val="Texterecommandation"/>
    <w:rsid w:val="00227A1B"/>
    <w:rPr>
      <w:rFonts w:ascii="Arial Gras" w:eastAsia="Calibri" w:hAnsi="Arial Gras"/>
      <w:b/>
      <w:sz w:val="22"/>
      <w:szCs w:val="24"/>
    </w:rPr>
  </w:style>
  <w:style w:type="paragraph" w:styleId="TM2">
    <w:name w:val="toc 2"/>
    <w:basedOn w:val="Normal"/>
    <w:next w:val="Normal"/>
    <w:autoRedefine/>
    <w:uiPriority w:val="39"/>
    <w:unhideWhenUsed/>
    <w:rsid w:val="002821DB"/>
    <w:pPr>
      <w:tabs>
        <w:tab w:val="left" w:pos="709"/>
        <w:tab w:val="right" w:leader="dot" w:pos="9350"/>
      </w:tabs>
      <w:spacing w:after="100"/>
    </w:pPr>
    <w:rPr>
      <w:rFonts w:ascii="Arial Gras" w:hAnsi="Arial Gras"/>
      <w:b/>
      <w:noProof/>
    </w:rPr>
  </w:style>
  <w:style w:type="paragraph" w:styleId="En-ttedetabledesmatires">
    <w:name w:val="TOC Heading"/>
    <w:basedOn w:val="Titre1"/>
    <w:next w:val="Normal"/>
    <w:uiPriority w:val="39"/>
    <w:unhideWhenUsed/>
    <w:rsid w:val="0078286C"/>
    <w:pPr>
      <w:keepLines/>
      <w:numPr>
        <w:numId w:val="0"/>
      </w:numPr>
      <w:spacing w:before="480" w:line="276" w:lineRule="auto"/>
      <w:outlineLvl w:val="9"/>
    </w:pPr>
    <w:rPr>
      <w:rFonts w:ascii="Cambria" w:hAnsi="Cambria"/>
      <w:caps w:val="0"/>
      <w:color w:val="365F91"/>
      <w:kern w:val="0"/>
      <w:sz w:val="28"/>
      <w:szCs w:val="28"/>
    </w:rPr>
  </w:style>
  <w:style w:type="paragraph" w:styleId="TM3">
    <w:name w:val="toc 3"/>
    <w:basedOn w:val="Normal"/>
    <w:next w:val="Normal"/>
    <w:autoRedefine/>
    <w:uiPriority w:val="39"/>
    <w:unhideWhenUsed/>
    <w:rsid w:val="009D3D24"/>
    <w:pPr>
      <w:tabs>
        <w:tab w:val="left" w:pos="1276"/>
        <w:tab w:val="right" w:leader="dot" w:pos="9350"/>
      </w:tabs>
      <w:spacing w:line="240" w:lineRule="auto"/>
      <w:ind w:left="709"/>
    </w:pPr>
  </w:style>
  <w:style w:type="paragraph" w:styleId="TM4">
    <w:name w:val="toc 4"/>
    <w:basedOn w:val="Normal"/>
    <w:next w:val="Normal"/>
    <w:autoRedefine/>
    <w:uiPriority w:val="39"/>
    <w:unhideWhenUsed/>
    <w:rsid w:val="00F07CAA"/>
    <w:pPr>
      <w:tabs>
        <w:tab w:val="left" w:pos="1276"/>
        <w:tab w:val="right" w:leader="dot" w:pos="9350"/>
      </w:tabs>
      <w:spacing w:after="100"/>
      <w:ind w:left="709"/>
    </w:pPr>
  </w:style>
  <w:style w:type="paragraph" w:styleId="Rvision">
    <w:name w:val="Revision"/>
    <w:hidden/>
    <w:uiPriority w:val="99"/>
    <w:semiHidden/>
    <w:rsid w:val="00B65F72"/>
    <w:rPr>
      <w:rFonts w:ascii="Gill Sans" w:hAnsi="Gill Sans"/>
      <w:sz w:val="24"/>
      <w:szCs w:val="24"/>
    </w:rPr>
  </w:style>
  <w:style w:type="paragraph" w:styleId="Notedefin">
    <w:name w:val="endnote text"/>
    <w:basedOn w:val="Normal"/>
    <w:link w:val="NotedefinCar"/>
    <w:uiPriority w:val="99"/>
    <w:semiHidden/>
    <w:unhideWhenUsed/>
    <w:rsid w:val="0058645A"/>
    <w:pPr>
      <w:jc w:val="left"/>
    </w:pPr>
    <w:rPr>
      <w:rFonts w:ascii="Calibri" w:eastAsia="Calibri" w:hAnsi="Calibri"/>
      <w:sz w:val="20"/>
      <w:szCs w:val="20"/>
      <w:lang w:val="en-US" w:eastAsia="en-US"/>
    </w:rPr>
  </w:style>
  <w:style w:type="character" w:customStyle="1" w:styleId="NotedefinCar">
    <w:name w:val="Note de fin Car"/>
    <w:link w:val="Notedefin"/>
    <w:uiPriority w:val="99"/>
    <w:semiHidden/>
    <w:rsid w:val="0058645A"/>
    <w:rPr>
      <w:rFonts w:ascii="Calibri" w:eastAsia="Calibri" w:hAnsi="Calibri" w:cs="Times New Roman"/>
      <w:lang w:val="en-US" w:eastAsia="en-US"/>
    </w:rPr>
  </w:style>
  <w:style w:type="character" w:styleId="Appeldenotedefin">
    <w:name w:val="endnote reference"/>
    <w:uiPriority w:val="99"/>
    <w:semiHidden/>
    <w:unhideWhenUsed/>
    <w:rsid w:val="0058645A"/>
    <w:rPr>
      <w:vertAlign w:val="superscript"/>
    </w:rPr>
  </w:style>
  <w:style w:type="numbering" w:customStyle="1" w:styleId="Aucuneliste2">
    <w:name w:val="Aucune liste2"/>
    <w:next w:val="Aucuneliste"/>
    <w:semiHidden/>
    <w:rsid w:val="00CE2297"/>
  </w:style>
  <w:style w:type="character" w:styleId="Marquedecommentaire">
    <w:name w:val="annotation reference"/>
    <w:uiPriority w:val="99"/>
    <w:semiHidden/>
    <w:rsid w:val="00CE2297"/>
    <w:rPr>
      <w:sz w:val="16"/>
      <w:szCs w:val="16"/>
    </w:rPr>
  </w:style>
  <w:style w:type="paragraph" w:styleId="Commentaire">
    <w:name w:val="annotation text"/>
    <w:basedOn w:val="Normal"/>
    <w:link w:val="CommentaireCar"/>
    <w:uiPriority w:val="99"/>
    <w:rsid w:val="00CE2297"/>
    <w:pPr>
      <w:jc w:val="left"/>
    </w:pPr>
    <w:rPr>
      <w:rFonts w:ascii="Times New Roman" w:hAnsi="Times New Roman"/>
      <w:sz w:val="20"/>
      <w:szCs w:val="20"/>
    </w:rPr>
  </w:style>
  <w:style w:type="character" w:customStyle="1" w:styleId="CommentaireCar">
    <w:name w:val="Commentaire Car"/>
    <w:basedOn w:val="Policepardfaut"/>
    <w:link w:val="Commentaire"/>
    <w:uiPriority w:val="99"/>
    <w:rsid w:val="00CE2297"/>
  </w:style>
  <w:style w:type="paragraph" w:styleId="Objetducommentaire">
    <w:name w:val="annotation subject"/>
    <w:basedOn w:val="Commentaire"/>
    <w:next w:val="Commentaire"/>
    <w:link w:val="ObjetducommentaireCar"/>
    <w:semiHidden/>
    <w:rsid w:val="00CE2297"/>
    <w:rPr>
      <w:b/>
      <w:bCs/>
    </w:rPr>
  </w:style>
  <w:style w:type="character" w:customStyle="1" w:styleId="ObjetducommentaireCar">
    <w:name w:val="Objet du commentaire Car"/>
    <w:link w:val="Objetducommentaire"/>
    <w:semiHidden/>
    <w:rsid w:val="00CE2297"/>
    <w:rPr>
      <w:b/>
      <w:bCs/>
    </w:rPr>
  </w:style>
  <w:style w:type="character" w:customStyle="1" w:styleId="En-tteCar">
    <w:name w:val="En-tête Car"/>
    <w:link w:val="En-tte"/>
    <w:uiPriority w:val="99"/>
    <w:rsid w:val="00CE2297"/>
    <w:rPr>
      <w:rFonts w:ascii="Gill Sans" w:hAnsi="Gill Sans"/>
      <w:sz w:val="24"/>
      <w:szCs w:val="24"/>
    </w:rPr>
  </w:style>
  <w:style w:type="character" w:customStyle="1" w:styleId="Titre1Car">
    <w:name w:val="Titre 1 Car"/>
    <w:link w:val="Titre1"/>
    <w:rsid w:val="00227A1B"/>
    <w:rPr>
      <w:rFonts w:ascii="Arial" w:hAnsi="Arial"/>
      <w:b/>
      <w:bCs/>
      <w:caps/>
      <w:kern w:val="28"/>
      <w:sz w:val="22"/>
      <w:szCs w:val="22"/>
    </w:rPr>
  </w:style>
  <w:style w:type="character" w:customStyle="1" w:styleId="Titre2Car">
    <w:name w:val="Titre 2 Car"/>
    <w:link w:val="Titre2"/>
    <w:rsid w:val="00E4721C"/>
    <w:rPr>
      <w:rFonts w:ascii="Arial Gras" w:eastAsia="Calibri" w:hAnsi="Arial Gras"/>
      <w:b/>
      <w:kern w:val="28"/>
      <w:sz w:val="22"/>
      <w:szCs w:val="22"/>
    </w:rPr>
  </w:style>
  <w:style w:type="character" w:customStyle="1" w:styleId="Titre3Car">
    <w:name w:val="Titre 3 Car"/>
    <w:link w:val="Titre3"/>
    <w:rsid w:val="00227A1B"/>
    <w:rPr>
      <w:rFonts w:ascii="Arial Gras" w:eastAsia="Calibri" w:hAnsi="Arial Gras"/>
      <w:bCs/>
      <w:i/>
      <w:iCs/>
      <w:kern w:val="28"/>
      <w:sz w:val="22"/>
      <w:szCs w:val="22"/>
    </w:rPr>
  </w:style>
  <w:style w:type="character" w:customStyle="1" w:styleId="Titre4Car">
    <w:name w:val="Titre 4 Car"/>
    <w:link w:val="Titre4"/>
    <w:rsid w:val="001176F9"/>
    <w:rPr>
      <w:rFonts w:ascii="Arial Gras" w:eastAsia="Calibri" w:hAnsi="Arial Gras"/>
      <w:b/>
      <w:bCs/>
      <w:caps/>
      <w:kern w:val="28"/>
      <w:sz w:val="22"/>
      <w:szCs w:val="22"/>
    </w:rPr>
  </w:style>
  <w:style w:type="character" w:customStyle="1" w:styleId="Titre5Car">
    <w:name w:val="Titre 5 Car"/>
    <w:link w:val="Titre5"/>
    <w:rsid w:val="00CE2297"/>
    <w:rPr>
      <w:rFonts w:ascii="Arial" w:hAnsi="Arial"/>
      <w:sz w:val="22"/>
      <w:szCs w:val="22"/>
    </w:rPr>
  </w:style>
  <w:style w:type="character" w:customStyle="1" w:styleId="Titre6Car">
    <w:name w:val="Titre 6 Car"/>
    <w:link w:val="Titre6"/>
    <w:rsid w:val="00710427"/>
    <w:rPr>
      <w:rFonts w:ascii="Arial" w:eastAsia="Calibri" w:hAnsi="Arial" w:cs="Open Sans"/>
      <w:color w:val="000000"/>
      <w:sz w:val="22"/>
      <w:szCs w:val="21"/>
      <w:shd w:val="clear" w:color="auto" w:fill="FFFFFF"/>
      <w:lang w:val="en-CA"/>
    </w:rPr>
  </w:style>
  <w:style w:type="character" w:customStyle="1" w:styleId="Titre7Car">
    <w:name w:val="Titre 7 Car"/>
    <w:link w:val="Titre7"/>
    <w:rsid w:val="00CE2297"/>
    <w:rPr>
      <w:rFonts w:ascii="Arial" w:hAnsi="Arial" w:cs="Arial"/>
    </w:rPr>
  </w:style>
  <w:style w:type="character" w:customStyle="1" w:styleId="Titre8Car">
    <w:name w:val="Titre 8 Car"/>
    <w:link w:val="Titre8"/>
    <w:rsid w:val="00CE2297"/>
    <w:rPr>
      <w:rFonts w:ascii="Arial" w:hAnsi="Arial" w:cs="Arial"/>
      <w:i/>
      <w:iCs/>
    </w:rPr>
  </w:style>
  <w:style w:type="character" w:customStyle="1" w:styleId="Titre9Car">
    <w:name w:val="Titre 9 Car"/>
    <w:link w:val="Titre9"/>
    <w:rsid w:val="00CE2297"/>
    <w:rPr>
      <w:rFonts w:ascii="Arial" w:hAnsi="Arial" w:cs="Arial"/>
      <w:b/>
      <w:bCs/>
      <w:i/>
      <w:iCs/>
      <w:sz w:val="18"/>
      <w:szCs w:val="18"/>
    </w:rPr>
  </w:style>
  <w:style w:type="character" w:customStyle="1" w:styleId="CitationCar">
    <w:name w:val="Citation Car"/>
    <w:link w:val="Citation"/>
    <w:rsid w:val="00176F7C"/>
    <w:rPr>
      <w:rFonts w:ascii="Arial" w:hAnsi="Arial"/>
      <w:szCs w:val="22"/>
    </w:rPr>
  </w:style>
  <w:style w:type="character" w:customStyle="1" w:styleId="TitreCar">
    <w:name w:val="Titre Car"/>
    <w:link w:val="Titre"/>
    <w:rsid w:val="004619D3"/>
    <w:rPr>
      <w:rFonts w:ascii="Arial" w:hAnsi="Arial"/>
      <w:b/>
      <w:bCs/>
      <w:caps/>
      <w:kern w:val="28"/>
      <w:sz w:val="22"/>
      <w:szCs w:val="22"/>
    </w:rPr>
  </w:style>
  <w:style w:type="character" w:customStyle="1" w:styleId="TextedebullesCar">
    <w:name w:val="Texte de bulles Car"/>
    <w:link w:val="Textedebulles"/>
    <w:semiHidden/>
    <w:rsid w:val="004619D3"/>
    <w:rPr>
      <w:rFonts w:ascii="Tahoma" w:hAnsi="Tahoma" w:cs="Tahoma"/>
      <w:sz w:val="16"/>
      <w:szCs w:val="16"/>
    </w:rPr>
  </w:style>
  <w:style w:type="character" w:styleId="Textedelespacerserv">
    <w:name w:val="Placeholder Text"/>
    <w:uiPriority w:val="99"/>
    <w:semiHidden/>
    <w:rsid w:val="004619D3"/>
    <w:rPr>
      <w:color w:val="808080"/>
    </w:rPr>
  </w:style>
  <w:style w:type="character" w:styleId="Lienhypertextesuivivisit">
    <w:name w:val="FollowedHyperlink"/>
    <w:uiPriority w:val="99"/>
    <w:semiHidden/>
    <w:unhideWhenUsed/>
    <w:rsid w:val="004619D3"/>
    <w:rPr>
      <w:color w:val="800080"/>
      <w:u w:val="single"/>
    </w:rPr>
  </w:style>
  <w:style w:type="character" w:styleId="CitationHTML">
    <w:name w:val="HTML Cite"/>
    <w:uiPriority w:val="99"/>
    <w:semiHidden/>
    <w:unhideWhenUsed/>
    <w:rsid w:val="004619D3"/>
    <w:rPr>
      <w:i/>
      <w:iCs/>
    </w:rPr>
  </w:style>
  <w:style w:type="character" w:customStyle="1" w:styleId="NotedebasdepageCar1">
    <w:name w:val="Note de bas de page Car1"/>
    <w:aliases w:val="Note de bas de page Car Car,Car Car Car Car Car1,Car Car Car Car Car Car1,Car Car Car Car Car Car Car,Car Car Car Car1 Car,Car Car Car Car Car Car Car1 Car,Note de bas de page1 Car Car,5_G Car Car,fn Car Car"/>
    <w:uiPriority w:val="99"/>
    <w:semiHidden/>
    <w:rsid w:val="004619D3"/>
    <w:rPr>
      <w:rFonts w:ascii="Gill Sans" w:hAnsi="Gill Sans"/>
    </w:rPr>
  </w:style>
  <w:style w:type="paragraph" w:customStyle="1" w:styleId="En-ttepaireetimpaire">
    <w:name w:val="En-tête paire et impaire"/>
    <w:basedOn w:val="En-tte"/>
    <w:link w:val="En-ttepaireetimpaireCar"/>
    <w:qFormat/>
    <w:rsid w:val="00BE0C62"/>
    <w:pPr>
      <w:pBdr>
        <w:bottom w:val="single" w:sz="4" w:space="1" w:color="auto"/>
      </w:pBdr>
      <w:spacing w:line="240" w:lineRule="auto"/>
    </w:pPr>
    <w:rPr>
      <w:b/>
      <w:iCs/>
      <w:sz w:val="14"/>
      <w:szCs w:val="14"/>
    </w:rPr>
  </w:style>
  <w:style w:type="character" w:customStyle="1" w:styleId="Mentionnonrsolue1">
    <w:name w:val="Mention non résolue1"/>
    <w:basedOn w:val="Policepardfaut"/>
    <w:uiPriority w:val="99"/>
    <w:semiHidden/>
    <w:unhideWhenUsed/>
    <w:rsid w:val="00CE34A0"/>
    <w:rPr>
      <w:color w:val="605E5C"/>
      <w:shd w:val="clear" w:color="auto" w:fill="E1DFDD"/>
    </w:rPr>
  </w:style>
  <w:style w:type="paragraph" w:styleId="Listepuces">
    <w:name w:val="List Bullet"/>
    <w:basedOn w:val="Normal"/>
    <w:uiPriority w:val="99"/>
    <w:unhideWhenUsed/>
    <w:rsid w:val="001E6CB1"/>
    <w:pPr>
      <w:numPr>
        <w:numId w:val="9"/>
      </w:numPr>
      <w:tabs>
        <w:tab w:val="left" w:pos="709"/>
      </w:tabs>
      <w:spacing w:after="120" w:line="240" w:lineRule="auto"/>
      <w:ind w:left="357" w:hanging="357"/>
    </w:pPr>
  </w:style>
  <w:style w:type="character" w:styleId="Mentionnonrsolue">
    <w:name w:val="Unresolved Mention"/>
    <w:basedOn w:val="Policepardfaut"/>
    <w:uiPriority w:val="99"/>
    <w:semiHidden/>
    <w:unhideWhenUsed/>
    <w:rsid w:val="004501B1"/>
    <w:rPr>
      <w:color w:val="605E5C"/>
      <w:shd w:val="clear" w:color="auto" w:fill="E1DFDD"/>
    </w:rPr>
  </w:style>
  <w:style w:type="table" w:styleId="Grilledutableau">
    <w:name w:val="Table Grid"/>
    <w:basedOn w:val="TableauNormal"/>
    <w:uiPriority w:val="59"/>
    <w:rsid w:val="00EC45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paireetimpaireCar">
    <w:name w:val="En-tête paire et impaire Car"/>
    <w:basedOn w:val="En-tteCar"/>
    <w:link w:val="En-ttepaireetimpaire"/>
    <w:rsid w:val="00BE0C62"/>
    <w:rPr>
      <w:rFonts w:ascii="Arial" w:hAnsi="Arial"/>
      <w:b/>
      <w:iCs/>
      <w:sz w:val="14"/>
      <w:szCs w:val="14"/>
    </w:rPr>
  </w:style>
  <w:style w:type="paragraph" w:customStyle="1" w:styleId="Paragraphe">
    <w:name w:val="Paragraphe"/>
    <w:next w:val="Corpsdetexte"/>
    <w:link w:val="ParagrapheCar"/>
    <w:qFormat/>
    <w:rsid w:val="00E46945"/>
    <w:pPr>
      <w:shd w:val="clear" w:color="auto" w:fill="FFFFFF"/>
      <w:spacing w:before="240" w:after="240" w:line="360" w:lineRule="auto"/>
    </w:pPr>
    <w:rPr>
      <w:rFonts w:ascii="Arial" w:hAnsi="Arial" w:cs="Open Sans"/>
      <w:color w:val="000000"/>
      <w:sz w:val="22"/>
      <w:szCs w:val="21"/>
      <w:lang w:val="en-CA"/>
    </w:rPr>
  </w:style>
  <w:style w:type="character" w:customStyle="1" w:styleId="ParagrapheCar">
    <w:name w:val="Paragraphe Car"/>
    <w:basedOn w:val="Policepardfaut"/>
    <w:link w:val="Paragraphe"/>
    <w:rsid w:val="00E46945"/>
    <w:rPr>
      <w:rFonts w:ascii="Arial" w:hAnsi="Arial" w:cs="Open Sans"/>
      <w:color w:val="000000"/>
      <w:sz w:val="22"/>
      <w:szCs w:val="21"/>
      <w:shd w:val="clear" w:color="auto" w:fill="FFFFFF"/>
      <w:lang w:val="en-CA"/>
    </w:rPr>
  </w:style>
  <w:style w:type="paragraph" w:customStyle="1" w:styleId="Nbp">
    <w:name w:val="Nbp"/>
    <w:basedOn w:val="Notedebasdepage"/>
    <w:link w:val="NbpCar"/>
    <w:qFormat/>
    <w:rsid w:val="006B1BA9"/>
    <w:pPr>
      <w:spacing w:after="120"/>
    </w:pPr>
    <w:rPr>
      <w:sz w:val="18"/>
    </w:rPr>
  </w:style>
  <w:style w:type="character" w:customStyle="1" w:styleId="NbpCar">
    <w:name w:val="Nbp Car"/>
    <w:basedOn w:val="NotedebasdepageCar"/>
    <w:link w:val="Nbp"/>
    <w:rsid w:val="006B1BA9"/>
    <w:rPr>
      <w:rFonts w:ascii="Arial" w:hAnsi="Arial"/>
      <w:sz w:val="18"/>
      <w:szCs w:val="24"/>
    </w:rPr>
  </w:style>
  <w:style w:type="paragraph" w:styleId="Pieddepage">
    <w:name w:val="footer"/>
    <w:basedOn w:val="Normal"/>
    <w:link w:val="PieddepageCar"/>
    <w:uiPriority w:val="99"/>
    <w:semiHidden/>
    <w:unhideWhenUsed/>
    <w:rsid w:val="00FA2BB7"/>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FA2BB7"/>
    <w:rPr>
      <w:rFonts w:ascii="Arial" w:hAnsi="Arial"/>
      <w:sz w:val="22"/>
      <w:szCs w:val="24"/>
    </w:rPr>
  </w:style>
  <w:style w:type="paragraph" w:customStyle="1" w:styleId="NDBP">
    <w:name w:val="NDBP"/>
    <w:basedOn w:val="Normal"/>
    <w:next w:val="Normal"/>
    <w:link w:val="NDBPCar"/>
    <w:autoRedefine/>
    <w:qFormat/>
    <w:rsid w:val="00250412"/>
    <w:pPr>
      <w:tabs>
        <w:tab w:val="left" w:pos="709"/>
      </w:tabs>
      <w:spacing w:after="120" w:line="240" w:lineRule="auto"/>
      <w:ind w:left="709" w:hanging="709"/>
      <w:jc w:val="left"/>
    </w:pPr>
    <w:rPr>
      <w:rFonts w:eastAsia="Calibri" w:cs="Arial"/>
      <w:sz w:val="18"/>
    </w:rPr>
  </w:style>
  <w:style w:type="character" w:customStyle="1" w:styleId="NDBPCar">
    <w:name w:val="NDBP Car"/>
    <w:basedOn w:val="Policepardfaut"/>
    <w:link w:val="NDBP"/>
    <w:rsid w:val="00250412"/>
    <w:rPr>
      <w:rFonts w:ascii="Arial" w:eastAsia="Calibri" w:hAnsi="Arial" w:cs="Arial"/>
      <w:sz w:val="18"/>
      <w:szCs w:val="24"/>
    </w:rPr>
  </w:style>
  <w:style w:type="paragraph" w:customStyle="1" w:styleId="Citationslongues">
    <w:name w:val="Citations longues"/>
    <w:basedOn w:val="Normal"/>
    <w:qFormat/>
    <w:rsid w:val="00814E77"/>
    <w:pPr>
      <w:spacing w:after="120" w:line="240" w:lineRule="auto"/>
      <w:ind w:left="720" w:right="720"/>
      <w:jc w:val="left"/>
    </w:pPr>
    <w:rPr>
      <w:rFonts w:eastAsia="Calibri" w:cs="Arial"/>
      <w:sz w:val="20"/>
      <w:szCs w:val="20"/>
      <w:lang w:val="fr-FR" w:eastAsia="en-US"/>
    </w:rPr>
  </w:style>
  <w:style w:type="paragraph" w:styleId="Paragraphedeliste">
    <w:name w:val="List Paragraph"/>
    <w:basedOn w:val="Normal"/>
    <w:autoRedefine/>
    <w:uiPriority w:val="34"/>
    <w:qFormat/>
    <w:rsid w:val="008D105F"/>
    <w:pPr>
      <w:numPr>
        <w:numId w:val="11"/>
      </w:numPr>
      <w:tabs>
        <w:tab w:val="left" w:pos="567"/>
      </w:tabs>
      <w:spacing w:before="240" w:after="120" w:line="240" w:lineRule="auto"/>
      <w:contextualSpacing/>
      <w:jc w:val="left"/>
    </w:pPr>
    <w:rPr>
      <w:rFonts w:eastAsia="Calibri"/>
      <w:lang w:val="en-US"/>
    </w:rPr>
  </w:style>
  <w:style w:type="paragraph" w:customStyle="1" w:styleId="Puces">
    <w:name w:val="Puces"/>
    <w:basedOn w:val="Normal"/>
    <w:autoRedefine/>
    <w:rsid w:val="009A281A"/>
    <w:pPr>
      <w:numPr>
        <w:numId w:val="13"/>
      </w:numPr>
      <w:spacing w:before="240" w:after="120" w:line="240" w:lineRule="auto"/>
      <w:ind w:left="993" w:hanging="426"/>
      <w:contextualSpacing/>
      <w:jc w:val="left"/>
    </w:pPr>
    <w:rPr>
      <w:rFonts w:eastAsia="Calibri"/>
    </w:rPr>
  </w:style>
  <w:style w:type="paragraph" w:styleId="NormalWeb">
    <w:name w:val="Normal (Web)"/>
    <w:basedOn w:val="Normal"/>
    <w:uiPriority w:val="99"/>
    <w:unhideWhenUsed/>
    <w:rsid w:val="00866CBC"/>
    <w:pPr>
      <w:spacing w:before="100" w:beforeAutospacing="1" w:after="100" w:afterAutospacing="1" w:line="240" w:lineRule="auto"/>
      <w:jc w:val="left"/>
    </w:pPr>
    <w:rPr>
      <w:rFonts w:ascii="Times New Roman" w:hAnsi="Times New Roman"/>
      <w:sz w:val="24"/>
    </w:rPr>
  </w:style>
  <w:style w:type="paragraph" w:customStyle="1" w:styleId="paragraph">
    <w:name w:val="paragraph"/>
    <w:basedOn w:val="Normal"/>
    <w:rsid w:val="00003476"/>
    <w:pPr>
      <w:spacing w:before="100" w:beforeAutospacing="1" w:after="100" w:afterAutospacing="1" w:line="240" w:lineRule="auto"/>
      <w:jc w:val="left"/>
    </w:pPr>
    <w:rPr>
      <w:rFonts w:ascii="Times New Roman" w:hAnsi="Times New Roman"/>
      <w:sz w:val="24"/>
    </w:rPr>
  </w:style>
  <w:style w:type="character" w:customStyle="1" w:styleId="normaltextrun">
    <w:name w:val="normaltextrun"/>
    <w:basedOn w:val="Policepardfaut"/>
    <w:rsid w:val="00003476"/>
  </w:style>
  <w:style w:type="paragraph" w:customStyle="1" w:styleId="Ndbp0">
    <w:name w:val="Ndbp"/>
    <w:basedOn w:val="Normal"/>
    <w:link w:val="NdbpCar0"/>
    <w:qFormat/>
    <w:rsid w:val="00A9643D"/>
    <w:pPr>
      <w:tabs>
        <w:tab w:val="left" w:pos="709"/>
      </w:tabs>
      <w:spacing w:after="120" w:line="240" w:lineRule="auto"/>
      <w:ind w:firstLine="709"/>
      <w:jc w:val="left"/>
    </w:pPr>
    <w:rPr>
      <w:rFonts w:eastAsia="Calibri"/>
      <w:sz w:val="18"/>
    </w:rPr>
  </w:style>
  <w:style w:type="character" w:customStyle="1" w:styleId="NdbpCar0">
    <w:name w:val="Ndbp Car"/>
    <w:link w:val="Ndbp0"/>
    <w:rsid w:val="00A9643D"/>
    <w:rPr>
      <w:rFonts w:ascii="Arial" w:eastAsia="Calibri" w:hAnsi="Arial"/>
      <w:sz w:val="18"/>
      <w:szCs w:val="24"/>
    </w:rPr>
  </w:style>
  <w:style w:type="paragraph" w:customStyle="1" w:styleId="Citations">
    <w:name w:val="Citations"/>
    <w:basedOn w:val="Normal"/>
    <w:qFormat/>
    <w:rsid w:val="00C73C55"/>
    <w:pPr>
      <w:spacing w:line="240" w:lineRule="auto"/>
      <w:ind w:left="709" w:right="573"/>
      <w:jc w:val="left"/>
    </w:pPr>
    <w:rPr>
      <w:rFonts w:eastAsia="Calibri" w:cs="Arial"/>
      <w:sz w:val="20"/>
      <w:szCs w:val="20"/>
      <w:lang w:eastAsia="en-US"/>
    </w:rPr>
  </w:style>
  <w:style w:type="character" w:customStyle="1" w:styleId="solexhl">
    <w:name w:val="solexhl"/>
    <w:basedOn w:val="Policepardfaut"/>
    <w:rsid w:val="0046790D"/>
  </w:style>
  <w:style w:type="paragraph" w:customStyle="1" w:styleId="Default">
    <w:name w:val="Default"/>
    <w:rsid w:val="00842E54"/>
    <w:pPr>
      <w:autoSpaceDE w:val="0"/>
      <w:autoSpaceDN w:val="0"/>
      <w:adjustRightInd w:val="0"/>
    </w:pPr>
    <w:rPr>
      <w:color w:val="000000"/>
      <w:sz w:val="24"/>
      <w:szCs w:val="24"/>
    </w:rPr>
  </w:style>
  <w:style w:type="paragraph" w:customStyle="1" w:styleId="notebasde">
    <w:name w:val="note bas de"/>
    <w:basedOn w:val="Notedebasdepage"/>
    <w:link w:val="notebasdeCar"/>
    <w:qFormat/>
    <w:rsid w:val="003B37FE"/>
    <w:pPr>
      <w:spacing w:after="120" w:line="240" w:lineRule="auto"/>
    </w:pPr>
    <w:rPr>
      <w:rFonts w:cs="Arial"/>
      <w:sz w:val="18"/>
      <w:szCs w:val="18"/>
    </w:rPr>
  </w:style>
  <w:style w:type="character" w:customStyle="1" w:styleId="notebasdeCar">
    <w:name w:val="note bas de Car"/>
    <w:basedOn w:val="NotedebasdepageCar"/>
    <w:link w:val="notebasde"/>
    <w:rsid w:val="003B37FE"/>
    <w:rPr>
      <w:rFonts w:ascii="Arial" w:hAnsi="Arial" w:cs="Arial"/>
      <w:sz w:val="18"/>
      <w:szCs w:val="18"/>
    </w:rPr>
  </w:style>
  <w:style w:type="character" w:customStyle="1" w:styleId="cf01">
    <w:name w:val="cf01"/>
    <w:basedOn w:val="Policepardfaut"/>
    <w:rsid w:val="002651AB"/>
    <w:rPr>
      <w:rFonts w:ascii="Segoe UI" w:hAnsi="Segoe UI" w:cs="Segoe UI" w:hint="default"/>
      <w:sz w:val="18"/>
      <w:szCs w:val="18"/>
    </w:rPr>
  </w:style>
  <w:style w:type="character" w:styleId="lev">
    <w:name w:val="Strong"/>
    <w:basedOn w:val="Policepardfaut"/>
    <w:uiPriority w:val="22"/>
    <w:qFormat/>
    <w:rsid w:val="00B84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694">
      <w:bodyDiv w:val="1"/>
      <w:marLeft w:val="0"/>
      <w:marRight w:val="0"/>
      <w:marTop w:val="0"/>
      <w:marBottom w:val="0"/>
      <w:divBdr>
        <w:top w:val="none" w:sz="0" w:space="0" w:color="auto"/>
        <w:left w:val="none" w:sz="0" w:space="0" w:color="auto"/>
        <w:bottom w:val="none" w:sz="0" w:space="0" w:color="auto"/>
        <w:right w:val="none" w:sz="0" w:space="0" w:color="auto"/>
      </w:divBdr>
    </w:div>
    <w:div w:id="30611567">
      <w:bodyDiv w:val="1"/>
      <w:marLeft w:val="0"/>
      <w:marRight w:val="0"/>
      <w:marTop w:val="0"/>
      <w:marBottom w:val="0"/>
      <w:divBdr>
        <w:top w:val="none" w:sz="0" w:space="0" w:color="auto"/>
        <w:left w:val="none" w:sz="0" w:space="0" w:color="auto"/>
        <w:bottom w:val="none" w:sz="0" w:space="0" w:color="auto"/>
        <w:right w:val="none" w:sz="0" w:space="0" w:color="auto"/>
      </w:divBdr>
    </w:div>
    <w:div w:id="38012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7077">
          <w:marLeft w:val="0"/>
          <w:marRight w:val="0"/>
          <w:marTop w:val="0"/>
          <w:marBottom w:val="0"/>
          <w:divBdr>
            <w:top w:val="none" w:sz="0" w:space="0" w:color="auto"/>
            <w:left w:val="none" w:sz="0" w:space="0" w:color="auto"/>
            <w:bottom w:val="none" w:sz="0" w:space="0" w:color="auto"/>
            <w:right w:val="none" w:sz="0" w:space="0" w:color="auto"/>
          </w:divBdr>
          <w:divsChild>
            <w:div w:id="1707414883">
              <w:marLeft w:val="0"/>
              <w:marRight w:val="0"/>
              <w:marTop w:val="0"/>
              <w:marBottom w:val="0"/>
              <w:divBdr>
                <w:top w:val="none" w:sz="0" w:space="0" w:color="auto"/>
                <w:left w:val="none" w:sz="0" w:space="0" w:color="auto"/>
                <w:bottom w:val="none" w:sz="0" w:space="0" w:color="auto"/>
                <w:right w:val="none" w:sz="0" w:space="0" w:color="auto"/>
              </w:divBdr>
              <w:divsChild>
                <w:div w:id="128520216">
                  <w:marLeft w:val="0"/>
                  <w:marRight w:val="0"/>
                  <w:marTop w:val="0"/>
                  <w:marBottom w:val="0"/>
                  <w:divBdr>
                    <w:top w:val="none" w:sz="0" w:space="0" w:color="auto"/>
                    <w:left w:val="none" w:sz="0" w:space="0" w:color="auto"/>
                    <w:bottom w:val="none" w:sz="0" w:space="0" w:color="auto"/>
                    <w:right w:val="none" w:sz="0" w:space="0" w:color="auto"/>
                  </w:divBdr>
                  <w:divsChild>
                    <w:div w:id="1791240365">
                      <w:marLeft w:val="0"/>
                      <w:marRight w:val="0"/>
                      <w:marTop w:val="0"/>
                      <w:marBottom w:val="0"/>
                      <w:divBdr>
                        <w:top w:val="none" w:sz="0" w:space="0" w:color="auto"/>
                        <w:left w:val="none" w:sz="0" w:space="0" w:color="auto"/>
                        <w:bottom w:val="none" w:sz="0" w:space="0" w:color="auto"/>
                        <w:right w:val="none" w:sz="0" w:space="0" w:color="auto"/>
                      </w:divBdr>
                      <w:divsChild>
                        <w:div w:id="1142578028">
                          <w:marLeft w:val="0"/>
                          <w:marRight w:val="0"/>
                          <w:marTop w:val="0"/>
                          <w:marBottom w:val="0"/>
                          <w:divBdr>
                            <w:top w:val="none" w:sz="0" w:space="0" w:color="auto"/>
                            <w:left w:val="none" w:sz="0" w:space="0" w:color="auto"/>
                            <w:bottom w:val="none" w:sz="0" w:space="0" w:color="auto"/>
                            <w:right w:val="none" w:sz="0" w:space="0" w:color="auto"/>
                          </w:divBdr>
                          <w:divsChild>
                            <w:div w:id="1048533253">
                              <w:marLeft w:val="0"/>
                              <w:marRight w:val="0"/>
                              <w:marTop w:val="0"/>
                              <w:marBottom w:val="0"/>
                              <w:divBdr>
                                <w:top w:val="none" w:sz="0" w:space="0" w:color="auto"/>
                                <w:left w:val="none" w:sz="0" w:space="0" w:color="auto"/>
                                <w:bottom w:val="none" w:sz="0" w:space="0" w:color="auto"/>
                                <w:right w:val="none" w:sz="0" w:space="0" w:color="auto"/>
                              </w:divBdr>
                              <w:divsChild>
                                <w:div w:id="1873806865">
                                  <w:marLeft w:val="0"/>
                                  <w:marRight w:val="0"/>
                                  <w:marTop w:val="0"/>
                                  <w:marBottom w:val="0"/>
                                  <w:divBdr>
                                    <w:top w:val="none" w:sz="0" w:space="0" w:color="auto"/>
                                    <w:left w:val="none" w:sz="0" w:space="0" w:color="auto"/>
                                    <w:bottom w:val="none" w:sz="0" w:space="0" w:color="auto"/>
                                    <w:right w:val="none" w:sz="0" w:space="0" w:color="auto"/>
                                  </w:divBdr>
                                  <w:divsChild>
                                    <w:div w:id="443502707">
                                      <w:marLeft w:val="0"/>
                                      <w:marRight w:val="0"/>
                                      <w:marTop w:val="219"/>
                                      <w:marBottom w:val="0"/>
                                      <w:divBdr>
                                        <w:top w:val="none" w:sz="0" w:space="0" w:color="auto"/>
                                        <w:left w:val="none" w:sz="0" w:space="0" w:color="auto"/>
                                        <w:bottom w:val="none" w:sz="0" w:space="0" w:color="auto"/>
                                        <w:right w:val="none" w:sz="0" w:space="0" w:color="auto"/>
                                      </w:divBdr>
                                      <w:divsChild>
                                        <w:div w:id="827983798">
                                          <w:marLeft w:val="0"/>
                                          <w:marRight w:val="0"/>
                                          <w:marTop w:val="260"/>
                                          <w:marBottom w:val="240"/>
                                          <w:divBdr>
                                            <w:top w:val="none" w:sz="0" w:space="0" w:color="auto"/>
                                            <w:left w:val="none" w:sz="0" w:space="0" w:color="auto"/>
                                            <w:bottom w:val="none" w:sz="0" w:space="0" w:color="auto"/>
                                            <w:right w:val="none" w:sz="0" w:space="0" w:color="auto"/>
                                          </w:divBdr>
                                        </w:div>
                                        <w:div w:id="151009492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6503">
      <w:bodyDiv w:val="1"/>
      <w:marLeft w:val="0"/>
      <w:marRight w:val="0"/>
      <w:marTop w:val="0"/>
      <w:marBottom w:val="0"/>
      <w:divBdr>
        <w:top w:val="none" w:sz="0" w:space="0" w:color="auto"/>
        <w:left w:val="none" w:sz="0" w:space="0" w:color="auto"/>
        <w:bottom w:val="none" w:sz="0" w:space="0" w:color="auto"/>
        <w:right w:val="none" w:sz="0" w:space="0" w:color="auto"/>
      </w:divBdr>
    </w:div>
    <w:div w:id="77673629">
      <w:bodyDiv w:val="1"/>
      <w:marLeft w:val="0"/>
      <w:marRight w:val="0"/>
      <w:marTop w:val="0"/>
      <w:marBottom w:val="0"/>
      <w:divBdr>
        <w:top w:val="none" w:sz="0" w:space="0" w:color="auto"/>
        <w:left w:val="none" w:sz="0" w:space="0" w:color="auto"/>
        <w:bottom w:val="none" w:sz="0" w:space="0" w:color="auto"/>
        <w:right w:val="none" w:sz="0" w:space="0" w:color="auto"/>
      </w:divBdr>
    </w:div>
    <w:div w:id="116607092">
      <w:bodyDiv w:val="1"/>
      <w:marLeft w:val="0"/>
      <w:marRight w:val="0"/>
      <w:marTop w:val="0"/>
      <w:marBottom w:val="0"/>
      <w:divBdr>
        <w:top w:val="none" w:sz="0" w:space="0" w:color="auto"/>
        <w:left w:val="none" w:sz="0" w:space="0" w:color="auto"/>
        <w:bottom w:val="none" w:sz="0" w:space="0" w:color="auto"/>
        <w:right w:val="none" w:sz="0" w:space="0" w:color="auto"/>
      </w:divBdr>
      <w:divsChild>
        <w:div w:id="540748359">
          <w:marLeft w:val="0"/>
          <w:marRight w:val="0"/>
          <w:marTop w:val="0"/>
          <w:marBottom w:val="0"/>
          <w:divBdr>
            <w:top w:val="none" w:sz="0" w:space="0" w:color="auto"/>
            <w:left w:val="none" w:sz="0" w:space="0" w:color="auto"/>
            <w:bottom w:val="none" w:sz="0" w:space="0" w:color="auto"/>
            <w:right w:val="none" w:sz="0" w:space="0" w:color="auto"/>
          </w:divBdr>
          <w:divsChild>
            <w:div w:id="459616524">
              <w:marLeft w:val="0"/>
              <w:marRight w:val="0"/>
              <w:marTop w:val="0"/>
              <w:marBottom w:val="0"/>
              <w:divBdr>
                <w:top w:val="single" w:sz="12" w:space="0" w:color="000000"/>
                <w:left w:val="none" w:sz="0" w:space="0" w:color="auto"/>
                <w:bottom w:val="none" w:sz="0" w:space="0" w:color="auto"/>
                <w:right w:val="none" w:sz="0" w:space="0" w:color="auto"/>
              </w:divBdr>
              <w:divsChild>
                <w:div w:id="407844268">
                  <w:marLeft w:val="0"/>
                  <w:marRight w:val="0"/>
                  <w:marTop w:val="0"/>
                  <w:marBottom w:val="0"/>
                  <w:divBdr>
                    <w:top w:val="none" w:sz="0" w:space="0" w:color="auto"/>
                    <w:left w:val="none" w:sz="0" w:space="0" w:color="auto"/>
                    <w:bottom w:val="none" w:sz="0" w:space="0" w:color="auto"/>
                    <w:right w:val="none" w:sz="0" w:space="0" w:color="auto"/>
                  </w:divBdr>
                  <w:divsChild>
                    <w:div w:id="1047533844">
                      <w:marLeft w:val="0"/>
                      <w:marRight w:val="0"/>
                      <w:marTop w:val="0"/>
                      <w:marBottom w:val="0"/>
                      <w:divBdr>
                        <w:top w:val="none" w:sz="0" w:space="0" w:color="auto"/>
                        <w:left w:val="none" w:sz="0" w:space="0" w:color="auto"/>
                        <w:bottom w:val="none" w:sz="0" w:space="0" w:color="auto"/>
                        <w:right w:val="none" w:sz="0" w:space="0" w:color="auto"/>
                      </w:divBdr>
                      <w:divsChild>
                        <w:div w:id="457801078">
                          <w:marLeft w:val="450"/>
                          <w:marRight w:val="0"/>
                          <w:marTop w:val="0"/>
                          <w:marBottom w:val="0"/>
                          <w:divBdr>
                            <w:top w:val="none" w:sz="0" w:space="0" w:color="auto"/>
                            <w:left w:val="none" w:sz="0" w:space="0" w:color="auto"/>
                            <w:bottom w:val="none" w:sz="0" w:space="0" w:color="auto"/>
                            <w:right w:val="none" w:sz="0" w:space="0" w:color="auto"/>
                          </w:divBdr>
                        </w:div>
                        <w:div w:id="1168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2565">
      <w:bodyDiv w:val="1"/>
      <w:marLeft w:val="0"/>
      <w:marRight w:val="0"/>
      <w:marTop w:val="0"/>
      <w:marBottom w:val="0"/>
      <w:divBdr>
        <w:top w:val="none" w:sz="0" w:space="0" w:color="auto"/>
        <w:left w:val="none" w:sz="0" w:space="0" w:color="auto"/>
        <w:bottom w:val="none" w:sz="0" w:space="0" w:color="auto"/>
        <w:right w:val="none" w:sz="0" w:space="0" w:color="auto"/>
      </w:divBdr>
    </w:div>
    <w:div w:id="157354856">
      <w:bodyDiv w:val="1"/>
      <w:marLeft w:val="0"/>
      <w:marRight w:val="0"/>
      <w:marTop w:val="0"/>
      <w:marBottom w:val="0"/>
      <w:divBdr>
        <w:top w:val="none" w:sz="0" w:space="0" w:color="auto"/>
        <w:left w:val="none" w:sz="0" w:space="0" w:color="auto"/>
        <w:bottom w:val="none" w:sz="0" w:space="0" w:color="auto"/>
        <w:right w:val="none" w:sz="0" w:space="0" w:color="auto"/>
      </w:divBdr>
    </w:div>
    <w:div w:id="222496704">
      <w:bodyDiv w:val="1"/>
      <w:marLeft w:val="0"/>
      <w:marRight w:val="0"/>
      <w:marTop w:val="0"/>
      <w:marBottom w:val="0"/>
      <w:divBdr>
        <w:top w:val="none" w:sz="0" w:space="0" w:color="auto"/>
        <w:left w:val="none" w:sz="0" w:space="0" w:color="auto"/>
        <w:bottom w:val="none" w:sz="0" w:space="0" w:color="auto"/>
        <w:right w:val="none" w:sz="0" w:space="0" w:color="auto"/>
      </w:divBdr>
      <w:divsChild>
        <w:div w:id="211307629">
          <w:marLeft w:val="0"/>
          <w:marRight w:val="0"/>
          <w:marTop w:val="0"/>
          <w:marBottom w:val="0"/>
          <w:divBdr>
            <w:top w:val="none" w:sz="0" w:space="0" w:color="auto"/>
            <w:left w:val="none" w:sz="0" w:space="0" w:color="auto"/>
            <w:bottom w:val="none" w:sz="0" w:space="0" w:color="auto"/>
            <w:right w:val="none" w:sz="0" w:space="0" w:color="auto"/>
          </w:divBdr>
          <w:divsChild>
            <w:div w:id="714623075">
              <w:marLeft w:val="0"/>
              <w:marRight w:val="0"/>
              <w:marTop w:val="0"/>
              <w:marBottom w:val="0"/>
              <w:divBdr>
                <w:top w:val="none" w:sz="0" w:space="0" w:color="auto"/>
                <w:left w:val="none" w:sz="0" w:space="0" w:color="auto"/>
                <w:bottom w:val="none" w:sz="0" w:space="0" w:color="auto"/>
                <w:right w:val="none" w:sz="0" w:space="0" w:color="auto"/>
              </w:divBdr>
              <w:divsChild>
                <w:div w:id="1231767458">
                  <w:marLeft w:val="0"/>
                  <w:marRight w:val="0"/>
                  <w:marTop w:val="0"/>
                  <w:marBottom w:val="0"/>
                  <w:divBdr>
                    <w:top w:val="none" w:sz="0" w:space="0" w:color="auto"/>
                    <w:left w:val="none" w:sz="0" w:space="0" w:color="auto"/>
                    <w:bottom w:val="none" w:sz="0" w:space="0" w:color="auto"/>
                    <w:right w:val="none" w:sz="0" w:space="0" w:color="auto"/>
                  </w:divBdr>
                  <w:divsChild>
                    <w:div w:id="1511796077">
                      <w:marLeft w:val="0"/>
                      <w:marRight w:val="0"/>
                      <w:marTop w:val="0"/>
                      <w:marBottom w:val="0"/>
                      <w:divBdr>
                        <w:top w:val="none" w:sz="0" w:space="0" w:color="auto"/>
                        <w:left w:val="none" w:sz="0" w:space="0" w:color="auto"/>
                        <w:bottom w:val="none" w:sz="0" w:space="0" w:color="auto"/>
                        <w:right w:val="none" w:sz="0" w:space="0" w:color="auto"/>
                      </w:divBdr>
                      <w:divsChild>
                        <w:div w:id="1159468733">
                          <w:marLeft w:val="0"/>
                          <w:marRight w:val="0"/>
                          <w:marTop w:val="0"/>
                          <w:marBottom w:val="0"/>
                          <w:divBdr>
                            <w:top w:val="none" w:sz="0" w:space="0" w:color="auto"/>
                            <w:left w:val="none" w:sz="0" w:space="0" w:color="auto"/>
                            <w:bottom w:val="none" w:sz="0" w:space="0" w:color="auto"/>
                            <w:right w:val="none" w:sz="0" w:space="0" w:color="auto"/>
                          </w:divBdr>
                          <w:divsChild>
                            <w:div w:id="597106612">
                              <w:marLeft w:val="0"/>
                              <w:marRight w:val="0"/>
                              <w:marTop w:val="0"/>
                              <w:marBottom w:val="0"/>
                              <w:divBdr>
                                <w:top w:val="none" w:sz="0" w:space="0" w:color="auto"/>
                                <w:left w:val="none" w:sz="0" w:space="0" w:color="auto"/>
                                <w:bottom w:val="none" w:sz="0" w:space="0" w:color="auto"/>
                                <w:right w:val="none" w:sz="0" w:space="0" w:color="auto"/>
                              </w:divBdr>
                              <w:divsChild>
                                <w:div w:id="732315183">
                                  <w:marLeft w:val="0"/>
                                  <w:marRight w:val="0"/>
                                  <w:marTop w:val="0"/>
                                  <w:marBottom w:val="0"/>
                                  <w:divBdr>
                                    <w:top w:val="none" w:sz="0" w:space="0" w:color="auto"/>
                                    <w:left w:val="none" w:sz="0" w:space="0" w:color="auto"/>
                                    <w:bottom w:val="none" w:sz="0" w:space="0" w:color="auto"/>
                                    <w:right w:val="none" w:sz="0" w:space="0" w:color="auto"/>
                                  </w:divBdr>
                                  <w:divsChild>
                                    <w:div w:id="1203666667">
                                      <w:marLeft w:val="0"/>
                                      <w:marRight w:val="0"/>
                                      <w:marTop w:val="0"/>
                                      <w:marBottom w:val="0"/>
                                      <w:divBdr>
                                        <w:top w:val="none" w:sz="0" w:space="0" w:color="auto"/>
                                        <w:left w:val="none" w:sz="0" w:space="0" w:color="auto"/>
                                        <w:bottom w:val="none" w:sz="0" w:space="0" w:color="auto"/>
                                        <w:right w:val="none" w:sz="0" w:space="0" w:color="auto"/>
                                      </w:divBdr>
                                      <w:divsChild>
                                        <w:div w:id="910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8322">
      <w:bodyDiv w:val="1"/>
      <w:marLeft w:val="0"/>
      <w:marRight w:val="0"/>
      <w:marTop w:val="0"/>
      <w:marBottom w:val="0"/>
      <w:divBdr>
        <w:top w:val="none" w:sz="0" w:space="0" w:color="auto"/>
        <w:left w:val="none" w:sz="0" w:space="0" w:color="auto"/>
        <w:bottom w:val="none" w:sz="0" w:space="0" w:color="auto"/>
        <w:right w:val="none" w:sz="0" w:space="0" w:color="auto"/>
      </w:divBdr>
    </w:div>
    <w:div w:id="268397008">
      <w:bodyDiv w:val="1"/>
      <w:marLeft w:val="0"/>
      <w:marRight w:val="0"/>
      <w:marTop w:val="0"/>
      <w:marBottom w:val="0"/>
      <w:divBdr>
        <w:top w:val="none" w:sz="0" w:space="0" w:color="auto"/>
        <w:left w:val="none" w:sz="0" w:space="0" w:color="auto"/>
        <w:bottom w:val="none" w:sz="0" w:space="0" w:color="auto"/>
        <w:right w:val="none" w:sz="0" w:space="0" w:color="auto"/>
      </w:divBdr>
      <w:divsChild>
        <w:div w:id="1883790071">
          <w:marLeft w:val="75"/>
          <w:marRight w:val="75"/>
          <w:marTop w:val="0"/>
          <w:marBottom w:val="0"/>
          <w:divBdr>
            <w:top w:val="none" w:sz="0" w:space="0" w:color="auto"/>
            <w:left w:val="none" w:sz="0" w:space="0" w:color="auto"/>
            <w:bottom w:val="none" w:sz="0" w:space="0" w:color="auto"/>
            <w:right w:val="none" w:sz="0" w:space="0" w:color="auto"/>
          </w:divBdr>
          <w:divsChild>
            <w:div w:id="469785242">
              <w:marLeft w:val="0"/>
              <w:marRight w:val="0"/>
              <w:marTop w:val="0"/>
              <w:marBottom w:val="210"/>
              <w:divBdr>
                <w:top w:val="none" w:sz="0" w:space="0" w:color="auto"/>
                <w:left w:val="none" w:sz="0" w:space="0" w:color="auto"/>
                <w:bottom w:val="none" w:sz="0" w:space="0" w:color="auto"/>
                <w:right w:val="none" w:sz="0" w:space="0" w:color="auto"/>
              </w:divBdr>
              <w:divsChild>
                <w:div w:id="812674180">
                  <w:marLeft w:val="0"/>
                  <w:marRight w:val="0"/>
                  <w:marTop w:val="210"/>
                  <w:marBottom w:val="0"/>
                  <w:divBdr>
                    <w:top w:val="none" w:sz="0" w:space="0" w:color="auto"/>
                    <w:left w:val="none" w:sz="0" w:space="0" w:color="auto"/>
                    <w:bottom w:val="none" w:sz="0" w:space="0" w:color="auto"/>
                    <w:right w:val="none" w:sz="0" w:space="0" w:color="auto"/>
                  </w:divBdr>
                  <w:divsChild>
                    <w:div w:id="1298756050">
                      <w:marLeft w:val="0"/>
                      <w:marRight w:val="0"/>
                      <w:marTop w:val="0"/>
                      <w:marBottom w:val="105"/>
                      <w:divBdr>
                        <w:top w:val="none" w:sz="0" w:space="0" w:color="auto"/>
                        <w:left w:val="none" w:sz="0" w:space="0" w:color="auto"/>
                        <w:bottom w:val="none" w:sz="0" w:space="0" w:color="auto"/>
                        <w:right w:val="none" w:sz="0" w:space="0" w:color="auto"/>
                      </w:divBdr>
                      <w:divsChild>
                        <w:div w:id="1186864372">
                          <w:marLeft w:val="0"/>
                          <w:marRight w:val="0"/>
                          <w:marTop w:val="105"/>
                          <w:marBottom w:val="0"/>
                          <w:divBdr>
                            <w:top w:val="none" w:sz="0" w:space="0" w:color="auto"/>
                            <w:left w:val="none" w:sz="0" w:space="0" w:color="auto"/>
                            <w:bottom w:val="none" w:sz="0" w:space="0" w:color="auto"/>
                            <w:right w:val="none" w:sz="0" w:space="0" w:color="auto"/>
                          </w:divBdr>
                          <w:divsChild>
                            <w:div w:id="470946882">
                              <w:marLeft w:val="0"/>
                              <w:marRight w:val="0"/>
                              <w:marTop w:val="0"/>
                              <w:marBottom w:val="105"/>
                              <w:divBdr>
                                <w:top w:val="none" w:sz="0" w:space="0" w:color="auto"/>
                                <w:left w:val="none" w:sz="0" w:space="0" w:color="auto"/>
                                <w:bottom w:val="none" w:sz="0" w:space="0" w:color="auto"/>
                                <w:right w:val="none" w:sz="0" w:space="0" w:color="auto"/>
                              </w:divBdr>
                              <w:divsChild>
                                <w:div w:id="1392657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38379">
      <w:bodyDiv w:val="1"/>
      <w:marLeft w:val="0"/>
      <w:marRight w:val="0"/>
      <w:marTop w:val="0"/>
      <w:marBottom w:val="0"/>
      <w:divBdr>
        <w:top w:val="none" w:sz="0" w:space="0" w:color="auto"/>
        <w:left w:val="none" w:sz="0" w:space="0" w:color="auto"/>
        <w:bottom w:val="none" w:sz="0" w:space="0" w:color="auto"/>
        <w:right w:val="none" w:sz="0" w:space="0" w:color="auto"/>
      </w:divBdr>
    </w:div>
    <w:div w:id="313686681">
      <w:bodyDiv w:val="1"/>
      <w:marLeft w:val="0"/>
      <w:marRight w:val="0"/>
      <w:marTop w:val="0"/>
      <w:marBottom w:val="0"/>
      <w:divBdr>
        <w:top w:val="none" w:sz="0" w:space="0" w:color="auto"/>
        <w:left w:val="none" w:sz="0" w:space="0" w:color="auto"/>
        <w:bottom w:val="none" w:sz="0" w:space="0" w:color="auto"/>
        <w:right w:val="none" w:sz="0" w:space="0" w:color="auto"/>
      </w:divBdr>
      <w:divsChild>
        <w:div w:id="1183208107">
          <w:marLeft w:val="0"/>
          <w:marRight w:val="0"/>
          <w:marTop w:val="0"/>
          <w:marBottom w:val="0"/>
          <w:divBdr>
            <w:top w:val="none" w:sz="0" w:space="0" w:color="auto"/>
            <w:left w:val="none" w:sz="0" w:space="0" w:color="auto"/>
            <w:bottom w:val="none" w:sz="0" w:space="0" w:color="auto"/>
            <w:right w:val="none" w:sz="0" w:space="0" w:color="auto"/>
          </w:divBdr>
          <w:divsChild>
            <w:div w:id="66654411">
              <w:marLeft w:val="0"/>
              <w:marRight w:val="0"/>
              <w:marTop w:val="0"/>
              <w:marBottom w:val="0"/>
              <w:divBdr>
                <w:top w:val="none" w:sz="0" w:space="0" w:color="auto"/>
                <w:left w:val="none" w:sz="0" w:space="0" w:color="auto"/>
                <w:bottom w:val="none" w:sz="0" w:space="0" w:color="auto"/>
                <w:right w:val="none" w:sz="0" w:space="0" w:color="auto"/>
              </w:divBdr>
              <w:divsChild>
                <w:div w:id="2061006706">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2354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09857">
      <w:bodyDiv w:val="1"/>
      <w:marLeft w:val="0"/>
      <w:marRight w:val="0"/>
      <w:marTop w:val="0"/>
      <w:marBottom w:val="0"/>
      <w:divBdr>
        <w:top w:val="none" w:sz="0" w:space="0" w:color="auto"/>
        <w:left w:val="none" w:sz="0" w:space="0" w:color="auto"/>
        <w:bottom w:val="none" w:sz="0" w:space="0" w:color="auto"/>
        <w:right w:val="none" w:sz="0" w:space="0" w:color="auto"/>
      </w:divBdr>
    </w:div>
    <w:div w:id="349991529">
      <w:bodyDiv w:val="1"/>
      <w:marLeft w:val="0"/>
      <w:marRight w:val="0"/>
      <w:marTop w:val="0"/>
      <w:marBottom w:val="0"/>
      <w:divBdr>
        <w:top w:val="none" w:sz="0" w:space="0" w:color="auto"/>
        <w:left w:val="none" w:sz="0" w:space="0" w:color="auto"/>
        <w:bottom w:val="none" w:sz="0" w:space="0" w:color="auto"/>
        <w:right w:val="none" w:sz="0" w:space="0" w:color="auto"/>
      </w:divBdr>
      <w:divsChild>
        <w:div w:id="2083328592">
          <w:marLeft w:val="0"/>
          <w:marRight w:val="0"/>
          <w:marTop w:val="0"/>
          <w:marBottom w:val="0"/>
          <w:divBdr>
            <w:top w:val="none" w:sz="0" w:space="0" w:color="auto"/>
            <w:left w:val="none" w:sz="0" w:space="0" w:color="auto"/>
            <w:bottom w:val="none" w:sz="0" w:space="0" w:color="auto"/>
            <w:right w:val="none" w:sz="0" w:space="0" w:color="auto"/>
          </w:divBdr>
          <w:divsChild>
            <w:div w:id="756249891">
              <w:marLeft w:val="0"/>
              <w:marRight w:val="0"/>
              <w:marTop w:val="0"/>
              <w:marBottom w:val="0"/>
              <w:divBdr>
                <w:top w:val="none" w:sz="0" w:space="0" w:color="auto"/>
                <w:left w:val="none" w:sz="0" w:space="0" w:color="auto"/>
                <w:bottom w:val="none" w:sz="0" w:space="0" w:color="auto"/>
                <w:right w:val="none" w:sz="0" w:space="0" w:color="auto"/>
              </w:divBdr>
              <w:divsChild>
                <w:div w:id="1567109228">
                  <w:marLeft w:val="0"/>
                  <w:marRight w:val="0"/>
                  <w:marTop w:val="0"/>
                  <w:marBottom w:val="0"/>
                  <w:divBdr>
                    <w:top w:val="none" w:sz="0" w:space="0" w:color="auto"/>
                    <w:left w:val="none" w:sz="0" w:space="0" w:color="auto"/>
                    <w:bottom w:val="none" w:sz="0" w:space="0" w:color="auto"/>
                    <w:right w:val="none" w:sz="0" w:space="0" w:color="auto"/>
                  </w:divBdr>
                  <w:divsChild>
                    <w:div w:id="2123259002">
                      <w:marLeft w:val="0"/>
                      <w:marRight w:val="0"/>
                      <w:marTop w:val="0"/>
                      <w:marBottom w:val="0"/>
                      <w:divBdr>
                        <w:top w:val="none" w:sz="0" w:space="0" w:color="auto"/>
                        <w:left w:val="none" w:sz="0" w:space="0" w:color="auto"/>
                        <w:bottom w:val="none" w:sz="0" w:space="0" w:color="auto"/>
                        <w:right w:val="none" w:sz="0" w:space="0" w:color="auto"/>
                      </w:divBdr>
                      <w:divsChild>
                        <w:div w:id="2144804105">
                          <w:marLeft w:val="0"/>
                          <w:marRight w:val="0"/>
                          <w:marTop w:val="0"/>
                          <w:marBottom w:val="0"/>
                          <w:divBdr>
                            <w:top w:val="none" w:sz="0" w:space="0" w:color="auto"/>
                            <w:left w:val="none" w:sz="0" w:space="0" w:color="auto"/>
                            <w:bottom w:val="none" w:sz="0" w:space="0" w:color="auto"/>
                            <w:right w:val="none" w:sz="0" w:space="0" w:color="auto"/>
                          </w:divBdr>
                          <w:divsChild>
                            <w:div w:id="1821071836">
                              <w:marLeft w:val="0"/>
                              <w:marRight w:val="0"/>
                              <w:marTop w:val="0"/>
                              <w:marBottom w:val="0"/>
                              <w:divBdr>
                                <w:top w:val="none" w:sz="0" w:space="0" w:color="auto"/>
                                <w:left w:val="none" w:sz="0" w:space="0" w:color="auto"/>
                                <w:bottom w:val="none" w:sz="0" w:space="0" w:color="auto"/>
                                <w:right w:val="none" w:sz="0" w:space="0" w:color="auto"/>
                              </w:divBdr>
                              <w:divsChild>
                                <w:div w:id="739131289">
                                  <w:marLeft w:val="0"/>
                                  <w:marRight w:val="0"/>
                                  <w:marTop w:val="0"/>
                                  <w:marBottom w:val="0"/>
                                  <w:divBdr>
                                    <w:top w:val="none" w:sz="0" w:space="0" w:color="auto"/>
                                    <w:left w:val="none" w:sz="0" w:space="0" w:color="auto"/>
                                    <w:bottom w:val="none" w:sz="0" w:space="0" w:color="auto"/>
                                    <w:right w:val="none" w:sz="0" w:space="0" w:color="auto"/>
                                  </w:divBdr>
                                  <w:divsChild>
                                    <w:div w:id="1974406229">
                                      <w:marLeft w:val="0"/>
                                      <w:marRight w:val="0"/>
                                      <w:marTop w:val="219"/>
                                      <w:marBottom w:val="0"/>
                                      <w:divBdr>
                                        <w:top w:val="none" w:sz="0" w:space="0" w:color="auto"/>
                                        <w:left w:val="none" w:sz="0" w:space="0" w:color="auto"/>
                                        <w:bottom w:val="none" w:sz="0" w:space="0" w:color="auto"/>
                                        <w:right w:val="none" w:sz="0" w:space="0" w:color="auto"/>
                                      </w:divBdr>
                                      <w:divsChild>
                                        <w:div w:id="408423967">
                                          <w:marLeft w:val="0"/>
                                          <w:marRight w:val="0"/>
                                          <w:marTop w:val="260"/>
                                          <w:marBottom w:val="240"/>
                                          <w:divBdr>
                                            <w:top w:val="none" w:sz="0" w:space="0" w:color="auto"/>
                                            <w:left w:val="none" w:sz="0" w:space="0" w:color="auto"/>
                                            <w:bottom w:val="none" w:sz="0" w:space="0" w:color="auto"/>
                                            <w:right w:val="none" w:sz="0" w:space="0" w:color="auto"/>
                                          </w:divBdr>
                                        </w:div>
                                        <w:div w:id="103877775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7051">
      <w:bodyDiv w:val="1"/>
      <w:marLeft w:val="0"/>
      <w:marRight w:val="0"/>
      <w:marTop w:val="0"/>
      <w:marBottom w:val="0"/>
      <w:divBdr>
        <w:top w:val="none" w:sz="0" w:space="0" w:color="auto"/>
        <w:left w:val="none" w:sz="0" w:space="0" w:color="auto"/>
        <w:bottom w:val="none" w:sz="0" w:space="0" w:color="auto"/>
        <w:right w:val="none" w:sz="0" w:space="0" w:color="auto"/>
      </w:divBdr>
    </w:div>
    <w:div w:id="409427106">
      <w:bodyDiv w:val="1"/>
      <w:marLeft w:val="0"/>
      <w:marRight w:val="0"/>
      <w:marTop w:val="0"/>
      <w:marBottom w:val="0"/>
      <w:divBdr>
        <w:top w:val="none" w:sz="0" w:space="0" w:color="auto"/>
        <w:left w:val="none" w:sz="0" w:space="0" w:color="auto"/>
        <w:bottom w:val="none" w:sz="0" w:space="0" w:color="auto"/>
        <w:right w:val="none" w:sz="0" w:space="0" w:color="auto"/>
      </w:divBdr>
    </w:div>
    <w:div w:id="486434692">
      <w:bodyDiv w:val="1"/>
      <w:marLeft w:val="0"/>
      <w:marRight w:val="0"/>
      <w:marTop w:val="0"/>
      <w:marBottom w:val="0"/>
      <w:divBdr>
        <w:top w:val="none" w:sz="0" w:space="0" w:color="auto"/>
        <w:left w:val="none" w:sz="0" w:space="0" w:color="auto"/>
        <w:bottom w:val="none" w:sz="0" w:space="0" w:color="auto"/>
        <w:right w:val="none" w:sz="0" w:space="0" w:color="auto"/>
      </w:divBdr>
    </w:div>
    <w:div w:id="606472176">
      <w:bodyDiv w:val="1"/>
      <w:marLeft w:val="0"/>
      <w:marRight w:val="0"/>
      <w:marTop w:val="0"/>
      <w:marBottom w:val="0"/>
      <w:divBdr>
        <w:top w:val="none" w:sz="0" w:space="0" w:color="auto"/>
        <w:left w:val="none" w:sz="0" w:space="0" w:color="auto"/>
        <w:bottom w:val="none" w:sz="0" w:space="0" w:color="auto"/>
        <w:right w:val="none" w:sz="0" w:space="0" w:color="auto"/>
      </w:divBdr>
    </w:div>
    <w:div w:id="615602746">
      <w:bodyDiv w:val="1"/>
      <w:marLeft w:val="0"/>
      <w:marRight w:val="0"/>
      <w:marTop w:val="0"/>
      <w:marBottom w:val="0"/>
      <w:divBdr>
        <w:top w:val="none" w:sz="0" w:space="0" w:color="auto"/>
        <w:left w:val="none" w:sz="0" w:space="0" w:color="auto"/>
        <w:bottom w:val="none" w:sz="0" w:space="0" w:color="auto"/>
        <w:right w:val="none" w:sz="0" w:space="0" w:color="auto"/>
      </w:divBdr>
    </w:div>
    <w:div w:id="64975242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10">
          <w:marLeft w:val="0"/>
          <w:marRight w:val="0"/>
          <w:marTop w:val="0"/>
          <w:marBottom w:val="0"/>
          <w:divBdr>
            <w:top w:val="none" w:sz="0" w:space="0" w:color="auto"/>
            <w:left w:val="none" w:sz="0" w:space="0" w:color="auto"/>
            <w:bottom w:val="none" w:sz="0" w:space="0" w:color="auto"/>
            <w:right w:val="none" w:sz="0" w:space="0" w:color="auto"/>
          </w:divBdr>
          <w:divsChild>
            <w:div w:id="286158485">
              <w:marLeft w:val="0"/>
              <w:marRight w:val="0"/>
              <w:marTop w:val="0"/>
              <w:marBottom w:val="0"/>
              <w:divBdr>
                <w:top w:val="single" w:sz="12" w:space="0" w:color="000000"/>
                <w:left w:val="none" w:sz="0" w:space="0" w:color="auto"/>
                <w:bottom w:val="none" w:sz="0" w:space="0" w:color="auto"/>
                <w:right w:val="none" w:sz="0" w:space="0" w:color="auto"/>
              </w:divBdr>
              <w:divsChild>
                <w:div w:id="991256703">
                  <w:marLeft w:val="0"/>
                  <w:marRight w:val="0"/>
                  <w:marTop w:val="0"/>
                  <w:marBottom w:val="0"/>
                  <w:divBdr>
                    <w:top w:val="none" w:sz="0" w:space="0" w:color="auto"/>
                    <w:left w:val="none" w:sz="0" w:space="0" w:color="auto"/>
                    <w:bottom w:val="none" w:sz="0" w:space="0" w:color="auto"/>
                    <w:right w:val="none" w:sz="0" w:space="0" w:color="auto"/>
                  </w:divBdr>
                  <w:divsChild>
                    <w:div w:id="1107190736">
                      <w:marLeft w:val="0"/>
                      <w:marRight w:val="0"/>
                      <w:marTop w:val="0"/>
                      <w:marBottom w:val="0"/>
                      <w:divBdr>
                        <w:top w:val="none" w:sz="0" w:space="0" w:color="auto"/>
                        <w:left w:val="none" w:sz="0" w:space="0" w:color="auto"/>
                        <w:bottom w:val="none" w:sz="0" w:space="0" w:color="auto"/>
                        <w:right w:val="none" w:sz="0" w:space="0" w:color="auto"/>
                      </w:divBdr>
                      <w:divsChild>
                        <w:div w:id="224027313">
                          <w:marLeft w:val="0"/>
                          <w:marRight w:val="0"/>
                          <w:marTop w:val="0"/>
                          <w:marBottom w:val="0"/>
                          <w:divBdr>
                            <w:top w:val="none" w:sz="0" w:space="0" w:color="auto"/>
                            <w:left w:val="none" w:sz="0" w:space="0" w:color="auto"/>
                            <w:bottom w:val="none" w:sz="0" w:space="0" w:color="auto"/>
                            <w:right w:val="none" w:sz="0" w:space="0" w:color="auto"/>
                          </w:divBdr>
                        </w:div>
                        <w:div w:id="16460060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826">
      <w:bodyDiv w:val="1"/>
      <w:marLeft w:val="0"/>
      <w:marRight w:val="0"/>
      <w:marTop w:val="0"/>
      <w:marBottom w:val="0"/>
      <w:divBdr>
        <w:top w:val="none" w:sz="0" w:space="0" w:color="auto"/>
        <w:left w:val="none" w:sz="0" w:space="0" w:color="auto"/>
        <w:bottom w:val="none" w:sz="0" w:space="0" w:color="auto"/>
        <w:right w:val="none" w:sz="0" w:space="0" w:color="auto"/>
      </w:divBdr>
    </w:div>
    <w:div w:id="708526488">
      <w:bodyDiv w:val="1"/>
      <w:marLeft w:val="0"/>
      <w:marRight w:val="0"/>
      <w:marTop w:val="0"/>
      <w:marBottom w:val="0"/>
      <w:divBdr>
        <w:top w:val="none" w:sz="0" w:space="0" w:color="auto"/>
        <w:left w:val="none" w:sz="0" w:space="0" w:color="auto"/>
        <w:bottom w:val="none" w:sz="0" w:space="0" w:color="auto"/>
        <w:right w:val="none" w:sz="0" w:space="0" w:color="auto"/>
      </w:divBdr>
    </w:div>
    <w:div w:id="742946887">
      <w:bodyDiv w:val="1"/>
      <w:marLeft w:val="0"/>
      <w:marRight w:val="0"/>
      <w:marTop w:val="0"/>
      <w:marBottom w:val="0"/>
      <w:divBdr>
        <w:top w:val="none" w:sz="0" w:space="0" w:color="auto"/>
        <w:left w:val="none" w:sz="0" w:space="0" w:color="auto"/>
        <w:bottom w:val="none" w:sz="0" w:space="0" w:color="auto"/>
        <w:right w:val="none" w:sz="0" w:space="0" w:color="auto"/>
      </w:divBdr>
      <w:divsChild>
        <w:div w:id="860510789">
          <w:marLeft w:val="0"/>
          <w:marRight w:val="0"/>
          <w:marTop w:val="0"/>
          <w:marBottom w:val="0"/>
          <w:divBdr>
            <w:top w:val="none" w:sz="0" w:space="0" w:color="auto"/>
            <w:left w:val="none" w:sz="0" w:space="0" w:color="auto"/>
            <w:bottom w:val="none" w:sz="0" w:space="0" w:color="auto"/>
            <w:right w:val="none" w:sz="0" w:space="0" w:color="auto"/>
          </w:divBdr>
          <w:divsChild>
            <w:div w:id="1343626236">
              <w:marLeft w:val="0"/>
              <w:marRight w:val="0"/>
              <w:marTop w:val="0"/>
              <w:marBottom w:val="0"/>
              <w:divBdr>
                <w:top w:val="none" w:sz="0" w:space="0" w:color="auto"/>
                <w:left w:val="none" w:sz="0" w:space="0" w:color="auto"/>
                <w:bottom w:val="none" w:sz="0" w:space="0" w:color="auto"/>
                <w:right w:val="none" w:sz="0" w:space="0" w:color="auto"/>
              </w:divBdr>
              <w:divsChild>
                <w:div w:id="336154341">
                  <w:marLeft w:val="0"/>
                  <w:marRight w:val="0"/>
                  <w:marTop w:val="0"/>
                  <w:marBottom w:val="0"/>
                  <w:divBdr>
                    <w:top w:val="none" w:sz="0" w:space="0" w:color="auto"/>
                    <w:left w:val="none" w:sz="0" w:space="0" w:color="auto"/>
                    <w:bottom w:val="none" w:sz="0" w:space="0" w:color="auto"/>
                    <w:right w:val="none" w:sz="0" w:space="0" w:color="auto"/>
                  </w:divBdr>
                  <w:divsChild>
                    <w:div w:id="3469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8782">
      <w:bodyDiv w:val="1"/>
      <w:marLeft w:val="0"/>
      <w:marRight w:val="0"/>
      <w:marTop w:val="0"/>
      <w:marBottom w:val="0"/>
      <w:divBdr>
        <w:top w:val="none" w:sz="0" w:space="0" w:color="auto"/>
        <w:left w:val="none" w:sz="0" w:space="0" w:color="auto"/>
        <w:bottom w:val="none" w:sz="0" w:space="0" w:color="auto"/>
        <w:right w:val="none" w:sz="0" w:space="0" w:color="auto"/>
      </w:divBdr>
      <w:divsChild>
        <w:div w:id="1136139251">
          <w:marLeft w:val="75"/>
          <w:marRight w:val="75"/>
          <w:marTop w:val="0"/>
          <w:marBottom w:val="0"/>
          <w:divBdr>
            <w:top w:val="none" w:sz="0" w:space="0" w:color="auto"/>
            <w:left w:val="none" w:sz="0" w:space="0" w:color="auto"/>
            <w:bottom w:val="none" w:sz="0" w:space="0" w:color="auto"/>
            <w:right w:val="none" w:sz="0" w:space="0" w:color="auto"/>
          </w:divBdr>
          <w:divsChild>
            <w:div w:id="1133518722">
              <w:marLeft w:val="0"/>
              <w:marRight w:val="0"/>
              <w:marTop w:val="0"/>
              <w:marBottom w:val="105"/>
              <w:divBdr>
                <w:top w:val="none" w:sz="0" w:space="0" w:color="auto"/>
                <w:left w:val="none" w:sz="0" w:space="0" w:color="auto"/>
                <w:bottom w:val="none" w:sz="0" w:space="0" w:color="auto"/>
                <w:right w:val="none" w:sz="0" w:space="0" w:color="auto"/>
              </w:divBdr>
              <w:divsChild>
                <w:div w:id="693385328">
                  <w:marLeft w:val="0"/>
                  <w:marRight w:val="0"/>
                  <w:marTop w:val="105"/>
                  <w:marBottom w:val="0"/>
                  <w:divBdr>
                    <w:top w:val="none" w:sz="0" w:space="0" w:color="auto"/>
                    <w:left w:val="none" w:sz="0" w:space="0" w:color="auto"/>
                    <w:bottom w:val="none" w:sz="0" w:space="0" w:color="auto"/>
                    <w:right w:val="none" w:sz="0" w:space="0" w:color="auto"/>
                  </w:divBdr>
                  <w:divsChild>
                    <w:div w:id="1127359084">
                      <w:marLeft w:val="0"/>
                      <w:marRight w:val="0"/>
                      <w:marTop w:val="0"/>
                      <w:marBottom w:val="105"/>
                      <w:divBdr>
                        <w:top w:val="none" w:sz="0" w:space="0" w:color="auto"/>
                        <w:left w:val="none" w:sz="0" w:space="0" w:color="auto"/>
                        <w:bottom w:val="none" w:sz="0" w:space="0" w:color="auto"/>
                        <w:right w:val="none" w:sz="0" w:space="0" w:color="auto"/>
                      </w:divBdr>
                      <w:divsChild>
                        <w:div w:id="6270492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2881">
      <w:bodyDiv w:val="1"/>
      <w:marLeft w:val="0"/>
      <w:marRight w:val="0"/>
      <w:marTop w:val="0"/>
      <w:marBottom w:val="0"/>
      <w:divBdr>
        <w:top w:val="none" w:sz="0" w:space="0" w:color="auto"/>
        <w:left w:val="none" w:sz="0" w:space="0" w:color="auto"/>
        <w:bottom w:val="none" w:sz="0" w:space="0" w:color="auto"/>
        <w:right w:val="none" w:sz="0" w:space="0" w:color="auto"/>
      </w:divBdr>
    </w:div>
    <w:div w:id="820804048">
      <w:bodyDiv w:val="1"/>
      <w:marLeft w:val="0"/>
      <w:marRight w:val="0"/>
      <w:marTop w:val="0"/>
      <w:marBottom w:val="0"/>
      <w:divBdr>
        <w:top w:val="none" w:sz="0" w:space="0" w:color="auto"/>
        <w:left w:val="none" w:sz="0" w:space="0" w:color="auto"/>
        <w:bottom w:val="none" w:sz="0" w:space="0" w:color="auto"/>
        <w:right w:val="none" w:sz="0" w:space="0" w:color="auto"/>
      </w:divBdr>
    </w:div>
    <w:div w:id="831260349">
      <w:bodyDiv w:val="1"/>
      <w:marLeft w:val="0"/>
      <w:marRight w:val="0"/>
      <w:marTop w:val="0"/>
      <w:marBottom w:val="0"/>
      <w:divBdr>
        <w:top w:val="none" w:sz="0" w:space="0" w:color="auto"/>
        <w:left w:val="none" w:sz="0" w:space="0" w:color="auto"/>
        <w:bottom w:val="none" w:sz="0" w:space="0" w:color="auto"/>
        <w:right w:val="none" w:sz="0" w:space="0" w:color="auto"/>
      </w:divBdr>
      <w:divsChild>
        <w:div w:id="34811666">
          <w:marLeft w:val="0"/>
          <w:marRight w:val="0"/>
          <w:marTop w:val="0"/>
          <w:marBottom w:val="0"/>
          <w:divBdr>
            <w:top w:val="none" w:sz="0" w:space="0" w:color="auto"/>
            <w:left w:val="none" w:sz="0" w:space="0" w:color="auto"/>
            <w:bottom w:val="none" w:sz="0" w:space="0" w:color="auto"/>
            <w:right w:val="none" w:sz="0" w:space="0" w:color="auto"/>
          </w:divBdr>
        </w:div>
        <w:div w:id="430204628">
          <w:marLeft w:val="0"/>
          <w:marRight w:val="0"/>
          <w:marTop w:val="0"/>
          <w:marBottom w:val="0"/>
          <w:divBdr>
            <w:top w:val="none" w:sz="0" w:space="0" w:color="auto"/>
            <w:left w:val="none" w:sz="0" w:space="0" w:color="auto"/>
            <w:bottom w:val="none" w:sz="0" w:space="0" w:color="auto"/>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
        <w:div w:id="715663943">
          <w:marLeft w:val="0"/>
          <w:marRight w:val="0"/>
          <w:marTop w:val="0"/>
          <w:marBottom w:val="0"/>
          <w:divBdr>
            <w:top w:val="none" w:sz="0" w:space="0" w:color="auto"/>
            <w:left w:val="none" w:sz="0" w:space="0" w:color="auto"/>
            <w:bottom w:val="none" w:sz="0" w:space="0" w:color="auto"/>
            <w:right w:val="none" w:sz="0" w:space="0" w:color="auto"/>
          </w:divBdr>
        </w:div>
        <w:div w:id="730269894">
          <w:marLeft w:val="0"/>
          <w:marRight w:val="0"/>
          <w:marTop w:val="0"/>
          <w:marBottom w:val="0"/>
          <w:divBdr>
            <w:top w:val="none" w:sz="0" w:space="0" w:color="auto"/>
            <w:left w:val="none" w:sz="0" w:space="0" w:color="auto"/>
            <w:bottom w:val="none" w:sz="0" w:space="0" w:color="auto"/>
            <w:right w:val="none" w:sz="0" w:space="0" w:color="auto"/>
          </w:divBdr>
        </w:div>
        <w:div w:id="842400125">
          <w:marLeft w:val="0"/>
          <w:marRight w:val="0"/>
          <w:marTop w:val="0"/>
          <w:marBottom w:val="0"/>
          <w:divBdr>
            <w:top w:val="none" w:sz="0" w:space="0" w:color="auto"/>
            <w:left w:val="none" w:sz="0" w:space="0" w:color="auto"/>
            <w:bottom w:val="none" w:sz="0" w:space="0" w:color="auto"/>
            <w:right w:val="none" w:sz="0" w:space="0" w:color="auto"/>
          </w:divBdr>
        </w:div>
        <w:div w:id="906498170">
          <w:marLeft w:val="0"/>
          <w:marRight w:val="0"/>
          <w:marTop w:val="0"/>
          <w:marBottom w:val="0"/>
          <w:divBdr>
            <w:top w:val="none" w:sz="0" w:space="0" w:color="auto"/>
            <w:left w:val="none" w:sz="0" w:space="0" w:color="auto"/>
            <w:bottom w:val="none" w:sz="0" w:space="0" w:color="auto"/>
            <w:right w:val="none" w:sz="0" w:space="0" w:color="auto"/>
          </w:divBdr>
        </w:div>
        <w:div w:id="1057515900">
          <w:marLeft w:val="0"/>
          <w:marRight w:val="0"/>
          <w:marTop w:val="0"/>
          <w:marBottom w:val="0"/>
          <w:divBdr>
            <w:top w:val="none" w:sz="0" w:space="0" w:color="auto"/>
            <w:left w:val="none" w:sz="0" w:space="0" w:color="auto"/>
            <w:bottom w:val="none" w:sz="0" w:space="0" w:color="auto"/>
            <w:right w:val="none" w:sz="0" w:space="0" w:color="auto"/>
          </w:divBdr>
        </w:div>
        <w:div w:id="1700281062">
          <w:marLeft w:val="0"/>
          <w:marRight w:val="0"/>
          <w:marTop w:val="0"/>
          <w:marBottom w:val="0"/>
          <w:divBdr>
            <w:top w:val="none" w:sz="0" w:space="0" w:color="auto"/>
            <w:left w:val="none" w:sz="0" w:space="0" w:color="auto"/>
            <w:bottom w:val="none" w:sz="0" w:space="0" w:color="auto"/>
            <w:right w:val="none" w:sz="0" w:space="0" w:color="auto"/>
          </w:divBdr>
        </w:div>
        <w:div w:id="1883133035">
          <w:marLeft w:val="0"/>
          <w:marRight w:val="0"/>
          <w:marTop w:val="0"/>
          <w:marBottom w:val="0"/>
          <w:divBdr>
            <w:top w:val="none" w:sz="0" w:space="0" w:color="auto"/>
            <w:left w:val="none" w:sz="0" w:space="0" w:color="auto"/>
            <w:bottom w:val="none" w:sz="0" w:space="0" w:color="auto"/>
            <w:right w:val="none" w:sz="0" w:space="0" w:color="auto"/>
          </w:divBdr>
        </w:div>
        <w:div w:id="2077120440">
          <w:marLeft w:val="0"/>
          <w:marRight w:val="0"/>
          <w:marTop w:val="0"/>
          <w:marBottom w:val="0"/>
          <w:divBdr>
            <w:top w:val="none" w:sz="0" w:space="0" w:color="auto"/>
            <w:left w:val="none" w:sz="0" w:space="0" w:color="auto"/>
            <w:bottom w:val="none" w:sz="0" w:space="0" w:color="auto"/>
            <w:right w:val="none" w:sz="0" w:space="0" w:color="auto"/>
          </w:divBdr>
        </w:div>
      </w:divsChild>
    </w:div>
    <w:div w:id="920793397">
      <w:bodyDiv w:val="1"/>
      <w:marLeft w:val="0"/>
      <w:marRight w:val="0"/>
      <w:marTop w:val="0"/>
      <w:marBottom w:val="0"/>
      <w:divBdr>
        <w:top w:val="none" w:sz="0" w:space="0" w:color="auto"/>
        <w:left w:val="none" w:sz="0" w:space="0" w:color="auto"/>
        <w:bottom w:val="none" w:sz="0" w:space="0" w:color="auto"/>
        <w:right w:val="none" w:sz="0" w:space="0" w:color="auto"/>
      </w:divBdr>
    </w:div>
    <w:div w:id="965505630">
      <w:bodyDiv w:val="1"/>
      <w:marLeft w:val="0"/>
      <w:marRight w:val="0"/>
      <w:marTop w:val="0"/>
      <w:marBottom w:val="0"/>
      <w:divBdr>
        <w:top w:val="none" w:sz="0" w:space="0" w:color="auto"/>
        <w:left w:val="none" w:sz="0" w:space="0" w:color="auto"/>
        <w:bottom w:val="none" w:sz="0" w:space="0" w:color="auto"/>
        <w:right w:val="none" w:sz="0" w:space="0" w:color="auto"/>
      </w:divBdr>
    </w:div>
    <w:div w:id="993874954">
      <w:bodyDiv w:val="1"/>
      <w:marLeft w:val="0"/>
      <w:marRight w:val="0"/>
      <w:marTop w:val="0"/>
      <w:marBottom w:val="0"/>
      <w:divBdr>
        <w:top w:val="none" w:sz="0" w:space="0" w:color="auto"/>
        <w:left w:val="none" w:sz="0" w:space="0" w:color="auto"/>
        <w:bottom w:val="none" w:sz="0" w:space="0" w:color="auto"/>
        <w:right w:val="none" w:sz="0" w:space="0" w:color="auto"/>
      </w:divBdr>
    </w:div>
    <w:div w:id="1037782387">
      <w:bodyDiv w:val="1"/>
      <w:marLeft w:val="0"/>
      <w:marRight w:val="0"/>
      <w:marTop w:val="0"/>
      <w:marBottom w:val="0"/>
      <w:divBdr>
        <w:top w:val="none" w:sz="0" w:space="0" w:color="auto"/>
        <w:left w:val="none" w:sz="0" w:space="0" w:color="auto"/>
        <w:bottom w:val="none" w:sz="0" w:space="0" w:color="auto"/>
        <w:right w:val="none" w:sz="0" w:space="0" w:color="auto"/>
      </w:divBdr>
    </w:div>
    <w:div w:id="1097869273">
      <w:bodyDiv w:val="1"/>
      <w:marLeft w:val="0"/>
      <w:marRight w:val="0"/>
      <w:marTop w:val="0"/>
      <w:marBottom w:val="0"/>
      <w:divBdr>
        <w:top w:val="none" w:sz="0" w:space="0" w:color="auto"/>
        <w:left w:val="none" w:sz="0" w:space="0" w:color="auto"/>
        <w:bottom w:val="none" w:sz="0" w:space="0" w:color="auto"/>
        <w:right w:val="none" w:sz="0" w:space="0" w:color="auto"/>
      </w:divBdr>
    </w:div>
    <w:div w:id="1125153506">
      <w:bodyDiv w:val="1"/>
      <w:marLeft w:val="0"/>
      <w:marRight w:val="0"/>
      <w:marTop w:val="0"/>
      <w:marBottom w:val="0"/>
      <w:divBdr>
        <w:top w:val="none" w:sz="0" w:space="0" w:color="auto"/>
        <w:left w:val="none" w:sz="0" w:space="0" w:color="auto"/>
        <w:bottom w:val="none" w:sz="0" w:space="0" w:color="auto"/>
        <w:right w:val="none" w:sz="0" w:space="0" w:color="auto"/>
      </w:divBdr>
    </w:div>
    <w:div w:id="1193346141">
      <w:bodyDiv w:val="1"/>
      <w:marLeft w:val="0"/>
      <w:marRight w:val="0"/>
      <w:marTop w:val="0"/>
      <w:marBottom w:val="0"/>
      <w:divBdr>
        <w:top w:val="none" w:sz="0" w:space="0" w:color="auto"/>
        <w:left w:val="none" w:sz="0" w:space="0" w:color="auto"/>
        <w:bottom w:val="none" w:sz="0" w:space="0" w:color="auto"/>
        <w:right w:val="none" w:sz="0" w:space="0" w:color="auto"/>
      </w:divBdr>
    </w:div>
    <w:div w:id="1209806288">
      <w:bodyDiv w:val="1"/>
      <w:marLeft w:val="0"/>
      <w:marRight w:val="0"/>
      <w:marTop w:val="0"/>
      <w:marBottom w:val="0"/>
      <w:divBdr>
        <w:top w:val="none" w:sz="0" w:space="0" w:color="auto"/>
        <w:left w:val="none" w:sz="0" w:space="0" w:color="auto"/>
        <w:bottom w:val="none" w:sz="0" w:space="0" w:color="auto"/>
        <w:right w:val="none" w:sz="0" w:space="0" w:color="auto"/>
      </w:divBdr>
    </w:div>
    <w:div w:id="1239367500">
      <w:bodyDiv w:val="1"/>
      <w:marLeft w:val="0"/>
      <w:marRight w:val="0"/>
      <w:marTop w:val="0"/>
      <w:marBottom w:val="0"/>
      <w:divBdr>
        <w:top w:val="none" w:sz="0" w:space="0" w:color="auto"/>
        <w:left w:val="none" w:sz="0" w:space="0" w:color="auto"/>
        <w:bottom w:val="none" w:sz="0" w:space="0" w:color="auto"/>
        <w:right w:val="none" w:sz="0" w:space="0" w:color="auto"/>
      </w:divBdr>
    </w:div>
    <w:div w:id="1240334531">
      <w:bodyDiv w:val="1"/>
      <w:marLeft w:val="0"/>
      <w:marRight w:val="0"/>
      <w:marTop w:val="0"/>
      <w:marBottom w:val="0"/>
      <w:divBdr>
        <w:top w:val="none" w:sz="0" w:space="0" w:color="auto"/>
        <w:left w:val="none" w:sz="0" w:space="0" w:color="auto"/>
        <w:bottom w:val="none" w:sz="0" w:space="0" w:color="auto"/>
        <w:right w:val="none" w:sz="0" w:space="0" w:color="auto"/>
      </w:divBdr>
    </w:div>
    <w:div w:id="1251431080">
      <w:bodyDiv w:val="1"/>
      <w:marLeft w:val="0"/>
      <w:marRight w:val="0"/>
      <w:marTop w:val="0"/>
      <w:marBottom w:val="0"/>
      <w:divBdr>
        <w:top w:val="none" w:sz="0" w:space="0" w:color="auto"/>
        <w:left w:val="none" w:sz="0" w:space="0" w:color="auto"/>
        <w:bottom w:val="none" w:sz="0" w:space="0" w:color="auto"/>
        <w:right w:val="none" w:sz="0" w:space="0" w:color="auto"/>
      </w:divBdr>
    </w:div>
    <w:div w:id="1281297414">
      <w:bodyDiv w:val="1"/>
      <w:marLeft w:val="0"/>
      <w:marRight w:val="0"/>
      <w:marTop w:val="0"/>
      <w:marBottom w:val="0"/>
      <w:divBdr>
        <w:top w:val="none" w:sz="0" w:space="0" w:color="auto"/>
        <w:left w:val="none" w:sz="0" w:space="0" w:color="auto"/>
        <w:bottom w:val="none" w:sz="0" w:space="0" w:color="auto"/>
        <w:right w:val="none" w:sz="0" w:space="0" w:color="auto"/>
      </w:divBdr>
      <w:divsChild>
        <w:div w:id="1826974053">
          <w:marLeft w:val="0"/>
          <w:marRight w:val="0"/>
          <w:marTop w:val="0"/>
          <w:marBottom w:val="0"/>
          <w:divBdr>
            <w:top w:val="none" w:sz="0" w:space="0" w:color="auto"/>
            <w:left w:val="none" w:sz="0" w:space="0" w:color="auto"/>
            <w:bottom w:val="none" w:sz="0" w:space="0" w:color="auto"/>
            <w:right w:val="none" w:sz="0" w:space="0" w:color="auto"/>
          </w:divBdr>
        </w:div>
        <w:div w:id="1847986635">
          <w:marLeft w:val="0"/>
          <w:marRight w:val="0"/>
          <w:marTop w:val="0"/>
          <w:marBottom w:val="0"/>
          <w:divBdr>
            <w:top w:val="none" w:sz="0" w:space="0" w:color="auto"/>
            <w:left w:val="none" w:sz="0" w:space="0" w:color="auto"/>
            <w:bottom w:val="none" w:sz="0" w:space="0" w:color="auto"/>
            <w:right w:val="none" w:sz="0" w:space="0" w:color="auto"/>
          </w:divBdr>
        </w:div>
      </w:divsChild>
    </w:div>
    <w:div w:id="1289315117">
      <w:bodyDiv w:val="1"/>
      <w:marLeft w:val="0"/>
      <w:marRight w:val="0"/>
      <w:marTop w:val="0"/>
      <w:marBottom w:val="0"/>
      <w:divBdr>
        <w:top w:val="none" w:sz="0" w:space="0" w:color="auto"/>
        <w:left w:val="none" w:sz="0" w:space="0" w:color="auto"/>
        <w:bottom w:val="none" w:sz="0" w:space="0" w:color="auto"/>
        <w:right w:val="none" w:sz="0" w:space="0" w:color="auto"/>
      </w:divBdr>
    </w:div>
    <w:div w:id="1334458104">
      <w:bodyDiv w:val="1"/>
      <w:marLeft w:val="0"/>
      <w:marRight w:val="0"/>
      <w:marTop w:val="0"/>
      <w:marBottom w:val="0"/>
      <w:divBdr>
        <w:top w:val="none" w:sz="0" w:space="0" w:color="auto"/>
        <w:left w:val="none" w:sz="0" w:space="0" w:color="auto"/>
        <w:bottom w:val="none" w:sz="0" w:space="0" w:color="auto"/>
        <w:right w:val="none" w:sz="0" w:space="0" w:color="auto"/>
      </w:divBdr>
    </w:div>
    <w:div w:id="1349797614">
      <w:bodyDiv w:val="1"/>
      <w:marLeft w:val="0"/>
      <w:marRight w:val="0"/>
      <w:marTop w:val="0"/>
      <w:marBottom w:val="0"/>
      <w:divBdr>
        <w:top w:val="none" w:sz="0" w:space="0" w:color="auto"/>
        <w:left w:val="none" w:sz="0" w:space="0" w:color="auto"/>
        <w:bottom w:val="none" w:sz="0" w:space="0" w:color="auto"/>
        <w:right w:val="none" w:sz="0" w:space="0" w:color="auto"/>
      </w:divBdr>
    </w:div>
    <w:div w:id="1378236560">
      <w:bodyDiv w:val="1"/>
      <w:marLeft w:val="0"/>
      <w:marRight w:val="0"/>
      <w:marTop w:val="0"/>
      <w:marBottom w:val="0"/>
      <w:divBdr>
        <w:top w:val="none" w:sz="0" w:space="0" w:color="auto"/>
        <w:left w:val="none" w:sz="0" w:space="0" w:color="auto"/>
        <w:bottom w:val="none" w:sz="0" w:space="0" w:color="auto"/>
        <w:right w:val="none" w:sz="0" w:space="0" w:color="auto"/>
      </w:divBdr>
    </w:div>
    <w:div w:id="1420371775">
      <w:bodyDiv w:val="1"/>
      <w:marLeft w:val="0"/>
      <w:marRight w:val="0"/>
      <w:marTop w:val="0"/>
      <w:marBottom w:val="0"/>
      <w:divBdr>
        <w:top w:val="none" w:sz="0" w:space="0" w:color="auto"/>
        <w:left w:val="none" w:sz="0" w:space="0" w:color="auto"/>
        <w:bottom w:val="none" w:sz="0" w:space="0" w:color="auto"/>
        <w:right w:val="none" w:sz="0" w:space="0" w:color="auto"/>
      </w:divBdr>
    </w:div>
    <w:div w:id="1436637242">
      <w:bodyDiv w:val="1"/>
      <w:marLeft w:val="0"/>
      <w:marRight w:val="0"/>
      <w:marTop w:val="0"/>
      <w:marBottom w:val="0"/>
      <w:divBdr>
        <w:top w:val="none" w:sz="0" w:space="0" w:color="auto"/>
        <w:left w:val="none" w:sz="0" w:space="0" w:color="auto"/>
        <w:bottom w:val="none" w:sz="0" w:space="0" w:color="auto"/>
        <w:right w:val="none" w:sz="0" w:space="0" w:color="auto"/>
      </w:divBdr>
    </w:div>
    <w:div w:id="1468859766">
      <w:bodyDiv w:val="1"/>
      <w:marLeft w:val="0"/>
      <w:marRight w:val="0"/>
      <w:marTop w:val="0"/>
      <w:marBottom w:val="0"/>
      <w:divBdr>
        <w:top w:val="none" w:sz="0" w:space="0" w:color="auto"/>
        <w:left w:val="none" w:sz="0" w:space="0" w:color="auto"/>
        <w:bottom w:val="none" w:sz="0" w:space="0" w:color="auto"/>
        <w:right w:val="none" w:sz="0" w:space="0" w:color="auto"/>
      </w:divBdr>
    </w:div>
    <w:div w:id="1496796571">
      <w:bodyDiv w:val="1"/>
      <w:marLeft w:val="0"/>
      <w:marRight w:val="0"/>
      <w:marTop w:val="0"/>
      <w:marBottom w:val="0"/>
      <w:divBdr>
        <w:top w:val="none" w:sz="0" w:space="0" w:color="auto"/>
        <w:left w:val="none" w:sz="0" w:space="0" w:color="auto"/>
        <w:bottom w:val="none" w:sz="0" w:space="0" w:color="auto"/>
        <w:right w:val="none" w:sz="0" w:space="0" w:color="auto"/>
      </w:divBdr>
      <w:divsChild>
        <w:div w:id="1028719235">
          <w:marLeft w:val="0"/>
          <w:marRight w:val="0"/>
          <w:marTop w:val="0"/>
          <w:marBottom w:val="0"/>
          <w:divBdr>
            <w:top w:val="none" w:sz="0" w:space="0" w:color="auto"/>
            <w:left w:val="none" w:sz="0" w:space="0" w:color="auto"/>
            <w:bottom w:val="none" w:sz="0" w:space="0" w:color="auto"/>
            <w:right w:val="none" w:sz="0" w:space="0" w:color="auto"/>
          </w:divBdr>
          <w:divsChild>
            <w:div w:id="1698921292">
              <w:marLeft w:val="0"/>
              <w:marRight w:val="0"/>
              <w:marTop w:val="0"/>
              <w:marBottom w:val="0"/>
              <w:divBdr>
                <w:top w:val="none" w:sz="0" w:space="0" w:color="auto"/>
                <w:left w:val="none" w:sz="0" w:space="0" w:color="auto"/>
                <w:bottom w:val="none" w:sz="0" w:space="0" w:color="auto"/>
                <w:right w:val="none" w:sz="0" w:space="0" w:color="auto"/>
              </w:divBdr>
              <w:divsChild>
                <w:div w:id="222526061">
                  <w:marLeft w:val="0"/>
                  <w:marRight w:val="0"/>
                  <w:marTop w:val="0"/>
                  <w:marBottom w:val="0"/>
                  <w:divBdr>
                    <w:top w:val="none" w:sz="0" w:space="0" w:color="auto"/>
                    <w:left w:val="none" w:sz="0" w:space="0" w:color="auto"/>
                    <w:bottom w:val="none" w:sz="0" w:space="0" w:color="auto"/>
                    <w:right w:val="none" w:sz="0" w:space="0" w:color="auto"/>
                  </w:divBdr>
                  <w:divsChild>
                    <w:div w:id="1555388352">
                      <w:marLeft w:val="0"/>
                      <w:marRight w:val="0"/>
                      <w:marTop w:val="0"/>
                      <w:marBottom w:val="0"/>
                      <w:divBdr>
                        <w:top w:val="none" w:sz="0" w:space="0" w:color="auto"/>
                        <w:left w:val="none" w:sz="0" w:space="0" w:color="auto"/>
                        <w:bottom w:val="none" w:sz="0" w:space="0" w:color="auto"/>
                        <w:right w:val="none" w:sz="0" w:space="0" w:color="auto"/>
                      </w:divBdr>
                      <w:divsChild>
                        <w:div w:id="137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9774">
      <w:bodyDiv w:val="1"/>
      <w:marLeft w:val="0"/>
      <w:marRight w:val="0"/>
      <w:marTop w:val="0"/>
      <w:marBottom w:val="0"/>
      <w:divBdr>
        <w:top w:val="none" w:sz="0" w:space="0" w:color="auto"/>
        <w:left w:val="none" w:sz="0" w:space="0" w:color="auto"/>
        <w:bottom w:val="none" w:sz="0" w:space="0" w:color="auto"/>
        <w:right w:val="none" w:sz="0" w:space="0" w:color="auto"/>
      </w:divBdr>
    </w:div>
    <w:div w:id="1622151039">
      <w:bodyDiv w:val="1"/>
      <w:marLeft w:val="0"/>
      <w:marRight w:val="0"/>
      <w:marTop w:val="0"/>
      <w:marBottom w:val="0"/>
      <w:divBdr>
        <w:top w:val="none" w:sz="0" w:space="0" w:color="auto"/>
        <w:left w:val="none" w:sz="0" w:space="0" w:color="auto"/>
        <w:bottom w:val="none" w:sz="0" w:space="0" w:color="auto"/>
        <w:right w:val="none" w:sz="0" w:space="0" w:color="auto"/>
      </w:divBdr>
    </w:div>
    <w:div w:id="1627201683">
      <w:bodyDiv w:val="1"/>
      <w:marLeft w:val="0"/>
      <w:marRight w:val="0"/>
      <w:marTop w:val="0"/>
      <w:marBottom w:val="0"/>
      <w:divBdr>
        <w:top w:val="none" w:sz="0" w:space="0" w:color="auto"/>
        <w:left w:val="none" w:sz="0" w:space="0" w:color="auto"/>
        <w:bottom w:val="none" w:sz="0" w:space="0" w:color="auto"/>
        <w:right w:val="none" w:sz="0" w:space="0" w:color="auto"/>
      </w:divBdr>
    </w:div>
    <w:div w:id="1630933877">
      <w:bodyDiv w:val="1"/>
      <w:marLeft w:val="0"/>
      <w:marRight w:val="0"/>
      <w:marTop w:val="0"/>
      <w:marBottom w:val="0"/>
      <w:divBdr>
        <w:top w:val="none" w:sz="0" w:space="0" w:color="auto"/>
        <w:left w:val="none" w:sz="0" w:space="0" w:color="auto"/>
        <w:bottom w:val="none" w:sz="0" w:space="0" w:color="auto"/>
        <w:right w:val="none" w:sz="0" w:space="0" w:color="auto"/>
      </w:divBdr>
    </w:div>
    <w:div w:id="1668829584">
      <w:bodyDiv w:val="1"/>
      <w:marLeft w:val="0"/>
      <w:marRight w:val="0"/>
      <w:marTop w:val="0"/>
      <w:marBottom w:val="0"/>
      <w:divBdr>
        <w:top w:val="none" w:sz="0" w:space="0" w:color="auto"/>
        <w:left w:val="none" w:sz="0" w:space="0" w:color="auto"/>
        <w:bottom w:val="none" w:sz="0" w:space="0" w:color="auto"/>
        <w:right w:val="none" w:sz="0" w:space="0" w:color="auto"/>
      </w:divBdr>
    </w:div>
    <w:div w:id="1691636340">
      <w:bodyDiv w:val="1"/>
      <w:marLeft w:val="0"/>
      <w:marRight w:val="0"/>
      <w:marTop w:val="0"/>
      <w:marBottom w:val="0"/>
      <w:divBdr>
        <w:top w:val="none" w:sz="0" w:space="0" w:color="auto"/>
        <w:left w:val="none" w:sz="0" w:space="0" w:color="auto"/>
        <w:bottom w:val="none" w:sz="0" w:space="0" w:color="auto"/>
        <w:right w:val="none" w:sz="0" w:space="0" w:color="auto"/>
      </w:divBdr>
      <w:divsChild>
        <w:div w:id="2056807554">
          <w:marLeft w:val="0"/>
          <w:marRight w:val="0"/>
          <w:marTop w:val="0"/>
          <w:marBottom w:val="0"/>
          <w:divBdr>
            <w:top w:val="none" w:sz="0" w:space="0" w:color="auto"/>
            <w:left w:val="none" w:sz="0" w:space="0" w:color="auto"/>
            <w:bottom w:val="none" w:sz="0" w:space="0" w:color="auto"/>
            <w:right w:val="none" w:sz="0" w:space="0" w:color="auto"/>
          </w:divBdr>
          <w:divsChild>
            <w:div w:id="1068267551">
              <w:marLeft w:val="3000"/>
              <w:marRight w:val="0"/>
              <w:marTop w:val="0"/>
              <w:marBottom w:val="0"/>
              <w:divBdr>
                <w:top w:val="single" w:sz="12" w:space="0" w:color="000000"/>
                <w:left w:val="none" w:sz="0" w:space="0" w:color="auto"/>
                <w:bottom w:val="none" w:sz="0" w:space="0" w:color="auto"/>
                <w:right w:val="none" w:sz="0" w:space="0" w:color="auto"/>
              </w:divBdr>
              <w:divsChild>
                <w:div w:id="956563548">
                  <w:marLeft w:val="0"/>
                  <w:marRight w:val="0"/>
                  <w:marTop w:val="0"/>
                  <w:marBottom w:val="0"/>
                  <w:divBdr>
                    <w:top w:val="none" w:sz="0" w:space="0" w:color="auto"/>
                    <w:left w:val="none" w:sz="0" w:space="0" w:color="auto"/>
                    <w:bottom w:val="none" w:sz="0" w:space="0" w:color="auto"/>
                    <w:right w:val="none" w:sz="0" w:space="0" w:color="auto"/>
                  </w:divBdr>
                  <w:divsChild>
                    <w:div w:id="2136482123">
                      <w:marLeft w:val="0"/>
                      <w:marRight w:val="0"/>
                      <w:marTop w:val="0"/>
                      <w:marBottom w:val="0"/>
                      <w:divBdr>
                        <w:top w:val="single" w:sz="12" w:space="12" w:color="000000"/>
                        <w:left w:val="none" w:sz="0" w:space="0" w:color="auto"/>
                        <w:bottom w:val="single" w:sz="12" w:space="12" w:color="000000"/>
                        <w:right w:val="none" w:sz="0" w:space="0" w:color="auto"/>
                      </w:divBdr>
                      <w:divsChild>
                        <w:div w:id="14668971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3296">
      <w:bodyDiv w:val="1"/>
      <w:marLeft w:val="0"/>
      <w:marRight w:val="0"/>
      <w:marTop w:val="0"/>
      <w:marBottom w:val="0"/>
      <w:divBdr>
        <w:top w:val="none" w:sz="0" w:space="0" w:color="auto"/>
        <w:left w:val="none" w:sz="0" w:space="0" w:color="auto"/>
        <w:bottom w:val="none" w:sz="0" w:space="0" w:color="auto"/>
        <w:right w:val="none" w:sz="0" w:space="0" w:color="auto"/>
      </w:divBdr>
    </w:div>
    <w:div w:id="1730765725">
      <w:bodyDiv w:val="1"/>
      <w:marLeft w:val="0"/>
      <w:marRight w:val="0"/>
      <w:marTop w:val="0"/>
      <w:marBottom w:val="0"/>
      <w:divBdr>
        <w:top w:val="none" w:sz="0" w:space="0" w:color="auto"/>
        <w:left w:val="none" w:sz="0" w:space="0" w:color="auto"/>
        <w:bottom w:val="none" w:sz="0" w:space="0" w:color="auto"/>
        <w:right w:val="none" w:sz="0" w:space="0" w:color="auto"/>
      </w:divBdr>
    </w:div>
    <w:div w:id="1740445658">
      <w:bodyDiv w:val="1"/>
      <w:marLeft w:val="0"/>
      <w:marRight w:val="0"/>
      <w:marTop w:val="0"/>
      <w:marBottom w:val="0"/>
      <w:divBdr>
        <w:top w:val="none" w:sz="0" w:space="0" w:color="auto"/>
        <w:left w:val="none" w:sz="0" w:space="0" w:color="auto"/>
        <w:bottom w:val="none" w:sz="0" w:space="0" w:color="auto"/>
        <w:right w:val="none" w:sz="0" w:space="0" w:color="auto"/>
      </w:divBdr>
    </w:div>
    <w:div w:id="1763915415">
      <w:bodyDiv w:val="1"/>
      <w:marLeft w:val="0"/>
      <w:marRight w:val="0"/>
      <w:marTop w:val="0"/>
      <w:marBottom w:val="0"/>
      <w:divBdr>
        <w:top w:val="none" w:sz="0" w:space="0" w:color="auto"/>
        <w:left w:val="none" w:sz="0" w:space="0" w:color="auto"/>
        <w:bottom w:val="none" w:sz="0" w:space="0" w:color="auto"/>
        <w:right w:val="none" w:sz="0" w:space="0" w:color="auto"/>
      </w:divBdr>
    </w:div>
    <w:div w:id="1797093589">
      <w:bodyDiv w:val="1"/>
      <w:marLeft w:val="0"/>
      <w:marRight w:val="0"/>
      <w:marTop w:val="0"/>
      <w:marBottom w:val="0"/>
      <w:divBdr>
        <w:top w:val="none" w:sz="0" w:space="0" w:color="auto"/>
        <w:left w:val="none" w:sz="0" w:space="0" w:color="auto"/>
        <w:bottom w:val="none" w:sz="0" w:space="0" w:color="auto"/>
        <w:right w:val="none" w:sz="0" w:space="0" w:color="auto"/>
      </w:divBdr>
    </w:div>
    <w:div w:id="1850095884">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7">
          <w:marLeft w:val="0"/>
          <w:marRight w:val="0"/>
          <w:marTop w:val="0"/>
          <w:marBottom w:val="0"/>
          <w:divBdr>
            <w:top w:val="none" w:sz="0" w:space="0" w:color="auto"/>
            <w:left w:val="none" w:sz="0" w:space="0" w:color="auto"/>
            <w:bottom w:val="none" w:sz="0" w:space="0" w:color="auto"/>
            <w:right w:val="none" w:sz="0" w:space="0" w:color="auto"/>
          </w:divBdr>
          <w:divsChild>
            <w:div w:id="730421663">
              <w:marLeft w:val="0"/>
              <w:marRight w:val="0"/>
              <w:marTop w:val="0"/>
              <w:marBottom w:val="0"/>
              <w:divBdr>
                <w:top w:val="none" w:sz="0" w:space="0" w:color="auto"/>
                <w:left w:val="none" w:sz="0" w:space="0" w:color="auto"/>
                <w:bottom w:val="none" w:sz="0" w:space="0" w:color="auto"/>
                <w:right w:val="none" w:sz="0" w:space="0" w:color="auto"/>
              </w:divBdr>
              <w:divsChild>
                <w:div w:id="540672865">
                  <w:marLeft w:val="0"/>
                  <w:marRight w:val="0"/>
                  <w:marTop w:val="0"/>
                  <w:marBottom w:val="0"/>
                  <w:divBdr>
                    <w:top w:val="none" w:sz="0" w:space="0" w:color="auto"/>
                    <w:left w:val="none" w:sz="0" w:space="0" w:color="auto"/>
                    <w:bottom w:val="none" w:sz="0" w:space="0" w:color="auto"/>
                    <w:right w:val="none" w:sz="0" w:space="0" w:color="auto"/>
                  </w:divBdr>
                  <w:divsChild>
                    <w:div w:id="9803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3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9759">
          <w:marLeft w:val="75"/>
          <w:marRight w:val="75"/>
          <w:marTop w:val="0"/>
          <w:marBottom w:val="0"/>
          <w:divBdr>
            <w:top w:val="none" w:sz="0" w:space="0" w:color="auto"/>
            <w:left w:val="none" w:sz="0" w:space="0" w:color="auto"/>
            <w:bottom w:val="none" w:sz="0" w:space="0" w:color="auto"/>
            <w:right w:val="none" w:sz="0" w:space="0" w:color="auto"/>
          </w:divBdr>
          <w:divsChild>
            <w:div w:id="1359937832">
              <w:marLeft w:val="0"/>
              <w:marRight w:val="0"/>
              <w:marTop w:val="0"/>
              <w:marBottom w:val="210"/>
              <w:divBdr>
                <w:top w:val="none" w:sz="0" w:space="0" w:color="auto"/>
                <w:left w:val="none" w:sz="0" w:space="0" w:color="auto"/>
                <w:bottom w:val="none" w:sz="0" w:space="0" w:color="auto"/>
                <w:right w:val="none" w:sz="0" w:space="0" w:color="auto"/>
              </w:divBdr>
              <w:divsChild>
                <w:div w:id="52311956">
                  <w:marLeft w:val="0"/>
                  <w:marRight w:val="0"/>
                  <w:marTop w:val="210"/>
                  <w:marBottom w:val="0"/>
                  <w:divBdr>
                    <w:top w:val="none" w:sz="0" w:space="0" w:color="auto"/>
                    <w:left w:val="none" w:sz="0" w:space="0" w:color="auto"/>
                    <w:bottom w:val="none" w:sz="0" w:space="0" w:color="auto"/>
                    <w:right w:val="none" w:sz="0" w:space="0" w:color="auto"/>
                  </w:divBdr>
                  <w:divsChild>
                    <w:div w:id="258610598">
                      <w:marLeft w:val="0"/>
                      <w:marRight w:val="0"/>
                      <w:marTop w:val="0"/>
                      <w:marBottom w:val="105"/>
                      <w:divBdr>
                        <w:top w:val="none" w:sz="0" w:space="0" w:color="auto"/>
                        <w:left w:val="none" w:sz="0" w:space="0" w:color="auto"/>
                        <w:bottom w:val="none" w:sz="0" w:space="0" w:color="auto"/>
                        <w:right w:val="none" w:sz="0" w:space="0" w:color="auto"/>
                      </w:divBdr>
                      <w:divsChild>
                        <w:div w:id="260332517">
                          <w:marLeft w:val="0"/>
                          <w:marRight w:val="0"/>
                          <w:marTop w:val="105"/>
                          <w:marBottom w:val="0"/>
                          <w:divBdr>
                            <w:top w:val="none" w:sz="0" w:space="0" w:color="auto"/>
                            <w:left w:val="none" w:sz="0" w:space="0" w:color="auto"/>
                            <w:bottom w:val="none" w:sz="0" w:space="0" w:color="auto"/>
                            <w:right w:val="none" w:sz="0" w:space="0" w:color="auto"/>
                          </w:divBdr>
                          <w:divsChild>
                            <w:div w:id="423957502">
                              <w:marLeft w:val="0"/>
                              <w:marRight w:val="0"/>
                              <w:marTop w:val="0"/>
                              <w:marBottom w:val="105"/>
                              <w:divBdr>
                                <w:top w:val="none" w:sz="0" w:space="0" w:color="auto"/>
                                <w:left w:val="none" w:sz="0" w:space="0" w:color="auto"/>
                                <w:bottom w:val="none" w:sz="0" w:space="0" w:color="auto"/>
                                <w:right w:val="none" w:sz="0" w:space="0" w:color="auto"/>
                              </w:divBdr>
                              <w:divsChild>
                                <w:div w:id="12812290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5288">
      <w:bodyDiv w:val="1"/>
      <w:marLeft w:val="0"/>
      <w:marRight w:val="0"/>
      <w:marTop w:val="0"/>
      <w:marBottom w:val="0"/>
      <w:divBdr>
        <w:top w:val="none" w:sz="0" w:space="0" w:color="auto"/>
        <w:left w:val="none" w:sz="0" w:space="0" w:color="auto"/>
        <w:bottom w:val="none" w:sz="0" w:space="0" w:color="auto"/>
        <w:right w:val="none" w:sz="0" w:space="0" w:color="auto"/>
      </w:divBdr>
      <w:divsChild>
        <w:div w:id="1224950408">
          <w:marLeft w:val="0"/>
          <w:marRight w:val="0"/>
          <w:marTop w:val="0"/>
          <w:marBottom w:val="0"/>
          <w:divBdr>
            <w:top w:val="none" w:sz="0" w:space="0" w:color="auto"/>
            <w:left w:val="none" w:sz="0" w:space="0" w:color="auto"/>
            <w:bottom w:val="none" w:sz="0" w:space="0" w:color="auto"/>
            <w:right w:val="none" w:sz="0" w:space="0" w:color="auto"/>
          </w:divBdr>
          <w:divsChild>
            <w:div w:id="1606300931">
              <w:marLeft w:val="3000"/>
              <w:marRight w:val="0"/>
              <w:marTop w:val="0"/>
              <w:marBottom w:val="0"/>
              <w:divBdr>
                <w:top w:val="single" w:sz="12" w:space="0" w:color="000000"/>
                <w:left w:val="none" w:sz="0" w:space="0" w:color="auto"/>
                <w:bottom w:val="none" w:sz="0" w:space="0" w:color="auto"/>
                <w:right w:val="none" w:sz="0" w:space="0" w:color="auto"/>
              </w:divBdr>
              <w:divsChild>
                <w:div w:id="1631394440">
                  <w:marLeft w:val="0"/>
                  <w:marRight w:val="0"/>
                  <w:marTop w:val="0"/>
                  <w:marBottom w:val="0"/>
                  <w:divBdr>
                    <w:top w:val="none" w:sz="0" w:space="0" w:color="auto"/>
                    <w:left w:val="none" w:sz="0" w:space="0" w:color="auto"/>
                    <w:bottom w:val="none" w:sz="0" w:space="0" w:color="auto"/>
                    <w:right w:val="none" w:sz="0" w:space="0" w:color="auto"/>
                  </w:divBdr>
                  <w:divsChild>
                    <w:div w:id="1322778706">
                      <w:marLeft w:val="0"/>
                      <w:marRight w:val="0"/>
                      <w:marTop w:val="0"/>
                      <w:marBottom w:val="0"/>
                      <w:divBdr>
                        <w:top w:val="single" w:sz="12" w:space="12" w:color="000000"/>
                        <w:left w:val="none" w:sz="0" w:space="0" w:color="auto"/>
                        <w:bottom w:val="single" w:sz="12" w:space="12" w:color="000000"/>
                        <w:right w:val="none" w:sz="0" w:space="0" w:color="auto"/>
                      </w:divBdr>
                      <w:divsChild>
                        <w:div w:id="7661989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78526">
      <w:bodyDiv w:val="1"/>
      <w:marLeft w:val="0"/>
      <w:marRight w:val="0"/>
      <w:marTop w:val="0"/>
      <w:marBottom w:val="0"/>
      <w:divBdr>
        <w:top w:val="none" w:sz="0" w:space="0" w:color="auto"/>
        <w:left w:val="none" w:sz="0" w:space="0" w:color="auto"/>
        <w:bottom w:val="none" w:sz="0" w:space="0" w:color="auto"/>
        <w:right w:val="none" w:sz="0" w:space="0" w:color="auto"/>
      </w:divBdr>
      <w:divsChild>
        <w:div w:id="497186964">
          <w:marLeft w:val="0"/>
          <w:marRight w:val="0"/>
          <w:marTop w:val="0"/>
          <w:marBottom w:val="600"/>
          <w:divBdr>
            <w:top w:val="none" w:sz="0" w:space="0" w:color="auto"/>
            <w:left w:val="none" w:sz="0" w:space="0" w:color="auto"/>
            <w:bottom w:val="none" w:sz="0" w:space="0" w:color="auto"/>
            <w:right w:val="none" w:sz="0" w:space="0" w:color="auto"/>
          </w:divBdr>
          <w:divsChild>
            <w:div w:id="1653487434">
              <w:marLeft w:val="0"/>
              <w:marRight w:val="0"/>
              <w:marTop w:val="450"/>
              <w:marBottom w:val="0"/>
              <w:divBdr>
                <w:top w:val="none" w:sz="0" w:space="0" w:color="auto"/>
                <w:left w:val="none" w:sz="0" w:space="0" w:color="auto"/>
                <w:bottom w:val="none" w:sz="0" w:space="0" w:color="auto"/>
                <w:right w:val="none" w:sz="0" w:space="0" w:color="auto"/>
              </w:divBdr>
              <w:divsChild>
                <w:div w:id="2013485021">
                  <w:marLeft w:val="0"/>
                  <w:marRight w:val="0"/>
                  <w:marTop w:val="0"/>
                  <w:marBottom w:val="0"/>
                  <w:divBdr>
                    <w:top w:val="none" w:sz="0" w:space="0" w:color="auto"/>
                    <w:left w:val="none" w:sz="0" w:space="0" w:color="auto"/>
                    <w:bottom w:val="none" w:sz="0" w:space="0" w:color="auto"/>
                    <w:right w:val="none" w:sz="0" w:space="0" w:color="auto"/>
                  </w:divBdr>
                  <w:divsChild>
                    <w:div w:id="109277885">
                      <w:marLeft w:val="225"/>
                      <w:marRight w:val="225"/>
                      <w:marTop w:val="180"/>
                      <w:marBottom w:val="180"/>
                      <w:divBdr>
                        <w:top w:val="none" w:sz="0" w:space="0" w:color="auto"/>
                        <w:left w:val="none" w:sz="0" w:space="0" w:color="auto"/>
                        <w:bottom w:val="none" w:sz="0" w:space="0" w:color="auto"/>
                        <w:right w:val="none" w:sz="0" w:space="0" w:color="auto"/>
                      </w:divBdr>
                      <w:divsChild>
                        <w:div w:id="1862428563">
                          <w:marLeft w:val="0"/>
                          <w:marRight w:val="0"/>
                          <w:marTop w:val="0"/>
                          <w:marBottom w:val="0"/>
                          <w:divBdr>
                            <w:top w:val="none" w:sz="0" w:space="0" w:color="auto"/>
                            <w:left w:val="none" w:sz="0" w:space="0" w:color="auto"/>
                            <w:bottom w:val="none" w:sz="0" w:space="0" w:color="auto"/>
                            <w:right w:val="none" w:sz="0" w:space="0" w:color="auto"/>
                          </w:divBdr>
                          <w:divsChild>
                            <w:div w:id="1999073164">
                              <w:marLeft w:val="0"/>
                              <w:marRight w:val="0"/>
                              <w:marTop w:val="0"/>
                              <w:marBottom w:val="0"/>
                              <w:divBdr>
                                <w:top w:val="none" w:sz="0" w:space="0" w:color="auto"/>
                                <w:left w:val="none" w:sz="0" w:space="0" w:color="auto"/>
                                <w:bottom w:val="none" w:sz="0" w:space="0" w:color="auto"/>
                                <w:right w:val="none" w:sz="0" w:space="0" w:color="auto"/>
                              </w:divBdr>
                              <w:divsChild>
                                <w:div w:id="461464886">
                                  <w:marLeft w:val="0"/>
                                  <w:marRight w:val="0"/>
                                  <w:marTop w:val="0"/>
                                  <w:marBottom w:val="0"/>
                                  <w:divBdr>
                                    <w:top w:val="none" w:sz="0" w:space="0" w:color="auto"/>
                                    <w:left w:val="none" w:sz="0" w:space="0" w:color="auto"/>
                                    <w:bottom w:val="none" w:sz="0" w:space="0" w:color="auto"/>
                                    <w:right w:val="none" w:sz="0" w:space="0" w:color="auto"/>
                                  </w:divBdr>
                                  <w:divsChild>
                                    <w:div w:id="5518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quebec.ca/nouvelles/actualites/details/presentation-du-projet-de-loi-sur-la-securisation-culturelle-48614" TargetMode="External"/><Relationship Id="rId2" Type="http://schemas.openxmlformats.org/officeDocument/2006/relationships/hyperlink" Target="https://www.cdpdj.qc.ca/fr/actualites/allocution-racisme-systemique" TargetMode="External"/><Relationship Id="rId1" Type="http://schemas.openxmlformats.org/officeDocument/2006/relationships/hyperlink" Target="https://www.canada.ca/fr/sante-publique/services/promotion-sante/sante-population/est-determine-sante.html" TargetMode="External"/><Relationship Id="rId6" Type="http://schemas.openxmlformats.org/officeDocument/2006/relationships/hyperlink" Target="https://www.opq.gouv.qc.ca/fileadmin/documents/Systeme_professionnel/Historique/Commission_Castonguay/1_Tome_1LesProfessionsEtlaSociete.pdf" TargetMode="External"/><Relationship Id="rId5" Type="http://schemas.openxmlformats.org/officeDocument/2006/relationships/hyperlink" Target="https://ici.radio-canada.ca/espaces-autochtones/1920551/conception-formation-realites-autochtones-employes-etat" TargetMode="External"/><Relationship Id="rId4" Type="http://schemas.openxmlformats.org/officeDocument/2006/relationships/hyperlink" Target="https://ici.radio-canada.ca/nouvelle/1917604/joyce-echaquan-formation-critique-realites-autochto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Ch\AppData\Roaming\Microsoft\Templates\Avis_memoire_etu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66c5a5-9349-45f3-a35d-93d4de43bb68" ContentTypeId="0x0101005B31C1E327F24A4395DD83803DF5CBEC27" PreviousValue="false"/>
</file>

<file path=customXml/item2.xml><?xml version="1.0" encoding="utf-8"?>
<p:properties xmlns:p="http://schemas.microsoft.com/office/2006/metadata/properties" xmlns:xsi="http://www.w3.org/2001/XMLSchema-instance" xmlns:pc="http://schemas.microsoft.com/office/infopath/2007/PartnerControls">
  <documentManagement>
    <DateDocument xmlns="3cc706f8-daeb-4c57-a93c-fdf45da762a7" xsi:nil="true"/>
    <m676632b177a439a97fe6d7269451e6d xmlns="3cc706f8-daeb-4c57-a93c-fdf45da762a7">
      <Terms xmlns="http://schemas.microsoft.com/office/infopath/2007/PartnerControls">
        <TermInfo xmlns="http://schemas.microsoft.com/office/infopath/2007/PartnerControls">
          <TermName xmlns="http://schemas.microsoft.com/office/infopath/2007/PartnerControls">Mémoire - Assemblée nationale</TermName>
          <TermId xmlns="http://schemas.microsoft.com/office/infopath/2007/PartnerControls">0ef052ce-57d9-4a13-a202-96eea33713bc</TermId>
        </TermInfo>
      </Term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07240 Analyse de la législation et de la règlementation</TermName>
          <TermId xmlns="http://schemas.microsoft.com/office/infopath/2007/PartnerControls">306b92e8-e402-4739-8712-dd057f2bec0c</TermId>
        </TermInfo>
      </Terms>
    </if89c33f4f2c46ec9c8e5a9ac9138037>
    <TaxCatchAll xmlns="3cc706f8-daeb-4c57-a93c-fdf45da762a7">
      <Value>129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Formulaires et modèle" ma:contentTypeID="0x0101005B31C1E327F24A4395DD83803DF5CBEC2700DA2A9E84EED6C947A14C66290AC44F8A" ma:contentTypeVersion="27" ma:contentTypeDescription="" ma:contentTypeScope="" ma:versionID="a7253eea013d944a064b2d2d8d1f2446">
  <xsd:schema xmlns:xsd="http://www.w3.org/2001/XMLSchema" xmlns:xs="http://www.w3.org/2001/XMLSchema" xmlns:p="http://schemas.microsoft.com/office/2006/metadata/properties" xmlns:ns2="3cc706f8-daeb-4c57-a93c-fdf45da762a7" targetNamespace="http://schemas.microsoft.com/office/2006/metadata/properties" ma:root="true" ma:fieldsID="adf06c4d2497b9c365bc97c39f4b415a"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DateDocument"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9b80b7-7485-4f98-abd9-77aff0a002a8}"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9b80b7-7485-4f98-abd9-77aff0a002a8}"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DateDocument" ma:index="12" nillable="true" ma:displayName="Date du document" ma:format="DateOnly" ma:internalName="DateDocument">
      <xsd:simpleType>
        <xsd:restriction base="dms:DateTime"/>
      </xsd:simpleType>
    </xsd:element>
    <xsd:element name="if89c33f4f2c46ec9c8e5a9ac9138037" ma:index="13" nillable="true" ma:taxonomy="true" ma:internalName="if89c33f4f2c46ec9c8e5a9ac9138037" ma:taxonomyFieldName="HUBClassification" ma:displayName="Plan de classification" ma:default=""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241F2-B799-4A36-9C03-5D52F740D483}">
  <ds:schemaRefs>
    <ds:schemaRef ds:uri="Microsoft.SharePoint.Taxonomy.ContentTypeSync"/>
  </ds:schemaRefs>
</ds:datastoreItem>
</file>

<file path=customXml/itemProps2.xml><?xml version="1.0" encoding="utf-8"?>
<ds:datastoreItem xmlns:ds="http://schemas.openxmlformats.org/officeDocument/2006/customXml" ds:itemID="{4C8F5C2E-79CB-445A-BC29-CF3F8BF4E118}">
  <ds:schemaRefs>
    <ds:schemaRef ds:uri="http://schemas.microsoft.com/office/2006/metadata/properties"/>
    <ds:schemaRef ds:uri="http://schemas.microsoft.com/office/infopath/2007/PartnerControls"/>
    <ds:schemaRef ds:uri="3cc706f8-daeb-4c57-a93c-fdf45da762a7"/>
  </ds:schemaRefs>
</ds:datastoreItem>
</file>

<file path=customXml/itemProps3.xml><?xml version="1.0" encoding="utf-8"?>
<ds:datastoreItem xmlns:ds="http://schemas.openxmlformats.org/officeDocument/2006/customXml" ds:itemID="{77A4FA4D-E177-40DA-8A79-7AA8C3BC6015}">
  <ds:schemaRefs>
    <ds:schemaRef ds:uri="http://schemas.microsoft.com/sharepoint/v3/contenttype/forms"/>
  </ds:schemaRefs>
</ds:datastoreItem>
</file>

<file path=customXml/itemProps4.xml><?xml version="1.0" encoding="utf-8"?>
<ds:datastoreItem xmlns:ds="http://schemas.openxmlformats.org/officeDocument/2006/customXml" ds:itemID="{0B3254C5-AF4E-4B39-8EAC-8DFE54F5A2B8}">
  <ds:schemaRefs>
    <ds:schemaRef ds:uri="http://schemas.openxmlformats.org/officeDocument/2006/bibliography"/>
  </ds:schemaRefs>
</ds:datastoreItem>
</file>

<file path=customXml/itemProps5.xml><?xml version="1.0" encoding="utf-8"?>
<ds:datastoreItem xmlns:ds="http://schemas.openxmlformats.org/officeDocument/2006/customXml" ds:itemID="{C1D772D1-DC2B-4444-826F-042EBB7AF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Avis_memoire_etude</Template>
  <TotalTime>6</TotalTime>
  <Pages>52</Pages>
  <Words>14712</Words>
  <Characters>80917</Characters>
  <Application>Microsoft Office Word</Application>
  <DocSecurity>8</DocSecurity>
  <Lines>674</Lines>
  <Paragraphs>190</Paragraphs>
  <ScaleCrop>false</ScaleCrop>
  <HeadingPairs>
    <vt:vector size="2" baseType="variant">
      <vt:variant>
        <vt:lpstr>Titre</vt:lpstr>
      </vt:variant>
      <vt:variant>
        <vt:i4>1</vt:i4>
      </vt:variant>
    </vt:vector>
  </HeadingPairs>
  <TitlesOfParts>
    <vt:vector size="1" baseType="lpstr">
      <vt:lpstr>Mémoire à la Commission des institutions de l’Assemblée nationale — Projet de loi n° 32, Loi instaurant l’approche de sécurisation culturelle au sein du réseau de la santé et des services sociaux</vt:lpstr>
    </vt:vector>
  </TitlesOfParts>
  <Company>CDPDJ</Company>
  <LinksUpToDate>false</LinksUpToDate>
  <CharactersWithSpaces>95439</CharactersWithSpaces>
  <SharedDoc>false</SharedDoc>
  <HLinks>
    <vt:vector size="144" baseType="variant">
      <vt:variant>
        <vt:i4>1179698</vt:i4>
      </vt:variant>
      <vt:variant>
        <vt:i4>104</vt:i4>
      </vt:variant>
      <vt:variant>
        <vt:i4>0</vt:i4>
      </vt:variant>
      <vt:variant>
        <vt:i4>5</vt:i4>
      </vt:variant>
      <vt:variant>
        <vt:lpwstr/>
      </vt:variant>
      <vt:variant>
        <vt:lpwstr>_Toc145265064</vt:lpwstr>
      </vt:variant>
      <vt:variant>
        <vt:i4>1179698</vt:i4>
      </vt:variant>
      <vt:variant>
        <vt:i4>98</vt:i4>
      </vt:variant>
      <vt:variant>
        <vt:i4>0</vt:i4>
      </vt:variant>
      <vt:variant>
        <vt:i4>5</vt:i4>
      </vt:variant>
      <vt:variant>
        <vt:lpwstr/>
      </vt:variant>
      <vt:variant>
        <vt:lpwstr>_Toc145265063</vt:lpwstr>
      </vt:variant>
      <vt:variant>
        <vt:i4>1179698</vt:i4>
      </vt:variant>
      <vt:variant>
        <vt:i4>92</vt:i4>
      </vt:variant>
      <vt:variant>
        <vt:i4>0</vt:i4>
      </vt:variant>
      <vt:variant>
        <vt:i4>5</vt:i4>
      </vt:variant>
      <vt:variant>
        <vt:lpwstr/>
      </vt:variant>
      <vt:variant>
        <vt:lpwstr>_Toc145265062</vt:lpwstr>
      </vt:variant>
      <vt:variant>
        <vt:i4>1179698</vt:i4>
      </vt:variant>
      <vt:variant>
        <vt:i4>86</vt:i4>
      </vt:variant>
      <vt:variant>
        <vt:i4>0</vt:i4>
      </vt:variant>
      <vt:variant>
        <vt:i4>5</vt:i4>
      </vt:variant>
      <vt:variant>
        <vt:lpwstr/>
      </vt:variant>
      <vt:variant>
        <vt:lpwstr>_Toc145265061</vt:lpwstr>
      </vt:variant>
      <vt:variant>
        <vt:i4>1179698</vt:i4>
      </vt:variant>
      <vt:variant>
        <vt:i4>80</vt:i4>
      </vt:variant>
      <vt:variant>
        <vt:i4>0</vt:i4>
      </vt:variant>
      <vt:variant>
        <vt:i4>5</vt:i4>
      </vt:variant>
      <vt:variant>
        <vt:lpwstr/>
      </vt:variant>
      <vt:variant>
        <vt:lpwstr>_Toc145265060</vt:lpwstr>
      </vt:variant>
      <vt:variant>
        <vt:i4>1114162</vt:i4>
      </vt:variant>
      <vt:variant>
        <vt:i4>74</vt:i4>
      </vt:variant>
      <vt:variant>
        <vt:i4>0</vt:i4>
      </vt:variant>
      <vt:variant>
        <vt:i4>5</vt:i4>
      </vt:variant>
      <vt:variant>
        <vt:lpwstr/>
      </vt:variant>
      <vt:variant>
        <vt:lpwstr>_Toc145265059</vt:lpwstr>
      </vt:variant>
      <vt:variant>
        <vt:i4>1114162</vt:i4>
      </vt:variant>
      <vt:variant>
        <vt:i4>68</vt:i4>
      </vt:variant>
      <vt:variant>
        <vt:i4>0</vt:i4>
      </vt:variant>
      <vt:variant>
        <vt:i4>5</vt:i4>
      </vt:variant>
      <vt:variant>
        <vt:lpwstr/>
      </vt:variant>
      <vt:variant>
        <vt:lpwstr>_Toc145265058</vt:lpwstr>
      </vt:variant>
      <vt:variant>
        <vt:i4>1114162</vt:i4>
      </vt:variant>
      <vt:variant>
        <vt:i4>62</vt:i4>
      </vt:variant>
      <vt:variant>
        <vt:i4>0</vt:i4>
      </vt:variant>
      <vt:variant>
        <vt:i4>5</vt:i4>
      </vt:variant>
      <vt:variant>
        <vt:lpwstr/>
      </vt:variant>
      <vt:variant>
        <vt:lpwstr>_Toc145265057</vt:lpwstr>
      </vt:variant>
      <vt:variant>
        <vt:i4>1114162</vt:i4>
      </vt:variant>
      <vt:variant>
        <vt:i4>56</vt:i4>
      </vt:variant>
      <vt:variant>
        <vt:i4>0</vt:i4>
      </vt:variant>
      <vt:variant>
        <vt:i4>5</vt:i4>
      </vt:variant>
      <vt:variant>
        <vt:lpwstr/>
      </vt:variant>
      <vt:variant>
        <vt:lpwstr>_Toc145265056</vt:lpwstr>
      </vt:variant>
      <vt:variant>
        <vt:i4>1114162</vt:i4>
      </vt:variant>
      <vt:variant>
        <vt:i4>50</vt:i4>
      </vt:variant>
      <vt:variant>
        <vt:i4>0</vt:i4>
      </vt:variant>
      <vt:variant>
        <vt:i4>5</vt:i4>
      </vt:variant>
      <vt:variant>
        <vt:lpwstr/>
      </vt:variant>
      <vt:variant>
        <vt:lpwstr>_Toc145265055</vt:lpwstr>
      </vt:variant>
      <vt:variant>
        <vt:i4>1114162</vt:i4>
      </vt:variant>
      <vt:variant>
        <vt:i4>44</vt:i4>
      </vt:variant>
      <vt:variant>
        <vt:i4>0</vt:i4>
      </vt:variant>
      <vt:variant>
        <vt:i4>5</vt:i4>
      </vt:variant>
      <vt:variant>
        <vt:lpwstr/>
      </vt:variant>
      <vt:variant>
        <vt:lpwstr>_Toc145265054</vt:lpwstr>
      </vt:variant>
      <vt:variant>
        <vt:i4>1114162</vt:i4>
      </vt:variant>
      <vt:variant>
        <vt:i4>38</vt:i4>
      </vt:variant>
      <vt:variant>
        <vt:i4>0</vt:i4>
      </vt:variant>
      <vt:variant>
        <vt:i4>5</vt:i4>
      </vt:variant>
      <vt:variant>
        <vt:lpwstr/>
      </vt:variant>
      <vt:variant>
        <vt:lpwstr>_Toc145265053</vt:lpwstr>
      </vt:variant>
      <vt:variant>
        <vt:i4>1114162</vt:i4>
      </vt:variant>
      <vt:variant>
        <vt:i4>32</vt:i4>
      </vt:variant>
      <vt:variant>
        <vt:i4>0</vt:i4>
      </vt:variant>
      <vt:variant>
        <vt:i4>5</vt:i4>
      </vt:variant>
      <vt:variant>
        <vt:lpwstr/>
      </vt:variant>
      <vt:variant>
        <vt:lpwstr>_Toc145265052</vt:lpwstr>
      </vt:variant>
      <vt:variant>
        <vt:i4>1114162</vt:i4>
      </vt:variant>
      <vt:variant>
        <vt:i4>26</vt:i4>
      </vt:variant>
      <vt:variant>
        <vt:i4>0</vt:i4>
      </vt:variant>
      <vt:variant>
        <vt:i4>5</vt:i4>
      </vt:variant>
      <vt:variant>
        <vt:lpwstr/>
      </vt:variant>
      <vt:variant>
        <vt:lpwstr>_Toc145265051</vt:lpwstr>
      </vt:variant>
      <vt:variant>
        <vt:i4>1114162</vt:i4>
      </vt:variant>
      <vt:variant>
        <vt:i4>20</vt:i4>
      </vt:variant>
      <vt:variant>
        <vt:i4>0</vt:i4>
      </vt:variant>
      <vt:variant>
        <vt:i4>5</vt:i4>
      </vt:variant>
      <vt:variant>
        <vt:lpwstr/>
      </vt:variant>
      <vt:variant>
        <vt:lpwstr>_Toc145265050</vt:lpwstr>
      </vt:variant>
      <vt:variant>
        <vt:i4>1048626</vt:i4>
      </vt:variant>
      <vt:variant>
        <vt:i4>14</vt:i4>
      </vt:variant>
      <vt:variant>
        <vt:i4>0</vt:i4>
      </vt:variant>
      <vt:variant>
        <vt:i4>5</vt:i4>
      </vt:variant>
      <vt:variant>
        <vt:lpwstr/>
      </vt:variant>
      <vt:variant>
        <vt:lpwstr>_Toc145265049</vt:lpwstr>
      </vt:variant>
      <vt:variant>
        <vt:i4>1048626</vt:i4>
      </vt:variant>
      <vt:variant>
        <vt:i4>8</vt:i4>
      </vt:variant>
      <vt:variant>
        <vt:i4>0</vt:i4>
      </vt:variant>
      <vt:variant>
        <vt:i4>5</vt:i4>
      </vt:variant>
      <vt:variant>
        <vt:lpwstr/>
      </vt:variant>
      <vt:variant>
        <vt:lpwstr>_Toc145265048</vt:lpwstr>
      </vt:variant>
      <vt:variant>
        <vt:i4>1048626</vt:i4>
      </vt:variant>
      <vt:variant>
        <vt:i4>2</vt:i4>
      </vt:variant>
      <vt:variant>
        <vt:i4>0</vt:i4>
      </vt:variant>
      <vt:variant>
        <vt:i4>5</vt:i4>
      </vt:variant>
      <vt:variant>
        <vt:lpwstr/>
      </vt:variant>
      <vt:variant>
        <vt:lpwstr>_Toc145265047</vt:lpwstr>
      </vt:variant>
      <vt:variant>
        <vt:i4>1310747</vt:i4>
      </vt:variant>
      <vt:variant>
        <vt:i4>144</vt:i4>
      </vt:variant>
      <vt:variant>
        <vt:i4>0</vt:i4>
      </vt:variant>
      <vt:variant>
        <vt:i4>5</vt:i4>
      </vt:variant>
      <vt:variant>
        <vt:lpwstr>https://www.opq.gouv.qc.ca/fileadmin/documents/Systeme_professionnel/Historique/Commission_Castonguay/1_Tome_1LesProfessionsEtlaSociete.pdf</vt:lpwstr>
      </vt:variant>
      <vt:variant>
        <vt:lpwstr/>
      </vt:variant>
      <vt:variant>
        <vt:i4>2818111</vt:i4>
      </vt:variant>
      <vt:variant>
        <vt:i4>93</vt:i4>
      </vt:variant>
      <vt:variant>
        <vt:i4>0</vt:i4>
      </vt:variant>
      <vt:variant>
        <vt:i4>5</vt:i4>
      </vt:variant>
      <vt:variant>
        <vt:lpwstr>https://ici.radio-canada.ca/espaces-autochtones/1920551/conception-formation-realites-autochtones-employes-etat</vt:lpwstr>
      </vt:variant>
      <vt:variant>
        <vt:lpwstr/>
      </vt:variant>
      <vt:variant>
        <vt:i4>7077920</vt:i4>
      </vt:variant>
      <vt:variant>
        <vt:i4>90</vt:i4>
      </vt:variant>
      <vt:variant>
        <vt:i4>0</vt:i4>
      </vt:variant>
      <vt:variant>
        <vt:i4>5</vt:i4>
      </vt:variant>
      <vt:variant>
        <vt:lpwstr>https://ici.radio-canada.ca/nouvelle/1917604/joyce-echaquan-formation-critique-realites-autochtones</vt:lpwstr>
      </vt:variant>
      <vt:variant>
        <vt:lpwstr/>
      </vt:variant>
      <vt:variant>
        <vt:i4>4194382</vt:i4>
      </vt:variant>
      <vt:variant>
        <vt:i4>87</vt:i4>
      </vt:variant>
      <vt:variant>
        <vt:i4>0</vt:i4>
      </vt:variant>
      <vt:variant>
        <vt:i4>5</vt:i4>
      </vt:variant>
      <vt:variant>
        <vt:lpwstr>https://www.quebec.ca/nouvelles/actualites/details/presentation-du-projet-de-loi-sur-la-securisation-culturelle-48614</vt:lpwstr>
      </vt:variant>
      <vt:variant>
        <vt:lpwstr/>
      </vt:variant>
      <vt:variant>
        <vt:i4>6488114</vt:i4>
      </vt:variant>
      <vt:variant>
        <vt:i4>81</vt:i4>
      </vt:variant>
      <vt:variant>
        <vt:i4>0</vt:i4>
      </vt:variant>
      <vt:variant>
        <vt:i4>5</vt:i4>
      </vt:variant>
      <vt:variant>
        <vt:lpwstr>https://www.cdpdj.qc.ca/fr/actualites/allocution-racisme-systemique</vt:lpwstr>
      </vt:variant>
      <vt:variant>
        <vt:lpwstr/>
      </vt:variant>
      <vt:variant>
        <vt:i4>3211373</vt:i4>
      </vt:variant>
      <vt:variant>
        <vt:i4>30</vt:i4>
      </vt:variant>
      <vt:variant>
        <vt:i4>0</vt:i4>
      </vt:variant>
      <vt:variant>
        <vt:i4>5</vt:i4>
      </vt:variant>
      <vt:variant>
        <vt:lpwstr>https://www.canada.ca/fr/sante-publique/services/promotion-sante/sante-population/est-determine-sante.html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à la Commission des institutions de l’Assemblée nationale — Projet de loi n° 32, Loi instaurant l’approche de sécurisation culturelle au sein du réseau de la santé et des services sociaux</dc:title>
  <dc:subject>Ce mémoire commente le projet de loi no 32 qui vise l’instauration de l’approche de sécurisation culturelle dans le réseau de la santé et des services sociaux. Il aborde la question de la reconnaissance du droit à l’autodétermination des peuples autochtones, la nécessité d’inscrire cette approche comme un moyen de lutter  contre la discrimination et le racisme systémique, la formation obligatoire, initiale et continue du personnel sur la sécurisation culturelle , les obligations à respecter en matière d’l’embauche de personnel autochtone, l’évaluation des pratiques et la reddition de compte des organismes ainsi que l’assouplissement des critères permettant à des personnes autochtones d’exercer des activités professionnelles réservées concernant les enfants autochtones.</dc:subject>
  <dc:creator>Commission des des droits de la personne et des droits de la jeunesse</dc:creator>
  <cp:keywords>Art. 10 Droit à l'égalité; Art. 10 Discrimination – notion ; Droit à la santé ; Convention relative aux droits de l’enfant ; Origine ethnique ou nationale ; Santé et services sociaux ; Racisme ; Autochtones ; Ordre professionnel ; Droits de l’enfant ; Enfants autochtones ; Communautés autochtones</cp:keywords>
  <cp:lastModifiedBy>Sophie Ambrosi</cp:lastModifiedBy>
  <cp:revision>7</cp:revision>
  <cp:lastPrinted>2023-09-11T18:51:00Z</cp:lastPrinted>
  <dcterms:created xsi:type="dcterms:W3CDTF">2023-09-11T18:45:00Z</dcterms:created>
  <dcterms:modified xsi:type="dcterms:W3CDTF">2023-09-11T20:17:00Z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0x0101005B31C1E327F24A4395DD83803DF5CBEC2700DA2A9E84EED6C947A14C66290AC44F8A</vt:lpwstr>
  </property>
  <property fmtid="{D5CDD505-2E9C-101B-9397-08002B2CF9AE}" pid="3" name="HUBClassification">
    <vt:lpwstr>129;#U04 Formulaire et modèle|27cfb357-5dc8-430f-84d3-0884bd18bef4</vt:lpwstr>
  </property>
  <property fmtid="{D5CDD505-2E9C-101B-9397-08002B2CF9AE}" pid="4" name="TypeDocument">
    <vt:lpwstr/>
  </property>
</Properties>
</file>